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rFonts w:ascii="Times New Roman" w:hAnsi="Times New Roman"/>
          <w:b/>
          <w:i w:val="0"/>
          <w:sz w:val="26"/>
        </w:rPr>
        <w:t>Declaration of Generative AI and AI-Assisted Technologies</w:t>
      </w:r>
    </w:p>
    <w:p>
      <w:pPr>
        <w:spacing w:before="0" w:after="160"/>
      </w:pPr>
      <w:r>
        <w:rPr>
          <w:rFonts w:ascii="Times New Roman" w:hAnsi="Times New Roman"/>
          <w:b/>
          <w:i w:val="0"/>
          <w:sz w:val="26"/>
        </w:rPr>
        <w:t>in the Manuscript Preparation Process</w:t>
      </w:r>
    </w:p>
    <w:p>
      <w:pPr>
        <w:spacing w:after="80" w:before="0"/>
      </w:pPr>
      <w:r>
        <w:rPr>
          <w:rFonts w:ascii="Times New Roman" w:hAnsi="Times New Roman"/>
          <w:b w:val="0"/>
          <w:i/>
          <w:sz w:val="22"/>
        </w:rPr>
        <w:t>Kizana: Cross-Lingual Information Retrieval for Classical Islamic Jurisprudence Texts Using Domain-Specific Query Translation</w:t>
      </w:r>
    </w:p>
    <w:p>
      <w:pPr>
        <w:spacing w:after="240" w:before="0"/>
      </w:pPr>
      <w:r>
        <w:rPr>
          <w:rFonts w:ascii="Times New Roman" w:hAnsi="Times New Roman"/>
          <w:b w:val="0"/>
          <w:i/>
          <w:sz w:val="22"/>
        </w:rPr>
        <w:t>Knowledge-Based Systems</w:t>
      </w:r>
    </w:p>
    <w:p>
      <w:pPr>
        <w:spacing w:after="80"/>
      </w:pPr>
      <w:r>
        <w:rPr>
          <w:rFonts w:ascii="Times New Roman" w:hAnsi="Times New Roman"/>
          <w:color w:val="969696"/>
          <w:sz w:val="18"/>
        </w:rPr>
        <w:t>──────────────────────────────────────────────────────────────────────</w:t>
      </w:r>
    </w:p>
    <w:p>
      <w:pPr>
        <w:spacing w:after="200" w:before="0"/>
      </w:pPr>
      <w:r>
        <w:rPr>
          <w:rFonts w:ascii="Times New Roman" w:hAnsi="Times New Roman"/>
          <w:b w:val="0"/>
          <w:i w:val="0"/>
          <w:sz w:val="24"/>
        </w:rPr>
        <w:t>During the preparation of this work the author used GitHub Copilot (Microsoft/OpenAI, VS Code extension) in order to assist with code generation for the evaluation scripts, data processing pipelines, and LaTeX manuscript formatting. The AI tool was used to accelerate implementation of standard programming patterns; all research design, hypotheses, experimental protocols, statistical analyses, interpretation of results, and scientific conclusions were performed entirely by the author.</w:t>
      </w:r>
    </w:p>
    <w:p>
      <w:pPr>
        <w:spacing w:after="200" w:before="0"/>
      </w:pPr>
      <w:r>
        <w:rPr>
          <w:rFonts w:ascii="Times New Roman" w:hAnsi="Times New Roman"/>
          <w:b w:val="0"/>
          <w:i w:val="0"/>
          <w:sz w:val="24"/>
        </w:rPr>
        <w:t>After using this tool, the author reviewed and edited all AI-assisted content as needed and takes full responsibility for the content of the published article. No AI tool was used to generate or alter figures, images, or artwork in this manuscript.</w:t>
      </w:r>
    </w:p>
    <w:p>
      <w:pPr>
        <w:spacing w:after="320" w:before="0"/>
      </w:pPr>
      <w:r>
        <w:rPr>
          <w:rFonts w:ascii="Times New Roman" w:hAnsi="Times New Roman"/>
          <w:b w:val="0"/>
          <w:i w:val="0"/>
          <w:sz w:val="24"/>
        </w:rPr>
        <w:t>No AI tool was used for any part of scientific reasoning, literature synthesis, data analysis interpretation, or authoring of the core research findings. The Islamic jurisprudence terminology mappings, evaluation design, gold standard annotation, and all conclusions are entirely the author's original work.</w:t>
      </w:r>
    </w:p>
    <w:p>
      <w:pPr>
        <w:spacing w:after="80"/>
      </w:pPr>
      <w:r>
        <w:rPr>
          <w:rFonts w:ascii="Times New Roman" w:hAnsi="Times New Roman"/>
          <w:color w:val="969696"/>
          <w:sz w:val="18"/>
        </w:rPr>
        <w:t>──────────────────────────────────────────────────────────────────────</w:t>
      </w:r>
    </w:p>
    <w:p>
      <w:pPr>
        <w:spacing w:after="80" w:before="0"/>
      </w:pPr>
      <w:r>
        <w:rPr>
          <w:rFonts w:ascii="Times New Roman" w:hAnsi="Times New Roman"/>
          <w:b/>
          <w:i w:val="0"/>
          <w:sz w:val="24"/>
        </w:rPr>
        <w:t>Corresponding Author: Dihan Nahdi</w:t>
      </w:r>
    </w:p>
    <w:p>
      <w:pPr>
        <w:spacing w:after="0" w:before="0"/>
      </w:pPr>
      <w:r>
        <w:rPr>
          <w:rFonts w:ascii="Times New Roman" w:hAnsi="Times New Roman"/>
          <w:b w:val="0"/>
          <w:i w:val="0"/>
          <w:sz w:val="24"/>
        </w:rPr>
        <w:t>Date: March 4,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