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center"/>
      </w:pPr>
      <w:r>
        <w:rPr>
          <w:rFonts w:ascii="Times New Roman" w:hAnsi="Times New Roman"/>
          <w:b/>
          <w:i w:val="0"/>
          <w:sz w:val="28"/>
        </w:rPr>
        <w:t>Highlights</w:t>
      </w:r>
    </w:p>
    <w:p>
      <w:pPr>
        <w:pStyle w:val="ListBullet"/>
        <w:spacing w:after="160"/>
      </w:pPr>
      <w:r>
        <w:rPr>
          <w:rFonts w:ascii="Times New Roman" w:hAnsi="Times New Roman"/>
          <w:b w:val="0"/>
          <w:i w:val="0"/>
          <w:sz w:val="24"/>
        </w:rPr>
        <w:t>Kizana enables cross-lingual search over 7,872 classical Arabic Islamic texts using Indonesian, English, or mixed-language queries through domain-specific rule-based translation.</w:t>
      </w:r>
    </w:p>
    <w:p>
      <w:pPr>
        <w:pStyle w:val="ListBullet"/>
        <w:spacing w:after="160"/>
      </w:pPr>
      <w:r>
        <w:rPr>
          <w:rFonts w:ascii="Times New Roman" w:hAnsi="Times New Roman"/>
          <w:b w:val="0"/>
          <w:i w:val="0"/>
          <w:sz w:val="24"/>
        </w:rPr>
        <w:t>Domain-specific query translation achieves MAP = 0.790, reaching 98.9% of Google Translate + BM25 performance (MAP = 0.799) with no statistically significant difference (p = 0.148).</w:t>
      </w:r>
    </w:p>
    <w:p>
      <w:pPr>
        <w:pStyle w:val="ListBullet"/>
        <w:spacing w:after="160"/>
      </w:pPr>
      <w:r>
        <w:rPr>
          <w:rFonts w:ascii="Times New Roman" w:hAnsi="Times New Roman"/>
          <w:b w:val="0"/>
          <w:i w:val="0"/>
          <w:sz w:val="24"/>
        </w:rPr>
        <w:t>Ablation study reveals query translation contributes ΔMAP = +0.601 while multi-variant expansion and Arabic stemming paradoxically degrade retrieval precision in this specialized domain.</w:t>
      </w:r>
    </w:p>
    <w:p>
      <w:pPr>
        <w:pStyle w:val="ListBullet"/>
        <w:spacing w:after="160"/>
      </w:pPr>
      <w:r>
        <w:rPr>
          <w:rFonts w:ascii="Times New Roman" w:hAnsi="Times New Roman"/>
          <w:b w:val="0"/>
          <w:i w:val="0"/>
          <w:sz w:val="24"/>
        </w:rPr>
        <w:t>The system operates entirely offline with zero API dependency, making it deployable at resource-constrained Islamic educational institutions (pesantren) with limited internet access.</w:t>
      </w:r>
    </w:p>
    <w:p>
      <w:pPr>
        <w:pStyle w:val="ListBullet"/>
        <w:spacing w:after="160"/>
      </w:pPr>
      <w:r>
        <w:rPr>
          <w:rFonts w:ascii="Times New Roman" w:hAnsi="Times New Roman"/>
          <w:b w:val="0"/>
          <w:i w:val="0"/>
          <w:sz w:val="24"/>
        </w:rPr>
        <w:t>Gold standard of 96 queries validated with substantial inter-annotator agreement (Cohen's κ = 0.793, Krippendorff's α = 0.739) across four languages and four Islamic legal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