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xmlns:w16du="http://schemas.microsoft.com/office/word/2023/wordml/word16du" xmlns:w16sdtfl="http://schemas.microsoft.com/office/word/2024/wordml/sdtformatlock">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277180">
        <w:rPr>
          <w:b/>
          <w:bCs/>
        </w:rPr>
        <w:t>Capítulo I Antecedentes históricos de acontecimientos significativos en los mercados bursátiles.</w:t>
      </w:r>
    </w:p>
    <w:p w14:paraId="73CC5F54" w14:textId="77777777" w:rsidR="0018058B" w:rsidRPr="00277180" w:rsidRDefault="0018058B" w:rsidP="00292D98">
      <w:pPr>
        <w:rPr>
          <w:b/>
          <w:bCs/>
        </w:rPr>
      </w:pPr>
    </w:p>
    <w:p w14:paraId="1237711E" w14:textId="30D848A8" w:rsidR="00292D98" w:rsidRPr="00277180" w:rsidRDefault="009F317C" w:rsidP="009F317C">
      <w:pPr>
        <w:rPr>
          <w:b/>
          <w:bCs/>
        </w:rPr>
      </w:pPr>
      <w:r w:rsidRPr="00277180">
        <w:rPr>
          <w:b/>
          <w:bCs/>
        </w:rPr>
        <w:t xml:space="preserve">Capítulo II Teorías fundamentales sobre el comportamiento </w:t>
      </w:r>
      <w:r w:rsidR="007F5A07" w:rsidRPr="00277180">
        <w:rPr>
          <w:b/>
          <w:bCs/>
        </w:rPr>
        <w:t>bursátil</w:t>
      </w:r>
      <w:r w:rsidRPr="00277180">
        <w:rPr>
          <w:b/>
          <w:bCs/>
        </w:rPr>
        <w:t xml:space="preserve"> de los activos, en series</w:t>
      </w:r>
      <w:r w:rsidR="0018058B" w:rsidRPr="00277180">
        <w:rPr>
          <w:b/>
          <w:bCs/>
        </w:rPr>
        <w:t>.</w:t>
      </w:r>
    </w:p>
    <w:p w14:paraId="5DB1FF63" w14:textId="77777777" w:rsidR="0018058B" w:rsidRPr="00277180" w:rsidRDefault="0018058B" w:rsidP="0018058B">
      <w:pPr>
        <w:pStyle w:val="Prrafodelista"/>
        <w:ind w:left="420"/>
        <w:rPr>
          <w:b/>
          <w:bCs/>
        </w:rPr>
      </w:pPr>
    </w:p>
    <w:p w14:paraId="215C70F5" w14:textId="09D411F9" w:rsidR="00277180" w:rsidRPr="00277180" w:rsidRDefault="00277180" w:rsidP="00277180">
      <w:pPr>
        <w:rPr>
          <w:b/>
          <w:bCs/>
        </w:rPr>
      </w:pPr>
      <w:r w:rsidRPr="00277180">
        <w:rPr>
          <w:b/>
          <w:bCs/>
        </w:rPr>
        <w:t>Capítulo II Conceptos generales del mercado de valores.</w:t>
      </w:r>
    </w:p>
    <w:p w14:paraId="4E1A489F" w14:textId="77777777" w:rsidR="0018058B" w:rsidRPr="00277180" w:rsidRDefault="0018058B" w:rsidP="0018058B">
      <w:pPr>
        <w:pStyle w:val="Prrafodelista"/>
        <w:ind w:left="420"/>
        <w:rPr>
          <w:b/>
          <w:bCs/>
        </w:rPr>
      </w:pPr>
    </w:p>
    <w:p w14:paraId="5552DCEA" w14:textId="27C22326" w:rsidR="00277180" w:rsidRPr="00277180" w:rsidRDefault="00277180" w:rsidP="00277180">
      <w:pPr>
        <w:rPr>
          <w:b/>
          <w:bCs/>
        </w:rPr>
      </w:pPr>
      <w:r w:rsidRPr="00277180">
        <w:rPr>
          <w:b/>
          <w:bCs/>
        </w:rPr>
        <w:t>Capítulo III Teorías fundamentales sobre el comportamiento bursátil de los activos, en series de tiempo. (Marco Teórico Conceptual).</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2AF24E66" w14:textId="42EC255A" w:rsidR="00277180" w:rsidRDefault="00277180" w:rsidP="00120390">
      <w:pPr>
        <w:rPr>
          <w:b/>
          <w:bCs/>
        </w:rPr>
      </w:pPr>
    </w:p>
    <w:p w14:paraId="7861B313" w14:textId="77777777"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523A271C" w14:textId="1BFB378A" w:rsidR="00277180" w:rsidRDefault="00277180" w:rsidP="00BC037E">
      <w:pPr>
        <w:rPr>
          <w:b/>
          <w:bCs/>
        </w:rPr>
      </w:pPr>
    </w:p>
    <w:p w14:paraId="0F8E5EDC" w14:textId="63D9DA76" w:rsidR="00277180" w:rsidRDefault="00277180" w:rsidP="00BC037E">
      <w:pPr>
        <w:rPr>
          <w:b/>
          <w:bCs/>
        </w:rPr>
      </w:pPr>
    </w:p>
    <w:p w14:paraId="379ED814" w14:textId="63D450BA" w:rsidR="00277180" w:rsidRDefault="00277180" w:rsidP="00BC037E">
      <w:pPr>
        <w:rPr>
          <w:b/>
          <w:bCs/>
        </w:rPr>
      </w:pPr>
    </w:p>
    <w:p w14:paraId="6329EB20" w14:textId="5A2E189E" w:rsidR="00277180" w:rsidRDefault="00277180" w:rsidP="00BC037E">
      <w:pPr>
        <w:rPr>
          <w:b/>
          <w:bCs/>
        </w:rPr>
      </w:pPr>
    </w:p>
    <w:p w14:paraId="3573581D" w14:textId="77777777" w:rsidR="00277180" w:rsidRDefault="00277180" w:rsidP="00BC037E">
      <w:pPr>
        <w:rPr>
          <w:b/>
          <w:bCs/>
        </w:rPr>
      </w:pPr>
    </w:p>
    <w:p w14:paraId="12BF1785" w14:textId="20ED9909"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44E27C3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w:t>
      </w:r>
      <w:r w:rsidR="007F5A07">
        <w:t>cómo</w:t>
      </w:r>
      <w:r>
        <w:t xml:space="preserve"> se relacionan y bajo </w:t>
      </w:r>
      <w:r w:rsidR="007F5A07">
        <w:t>qué</w:t>
      </w:r>
      <w:r>
        <w:t xml:space="preserve"> condiciones se relacionan </w:t>
      </w:r>
      <w:r w:rsidR="007F5A07">
        <w:t>más</w:t>
      </w:r>
      <w:r>
        <w:t xml:space="preserve">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w:t>
      </w:r>
      <w:proofErr w:type="spellStart"/>
      <w:r>
        <w:t>al</w:t>
      </w:r>
      <w:proofErr w:type="spellEnd"/>
      <w:r>
        <w:t xml:space="preserve">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6B05E20F" w14:textId="77777777" w:rsidR="00BC6467" w:rsidRDefault="00BC6467" w:rsidP="00F826EA"/>
    <w:p w14:paraId="75597855" w14:textId="4A4242B4"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 xml:space="preserve">I: </w:t>
      </w:r>
      <w:r w:rsidR="00253CD4" w:rsidRPr="00253CD4">
        <w:rPr>
          <w:b/>
          <w:bCs/>
          <w:sz w:val="32"/>
          <w:szCs w:val="32"/>
        </w:rPr>
        <w:t>Antecedentes históricos de acontecimientos significativos en los mercados bursátiles</w:t>
      </w:r>
      <w:r w:rsidR="00253CD4">
        <w:rPr>
          <w:b/>
          <w:bCs/>
          <w:sz w:val="32"/>
          <w:szCs w:val="32"/>
        </w:rPr>
        <w:t>.</w:t>
      </w:r>
    </w:p>
    <w:p w14:paraId="2DCF5478" w14:textId="77777777" w:rsidR="00520E0F" w:rsidRPr="00520E0F" w:rsidRDefault="00520E0F" w:rsidP="00BC037E">
      <w:pPr>
        <w:rPr>
          <w:b/>
          <w:bCs/>
        </w:rPr>
      </w:pPr>
    </w:p>
    <w:p w14:paraId="444317E2" w14:textId="070A75DA" w:rsidR="00520E0F" w:rsidRPr="00520E0F" w:rsidRDefault="00253CD4" w:rsidP="00520E0F">
      <w:pPr>
        <w:rPr>
          <w:b/>
          <w:bCs/>
        </w:rPr>
      </w:pPr>
      <w:r>
        <w:rPr>
          <w:b/>
          <w:bCs/>
        </w:rPr>
        <w:t xml:space="preserve">1.3.1 </w:t>
      </w:r>
      <w:r w:rsidR="00520E0F" w:rsidRPr="00520E0F">
        <w:rPr>
          <w:b/>
          <w:bCs/>
        </w:rPr>
        <w:t>Periodo de la Crisis puntocom (1990-2000)</w:t>
      </w:r>
    </w:p>
    <w:p w14:paraId="5CF814E3" w14:textId="77777777" w:rsidR="00520E0F" w:rsidRDefault="00520E0F" w:rsidP="00520E0F">
      <w:pPr>
        <w:rPr>
          <w:b/>
          <w:bCs/>
        </w:rPr>
      </w:pPr>
    </w:p>
    <w:p w14:paraId="344635DC" w14:textId="00F0620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w:t>
      </w:r>
      <w:proofErr w:type="spellStart"/>
      <w:r w:rsidR="00520E0F">
        <w:t>Term</w:t>
      </w:r>
      <w:proofErr w:type="spellEnd"/>
      <w:r w:rsidR="00520E0F">
        <w:t xml:space="preserve">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w:t>
      </w:r>
      <w:proofErr w:type="spellStart"/>
      <w:r>
        <w:t>Bearish</w:t>
      </w:r>
      <w:proofErr w:type="spellEnd"/>
      <w:r>
        <w:t xml:space="preserve">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73078984" w14:textId="31D11EBA" w:rsidR="00253CD4" w:rsidRDefault="00253CD4" w:rsidP="00253CD4">
      <w:pPr>
        <w:jc w:val="both"/>
        <w:rPr>
          <w:b/>
          <w:bCs/>
        </w:rPr>
      </w:pPr>
      <w:r>
        <w:rPr>
          <w:b/>
          <w:bCs/>
        </w:rPr>
        <w:t>Crisis Inmobiliaria de 2008.</w:t>
      </w:r>
    </w:p>
    <w:p w14:paraId="3E948A94" w14:textId="639534C4" w:rsidR="00242720" w:rsidRDefault="00242720" w:rsidP="00253CD4">
      <w:pPr>
        <w:jc w:val="both"/>
        <w:rPr>
          <w:b/>
          <w:bCs/>
        </w:rPr>
      </w:pPr>
    </w:p>
    <w:p w14:paraId="23EA8D33" w14:textId="77777777" w:rsidR="00545729" w:rsidRDefault="00242720" w:rsidP="00253CD4">
      <w:pPr>
        <w:jc w:val="both"/>
      </w:pPr>
      <w:r>
        <w:t xml:space="preserve">La crisis del 2008 sin duda ha sido una de las ultimas </w:t>
      </w:r>
      <w:r w:rsidR="00545729">
        <w:t>más</w:t>
      </w:r>
      <w:r>
        <w:t xml:space="preserve"> relevantes</w:t>
      </w:r>
      <w:r w:rsidR="00545729">
        <w:t>, durante los últimos años,</w:t>
      </w:r>
    </w:p>
    <w:p w14:paraId="07274083" w14:textId="77777777" w:rsidR="00545729" w:rsidRDefault="00545729" w:rsidP="00253CD4">
      <w:pPr>
        <w:jc w:val="both"/>
      </w:pPr>
    </w:p>
    <w:p w14:paraId="6E163DB5" w14:textId="07E29DE9" w:rsidR="00242720" w:rsidRDefault="00242720" w:rsidP="00253CD4">
      <w:pPr>
        <w:jc w:val="both"/>
      </w:pPr>
      <w:r>
        <w:t>debido a los nuevos parámetros regulatorios que introdujo dentro del sistema financiero, provocando una regulación más estricta buscando evitar problemas similares o peores a futuro.</w:t>
      </w:r>
    </w:p>
    <w:p w14:paraId="49BC2F8E" w14:textId="77777777" w:rsidR="00242720" w:rsidRDefault="00242720" w:rsidP="00253CD4">
      <w:pPr>
        <w:jc w:val="both"/>
      </w:pPr>
    </w:p>
    <w:p w14:paraId="6CD1DCA8" w14:textId="1BD0AF97"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créditos a individuos que </w:t>
      </w:r>
      <w:r w:rsidR="000E6981">
        <w:t>in</w:t>
      </w:r>
      <w:r>
        <w:t xml:space="preserve">cumplían los requisitos, </w:t>
      </w:r>
      <w:r w:rsidR="000E6981">
        <w:t xml:space="preserve">la </w:t>
      </w:r>
      <w:r>
        <w:t>caída del empleo</w:t>
      </w:r>
      <w:r w:rsidR="000E6981">
        <w:t xml:space="preserve"> </w:t>
      </w:r>
      <w:r>
        <w:t xml:space="preserve"> impidió que las personas tuvieran ingresos y dejaran de pagar bastantes créditos que habían sido otorgados, provocando riesgos por default,</w:t>
      </w:r>
      <w:r w:rsidR="000E6981">
        <w:t xml:space="preserve"> además del exceso de fraudes</w:t>
      </w:r>
      <w:r>
        <w:t xml:space="preserve">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2FECF352" w14:textId="303F64DC" w:rsidR="00545729" w:rsidRDefault="00545729" w:rsidP="00253CD4">
      <w:pPr>
        <w:jc w:val="both"/>
      </w:pPr>
    </w:p>
    <w:p w14:paraId="0B0D1E1F" w14:textId="3D9D2AD5" w:rsidR="00545729" w:rsidRDefault="00545729" w:rsidP="00253CD4">
      <w:pPr>
        <w:jc w:val="both"/>
      </w:pPr>
      <w:r>
        <w:t>Ante esto es importante mencionar</w:t>
      </w:r>
    </w:p>
    <w:p w14:paraId="39E44099" w14:textId="2ABA6A7B" w:rsidR="000E6981" w:rsidRDefault="000E6981" w:rsidP="00253CD4">
      <w:pPr>
        <w:jc w:val="both"/>
      </w:pPr>
    </w:p>
    <w:p w14:paraId="4C93C5E0" w14:textId="5C1B105E" w:rsidR="000E6981" w:rsidRDefault="000E6981" w:rsidP="00253CD4">
      <w:pPr>
        <w:jc w:val="both"/>
      </w:pPr>
    </w:p>
    <w:p w14:paraId="154FD8DE" w14:textId="77777777" w:rsidR="000E6981" w:rsidRDefault="000E6981" w:rsidP="00253CD4">
      <w:pPr>
        <w:jc w:val="both"/>
      </w:pPr>
    </w:p>
    <w:p w14:paraId="7AB2B338" w14:textId="61FB60B0" w:rsidR="000E6981" w:rsidRDefault="000E6981" w:rsidP="00253CD4">
      <w:pPr>
        <w:jc w:val="both"/>
      </w:pPr>
      <w:r>
        <w:t>Posteriormente como lección ante los acontecimientos generados por la crisis de 2008, se implementaron nuevas regulaciones como la de Basilea III, la cual busco fortalecer las instituciones, con la integración de nuevas medidas que buscaran tener regular ámbitos relacionados a el coeficiente de cobertura de liquidez, coeficiente de financiación estable neta, además de un nuevo marco regulador global para reforzar los bancos y sistemas bancarios</w:t>
      </w:r>
      <w:r w:rsidR="007F5A07">
        <w:t>, mejorando los márgenes de capital mínimo para mitigar el riesgo , nuevos márgenes de colchones de conservación de capital, nuevo colchón anticíclico, buscando con estos nuevos parámetros la mejoría en la capacidad de absorción de perdías desde un punto de vista de no viabilidad</w:t>
      </w:r>
      <w:r>
        <w:t>.</w:t>
      </w:r>
    </w:p>
    <w:p w14:paraId="03B92D1D" w14:textId="72045799" w:rsidR="007F5A07" w:rsidRDefault="007F5A07" w:rsidP="00253CD4">
      <w:pPr>
        <w:jc w:val="both"/>
      </w:pPr>
    </w:p>
    <w:p w14:paraId="2BA16CEA" w14:textId="23287A52" w:rsidR="007F5A07" w:rsidRDefault="007F5A07" w:rsidP="00253CD4">
      <w:pPr>
        <w:jc w:val="both"/>
      </w:pPr>
      <w:r>
        <w:t>Por otro lado, también se añadieron otros parámetros que fueron los tres pilares principales dentro de estas nuevas reformas de Basilea III:</w:t>
      </w:r>
    </w:p>
    <w:p w14:paraId="3F391EE6" w14:textId="0D6333CD" w:rsidR="007F5A07" w:rsidRDefault="007F5A07" w:rsidP="00253CD4">
      <w:pPr>
        <w:jc w:val="both"/>
      </w:pPr>
    </w:p>
    <w:p w14:paraId="31C6F592" w14:textId="4D701A72" w:rsidR="007F5A07" w:rsidRDefault="007F5A07" w:rsidP="00253CD4">
      <w:pPr>
        <w:jc w:val="both"/>
      </w:pPr>
      <w:r>
        <w:t xml:space="preserve">Primer pilar:  </w:t>
      </w:r>
      <w:r w:rsidR="00C1031F">
        <w:t>Habla de la cobertura de riesgo relacionada los siguientes factores: riesgo de crédito, riesgo de mercado, riesgo de ajuste de valoración de crédito y riesgo operacional.</w:t>
      </w:r>
    </w:p>
    <w:p w14:paraId="60B36DD7" w14:textId="5E89B68F" w:rsidR="00C1031F" w:rsidRDefault="00C1031F" w:rsidP="00253CD4">
      <w:pPr>
        <w:jc w:val="both"/>
      </w:pPr>
    </w:p>
    <w:p w14:paraId="642D638A" w14:textId="1FCF5949" w:rsidR="00C1031F" w:rsidRDefault="00C1031F" w:rsidP="00253CD4">
      <w:pPr>
        <w:jc w:val="both"/>
      </w:pPr>
      <w:r>
        <w:t>Segundo Pilar: Contención del apalancamiento, busca mejorar el coeficiente de apalancamiento, de los bancos.</w:t>
      </w:r>
    </w:p>
    <w:p w14:paraId="70A1056E" w14:textId="6C5A4AD7" w:rsidR="00C1031F" w:rsidRDefault="00C1031F" w:rsidP="00253CD4">
      <w:pPr>
        <w:jc w:val="both"/>
      </w:pPr>
    </w:p>
    <w:p w14:paraId="5EF5F9F0" w14:textId="65F5BE80" w:rsidR="00C1031F" w:rsidRDefault="00C1031F" w:rsidP="00253CD4">
      <w:pPr>
        <w:jc w:val="both"/>
      </w:pPr>
      <w:r>
        <w:t>Tercer Pilar: Disciplina de mercado, implementa nuevas reformas dentro de los requisitos de divulgación, introduciendo mejoras en los parámetros prudenciales clave en los bancos.</w:t>
      </w:r>
    </w:p>
    <w:p w14:paraId="0D59DCBA" w14:textId="3905E815" w:rsidR="000E6981" w:rsidRDefault="000E6981" w:rsidP="00253CD4">
      <w:pPr>
        <w:jc w:val="both"/>
      </w:pPr>
    </w:p>
    <w:p w14:paraId="32A55315" w14:textId="77777777" w:rsidR="00571264" w:rsidRDefault="00571264" w:rsidP="00253CD4">
      <w:pPr>
        <w:jc w:val="both"/>
      </w:pPr>
    </w:p>
    <w:p w14:paraId="065F4EBA" w14:textId="77777777" w:rsidR="000E6981" w:rsidRDefault="000E6981" w:rsidP="00253CD4">
      <w:pPr>
        <w:jc w:val="both"/>
      </w:pPr>
    </w:p>
    <w:p w14:paraId="385C6A1B" w14:textId="4C5F695F" w:rsidR="00253CD4" w:rsidRDefault="00253CD4" w:rsidP="00253CD4">
      <w:pPr>
        <w:jc w:val="both"/>
      </w:pPr>
    </w:p>
    <w:p w14:paraId="035A3A02" w14:textId="376FFFB2" w:rsidR="00253CD4" w:rsidRPr="00253CD4" w:rsidRDefault="00253CD4" w:rsidP="00253CD4">
      <w:pPr>
        <w:jc w:val="both"/>
        <w:rPr>
          <w:color w:val="FF0000"/>
        </w:rPr>
      </w:pPr>
    </w:p>
    <w:p w14:paraId="06CABA5D" w14:textId="73AAA29F" w:rsidR="00277180" w:rsidRDefault="00545729" w:rsidP="00253CD4">
      <w:pPr>
        <w:jc w:val="both"/>
        <w:rPr>
          <w:b/>
          <w:bCs/>
          <w:color w:val="FF0000"/>
        </w:rPr>
      </w:pPr>
      <w:hyperlink r:id="rId10" w:history="1">
        <w:r>
          <w:rPr>
            <w:rStyle w:val="Hipervnculo"/>
          </w:rPr>
          <w:t xml:space="preserve">La historia de la Crisis </w:t>
        </w:r>
        <w:proofErr w:type="spellStart"/>
        <w:r>
          <w:rPr>
            <w:rStyle w:val="Hipervnculo"/>
          </w:rPr>
          <w:t>Subprime</w:t>
        </w:r>
        <w:proofErr w:type="spellEnd"/>
        <w:r>
          <w:rPr>
            <w:rStyle w:val="Hipervnculo"/>
          </w:rPr>
          <w:t xml:space="preserve"> - CMF Educa - Comisión para el Mercado Financiero</w:t>
        </w:r>
      </w:hyperlink>
    </w:p>
    <w:p w14:paraId="7CDDE90C" w14:textId="77777777" w:rsidR="00BC6467" w:rsidRDefault="00BC6467" w:rsidP="00253CD4">
      <w:pPr>
        <w:jc w:val="both"/>
        <w:rPr>
          <w:b/>
          <w:bCs/>
          <w:color w:val="FF0000"/>
        </w:rPr>
      </w:pPr>
    </w:p>
    <w:p w14:paraId="55C10D71" w14:textId="029B87A9" w:rsidR="00BC6467" w:rsidRDefault="00545729" w:rsidP="00253CD4">
      <w:pPr>
        <w:jc w:val="both"/>
        <w:rPr>
          <w:b/>
          <w:bCs/>
          <w:color w:val="FF0000"/>
        </w:rPr>
      </w:pPr>
      <w:hyperlink r:id="rId11" w:history="1">
        <w:r>
          <w:rPr>
            <w:rStyle w:val="Hipervnculo"/>
          </w:rPr>
          <w:t>Crisis bursátil mundial de octubre de 2008 - Wikipedia, la enciclopedia libre</w:t>
        </w:r>
      </w:hyperlink>
    </w:p>
    <w:p w14:paraId="6F5873F0" w14:textId="77777777" w:rsidR="00BC6467" w:rsidRDefault="00BC6467" w:rsidP="00253CD4">
      <w:pPr>
        <w:jc w:val="both"/>
        <w:rPr>
          <w:b/>
          <w:bCs/>
          <w:color w:val="FF0000"/>
        </w:rPr>
      </w:pPr>
    </w:p>
    <w:p w14:paraId="43485DC6" w14:textId="77777777" w:rsidR="00BC6467" w:rsidRDefault="00BC6467" w:rsidP="00253CD4">
      <w:pPr>
        <w:jc w:val="both"/>
        <w:rPr>
          <w:b/>
          <w:bCs/>
          <w:color w:val="FF0000"/>
        </w:rPr>
      </w:pPr>
    </w:p>
    <w:p w14:paraId="2B0C6DE5" w14:textId="77777777" w:rsidR="008D4465" w:rsidRDefault="008D4465" w:rsidP="00253CD4">
      <w:pPr>
        <w:jc w:val="both"/>
        <w:rPr>
          <w:b/>
          <w:bCs/>
          <w:color w:val="FF0000"/>
        </w:rPr>
      </w:pPr>
    </w:p>
    <w:p w14:paraId="44DC1A76" w14:textId="77777777" w:rsidR="008D4465" w:rsidRDefault="008D4465" w:rsidP="00253CD4">
      <w:pPr>
        <w:jc w:val="both"/>
        <w:rPr>
          <w:b/>
          <w:bCs/>
          <w:color w:val="FF0000"/>
        </w:rPr>
      </w:pPr>
    </w:p>
    <w:p w14:paraId="74353AA1" w14:textId="77777777" w:rsidR="008D4465" w:rsidRDefault="008D4465" w:rsidP="00253CD4">
      <w:pPr>
        <w:jc w:val="both"/>
        <w:rPr>
          <w:b/>
          <w:bCs/>
          <w:color w:val="FF0000"/>
        </w:rPr>
      </w:pPr>
    </w:p>
    <w:p w14:paraId="482ED700" w14:textId="77777777" w:rsidR="008D4465" w:rsidRDefault="008D4465" w:rsidP="00253CD4">
      <w:pPr>
        <w:jc w:val="both"/>
        <w:rPr>
          <w:b/>
          <w:bCs/>
          <w:color w:val="FF0000"/>
        </w:rPr>
      </w:pPr>
    </w:p>
    <w:p w14:paraId="7F1A2A19" w14:textId="77777777" w:rsidR="008D4465" w:rsidRDefault="008D4465" w:rsidP="00253CD4">
      <w:pPr>
        <w:jc w:val="both"/>
        <w:rPr>
          <w:b/>
          <w:bCs/>
          <w:color w:val="FF0000"/>
        </w:rPr>
      </w:pPr>
    </w:p>
    <w:p w14:paraId="5C485F8B" w14:textId="77777777" w:rsidR="008D4465" w:rsidRDefault="008D4465" w:rsidP="00253CD4">
      <w:pPr>
        <w:jc w:val="both"/>
        <w:rPr>
          <w:b/>
          <w:bCs/>
          <w:color w:val="FF0000"/>
        </w:rPr>
      </w:pPr>
    </w:p>
    <w:p w14:paraId="3AB21B52" w14:textId="77777777" w:rsidR="008D4465" w:rsidRDefault="008D4465" w:rsidP="00253CD4">
      <w:pPr>
        <w:jc w:val="both"/>
        <w:rPr>
          <w:b/>
          <w:bCs/>
          <w:color w:val="FF0000"/>
        </w:rPr>
      </w:pPr>
    </w:p>
    <w:p w14:paraId="646D5C9E" w14:textId="77777777" w:rsidR="008D4465" w:rsidRDefault="008D4465" w:rsidP="00253CD4">
      <w:pPr>
        <w:jc w:val="both"/>
        <w:rPr>
          <w:b/>
          <w:bCs/>
          <w:color w:val="FF0000"/>
        </w:rPr>
      </w:pPr>
    </w:p>
    <w:p w14:paraId="23A61DDA" w14:textId="77777777" w:rsidR="008D4465" w:rsidRDefault="008D4465" w:rsidP="00253CD4">
      <w:pPr>
        <w:jc w:val="both"/>
        <w:rPr>
          <w:b/>
          <w:bCs/>
          <w:color w:val="FF0000"/>
        </w:rPr>
      </w:pPr>
    </w:p>
    <w:p w14:paraId="7E4B3689" w14:textId="77777777" w:rsidR="008D4465" w:rsidRDefault="008D4465" w:rsidP="00253CD4">
      <w:pPr>
        <w:jc w:val="both"/>
        <w:rPr>
          <w:b/>
          <w:bCs/>
          <w:color w:val="FF0000"/>
        </w:rPr>
      </w:pPr>
    </w:p>
    <w:p w14:paraId="69EB3810" w14:textId="77777777" w:rsidR="008D4465" w:rsidRDefault="008D4465" w:rsidP="00253CD4">
      <w:pPr>
        <w:jc w:val="both"/>
        <w:rPr>
          <w:b/>
          <w:bCs/>
          <w:color w:val="FF0000"/>
        </w:rPr>
      </w:pPr>
    </w:p>
    <w:p w14:paraId="4EF0BDBE" w14:textId="77777777" w:rsidR="008D4465" w:rsidRDefault="008D4465" w:rsidP="00253CD4">
      <w:pPr>
        <w:jc w:val="both"/>
        <w:rPr>
          <w:b/>
          <w:bCs/>
          <w:color w:val="FF0000"/>
        </w:rPr>
      </w:pPr>
    </w:p>
    <w:p w14:paraId="5534DB98" w14:textId="77777777" w:rsidR="008D4465" w:rsidRDefault="008D4465" w:rsidP="00253CD4">
      <w:pPr>
        <w:jc w:val="both"/>
        <w:rPr>
          <w:b/>
          <w:bCs/>
          <w:color w:val="FF0000"/>
        </w:rPr>
      </w:pPr>
    </w:p>
    <w:p w14:paraId="1334F431" w14:textId="77777777" w:rsidR="008D4465" w:rsidRDefault="008D4465" w:rsidP="00253CD4">
      <w:pPr>
        <w:jc w:val="both"/>
        <w:rPr>
          <w:b/>
          <w:bCs/>
          <w:color w:val="FF0000"/>
        </w:rPr>
      </w:pPr>
    </w:p>
    <w:p w14:paraId="2523382C" w14:textId="77777777" w:rsidR="008D4465" w:rsidRDefault="008D4465" w:rsidP="00253CD4">
      <w:pPr>
        <w:jc w:val="both"/>
        <w:rPr>
          <w:b/>
          <w:bCs/>
          <w:color w:val="FF0000"/>
        </w:rPr>
      </w:pPr>
    </w:p>
    <w:p w14:paraId="4D1F10B5" w14:textId="7188B8B7" w:rsidR="00253CD4" w:rsidRPr="00253CD4" w:rsidRDefault="00253CD4" w:rsidP="00253CD4">
      <w:pPr>
        <w:jc w:val="both"/>
        <w:rPr>
          <w:b/>
          <w:bCs/>
          <w:color w:val="FF0000"/>
        </w:rPr>
      </w:pPr>
      <w:r w:rsidRPr="00253CD4">
        <w:rPr>
          <w:b/>
          <w:bCs/>
          <w:color w:val="FF0000"/>
        </w:rPr>
        <w:t>Bibliografía:</w:t>
      </w:r>
    </w:p>
    <w:p w14:paraId="3BD0D488" w14:textId="77777777" w:rsidR="00253CD4" w:rsidRPr="00253CD4" w:rsidRDefault="00253CD4" w:rsidP="00253CD4">
      <w:pPr>
        <w:jc w:val="both"/>
        <w:rPr>
          <w:color w:val="FF0000"/>
        </w:rPr>
      </w:pPr>
    </w:p>
    <w:p w14:paraId="55764B02" w14:textId="5E4D3A15" w:rsidR="00253CD4" w:rsidRPr="00253CD4" w:rsidRDefault="00253CD4" w:rsidP="00253CD4">
      <w:pPr>
        <w:jc w:val="both"/>
        <w:rPr>
          <w:color w:val="FF0000"/>
        </w:rPr>
      </w:pPr>
      <w:r w:rsidRPr="00253CD4">
        <w:rPr>
          <w:color w:val="FF0000"/>
        </w:rPr>
        <w:t xml:space="preserve">Goldman Sachs, (2019) “La burbuja puntocom de finales de la década de 1990 implosiona en 2000”, Recuperado de: </w:t>
      </w:r>
      <w:hyperlink r:id="rId12" w:history="1">
        <w:r w:rsidRPr="00253CD4">
          <w:rPr>
            <w:rStyle w:val="Hipervnculo"/>
            <w:color w:val="FF0000"/>
          </w:rPr>
          <w:t>https://www.goldmansachs.com/our-firm/history/moments/2000-dot-com-bubble</w:t>
        </w:r>
      </w:hyperlink>
      <w:r w:rsidRPr="00253CD4">
        <w:rPr>
          <w:color w:val="FF0000"/>
        </w:rPr>
        <w:t xml:space="preserve">. </w:t>
      </w:r>
    </w:p>
    <w:p w14:paraId="36287141" w14:textId="77777777" w:rsidR="00253CD4" w:rsidRPr="00253CD4" w:rsidRDefault="00253CD4" w:rsidP="00253CD4">
      <w:pPr>
        <w:jc w:val="both"/>
        <w:rPr>
          <w:color w:val="FF0000"/>
        </w:rPr>
      </w:pPr>
    </w:p>
    <w:p w14:paraId="488DA92C" w14:textId="77777777" w:rsidR="00253CD4" w:rsidRPr="00253CD4" w:rsidRDefault="00253CD4" w:rsidP="00253CD4">
      <w:pPr>
        <w:jc w:val="both"/>
        <w:rPr>
          <w:color w:val="FF0000"/>
        </w:rPr>
      </w:pPr>
      <w:r w:rsidRPr="00253CD4">
        <w:rPr>
          <w:color w:val="FF0000"/>
        </w:rPr>
        <w:t>García, M. (2008). Efecto de la crisis financiera en los mercados bursátiles. Foro de iniciativas y negocios. Club financiero Vigo 14a ed. pp. 1-4. </w:t>
      </w:r>
    </w:p>
    <w:p w14:paraId="5EB12681" w14:textId="77777777" w:rsidR="00253CD4" w:rsidRDefault="00253CD4" w:rsidP="00253CD4">
      <w:pPr>
        <w:jc w:val="both"/>
      </w:pPr>
    </w:p>
    <w:p w14:paraId="0B576416" w14:textId="77ED038E" w:rsidR="00EC3467" w:rsidRPr="000E6981" w:rsidRDefault="000E6981" w:rsidP="00120390">
      <w:pPr>
        <w:rPr>
          <w:b/>
          <w:bCs/>
          <w:color w:val="FF0000"/>
          <w:sz w:val="28"/>
          <w:szCs w:val="28"/>
        </w:rPr>
      </w:pPr>
      <w:r w:rsidRPr="000E6981">
        <w:rPr>
          <w:color w:val="FF0000"/>
        </w:rPr>
        <w:t xml:space="preserve">Comité de Supervisión Bancaria de Basilea. (2011). </w:t>
      </w:r>
      <w:r w:rsidRPr="000E6981">
        <w:rPr>
          <w:rStyle w:val="nfasis"/>
          <w:color w:val="FF0000"/>
        </w:rPr>
        <w:t>Basilea III: marco regulador internacional para los bancos</w:t>
      </w:r>
      <w:r w:rsidRPr="000E6981">
        <w:rPr>
          <w:color w:val="FF0000"/>
        </w:rPr>
        <w:t xml:space="preserve">. Banco de Pagos Internacionales (BIS). </w:t>
      </w:r>
      <w:hyperlink r:id="rId13" w:tgtFrame="_new" w:history="1">
        <w:r w:rsidRPr="000E6981">
          <w:rPr>
            <w:rStyle w:val="Hipervnculo"/>
            <w:color w:val="FF0000"/>
          </w:rPr>
          <w:t>https://www.bis.org/bcbs/basel3_es.htm</w:t>
        </w:r>
      </w:hyperlink>
    </w:p>
    <w:p w14:paraId="56964725" w14:textId="77777777" w:rsidR="00EC3467" w:rsidRDefault="00EC3467" w:rsidP="00120390">
      <w:pPr>
        <w:rPr>
          <w:b/>
          <w:bCs/>
          <w:sz w:val="28"/>
          <w:szCs w:val="28"/>
        </w:rPr>
      </w:pPr>
    </w:p>
    <w:p w14:paraId="1709DF58" w14:textId="3869B63F" w:rsidR="00EC3467" w:rsidRPr="008D4465" w:rsidRDefault="008D4465" w:rsidP="00120390">
      <w:pPr>
        <w:rPr>
          <w:b/>
          <w:bCs/>
          <w:color w:val="FF0000"/>
          <w:sz w:val="28"/>
          <w:szCs w:val="28"/>
        </w:rPr>
      </w:pPr>
      <w:r w:rsidRPr="008D4465">
        <w:rPr>
          <w:b/>
          <w:bCs/>
          <w:color w:val="FF0000"/>
        </w:rPr>
        <w:t>Jaramillo Olivares, A.</w:t>
      </w:r>
      <w:r w:rsidRPr="008D4465">
        <w:rPr>
          <w:color w:val="FF0000"/>
        </w:rPr>
        <w:t xml:space="preserve">, &amp; </w:t>
      </w:r>
      <w:r w:rsidRPr="008D4465">
        <w:rPr>
          <w:b/>
          <w:bCs/>
          <w:color w:val="FF0000"/>
        </w:rPr>
        <w:t xml:space="preserve">Jaramillo </w:t>
      </w:r>
      <w:proofErr w:type="spellStart"/>
      <w:r w:rsidRPr="008D4465">
        <w:rPr>
          <w:b/>
          <w:bCs/>
          <w:color w:val="FF0000"/>
        </w:rPr>
        <w:t>Jaramillo</w:t>
      </w:r>
      <w:proofErr w:type="spellEnd"/>
      <w:r w:rsidRPr="008D4465">
        <w:rPr>
          <w:b/>
          <w:bCs/>
          <w:color w:val="FF0000"/>
        </w:rPr>
        <w:t>, M.</w:t>
      </w:r>
      <w:r w:rsidRPr="008D4465">
        <w:rPr>
          <w:color w:val="FF0000"/>
        </w:rPr>
        <w:t xml:space="preserve"> (2016). </w:t>
      </w:r>
      <w:r w:rsidRPr="008D4465">
        <w:rPr>
          <w:i/>
          <w:iCs/>
          <w:color w:val="FF0000"/>
        </w:rPr>
        <w:t xml:space="preserve">Crisis financiera del 2008: efecto en las empresas listadas en la Bolsa Mexicana de Valores = </w:t>
      </w:r>
      <w:proofErr w:type="spellStart"/>
      <w:r w:rsidRPr="008D4465">
        <w:rPr>
          <w:i/>
          <w:iCs/>
          <w:color w:val="FF0000"/>
        </w:rPr>
        <w:t>The</w:t>
      </w:r>
      <w:proofErr w:type="spellEnd"/>
      <w:r w:rsidRPr="008D4465">
        <w:rPr>
          <w:i/>
          <w:iCs/>
          <w:color w:val="FF0000"/>
        </w:rPr>
        <w:t xml:space="preserve"> 2008 </w:t>
      </w:r>
      <w:proofErr w:type="spellStart"/>
      <w:r w:rsidRPr="008D4465">
        <w:rPr>
          <w:i/>
          <w:iCs/>
          <w:color w:val="FF0000"/>
        </w:rPr>
        <w:t>Financial</w:t>
      </w:r>
      <w:proofErr w:type="spellEnd"/>
      <w:r w:rsidRPr="008D4465">
        <w:rPr>
          <w:i/>
          <w:iCs/>
          <w:color w:val="FF0000"/>
        </w:rPr>
        <w:t xml:space="preserve"> Crisis: </w:t>
      </w:r>
      <w:proofErr w:type="spellStart"/>
      <w:r w:rsidRPr="008D4465">
        <w:rPr>
          <w:i/>
          <w:iCs/>
          <w:color w:val="FF0000"/>
        </w:rPr>
        <w:t>Impact</w:t>
      </w:r>
      <w:proofErr w:type="spellEnd"/>
      <w:r w:rsidRPr="008D4465">
        <w:rPr>
          <w:i/>
          <w:iCs/>
          <w:color w:val="FF0000"/>
        </w:rPr>
        <w:t xml:space="preserve"> </w:t>
      </w:r>
      <w:proofErr w:type="spellStart"/>
      <w:r w:rsidRPr="008D4465">
        <w:rPr>
          <w:i/>
          <w:iCs/>
          <w:color w:val="FF0000"/>
        </w:rPr>
        <w:t>on</w:t>
      </w:r>
      <w:proofErr w:type="spellEnd"/>
      <w:r w:rsidRPr="008D4465">
        <w:rPr>
          <w:i/>
          <w:iCs/>
          <w:color w:val="FF0000"/>
        </w:rPr>
        <w:t xml:space="preserve"> </w:t>
      </w:r>
      <w:proofErr w:type="spellStart"/>
      <w:r w:rsidRPr="008D4465">
        <w:rPr>
          <w:i/>
          <w:iCs/>
          <w:color w:val="FF0000"/>
        </w:rPr>
        <w:t>Listed</w:t>
      </w:r>
      <w:proofErr w:type="spellEnd"/>
      <w:r w:rsidRPr="008D4465">
        <w:rPr>
          <w:i/>
          <w:iCs/>
          <w:color w:val="FF0000"/>
        </w:rPr>
        <w:t xml:space="preserve"> </w:t>
      </w:r>
      <w:proofErr w:type="spellStart"/>
      <w:r w:rsidRPr="008D4465">
        <w:rPr>
          <w:i/>
          <w:iCs/>
          <w:color w:val="FF0000"/>
        </w:rPr>
        <w:t>Companies</w:t>
      </w:r>
      <w:proofErr w:type="spellEnd"/>
      <w:r w:rsidRPr="008D4465">
        <w:rPr>
          <w:i/>
          <w:iCs/>
          <w:color w:val="FF0000"/>
        </w:rPr>
        <w:t xml:space="preserve"> </w:t>
      </w:r>
      <w:proofErr w:type="spellStart"/>
      <w:r w:rsidRPr="008D4465">
        <w:rPr>
          <w:i/>
          <w:iCs/>
          <w:color w:val="FF0000"/>
        </w:rPr>
        <w:t>on</w:t>
      </w:r>
      <w:proofErr w:type="spellEnd"/>
      <w:r w:rsidRPr="008D4465">
        <w:rPr>
          <w:i/>
          <w:iCs/>
          <w:color w:val="FF0000"/>
        </w:rPr>
        <w:t xml:space="preserve"> </w:t>
      </w:r>
      <w:proofErr w:type="spellStart"/>
      <w:r w:rsidRPr="008D4465">
        <w:rPr>
          <w:i/>
          <w:iCs/>
          <w:color w:val="FF0000"/>
        </w:rPr>
        <w:t>the</w:t>
      </w:r>
      <w:proofErr w:type="spellEnd"/>
      <w:r w:rsidRPr="008D4465">
        <w:rPr>
          <w:i/>
          <w:iCs/>
          <w:color w:val="FF0000"/>
        </w:rPr>
        <w:t xml:space="preserve"> </w:t>
      </w:r>
      <w:proofErr w:type="spellStart"/>
      <w:r w:rsidRPr="008D4465">
        <w:rPr>
          <w:i/>
          <w:iCs/>
          <w:color w:val="FF0000"/>
        </w:rPr>
        <w:t>Mexican</w:t>
      </w:r>
      <w:proofErr w:type="spellEnd"/>
      <w:r w:rsidRPr="008D4465">
        <w:rPr>
          <w:i/>
          <w:iCs/>
          <w:color w:val="FF0000"/>
        </w:rPr>
        <w:t xml:space="preserve"> Stock Exchange</w:t>
      </w:r>
      <w:r w:rsidRPr="008D4465">
        <w:rPr>
          <w:color w:val="FF0000"/>
        </w:rPr>
        <w:t>. Revista Mexicana de Economía y Finanzas Nueva Época (REMEF), 11(3), 161–177.</w:t>
      </w: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4C6C06B" w14:textId="77777777" w:rsidR="007F5A07" w:rsidRDefault="007F5A07" w:rsidP="00611A87">
      <w:pPr>
        <w:rPr>
          <w:b/>
          <w:bCs/>
          <w:sz w:val="28"/>
          <w:szCs w:val="28"/>
        </w:rPr>
      </w:pPr>
    </w:p>
    <w:p w14:paraId="4C85B4B1" w14:textId="77777777" w:rsidR="007F5A07" w:rsidRDefault="007F5A07" w:rsidP="00611A87">
      <w:pPr>
        <w:rPr>
          <w:b/>
          <w:bCs/>
          <w:sz w:val="28"/>
          <w:szCs w:val="28"/>
        </w:rPr>
      </w:pPr>
    </w:p>
    <w:p w14:paraId="48B382C1" w14:textId="67D0B391" w:rsidR="00611A87" w:rsidRDefault="00611A87" w:rsidP="00611A87">
      <w:pPr>
        <w:rPr>
          <w:b/>
          <w:bCs/>
          <w:sz w:val="28"/>
          <w:szCs w:val="28"/>
        </w:rPr>
      </w:pPr>
      <w:r>
        <w:rPr>
          <w:b/>
          <w:bCs/>
          <w:sz w:val="28"/>
          <w:szCs w:val="28"/>
        </w:rPr>
        <w:t xml:space="preserve">Capítulo </w:t>
      </w:r>
      <w:r w:rsidR="00253CD4">
        <w:rPr>
          <w:b/>
          <w:bCs/>
          <w:sz w:val="28"/>
          <w:szCs w:val="28"/>
        </w:rPr>
        <w:t>II:</w:t>
      </w:r>
      <w:r>
        <w:rPr>
          <w:b/>
          <w:bCs/>
          <w:sz w:val="28"/>
          <w:szCs w:val="28"/>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67641D36"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 xml:space="preserve">e se basa en buena parte en la eficiencia y eficacia de la intermediación financiera y eficiencia de intermediación financiera para captar el ahorro y canalizarlo hacia los proyectos </w:t>
      </w:r>
      <w:r w:rsidR="005B7667">
        <w:t>más</w:t>
      </w:r>
      <w:r w:rsidR="00960B77">
        <w:t xml:space="preserve">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4CDECE7D" w:rsidR="00960B77" w:rsidRDefault="00960B77" w:rsidP="005E6DF1">
      <w:pPr>
        <w:jc w:val="both"/>
      </w:pPr>
      <w:r>
        <w:t xml:space="preserve">Según la ley de Mercado de Valores, el </w:t>
      </w:r>
      <w:r w:rsidR="005B7667">
        <w:t>término</w:t>
      </w:r>
      <w:r>
        <w:t xml:space="preserve"> “valor”, señala a acciones, partes sociales, obligaciones, bonos, títulos opcionales, certificados, pagares, letras de cambio y demás títulos de </w:t>
      </w:r>
      <w:r>
        <w:lastRenderedPageBreak/>
        <w:t xml:space="preserve">crédito, nominados o innominados, inscritos o no en el Registro Nacional de Valores (RNV), </w:t>
      </w:r>
      <w:r w:rsidR="006C4DD8">
        <w:t>susceptibles</w:t>
      </w:r>
      <w:r>
        <w:t xml:space="preserve"> de circular en serie o en masa y representan capital so</w:t>
      </w:r>
      <w:r w:rsidR="006C4DD8">
        <w:t>cial de una persona moral, una parte alícuota de un bien o la participación en un crédito colectivo o cualquier derecho de crédito individual.</w:t>
      </w: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14"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15"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14019F0E" w14:textId="1D3F9BED" w:rsidR="00BC6467" w:rsidRDefault="00BC6467" w:rsidP="00277180">
      <w:pPr>
        <w:pStyle w:val="Prrafodelista"/>
        <w:ind w:left="360"/>
        <w:rPr>
          <w:b/>
          <w:bCs/>
        </w:rPr>
      </w:pPr>
    </w:p>
    <w:p w14:paraId="2C4DA3A6" w14:textId="398BD4E5" w:rsidR="00BC6467" w:rsidRDefault="00BC6467" w:rsidP="00277180">
      <w:pPr>
        <w:pStyle w:val="Prrafodelista"/>
        <w:ind w:left="360"/>
        <w:rPr>
          <w:b/>
          <w:bCs/>
        </w:rPr>
      </w:pPr>
    </w:p>
    <w:p w14:paraId="44733ADF" w14:textId="77777777" w:rsidR="00BC6467" w:rsidRPr="00277180" w:rsidRDefault="00BC6467"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 xml:space="preserve">En el caso del funcionamiento de los mercados de valores, se requieren una serie de </w:t>
      </w:r>
      <w:proofErr w:type="spellStart"/>
      <w:r>
        <w:t>actores</w:t>
      </w:r>
      <w:proofErr w:type="spellEnd"/>
      <w:r>
        <w:t xml:space="preserve">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lastRenderedPageBreak/>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5B7667" w:rsidRDefault="00277180" w:rsidP="004659A9">
      <w:pPr>
        <w:pStyle w:val="Prrafodelista"/>
        <w:numPr>
          <w:ilvl w:val="1"/>
          <w:numId w:val="18"/>
        </w:numPr>
        <w:rPr>
          <w:b/>
          <w:bCs/>
        </w:rPr>
      </w:pPr>
      <w:r w:rsidRPr="005B7667">
        <w:rPr>
          <w:b/>
          <w:bCs/>
        </w:rPr>
        <w:t>Importancia de los índices Bursátiles</w:t>
      </w:r>
      <w:r w:rsidR="00BC6467" w:rsidRPr="005B7667">
        <w:rPr>
          <w:b/>
          <w:bCs/>
        </w:rPr>
        <w:t>.</w:t>
      </w:r>
    </w:p>
    <w:p w14:paraId="4BEAD0F2" w14:textId="1A948E8A" w:rsidR="004659A9" w:rsidRPr="005B7667" w:rsidRDefault="004659A9" w:rsidP="004659A9">
      <w:pPr>
        <w:pStyle w:val="Prrafodelista"/>
        <w:ind w:left="360"/>
        <w:rPr>
          <w:b/>
          <w:bCs/>
        </w:rPr>
      </w:pPr>
    </w:p>
    <w:p w14:paraId="70B51B57" w14:textId="77777777" w:rsidR="00242720" w:rsidRDefault="00242720" w:rsidP="00242720">
      <w:pPr>
        <w:jc w:val="both"/>
      </w:pPr>
    </w:p>
    <w:p w14:paraId="6EE6DD27" w14:textId="208D7802" w:rsidR="00242720" w:rsidRDefault="00242720" w:rsidP="00242720">
      <w:pPr>
        <w:jc w:val="both"/>
      </w:pPr>
      <w:r>
        <w:t>Como bien se puede ver el comportamiento de los mercados bursátiles es sin duda bastante importante dentro de la economía, ya que al menos aunque no este ligada al sector real productivo está ligada directamente sobre la liquidez y sistema financiero, impactando en la velocidad de cicla los movimientos de capital y flujos monetarios por otro lado es importante considerar que puede  tener repercusiones dentro del crecimiento económico principalmente afectando la financiación y forma de captar recursos de las empresas, teniendo choques tanto positivos como negativos en las variables de consumo y empleo, sin duda también es importante considerar los impactos dentro del sistema crediticio, pudiendo afectar la forma en la se desarrolla la economía, generando un estancamiento o un aceleramiento conforme a la forma de poder obtener dinero.</w:t>
      </w:r>
    </w:p>
    <w:p w14:paraId="502D0DF0" w14:textId="77777777" w:rsidR="004659A9" w:rsidRPr="00242720" w:rsidRDefault="004659A9" w:rsidP="00242720">
      <w:pPr>
        <w:rPr>
          <w:b/>
          <w:bCs/>
        </w:rPr>
      </w:pPr>
    </w:p>
    <w:p w14:paraId="0450A3EF" w14:textId="77777777" w:rsidR="00253CD4" w:rsidRPr="005B7667" w:rsidRDefault="00253CD4" w:rsidP="00253CD4">
      <w:pPr>
        <w:rPr>
          <w:b/>
          <w:bCs/>
        </w:rPr>
      </w:pPr>
    </w:p>
    <w:p w14:paraId="24ADC02C" w14:textId="78B5BE38" w:rsidR="00253CD4" w:rsidRPr="005B7667" w:rsidRDefault="00253CD4" w:rsidP="00253CD4">
      <w:pPr>
        <w:rPr>
          <w:b/>
          <w:bCs/>
        </w:rPr>
      </w:pPr>
      <w:r w:rsidRPr="005B7667">
        <w:rPr>
          <w:b/>
          <w:bCs/>
        </w:rPr>
        <w:t>1.</w:t>
      </w:r>
      <w:r w:rsidR="00277180" w:rsidRPr="005B7667">
        <w:rPr>
          <w:b/>
          <w:bCs/>
        </w:rPr>
        <w:t xml:space="preserve">4 </w:t>
      </w:r>
      <w:r w:rsidRPr="005B7667">
        <w:rPr>
          <w:b/>
          <w:bCs/>
        </w:rPr>
        <w:t>Globalización financiera</w:t>
      </w:r>
    </w:p>
    <w:p w14:paraId="38B2223D" w14:textId="77777777" w:rsidR="00253CD4" w:rsidRDefault="00253CD4" w:rsidP="00253CD4">
      <w:pPr>
        <w:rPr>
          <w:b/>
          <w:bCs/>
          <w:sz w:val="28"/>
          <w:szCs w:val="28"/>
        </w:rPr>
      </w:pPr>
    </w:p>
    <w:p w14:paraId="24D8583A" w14:textId="77777777" w:rsidR="00253CD4" w:rsidRDefault="00253CD4" w:rsidP="00253CD4">
      <w:pPr>
        <w:jc w:val="both"/>
        <w:rPr>
          <w:b/>
          <w:bCs/>
          <w:sz w:val="28"/>
          <w:szCs w:val="28"/>
        </w:rPr>
      </w:pPr>
      <w:r>
        <w:t xml:space="preserve">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w:t>
      </w:r>
      <w:r>
        <w:lastRenderedPageBreak/>
        <w:t xml:space="preserve">económicos, teniendo implicaciones tanto positivas como negativas, por un lado, beneficiaria por parte de las empresas el poder generar financiación por parte de entidades extranjeras, pero también </w:t>
      </w:r>
    </w:p>
    <w:p w14:paraId="2C3E6EA3" w14:textId="77777777" w:rsidR="00EC3467" w:rsidRDefault="00EC3467" w:rsidP="00120390">
      <w:pPr>
        <w:rPr>
          <w:b/>
          <w:bCs/>
          <w:sz w:val="28"/>
          <w:szCs w:val="28"/>
        </w:rPr>
      </w:pPr>
    </w:p>
    <w:p w14:paraId="64F9A3CB" w14:textId="6BAA1A3F" w:rsidR="00EC3467" w:rsidRDefault="00EC3467" w:rsidP="00120390">
      <w:pPr>
        <w:rPr>
          <w:b/>
          <w:bCs/>
          <w:sz w:val="28"/>
          <w:szCs w:val="28"/>
        </w:rPr>
      </w:pPr>
    </w:p>
    <w:p w14:paraId="77BDE675" w14:textId="77777777" w:rsidR="005B7667" w:rsidRDefault="005B7667" w:rsidP="00120390">
      <w:pPr>
        <w:rPr>
          <w:b/>
          <w:bCs/>
          <w:sz w:val="28"/>
          <w:szCs w:val="28"/>
        </w:rPr>
      </w:pPr>
    </w:p>
    <w:p w14:paraId="67A88937" w14:textId="539F9693" w:rsidR="00721399" w:rsidRDefault="00481963" w:rsidP="002D4878">
      <w:pPr>
        <w:rPr>
          <w:b/>
          <w:bCs/>
          <w:sz w:val="28"/>
          <w:szCs w:val="28"/>
        </w:rPr>
      </w:pPr>
      <w:r>
        <w:rPr>
          <w:b/>
          <w:bCs/>
          <w:sz w:val="28"/>
          <w:szCs w:val="28"/>
        </w:rPr>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w:t>
      </w:r>
      <w:r w:rsidR="005B7667">
        <w:rPr>
          <w:b/>
          <w:bCs/>
          <w:sz w:val="28"/>
          <w:szCs w:val="28"/>
        </w:rPr>
        <w:t>bursátil</w:t>
      </w:r>
      <w:r w:rsidR="00721399">
        <w:rPr>
          <w:b/>
          <w:bCs/>
          <w:sz w:val="28"/>
          <w:szCs w:val="28"/>
        </w:rPr>
        <w:t xml:space="preserve">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5CB17087" w14:textId="77777777" w:rsidR="00721399" w:rsidRDefault="00721399" w:rsidP="002D4878">
      <w:pPr>
        <w:rPr>
          <w:b/>
          <w:bCs/>
          <w:sz w:val="28"/>
          <w:szCs w:val="28"/>
        </w:rPr>
      </w:pPr>
    </w:p>
    <w:p w14:paraId="160714FC" w14:textId="0A12A99A" w:rsidR="00481963" w:rsidRDefault="005B7667" w:rsidP="002D4878">
      <w:pPr>
        <w:rPr>
          <w:b/>
          <w:bCs/>
          <w:sz w:val="28"/>
          <w:szCs w:val="28"/>
        </w:rPr>
      </w:pPr>
      <w:r>
        <w:rPr>
          <w:b/>
          <w:bCs/>
          <w:sz w:val="28"/>
          <w:szCs w:val="28"/>
        </w:rPr>
        <w:t>Análisis</w:t>
      </w:r>
      <w:r w:rsidR="002D4878">
        <w:rPr>
          <w:b/>
          <w:bCs/>
          <w:sz w:val="28"/>
          <w:szCs w:val="28"/>
        </w:rPr>
        <w:t xml:space="preserve">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 xml:space="preserve">En este caso señala que el total de la información </w:t>
      </w:r>
      <w:proofErr w:type="spellStart"/>
      <w:r>
        <w:t>esta</w:t>
      </w:r>
      <w:proofErr w:type="spellEnd"/>
      <w:r>
        <w:t xml:space="preserve">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w:t>
      </w:r>
      <w:proofErr w:type="spellStart"/>
      <w:r>
        <w:t>mas</w:t>
      </w:r>
      <w:proofErr w:type="spellEnd"/>
      <w:r>
        <w:t xml:space="preserve">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lastRenderedPageBreak/>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0D59D9AD"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 xml:space="preserve">es la menos importante de las tres ya que es la </w:t>
      </w:r>
      <w:r w:rsidR="005B7667">
        <w:t>más</w:t>
      </w:r>
      <w:r w:rsidR="00513ED2">
        <w:t xml:space="preserve">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3F75EDA7" w:rsidR="002965EA" w:rsidRDefault="002965EA" w:rsidP="002D4878">
      <w:pPr>
        <w:pStyle w:val="Prrafodelista"/>
        <w:ind w:left="0"/>
        <w:jc w:val="both"/>
      </w:pPr>
      <w:r w:rsidRPr="002965EA">
        <w:t xml:space="preserve">Las tendencias </w:t>
      </w:r>
      <w:r>
        <w:t xml:space="preserve">primarias </w:t>
      </w:r>
      <w:r w:rsidR="005B7667">
        <w:t>están</w:t>
      </w:r>
      <w:r>
        <w:t xml:space="preserve"> compuestas por tres fases; </w:t>
      </w:r>
    </w:p>
    <w:p w14:paraId="082F8338" w14:textId="77777777" w:rsidR="002965EA" w:rsidRDefault="002965EA" w:rsidP="002D4878">
      <w:pPr>
        <w:pStyle w:val="Prrafodelista"/>
        <w:ind w:left="0"/>
        <w:jc w:val="both"/>
      </w:pPr>
    </w:p>
    <w:p w14:paraId="27C0C79D" w14:textId="6D5F4EC7" w:rsidR="002965EA" w:rsidRDefault="002965EA" w:rsidP="002D4878">
      <w:pPr>
        <w:pStyle w:val="Prrafodelista"/>
        <w:ind w:left="0"/>
        <w:jc w:val="both"/>
      </w:pPr>
      <w:r>
        <w:t xml:space="preserve">las tendencias primarias alcistas, formadas por una </w:t>
      </w:r>
      <w:r w:rsidRPr="002965EA">
        <w:rPr>
          <w:i/>
          <w:iCs/>
          <w:u w:val="single"/>
        </w:rPr>
        <w:t xml:space="preserve">fase de acumulación, fase de participación </w:t>
      </w:r>
      <w:r w:rsidR="005B7667" w:rsidRPr="002965EA">
        <w:rPr>
          <w:i/>
          <w:iCs/>
          <w:u w:val="single"/>
        </w:rPr>
        <w:t>pública</w:t>
      </w:r>
      <w:r w:rsidRPr="002965EA">
        <w:rPr>
          <w:i/>
          <w:iCs/>
          <w:u w:val="single"/>
        </w:rPr>
        <w:t xml:space="preserve">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D5750FE"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w:t>
      </w:r>
      <w:r w:rsidR="005B7667">
        <w:rPr>
          <w:b/>
          <w:bCs/>
        </w:rPr>
        <w:t>bursátil</w:t>
      </w:r>
      <w:r>
        <w:rPr>
          <w:b/>
          <w:bCs/>
        </w:rPr>
        <w:t xml:space="preserve">; </w:t>
      </w:r>
      <w:r>
        <w:t xml:space="preserve">siendo este la cantidad total de acciones o </w:t>
      </w:r>
      <w:r w:rsidR="005B7667">
        <w:t>títulos</w:t>
      </w:r>
      <w:r>
        <w:t xml:space="preserve"> que se negocian en un mercado financiero durante un periodo de tiempo específico, generalmente un día de la negociación. </w:t>
      </w:r>
      <w:r w:rsidR="002D4878">
        <w:t xml:space="preserve">Es un indicador de la actividad y el </w:t>
      </w:r>
      <w:r w:rsidR="005B7667">
        <w:t>interés</w:t>
      </w:r>
      <w:r w:rsidR="002D4878">
        <w:t xml:space="preserve"> de los inversores en un valor de mercado </w:t>
      </w:r>
      <w:r w:rsidR="002D4878">
        <w:lastRenderedPageBreak/>
        <w:t xml:space="preserve">particular, calculándose como la cantidad de acciones que cambian de dueño entre compradores y vendedores durante un periodo determinado, el alto volumen indica que el mercado tiene mucha actividad por lo que se ve que hay mucha compra-venta activa de </w:t>
      </w:r>
      <w:r w:rsidR="005B7667">
        <w:t>títulos</w:t>
      </w:r>
      <w:r w:rsidR="002D4878">
        <w:t xml:space="preserve">, donde un volumen bajo puede verse que hay poco </w:t>
      </w:r>
      <w:r w:rsidR="005B7667">
        <w:t>interés</w:t>
      </w:r>
      <w:r w:rsidR="002D4878">
        <w:t xml:space="preserve"> sobre la actividad o el activo del mercado en </w:t>
      </w:r>
      <w:r w:rsidR="005B7667">
        <w:t>específico</w:t>
      </w:r>
      <w:r w:rsidR="002D4878">
        <w:t>.</w:t>
      </w:r>
    </w:p>
    <w:p w14:paraId="72C2D0C5" w14:textId="6C67D13B" w:rsidR="001D5235" w:rsidRDefault="001D5235" w:rsidP="001D5235">
      <w:pPr>
        <w:jc w:val="both"/>
      </w:pPr>
    </w:p>
    <w:p w14:paraId="64060498" w14:textId="359D3940" w:rsidR="001D5235" w:rsidRDefault="002D4878" w:rsidP="001D5235">
      <w:pPr>
        <w:jc w:val="both"/>
      </w:pPr>
      <w:r>
        <w:t xml:space="preserve">Donde se observa que al haber un volumen </w:t>
      </w:r>
      <w:r w:rsidR="005B7667">
        <w:t>bursátil</w:t>
      </w:r>
      <w:r>
        <w:t xml:space="preserve"> elevado se debe ir a la par con la tendencia, esto es cuando la tendencia es alcista el volumen aumenta y por ende el precio sube, al disminuir el volumen </w:t>
      </w:r>
      <w:proofErr w:type="spellStart"/>
      <w:r>
        <w:t>bursatil</w:t>
      </w:r>
      <w:proofErr w:type="spellEnd"/>
      <w:r>
        <w:t xml:space="preserve">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proofErr w:type="spellStart"/>
      <w:r>
        <w:t>Ademas</w:t>
      </w:r>
      <w:proofErr w:type="spellEnd"/>
      <w:r>
        <w:t xml:space="preserve">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w:t>
      </w:r>
      <w:proofErr w:type="spellStart"/>
      <w:r>
        <w:t>razon</w:t>
      </w:r>
      <w:proofErr w:type="spellEnd"/>
      <w:r>
        <w:t xml:space="preserve"> en la que se habla los principios de </w:t>
      </w:r>
      <w:r w:rsidR="00564B9C">
        <w:t>información</w:t>
      </w:r>
      <w:r>
        <w:t xml:space="preserve"> de precios, tendencias y sus fases </w:t>
      </w:r>
      <w:proofErr w:type="spellStart"/>
      <w:r>
        <w:t>ademas</w:t>
      </w:r>
      <w:proofErr w:type="spellEnd"/>
      <w:r>
        <w:t xml:space="preserve"> de la </w:t>
      </w:r>
      <w:proofErr w:type="spellStart"/>
      <w:r>
        <w:t>correlacion</w:t>
      </w:r>
      <w:proofErr w:type="spellEnd"/>
      <w:r>
        <w:t xml:space="preserve">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2FCE785B"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w:t>
      </w:r>
      <w:proofErr w:type="spellStart"/>
      <w:r w:rsidR="00381485">
        <w:t>utilizo</w:t>
      </w:r>
      <w:proofErr w:type="spellEnd"/>
      <w:r w:rsidR="00381485">
        <w:t xml:space="preserve">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market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lastRenderedPageBreak/>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6922D75" w14:textId="596FA963" w:rsidR="00277180" w:rsidRDefault="00564B9C" w:rsidP="00721399">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2BC22152" w14:textId="77777777" w:rsidR="00277180" w:rsidRDefault="00277180" w:rsidP="00277180">
      <w:pPr>
        <w:ind w:left="720"/>
        <w:rPr>
          <w:lang w:val="es-MX"/>
        </w:rPr>
      </w:pPr>
    </w:p>
    <w:p w14:paraId="7A6DA2CD" w14:textId="39003EA2" w:rsidR="00721399" w:rsidRPr="00277180" w:rsidRDefault="00277180" w:rsidP="00721399">
      <w:pPr>
        <w:numPr>
          <w:ilvl w:val="0"/>
          <w:numId w:val="17"/>
        </w:numPr>
        <w:rPr>
          <w:lang w:val="es-MX"/>
        </w:rPr>
      </w:pPr>
      <w:r w:rsidRPr="00277180">
        <w:rPr>
          <w:b/>
          <w:bCs/>
          <w:sz w:val="28"/>
          <w:szCs w:val="28"/>
        </w:rPr>
        <w:t>Análisis</w:t>
      </w:r>
      <w:r w:rsidR="00721399" w:rsidRPr="00277180">
        <w:rPr>
          <w:b/>
          <w:bCs/>
          <w:sz w:val="28"/>
          <w:szCs w:val="28"/>
        </w:rPr>
        <w:t xml:space="preserve">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r w:rsidRPr="00721399">
        <w:rPr>
          <w:b/>
          <w:bCs/>
          <w:lang w:val="es-MX"/>
        </w:rPr>
        <w:t>  Creador: Eugene Fama (1960s)</w:t>
      </w:r>
    </w:p>
    <w:p w14:paraId="3F267ECA" w14:textId="77777777" w:rsidR="00721399" w:rsidRPr="00721399" w:rsidRDefault="00721399" w:rsidP="00721399">
      <w:pPr>
        <w:rPr>
          <w:b/>
          <w:bCs/>
          <w:lang w:val="es-MX"/>
        </w:rPr>
      </w:pPr>
      <w:r w:rsidRPr="00721399">
        <w:rPr>
          <w:b/>
          <w:bCs/>
          <w:lang w:val="es-MX"/>
        </w:rPr>
        <w:t>  Relación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r w:rsidRPr="00721399">
        <w:rPr>
          <w:b/>
          <w:bCs/>
          <w:lang w:val="es-MX"/>
        </w:rPr>
        <w:t>  Contribución: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25926FCB" w14:textId="77777777" w:rsidR="00277180" w:rsidRDefault="00277180" w:rsidP="00FD4085">
      <w:pPr>
        <w:rPr>
          <w:b/>
          <w:bCs/>
          <w:sz w:val="28"/>
          <w:szCs w:val="28"/>
        </w:rPr>
      </w:pPr>
    </w:p>
    <w:p w14:paraId="07381384" w14:textId="77777777" w:rsidR="006B048F" w:rsidRDefault="006B048F" w:rsidP="00FD4085">
      <w:pPr>
        <w:rPr>
          <w:b/>
          <w:bCs/>
          <w:sz w:val="28"/>
          <w:szCs w:val="28"/>
        </w:rPr>
      </w:pPr>
    </w:p>
    <w:p w14:paraId="03CD0392" w14:textId="77777777" w:rsidR="006B048F" w:rsidRDefault="006B048F" w:rsidP="00FD4085">
      <w:pPr>
        <w:rPr>
          <w:b/>
          <w:bCs/>
          <w:sz w:val="28"/>
          <w:szCs w:val="28"/>
        </w:rPr>
      </w:pPr>
    </w:p>
    <w:p w14:paraId="2DF06BF4" w14:textId="77777777" w:rsidR="006B048F" w:rsidRDefault="006B048F" w:rsidP="00FD4085">
      <w:pPr>
        <w:rPr>
          <w:b/>
          <w:bCs/>
          <w:sz w:val="28"/>
          <w:szCs w:val="28"/>
        </w:rPr>
      </w:pPr>
    </w:p>
    <w:p w14:paraId="3478690D" w14:textId="77777777" w:rsidR="006B048F" w:rsidRDefault="006B048F" w:rsidP="00FD4085">
      <w:pPr>
        <w:rPr>
          <w:b/>
          <w:bCs/>
          <w:sz w:val="28"/>
          <w:szCs w:val="28"/>
        </w:rPr>
      </w:pPr>
    </w:p>
    <w:p w14:paraId="0EC90AC9" w14:textId="77777777" w:rsidR="006B048F" w:rsidRDefault="006B048F" w:rsidP="00FD4085">
      <w:pPr>
        <w:rPr>
          <w:b/>
          <w:bCs/>
          <w:sz w:val="28"/>
          <w:szCs w:val="28"/>
        </w:rPr>
      </w:pPr>
    </w:p>
    <w:p w14:paraId="51AACE1A" w14:textId="77777777" w:rsidR="006B048F" w:rsidRDefault="006B048F" w:rsidP="00FD4085">
      <w:pPr>
        <w:rPr>
          <w:b/>
          <w:bCs/>
          <w:sz w:val="28"/>
          <w:szCs w:val="28"/>
        </w:rPr>
      </w:pPr>
    </w:p>
    <w:p w14:paraId="5ABB4088" w14:textId="77777777" w:rsidR="006B048F" w:rsidRDefault="006B048F" w:rsidP="00FD4085">
      <w:pPr>
        <w:rPr>
          <w:b/>
          <w:bCs/>
          <w:sz w:val="28"/>
          <w:szCs w:val="28"/>
        </w:rPr>
      </w:pPr>
    </w:p>
    <w:p w14:paraId="5662F725" w14:textId="5CA782E3" w:rsidR="00611A87" w:rsidRDefault="00611A87" w:rsidP="00FD4085">
      <w:pPr>
        <w:rPr>
          <w:b/>
          <w:bCs/>
          <w:sz w:val="28"/>
          <w:szCs w:val="28"/>
        </w:rPr>
      </w:pPr>
      <w:r>
        <w:rPr>
          <w:b/>
          <w:bCs/>
          <w:sz w:val="28"/>
          <w:szCs w:val="28"/>
        </w:rPr>
        <w:t xml:space="preserve">Capítulo III - Discusiones generales sobre las teorías previas </w:t>
      </w:r>
      <w:proofErr w:type="spellStart"/>
      <w:r>
        <w:rPr>
          <w:b/>
          <w:bCs/>
          <w:sz w:val="28"/>
          <w:szCs w:val="28"/>
        </w:rPr>
        <w:t>ademas</w:t>
      </w:r>
      <w:proofErr w:type="spellEnd"/>
      <w:r>
        <w:rPr>
          <w:b/>
          <w:bCs/>
          <w:sz w:val="28"/>
          <w:szCs w:val="28"/>
        </w:rPr>
        <w:t xml:space="preserve"> del </w:t>
      </w:r>
      <w:proofErr w:type="spellStart"/>
      <w:r>
        <w:rPr>
          <w:b/>
          <w:bCs/>
          <w:sz w:val="28"/>
          <w:szCs w:val="28"/>
        </w:rPr>
        <w:t>analisis</w:t>
      </w:r>
      <w:proofErr w:type="spellEnd"/>
      <w:r>
        <w:rPr>
          <w:b/>
          <w:bCs/>
          <w:sz w:val="28"/>
          <w:szCs w:val="28"/>
        </w:rPr>
        <w:t xml:space="preserve">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133C18A8" w14:textId="77777777" w:rsidR="00C67F02" w:rsidRDefault="00C67F02" w:rsidP="00FD4085">
      <w:pPr>
        <w:rPr>
          <w:b/>
          <w:bCs/>
          <w:sz w:val="28"/>
          <w:szCs w:val="28"/>
        </w:rPr>
      </w:pPr>
    </w:p>
    <w:p w14:paraId="7AEEF805" w14:textId="77777777" w:rsidR="00C67F02" w:rsidRDefault="00C67F02" w:rsidP="00FD4085">
      <w:pPr>
        <w:rPr>
          <w:b/>
          <w:bCs/>
          <w:sz w:val="28"/>
          <w:szCs w:val="28"/>
        </w:rPr>
      </w:pPr>
    </w:p>
    <w:p w14:paraId="729E7C7F" w14:textId="77777777" w:rsidR="00C67F02" w:rsidRDefault="00C67F02" w:rsidP="00FD4085">
      <w:pPr>
        <w:rPr>
          <w:b/>
          <w:bCs/>
          <w:sz w:val="28"/>
          <w:szCs w:val="28"/>
        </w:rPr>
      </w:pPr>
    </w:p>
    <w:p w14:paraId="39A34E0B" w14:textId="77777777" w:rsidR="00C67F02" w:rsidRDefault="00C67F02" w:rsidP="00FD4085">
      <w:pPr>
        <w:rPr>
          <w:b/>
          <w:bCs/>
          <w:sz w:val="28"/>
          <w:szCs w:val="28"/>
        </w:rPr>
      </w:pPr>
    </w:p>
    <w:p w14:paraId="172B062C" w14:textId="77777777" w:rsidR="00C67F02" w:rsidRDefault="00C67F02" w:rsidP="00FD4085">
      <w:pPr>
        <w:rPr>
          <w:b/>
          <w:bCs/>
          <w:sz w:val="28"/>
          <w:szCs w:val="28"/>
        </w:rPr>
      </w:pPr>
    </w:p>
    <w:p w14:paraId="09EBEDDE" w14:textId="51D05C04" w:rsidR="00FD4085" w:rsidRDefault="00BC6467" w:rsidP="00FD4085">
      <w:pPr>
        <w:rPr>
          <w:b/>
          <w:bCs/>
          <w:sz w:val="28"/>
          <w:szCs w:val="28"/>
        </w:rPr>
      </w:pPr>
      <w:r>
        <w:rPr>
          <w:b/>
          <w:bCs/>
          <w:sz w:val="28"/>
          <w:szCs w:val="28"/>
        </w:rPr>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449CD408" w:rsidR="00FD4085" w:rsidRDefault="00FD4085" w:rsidP="00FD4085">
      <w:pPr>
        <w:jc w:val="both"/>
      </w:pPr>
      <w:r>
        <w:t xml:space="preserve">El </w:t>
      </w:r>
      <w:proofErr w:type="spellStart"/>
      <w:r>
        <w:t>area</w:t>
      </w:r>
      <w:proofErr w:type="spellEnd"/>
      <w:r>
        <w:t xml:space="preserve"> financiera es una disciplina bastante interconectada con muchas </w:t>
      </w:r>
      <w:proofErr w:type="spellStart"/>
      <w:r>
        <w:t>areas</w:t>
      </w:r>
      <w:proofErr w:type="spellEnd"/>
      <w:r>
        <w:t xml:space="preserve"> de diversos campos de estudio dentro de las matemáticas, donde en el caso</w:t>
      </w:r>
      <w:r w:rsidR="00D96DA1">
        <w:t xml:space="preserve"> referente a </w:t>
      </w:r>
      <w:r>
        <w:t xml:space="preserve">temas relacionados al </w:t>
      </w:r>
      <w:proofErr w:type="spellStart"/>
      <w:r w:rsidR="00D96DA1">
        <w:t>ambito</w:t>
      </w:r>
      <w:proofErr w:type="spellEnd"/>
      <w:r>
        <w:t xml:space="preserve"> </w:t>
      </w:r>
      <w:r w:rsidR="00D96DA1">
        <w:t xml:space="preserve">bursátil, </w:t>
      </w:r>
      <w:r>
        <w:t xml:space="preserve">podemos observar que la variable tiempo es sin duda bastante importante, ya que al referirnos a los mercados de capitales donde cotizan </w:t>
      </w:r>
      <w:proofErr w:type="spellStart"/>
      <w:r>
        <w:t>ETFs</w:t>
      </w:r>
      <w:proofErr w:type="spellEnd"/>
      <w:r>
        <w:t xml:space="preserve"> que replican el comportamiento de índices </w:t>
      </w:r>
      <w:proofErr w:type="spellStart"/>
      <w:r>
        <w:t>bursatiles</w:t>
      </w:r>
      <w:proofErr w:type="spellEnd"/>
      <w:r>
        <w:t xml:space="preserve">, como es en el caso de esta investigación donde es su principal tema de </w:t>
      </w:r>
      <w:proofErr w:type="spellStart"/>
      <w:r>
        <w:t>interes</w:t>
      </w:r>
      <w:proofErr w:type="spellEnd"/>
      <w:r>
        <w:t>,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w:t>
      </w:r>
      <w:proofErr w:type="spellStart"/>
      <w:r>
        <w:t>Introduccion</w:t>
      </w:r>
      <w:proofErr w:type="spellEnd"/>
      <w:r>
        <w:t xml:space="preserve">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677206D8"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1C7D6B2E" w14:textId="12858DF8" w:rsidR="009C3C10" w:rsidRDefault="009C3C10" w:rsidP="00FD4085">
      <w:pPr>
        <w:jc w:val="both"/>
      </w:pPr>
    </w:p>
    <w:p w14:paraId="4F3EAD0F" w14:textId="67EE6E22" w:rsidR="009C3C10" w:rsidRDefault="009C3C10" w:rsidP="009C3C10">
      <w:pPr>
        <w:rPr>
          <w:b/>
          <w:bCs/>
          <w:lang w:val="es-MX"/>
        </w:rPr>
      </w:pPr>
      <w:r>
        <w:rPr>
          <w:b/>
          <w:bCs/>
          <w:lang w:val="es-MX"/>
        </w:rPr>
        <w:t xml:space="preserve">Proceso </w:t>
      </w:r>
      <w:proofErr w:type="spellStart"/>
      <w:r>
        <w:rPr>
          <w:b/>
          <w:bCs/>
          <w:lang w:val="es-MX"/>
        </w:rPr>
        <w:t>Ornstein-Uhlenbeck</w:t>
      </w:r>
      <w:proofErr w:type="spellEnd"/>
    </w:p>
    <w:p w14:paraId="679F6360" w14:textId="4950658D" w:rsidR="009C3C10" w:rsidRDefault="009C3C10" w:rsidP="009C3C10">
      <w:pPr>
        <w:rPr>
          <w:b/>
          <w:bCs/>
          <w:lang w:val="es-MX"/>
        </w:rPr>
      </w:pPr>
      <w:r>
        <w:rPr>
          <w:b/>
          <w:bCs/>
          <w:lang w:val="es-MX"/>
        </w:rPr>
        <w:t xml:space="preserve">Proceso de </w:t>
      </w:r>
      <w:proofErr w:type="spellStart"/>
      <w:r>
        <w:rPr>
          <w:b/>
          <w:bCs/>
          <w:lang w:val="es-MX"/>
        </w:rPr>
        <w:t>Reversion</w:t>
      </w:r>
      <w:proofErr w:type="spellEnd"/>
      <w:r>
        <w:rPr>
          <w:b/>
          <w:bCs/>
          <w:lang w:val="es-MX"/>
        </w:rPr>
        <w:t xml:space="preserve"> a la media</w:t>
      </w:r>
    </w:p>
    <w:p w14:paraId="2C54B85A" w14:textId="3CE2169C" w:rsidR="009C3C10" w:rsidRDefault="009C3C10" w:rsidP="009C3C10">
      <w:pPr>
        <w:rPr>
          <w:b/>
          <w:bCs/>
          <w:lang w:val="es-MX"/>
        </w:rPr>
      </w:pPr>
      <w:r>
        <w:rPr>
          <w:b/>
          <w:bCs/>
          <w:lang w:val="es-MX"/>
        </w:rPr>
        <w:t xml:space="preserve">Movimiento Browniano </w:t>
      </w:r>
      <w:proofErr w:type="spellStart"/>
      <w:r>
        <w:rPr>
          <w:b/>
          <w:bCs/>
          <w:lang w:val="es-MX"/>
        </w:rPr>
        <w:t>Geometrico</w:t>
      </w:r>
      <w:proofErr w:type="spellEnd"/>
      <w:r>
        <w:rPr>
          <w:b/>
          <w:bCs/>
          <w:lang w:val="es-MX"/>
        </w:rPr>
        <w:t xml:space="preserve"> -&gt; Montecarlo</w:t>
      </w:r>
    </w:p>
    <w:p w14:paraId="488A31EB" w14:textId="14C7E2CF" w:rsidR="009C3C10" w:rsidRDefault="009C3C10" w:rsidP="009C3C10">
      <w:pPr>
        <w:rPr>
          <w:b/>
          <w:bCs/>
          <w:lang w:val="es-MX"/>
        </w:rPr>
      </w:pPr>
      <w:r>
        <w:rPr>
          <w:b/>
          <w:bCs/>
          <w:lang w:val="es-MX"/>
        </w:rPr>
        <w:t xml:space="preserve">Proceso Gauss </w:t>
      </w:r>
      <w:proofErr w:type="spellStart"/>
      <w:r>
        <w:rPr>
          <w:b/>
          <w:bCs/>
          <w:lang w:val="es-MX"/>
        </w:rPr>
        <w:t>Markov</w:t>
      </w:r>
      <w:proofErr w:type="spellEnd"/>
    </w:p>
    <w:p w14:paraId="5354E0FC" w14:textId="1F186263" w:rsidR="00D96DA1" w:rsidRDefault="00D96DA1" w:rsidP="009C3C10">
      <w:pPr>
        <w:rPr>
          <w:b/>
          <w:bCs/>
          <w:lang w:val="es-MX"/>
        </w:rPr>
      </w:pPr>
      <w:r>
        <w:rPr>
          <w:b/>
          <w:bCs/>
          <w:lang w:val="es-MX"/>
        </w:rPr>
        <w:t xml:space="preserve">Cadenas de </w:t>
      </w:r>
      <w:proofErr w:type="spellStart"/>
      <w:r>
        <w:rPr>
          <w:b/>
          <w:bCs/>
          <w:lang w:val="es-MX"/>
        </w:rPr>
        <w:t>Markov</w:t>
      </w:r>
      <w:proofErr w:type="spellEnd"/>
    </w:p>
    <w:p w14:paraId="05833FEB" w14:textId="77777777" w:rsidR="00D96DA1" w:rsidRPr="00CD2D97" w:rsidRDefault="00D96DA1" w:rsidP="009C3C10">
      <w:pPr>
        <w:rPr>
          <w:b/>
          <w:bCs/>
          <w:lang w:val="es-MX"/>
        </w:rPr>
      </w:pPr>
    </w:p>
    <w:p w14:paraId="28A416CC" w14:textId="77777777" w:rsidR="009C3C10" w:rsidRDefault="009C3C10" w:rsidP="00FD4085">
      <w:pPr>
        <w:jc w:val="both"/>
      </w:pPr>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lastRenderedPageBreak/>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7EE2943" w14:textId="77777777" w:rsidR="00277180" w:rsidRDefault="00277180" w:rsidP="00277180">
      <w:pPr>
        <w:rPr>
          <w:b/>
          <w:bCs/>
        </w:rPr>
      </w:pPr>
    </w:p>
    <w:p w14:paraId="027F44AD" w14:textId="7F56F3BE" w:rsidR="00277180" w:rsidRDefault="00277180" w:rsidP="00277180">
      <w:pPr>
        <w:rPr>
          <w:b/>
          <w:bCs/>
          <w:sz w:val="28"/>
          <w:szCs w:val="28"/>
        </w:rPr>
      </w:pPr>
      <w:r>
        <w:rPr>
          <w:b/>
          <w:bCs/>
          <w:sz w:val="28"/>
          <w:szCs w:val="28"/>
        </w:rPr>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1C678EFF" w:rsidR="00277180" w:rsidRDefault="00277180"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0B53021A" w14:textId="0A844DC1" w:rsidR="00277180" w:rsidRDefault="00277180" w:rsidP="00083757">
      <w:pPr>
        <w:rPr>
          <w:b/>
          <w:bCs/>
        </w:rPr>
      </w:pPr>
    </w:p>
    <w:p w14:paraId="10A7A255" w14:textId="0A0B59B8" w:rsidR="00277180" w:rsidRDefault="00277180" w:rsidP="00083757">
      <w:pPr>
        <w:rPr>
          <w:b/>
          <w:bCs/>
        </w:rPr>
      </w:pPr>
    </w:p>
    <w:p w14:paraId="707D9C37" w14:textId="1DDEE8E9" w:rsidR="00277180" w:rsidRDefault="00277180" w:rsidP="00083757">
      <w:pPr>
        <w:rPr>
          <w:b/>
          <w:bCs/>
        </w:rPr>
      </w:pPr>
    </w:p>
    <w:p w14:paraId="0B9A0119" w14:textId="2E28D661" w:rsidR="00277180" w:rsidRDefault="00277180" w:rsidP="00083757">
      <w:pPr>
        <w:rPr>
          <w:b/>
          <w:bCs/>
        </w:rPr>
      </w:pPr>
    </w:p>
    <w:p w14:paraId="6FB506DA" w14:textId="77777777" w:rsidR="00277180" w:rsidRDefault="00277180" w:rsidP="00083757">
      <w:pPr>
        <w:rPr>
          <w:b/>
          <w:bCs/>
        </w:rPr>
      </w:pPr>
    </w:p>
    <w:sectPr w:rsidR="00277180" w:rsidSect="00942311">
      <w:footerReference w:type="default" r:id="rId17"/>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1878E" w14:textId="77777777" w:rsidR="009A0696" w:rsidRDefault="009A0696" w:rsidP="00083757">
      <w:r>
        <w:separator/>
      </w:r>
    </w:p>
  </w:endnote>
  <w:endnote w:type="continuationSeparator" w:id="0">
    <w:p w14:paraId="61B2BDB5" w14:textId="77777777" w:rsidR="009A0696" w:rsidRDefault="009A0696"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A712" w14:textId="77777777" w:rsidR="009A0696" w:rsidRDefault="009A0696" w:rsidP="00083757">
      <w:r>
        <w:separator/>
      </w:r>
    </w:p>
  </w:footnote>
  <w:footnote w:type="continuationSeparator" w:id="0">
    <w:p w14:paraId="36F64DB1" w14:textId="77777777" w:rsidR="009A0696" w:rsidRDefault="009A0696"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8"/>
  </w:num>
  <w:num w:numId="10">
    <w:abstractNumId w:val="15"/>
  </w:num>
  <w:num w:numId="11">
    <w:abstractNumId w:val="5"/>
  </w:num>
  <w:num w:numId="12">
    <w:abstractNumId w:val="16"/>
  </w:num>
  <w:num w:numId="13">
    <w:abstractNumId w:val="19"/>
  </w:num>
  <w:num w:numId="14">
    <w:abstractNumId w:val="13"/>
  </w:num>
  <w:num w:numId="15">
    <w:abstractNumId w:val="1"/>
  </w:num>
  <w:num w:numId="16">
    <w:abstractNumId w:val="4"/>
  </w:num>
  <w:num w:numId="17">
    <w:abstractNumId w:val="14"/>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0CE7"/>
    <w:rsid w:val="00083757"/>
    <w:rsid w:val="00084262"/>
    <w:rsid w:val="00086DDD"/>
    <w:rsid w:val="0009214F"/>
    <w:rsid w:val="000A421B"/>
    <w:rsid w:val="000A77AD"/>
    <w:rsid w:val="000B48B2"/>
    <w:rsid w:val="000C25DF"/>
    <w:rsid w:val="000C3318"/>
    <w:rsid w:val="000D1A51"/>
    <w:rsid w:val="000E0492"/>
    <w:rsid w:val="000E6981"/>
    <w:rsid w:val="000F74CC"/>
    <w:rsid w:val="00100263"/>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B69FA"/>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2720"/>
    <w:rsid w:val="00245AD1"/>
    <w:rsid w:val="0024784C"/>
    <w:rsid w:val="00253CD4"/>
    <w:rsid w:val="0025799B"/>
    <w:rsid w:val="00261EA3"/>
    <w:rsid w:val="00277180"/>
    <w:rsid w:val="00280CE7"/>
    <w:rsid w:val="00292D98"/>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174"/>
    <w:rsid w:val="00504F46"/>
    <w:rsid w:val="0051066C"/>
    <w:rsid w:val="00510E1C"/>
    <w:rsid w:val="00513ED2"/>
    <w:rsid w:val="00520E0F"/>
    <w:rsid w:val="005210AA"/>
    <w:rsid w:val="00537FDF"/>
    <w:rsid w:val="00545729"/>
    <w:rsid w:val="00564B9C"/>
    <w:rsid w:val="00570227"/>
    <w:rsid w:val="00571264"/>
    <w:rsid w:val="00573467"/>
    <w:rsid w:val="00576E00"/>
    <w:rsid w:val="00582F71"/>
    <w:rsid w:val="00593BE3"/>
    <w:rsid w:val="005A03D7"/>
    <w:rsid w:val="005A1DA7"/>
    <w:rsid w:val="005A4685"/>
    <w:rsid w:val="005B042E"/>
    <w:rsid w:val="005B7667"/>
    <w:rsid w:val="005C07B8"/>
    <w:rsid w:val="005C7388"/>
    <w:rsid w:val="005E6DF1"/>
    <w:rsid w:val="005E7718"/>
    <w:rsid w:val="005F1200"/>
    <w:rsid w:val="006028B1"/>
    <w:rsid w:val="00606324"/>
    <w:rsid w:val="0061015F"/>
    <w:rsid w:val="00611A87"/>
    <w:rsid w:val="00635FAD"/>
    <w:rsid w:val="00637919"/>
    <w:rsid w:val="00647777"/>
    <w:rsid w:val="00657077"/>
    <w:rsid w:val="00665A07"/>
    <w:rsid w:val="00665BC0"/>
    <w:rsid w:val="00674691"/>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5A07"/>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D4465"/>
    <w:rsid w:val="008E7B11"/>
    <w:rsid w:val="008F09BA"/>
    <w:rsid w:val="009023B6"/>
    <w:rsid w:val="00911EFA"/>
    <w:rsid w:val="0091217A"/>
    <w:rsid w:val="00916C38"/>
    <w:rsid w:val="009250B0"/>
    <w:rsid w:val="00926946"/>
    <w:rsid w:val="009324E7"/>
    <w:rsid w:val="00932845"/>
    <w:rsid w:val="009343E6"/>
    <w:rsid w:val="00942311"/>
    <w:rsid w:val="009450EC"/>
    <w:rsid w:val="00960B77"/>
    <w:rsid w:val="00962CF8"/>
    <w:rsid w:val="00967CCA"/>
    <w:rsid w:val="00980784"/>
    <w:rsid w:val="00982394"/>
    <w:rsid w:val="0098691C"/>
    <w:rsid w:val="00987614"/>
    <w:rsid w:val="00990E69"/>
    <w:rsid w:val="00991FFB"/>
    <w:rsid w:val="0099399F"/>
    <w:rsid w:val="00993FC1"/>
    <w:rsid w:val="009A0696"/>
    <w:rsid w:val="009A7F9E"/>
    <w:rsid w:val="009B5077"/>
    <w:rsid w:val="009C3C10"/>
    <w:rsid w:val="009C4218"/>
    <w:rsid w:val="009D01A1"/>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3A5B"/>
    <w:rsid w:val="00A7510F"/>
    <w:rsid w:val="00A75758"/>
    <w:rsid w:val="00A76286"/>
    <w:rsid w:val="00A7779F"/>
    <w:rsid w:val="00A77882"/>
    <w:rsid w:val="00A80277"/>
    <w:rsid w:val="00A82A21"/>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5A62"/>
    <w:rsid w:val="00BC6467"/>
    <w:rsid w:val="00BC6918"/>
    <w:rsid w:val="00BD360A"/>
    <w:rsid w:val="00BD3837"/>
    <w:rsid w:val="00BE71F9"/>
    <w:rsid w:val="00C027B2"/>
    <w:rsid w:val="00C05359"/>
    <w:rsid w:val="00C068D2"/>
    <w:rsid w:val="00C1031F"/>
    <w:rsid w:val="00C10861"/>
    <w:rsid w:val="00C128A9"/>
    <w:rsid w:val="00C21FBD"/>
    <w:rsid w:val="00C34AAA"/>
    <w:rsid w:val="00C34CED"/>
    <w:rsid w:val="00C40CD8"/>
    <w:rsid w:val="00C44AE0"/>
    <w:rsid w:val="00C60486"/>
    <w:rsid w:val="00C63D4F"/>
    <w:rsid w:val="00C67F02"/>
    <w:rsid w:val="00C727B6"/>
    <w:rsid w:val="00C73821"/>
    <w:rsid w:val="00C74F1E"/>
    <w:rsid w:val="00C845EB"/>
    <w:rsid w:val="00CA69C7"/>
    <w:rsid w:val="00CB01DF"/>
    <w:rsid w:val="00CB5BA0"/>
    <w:rsid w:val="00CC4F97"/>
    <w:rsid w:val="00CD2D97"/>
    <w:rsid w:val="00CD4D65"/>
    <w:rsid w:val="00CF0770"/>
    <w:rsid w:val="00CF444C"/>
    <w:rsid w:val="00D12CD3"/>
    <w:rsid w:val="00D156EC"/>
    <w:rsid w:val="00D21D24"/>
    <w:rsid w:val="00D37C05"/>
    <w:rsid w:val="00D41013"/>
    <w:rsid w:val="00D43758"/>
    <w:rsid w:val="00D54D2E"/>
    <w:rsid w:val="00D6462A"/>
    <w:rsid w:val="00D744E6"/>
    <w:rsid w:val="00D75408"/>
    <w:rsid w:val="00D863D9"/>
    <w:rsid w:val="00D874FE"/>
    <w:rsid w:val="00D90C12"/>
    <w:rsid w:val="00D916BA"/>
    <w:rsid w:val="00D92149"/>
    <w:rsid w:val="00D96DA1"/>
    <w:rsid w:val="00D97357"/>
    <w:rsid w:val="00DA4060"/>
    <w:rsid w:val="00DA4E28"/>
    <w:rsid w:val="00DC021C"/>
    <w:rsid w:val="00DE32B9"/>
    <w:rsid w:val="00DE7CBC"/>
    <w:rsid w:val="00DF5419"/>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 w:type="character" w:styleId="Textoennegrita">
    <w:name w:val="Strong"/>
    <w:basedOn w:val="Fuentedeprrafopredeter"/>
    <w:uiPriority w:val="22"/>
    <w:qFormat/>
    <w:rsid w:val="008D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s.org/bcbs/basel3_e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ldmansachs.com/our-firm/history/moments/2000-dot-com-bub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risis_burs%C3%A1til_mundial_de_octubre_de_2008?utm_source=chatgpt.com" TargetMode="External"/><Relationship Id="rId5" Type="http://schemas.openxmlformats.org/officeDocument/2006/relationships/webSettings" Target="webSettings.xml"/><Relationship Id="rId15" Type="http://schemas.openxmlformats.org/officeDocument/2006/relationships/hyperlink" Target="https://www.gob.mx/cms/uploads/attachment/file/69156/Descripci_n_Sector_Burs_til.pdf" TargetMode="External"/><Relationship Id="rId10" Type="http://schemas.openxmlformats.org/officeDocument/2006/relationships/hyperlink" Target="https://www.cmfchile.cl/educa/621/w3-article-2714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b.mx/cnbv/acciones-y-programas/sector-bursat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TotalTime>
  <Pages>1</Pages>
  <Words>4468</Words>
  <Characters>24580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73</cp:revision>
  <dcterms:created xsi:type="dcterms:W3CDTF">2025-03-21T23:22:00Z</dcterms:created>
  <dcterms:modified xsi:type="dcterms:W3CDTF">2025-07-28T20:46:00Z</dcterms:modified>
</cp:coreProperties>
</file>