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F4E78"/>
          <w:sz w:val="40"/>
        </w:rPr>
        <w:t>APIs e Integrações: Conceitos, Tipos e Ferramentas</w:t>
      </w:r>
    </w:p>
    <w:p>
      <w:pPr>
        <w:spacing w:after="280"/>
      </w:pPr>
      <w:r>
        <w:rPr>
          <w:rFonts w:ascii="Arial" w:hAnsi="Arial"/>
          <w:i/>
          <w:color w:val="595959"/>
          <w:sz w:val="24"/>
        </w:rPr>
        <w:t>Estudo Abrangente sobre Arquitetura de Software e Padrões de Integração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F4E78"/>
          <w:sz w:val="30"/>
        </w:rPr>
        <w:t>1. Introdução e Contextualização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As Application Programming Interfaces (APIs) representam a espinha dorsal da engenharia de software contemporânea e da arquitetura de sistemas distribuídos. Em essência, uma API consiste em um conjunto formal de regras, especificações, protocolos e ferramentas que permite que diferentes aplicações interajam e compartilhem recursos de forma estruturada. Ao definir um contrato claro de entradas, saídas e formatos de dados, as APIs atuam como uma camada de abstração que oculta a complexidade interna dos sistemas subjacentes (Perron et al., 2024; Efuntade &amp; Efuntade, 2023).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Essa camada intermediária traz benefícios arquiteturais fundamentais, destacando-se a redução substancial do acoplamento entre módulos e a maximização do reuso de código e serviços. Na prática, isso possibilita que organizações conectem sistemas legados residentes em infraestruturas locais a ecossistemas modernos baseados em nuvem, dispositivos de Internet das Coisas (IoT) e microserviços de terceiros, construindo ecossistemas de informação contínuos e altamente interoperáveis (Efuntade &amp; Efuntade, 2023; Sainyaara, 2023; Linthicum, 1999).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No cenário corporativo atual, a integração de sistemas deixou de ser tratada como um mero detalhe operacional. Pelo contrário, converteu-se em uma capacidade estratégica essencial para impulsionar a eficiência operacional, aprimorar a experiência do cliente final e acelerar a velocidade de inovação (Katta, 2025; Linthicum, 1999; Reddy, 2025). Diversos setores da economia dependem de APIs sustentáveis e de padrões de integração robustos, abrangendo desde plataformas financeiras e de saúde até serviços governamentais, engenharia automotiva e sistemas de informação de bibliotecas (Perron et al., 2024; Mandal &amp; Mandal, 2024; Adeleke et al., 2024).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F4E78"/>
          <w:sz w:val="30"/>
        </w:rPr>
        <w:t>2. Conceitos Principais e Mecanismos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Conceitualmente, as APIs são estabelecidas como mecanismos formais projetados para expor rotinas, dados e funcionalidades específicas de uma aplicação sem comprometer ou revelar os detalhes de implementação interna do código-fonte (Efuntade &amp; Efuntade, 2023; Perron et al., 2024). O modelo operacional segue a arquitetura cliente-servidor: o cliente emite uma requisição formal para um endpoint específico, o servidor processa essa solicitação e retorna uma resposta estruturada (Amer et al., 2026).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A analogia clássica é a figura do garçom em um restaurante. O cliente não entra na cozinha para preparar a refeição; interage diretamente com o garçom (a API), que recebe o pedido, transmite as instruções para a cozinha, aguarda a preparação e entrega o resultado em um formato padronizado (Perron et al., 2024). Em aplicações do cotidiano, como apps meteorológicos ou sistemas de rastreamento, esse fluxo ocorre em frações de segundo.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F4E78"/>
          <w:sz w:val="30"/>
        </w:rPr>
        <w:t>3. Níveis de Integração de Aplicações Corporativas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A integração de aplicações de negócios (Enterprise Application Integration - EAI) engloba um conjunto coordenado de métodos e tecnologias orientadas a fazer com que sistemas independentes compartilhem dados, processos e serviços de maneira coesa (Sainyaara, 2023; Ferreira, 2013). A literatura técnica categoriza esse processo em múltiplos níveis: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1"/>
        </w:rPr>
        <w:t xml:space="preserve">Integração no Nível de Dados (Data-level): </w:t>
      </w:r>
      <w:r>
        <w:rPr>
          <w:rFonts w:ascii="Arial" w:hAnsi="Arial"/>
          <w:sz w:val="21"/>
        </w:rPr>
        <w:t>Consiste no compartilhamento direto ou migração de dados entre bancos heterogêneos, podendo gerar forte acoplamento (Linthicum, 1999).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1"/>
        </w:rPr>
        <w:t xml:space="preserve">Integração no Nível de Aplicações/Serviços: </w:t>
      </w:r>
      <w:r>
        <w:rPr>
          <w:rFonts w:ascii="Arial" w:hAnsi="Arial"/>
          <w:sz w:val="21"/>
        </w:rPr>
        <w:t>Envolve a interconexão de lógicas de negócio por meio de interfaces estruturadas, permitindo invocação remota de funcionalidades (Amer et al., 2026).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1"/>
        </w:rPr>
        <w:t xml:space="preserve">Integração de Métodos e Interfaces: </w:t>
      </w:r>
      <w:r>
        <w:rPr>
          <w:rFonts w:ascii="Arial" w:hAnsi="Arial"/>
          <w:sz w:val="21"/>
        </w:rPr>
        <w:t>Aplica-se à padronização das vias de comunicação e ao uso de contratos técnicos compartilhados (Ferreira, 2013).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1"/>
        </w:rPr>
        <w:t xml:space="preserve">Integração no Nível de Processos de Negócio: </w:t>
      </w:r>
      <w:r>
        <w:rPr>
          <w:rFonts w:ascii="Arial" w:hAnsi="Arial"/>
          <w:sz w:val="21"/>
        </w:rPr>
        <w:t>Nível mais elevado, no qual fluxos de trabalho (workflows) são orquestrados entre múltiplos sistemas (Linthicum, 1999; Ferreira, 2013).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F4E78"/>
          <w:sz w:val="30"/>
        </w:rPr>
        <w:t>4. Tipos de APIs e Classificação Arquitetural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A classificação das APIs pode ser realizada com base em sua acessibilidade e ecossistema de aplicação: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1"/>
        </w:rPr>
        <w:t xml:space="preserve">APIs Internas (In-process / Private): </w:t>
      </w:r>
      <w:r>
        <w:rPr>
          <w:rFonts w:ascii="Arial" w:hAnsi="Arial"/>
          <w:sz w:val="21"/>
        </w:rPr>
        <w:t>Projetadas exclusivamente para uso interno da organização, conectando microsserviços e sistemas de back-office (Efuntade &amp; Efuntade, 2023).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1"/>
        </w:rPr>
        <w:t xml:space="preserve">APIs de Parceiros (Partner APIs): </w:t>
      </w:r>
      <w:r>
        <w:rPr>
          <w:rFonts w:ascii="Arial" w:hAnsi="Arial"/>
          <w:sz w:val="21"/>
        </w:rPr>
        <w:t>Expostas com restrições de acesso para parceiros estratégicos, exigindo autenticação rigorosa e SLAs específicos.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1"/>
        </w:rPr>
        <w:t xml:space="preserve">APIs Públicas (Remote / Open APIs): </w:t>
      </w:r>
      <w:r>
        <w:rPr>
          <w:rFonts w:ascii="Arial" w:hAnsi="Arial"/>
          <w:sz w:val="21"/>
        </w:rPr>
        <w:t>Disponibilizadas abertamente para desenvolvedores, impulsionando a inovação aberta e o fornecimento de dados públicos (Perron et al., 2024; Efuntade &amp; Efuntade, 2023).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Em relação aos domínios de uso especializado, destacam-se APIs dedicadas a Processamento de Linguagem Natural (NLP) e Inteligência Artificial, APIs de mídias sociais, APIs geoespaciais e APIs biométricas e de saúde voltadas para dispositivos vestíveis (Perron et al., 2024).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F4E78"/>
          <w:sz w:val="30"/>
        </w:rPr>
        <w:t>5. Padrões de Integração e Comparação de Abordagens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Padrões de integração funcionam como blueprints arquiteturais que orientam a troca de dados entre sistemas heterogêneos, resolvendo desafios como transformação de formatos, tolerância a falhas e comunicação assíncrona (Katta, 2025).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1F4E78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Abordagem</w:t>
            </w:r>
          </w:p>
        </w:tc>
        <w:tc>
          <w:tcPr>
            <w:tcW w:type="dxa" w:w="3168"/>
            <w:shd w:val="clear" w:color="auto" w:fill="1F4E78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Característica Principal</w:t>
            </w:r>
          </w:p>
        </w:tc>
        <w:tc>
          <w:tcPr>
            <w:tcW w:type="dxa" w:w="2736"/>
            <w:shd w:val="clear" w:color="auto" w:fill="1F4E78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Contexto Recomendado</w:t>
            </w:r>
          </w:p>
        </w:tc>
        <w:tc>
          <w:tcPr>
            <w:tcW w:type="dxa" w:w="1440"/>
            <w:shd w:val="clear" w:color="auto" w:fill="1F4E78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Evidência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color w:val="333333"/>
                <w:sz w:val="17"/>
              </w:rPr>
              <w:t>Point-to-point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color w:val="333333"/>
                <w:sz w:val="17"/>
              </w:rPr>
              <w:t>Conexão direta personalizada entre dois sistemas.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color w:val="333333"/>
                <w:sz w:val="17"/>
              </w:rPr>
              <w:t>Integrações simples com baixo volume de consumidores.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color w:val="333333"/>
                <w:sz w:val="17"/>
              </w:rPr>
              <w:t>Katta, 2025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color w:val="333333"/>
                <w:sz w:val="17"/>
              </w:rPr>
              <w:t>Hub-and-spoke (ESB)</w:t>
            </w:r>
          </w:p>
        </w:tc>
        <w:tc>
          <w:tcPr>
            <w:tcW w:type="dxa" w:w="3168"/>
            <w:shd w:val="clear" w:color="auto" w:fill="F2F2F2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color w:val="333333"/>
                <w:sz w:val="17"/>
              </w:rPr>
              <w:t>Barramento central de serviços que centraliza roteamento.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color w:val="333333"/>
                <w:sz w:val="17"/>
              </w:rPr>
              <w:t>Ambientes corporativos complexos.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color w:val="333333"/>
                <w:sz w:val="17"/>
              </w:rPr>
              <w:t>Katta, 2025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color w:val="333333"/>
                <w:sz w:val="17"/>
              </w:rPr>
              <w:t>Publish-subscribe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color w:val="333333"/>
                <w:sz w:val="17"/>
              </w:rPr>
              <w:t>Modelo de mensageria assíncrona baseado em eventos.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color w:val="333333"/>
                <w:sz w:val="17"/>
              </w:rPr>
              <w:t>Sistemas reativos em tempo real.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color w:val="333333"/>
                <w:sz w:val="17"/>
              </w:rPr>
              <w:t>Katta, 2025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color w:val="333333"/>
                <w:sz w:val="17"/>
              </w:rPr>
              <w:t>API-led Integration</w:t>
            </w:r>
          </w:p>
        </w:tc>
        <w:tc>
          <w:tcPr>
            <w:tcW w:type="dxa" w:w="3168"/>
            <w:shd w:val="clear" w:color="auto" w:fill="F2F2F2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color w:val="333333"/>
                <w:sz w:val="17"/>
              </w:rPr>
              <w:t>Arquitetura em três camadas de APIs reusáveis.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color w:val="333333"/>
                <w:sz w:val="17"/>
              </w:rPr>
              <w:t>Transformação digital e microsserviços.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color w:val="333333"/>
                <w:sz w:val="17"/>
              </w:rPr>
              <w:t>Katta, 2025; Adusumilli, 2025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color w:val="333333"/>
                <w:sz w:val="17"/>
              </w:rPr>
              <w:t>Message Queuing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color w:val="333333"/>
                <w:sz w:val="17"/>
              </w:rPr>
              <w:t>Enfileiramento garantido de mensagens com desacoplamento.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color w:val="333333"/>
                <w:sz w:val="17"/>
              </w:rPr>
              <w:t>Processamento em lote e resiliência.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color w:val="333333"/>
                <w:sz w:val="17"/>
              </w:rPr>
              <w:t>Katta, 2025; Rader, 1998</w:t>
            </w:r>
          </w:p>
        </w:tc>
      </w:tr>
    </w:tbl>
    <w:p>
      <w:pPr>
        <w:spacing w:before="80" w:after="200"/>
      </w:pPr>
      <w:r>
        <w:rPr>
          <w:i/>
          <w:color w:val="666666"/>
          <w:sz w:val="18"/>
        </w:rPr>
        <w:t>Tabela 1: Análise comparativa dos principais padrões de integração descritos na literatura.</w:t>
      </w:r>
    </w:p>
    <w:p>
      <w:pPr>
        <w:pStyle w:val="Heading2"/>
        <w:keepNext/>
        <w:spacing w:before="200" w:after="80"/>
      </w:pPr>
      <w:r>
        <w:rPr>
          <w:rFonts w:ascii="Arial" w:hAnsi="Arial"/>
          <w:b/>
          <w:color w:val="2E75B6"/>
          <w:sz w:val="24"/>
        </w:rPr>
        <w:t>6. Arquitetura de Integração API-Led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A abordagem API-led integration divide a arquitetura de integração em três camadas hierárquicas (Adusumilli, 2025):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1"/>
        </w:rPr>
        <w:t xml:space="preserve">System APIs (APIs de Sistema): </w:t>
      </w:r>
      <w:r>
        <w:rPr>
          <w:rFonts w:ascii="Arial" w:hAnsi="Arial"/>
          <w:sz w:val="21"/>
        </w:rPr>
        <w:t>Isolam a complexidade dos sistemas de registros subjacentes, fornecendo acesso seguro aos dados brutos.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1"/>
        </w:rPr>
        <w:t xml:space="preserve">Process APIs (APIs de Processo): </w:t>
      </w:r>
      <w:r>
        <w:rPr>
          <w:rFonts w:ascii="Arial" w:hAnsi="Arial"/>
          <w:sz w:val="21"/>
        </w:rPr>
        <w:t>Combinam e orquestram dados das System APIs, implementando regras de negócio e fluxos de trabalho.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1"/>
        </w:rPr>
        <w:t xml:space="preserve">Experience APIs (APIs de Experiência): </w:t>
      </w:r>
      <w:r>
        <w:rPr>
          <w:rFonts w:ascii="Arial" w:hAnsi="Arial"/>
          <w:sz w:val="21"/>
        </w:rPr>
        <w:t>Formatam os dados para consumo por dispositivos específicos, como aplicativos móveis ou portais web.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F4E78"/>
          <w:sz w:val="30"/>
        </w:rPr>
        <w:t>7. Ferramentas, Protocolos e Boas Práticas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A implementação de ecossistemas orientados a APIs apoia-se em protocolos maduros e ferramentas de suporte ao ciclo de vida de desenvolvimento (Efuntade &amp; Efuntade, 2023; Gummadi, 2024).</w:t>
      </w:r>
    </w:p>
    <w:p>
      <w:pPr>
        <w:pStyle w:val="Heading2"/>
        <w:keepNext/>
        <w:spacing w:before="200" w:after="80"/>
      </w:pPr>
      <w:r>
        <w:rPr>
          <w:rFonts w:ascii="Arial" w:hAnsi="Arial"/>
          <w:b/>
          <w:color w:val="2E75B6"/>
          <w:sz w:val="24"/>
        </w:rPr>
        <w:t>Protocolos e Especificações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Dentre os protocolos destacam-se REST (com JSON), SOAP (com XML) e estilos de alta performance como gRPC e GraphQL. Frameworks como OpenAPI Specification (OAS) e RAML viabilizam a abordagem contract-first, permitindo a definição prévia do contrato de API (Gummadi, 2024).</w:t>
      </w:r>
    </w:p>
    <w:p>
      <w:pPr>
        <w:pStyle w:val="Heading2"/>
        <w:keepNext/>
        <w:spacing w:before="200" w:after="80"/>
      </w:pPr>
      <w:r>
        <w:rPr>
          <w:rFonts w:ascii="Arial" w:hAnsi="Arial"/>
          <w:b/>
          <w:color w:val="2E75B6"/>
          <w:sz w:val="24"/>
        </w:rPr>
        <w:t>Ferramentas de Suporte e Gestão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1"/>
        </w:rPr>
        <w:t xml:space="preserve">Postman: </w:t>
      </w:r>
      <w:r>
        <w:rPr>
          <w:rFonts w:ascii="Arial" w:hAnsi="Arial"/>
          <w:sz w:val="21"/>
        </w:rPr>
        <w:t>Utilizado para testes funcionais e automação em ambientes de desenvolvimento (Seth et al., 2024).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1"/>
        </w:rPr>
        <w:t xml:space="preserve">Swagger UI &amp; ReDoc: </w:t>
      </w:r>
      <w:r>
        <w:rPr>
          <w:rFonts w:ascii="Arial" w:hAnsi="Arial"/>
          <w:sz w:val="21"/>
        </w:rPr>
        <w:t>Geram documentação interativa conectada diretamente à aplicação (Seth et al., 2024).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1"/>
        </w:rPr>
        <w:t xml:space="preserve">API Gateways &amp; Service Meshes: </w:t>
      </w:r>
      <w:r>
        <w:rPr>
          <w:rFonts w:ascii="Arial" w:hAnsi="Arial"/>
          <w:sz w:val="21"/>
        </w:rPr>
        <w:t>Gerenciam tráfego, autenticação, rate limiting e resiliência em microsserviços (Mylsamy &amp; Shrivastav, 2025).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1"/>
        </w:rPr>
        <w:t xml:space="preserve">Plataformas de Gerenciamento de APIs: </w:t>
      </w:r>
      <w:r>
        <w:rPr>
          <w:rFonts w:ascii="Arial" w:hAnsi="Arial"/>
          <w:sz w:val="21"/>
        </w:rPr>
        <w:t>Oferecem governança, monitoramento analítico e segurança centralizada (Adeleke et al., 2024; Reddy, 2025).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F4E78"/>
          <w:sz w:val="30"/>
        </w:rPr>
        <w:t>8. Aplicações Práticas em Setores Específicos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Em FinTechs e Open Banking, as APIs conectam gateways de pagamento e plataformas bancárias, exigindo rígidos controles de segurança e conformidade regulatória (Adeleke et al., 2024). Em bibliotecas, APIs e protocolos como SIP2 automatizam empréstimos e busca federada (Mandal &amp; Mandal, 2024). No setor público, aceleram o acesso a serviços governamentais (Bandaru, 2025; Widya &amp; Sari, 2021). Na indústria automotiva, interfaces padronizadas garantem a portabilidade entre plataformas (Schulik et al., 2025).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F4E78"/>
          <w:sz w:val="30"/>
        </w:rPr>
        <w:t>9. Conclusão e Perspectivas Futuras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APIs e estratégias de integração constituem a base tecnológica indispensável para conectar sistemas heterogêneos, promover a reutilização contínua de ativos digitais e transformar aplicações isoladas em ecossistemas interoperáveis. Os maiores ganhos aparecem quando a organização alinha arquitetura adequada, padrões estáveis, documentação forte, segurança e governança (Amer et al., 2026; Katta, 2025). Com a evolução de Serverless, Edge Computing e modelos de IA/LLMs, as APIs se consolidam como núcleo da transformação digital (Perron et al., 2024; Seth et al., 2024).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F4E78"/>
          <w:sz w:val="30"/>
        </w:rPr>
        <w:t>10. Referências Bibliográficas</w:t>
      </w:r>
    </w:p>
    <w:p>
      <w:pPr>
        <w:spacing w:after="60" w:line="264" w:lineRule="auto"/>
      </w:pPr>
      <w:r>
        <w:rPr>
          <w:rFonts w:ascii="Arial" w:hAnsi="Arial"/>
          <w:color w:val="444444"/>
          <w:sz w:val="17"/>
        </w:rPr>
        <w:t>Adeleke, A. G. et al. API Integration in FinTech: Challenges and Best Practices. Journal of Financial Technology &amp; Innovation, 2024.</w:t>
      </w:r>
    </w:p>
    <w:p>
      <w:pPr>
        <w:spacing w:after="60" w:line="264" w:lineRule="auto"/>
      </w:pPr>
      <w:r>
        <w:rPr>
          <w:rFonts w:ascii="Arial" w:hAnsi="Arial"/>
          <w:color w:val="444444"/>
          <w:sz w:val="17"/>
        </w:rPr>
        <w:t>Adusumilli, T. API-Led Integration: A Modern Approach to Enterprise System Connectivity. IJCSE, 2025.</w:t>
      </w:r>
    </w:p>
    <w:p>
      <w:pPr>
        <w:spacing w:after="60" w:line="264" w:lineRule="auto"/>
      </w:pPr>
      <w:r>
        <w:rPr>
          <w:rFonts w:ascii="Arial" w:hAnsi="Arial"/>
          <w:color w:val="444444"/>
          <w:sz w:val="17"/>
        </w:rPr>
        <w:t>Amer, M.; Ali, A.; Alsaud, S.; Rushood, I. S. A. Third-Party Systems Integration and the Role of API Governance. IEEE TSE, 2026.</w:t>
      </w:r>
    </w:p>
    <w:p>
      <w:pPr>
        <w:spacing w:after="60" w:line="264" w:lineRule="auto"/>
      </w:pPr>
      <w:r>
        <w:rPr>
          <w:rFonts w:ascii="Arial" w:hAnsi="Arial"/>
          <w:color w:val="444444"/>
          <w:sz w:val="17"/>
        </w:rPr>
        <w:t>Bandaru, S. P. The Role of APIs in Modern Web Development: Enhancing System Integrations. JWED, 2025.</w:t>
      </w:r>
    </w:p>
    <w:p>
      <w:pPr>
        <w:spacing w:after="60" w:line="264" w:lineRule="auto"/>
      </w:pPr>
      <w:r>
        <w:rPr>
          <w:rFonts w:ascii="Arial" w:hAnsi="Arial"/>
          <w:color w:val="444444"/>
          <w:sz w:val="17"/>
        </w:rPr>
        <w:t>Efuntade, O.; Efuntade, A. Application Programming Interface (API) And Management of AIS. IJARAFMS, 2023.</w:t>
      </w:r>
    </w:p>
    <w:p>
      <w:pPr>
        <w:spacing w:after="60" w:line="264" w:lineRule="auto"/>
      </w:pPr>
      <w:r>
        <w:rPr>
          <w:rFonts w:ascii="Arial" w:hAnsi="Arial"/>
          <w:color w:val="444444"/>
          <w:sz w:val="17"/>
        </w:rPr>
        <w:t>Fehratbegović, A.; Kovačević, S. Integration of Software Systems in the Corporate Environment. CISR, 2024.</w:t>
      </w:r>
    </w:p>
    <w:p>
      <w:pPr>
        <w:spacing w:after="60" w:line="264" w:lineRule="auto"/>
      </w:pPr>
      <w:r>
        <w:rPr>
          <w:rFonts w:ascii="Arial" w:hAnsi="Arial"/>
          <w:color w:val="444444"/>
          <w:sz w:val="17"/>
        </w:rPr>
        <w:t>Ferreira, D. R. Enterprise Systems Integration. London: Springer-Verlag, 2013.</w:t>
      </w:r>
    </w:p>
    <w:p>
      <w:pPr>
        <w:spacing w:after="60" w:line="264" w:lineRule="auto"/>
      </w:pPr>
      <w:r>
        <w:rPr>
          <w:rFonts w:ascii="Arial" w:hAnsi="Arial"/>
          <w:color w:val="444444"/>
          <w:sz w:val="17"/>
        </w:rPr>
        <w:t>Gummadi, V. P. K. API Design and Implementation: RAML and OpenAPI Specification. IJSA, 2024.</w:t>
      </w:r>
    </w:p>
    <w:p>
      <w:pPr>
        <w:spacing w:after="60" w:line="264" w:lineRule="auto"/>
      </w:pPr>
      <w:r>
        <w:rPr>
          <w:rFonts w:ascii="Arial" w:hAnsi="Arial"/>
          <w:color w:val="444444"/>
          <w:sz w:val="17"/>
        </w:rPr>
        <w:t>Katta, T. B. Demystifying Integration Patterns and Their Application in Different Fields. JEAI, 2025.</w:t>
      </w:r>
    </w:p>
    <w:p>
      <w:pPr>
        <w:spacing w:after="60" w:line="264" w:lineRule="auto"/>
      </w:pPr>
      <w:r>
        <w:rPr>
          <w:rFonts w:ascii="Arial" w:hAnsi="Arial"/>
          <w:color w:val="444444"/>
          <w:sz w:val="17"/>
        </w:rPr>
        <w:t>Linthicum, D. S. Enterprise Application Integration. Reading: Addison-Wesley, 1999.</w:t>
      </w:r>
    </w:p>
    <w:p>
      <w:pPr>
        <w:spacing w:after="60" w:line="264" w:lineRule="auto"/>
      </w:pPr>
      <w:r>
        <w:rPr>
          <w:rFonts w:ascii="Arial" w:hAnsi="Arial"/>
          <w:color w:val="444444"/>
          <w:sz w:val="17"/>
        </w:rPr>
        <w:t>Linthicum, D. S. Next Generation Application Integration: From Simple Information to Web Services. 2003.</w:t>
      </w:r>
    </w:p>
    <w:p>
      <w:pPr>
        <w:spacing w:after="60" w:line="264" w:lineRule="auto"/>
      </w:pPr>
      <w:r>
        <w:rPr>
          <w:rFonts w:ascii="Arial" w:hAnsi="Arial"/>
          <w:color w:val="444444"/>
          <w:sz w:val="17"/>
        </w:rPr>
        <w:t>Mandal, P.; Mandal, S. APIs and SIPs for Library and Information Services. ALIS, 2024.</w:t>
      </w:r>
    </w:p>
    <w:p>
      <w:pPr>
        <w:spacing w:after="60" w:line="264" w:lineRule="auto"/>
      </w:pPr>
      <w:r>
        <w:rPr>
          <w:rFonts w:ascii="Arial" w:hAnsi="Arial"/>
          <w:color w:val="444444"/>
          <w:sz w:val="17"/>
        </w:rPr>
        <w:t>Mylsamy, S.; Shrivastav, A. API Design and Integration in a Microservices Environment. MAJ, 2025.</w:t>
      </w:r>
    </w:p>
    <w:p>
      <w:pPr>
        <w:spacing w:after="60" w:line="264" w:lineRule="auto"/>
      </w:pPr>
      <w:r>
        <w:rPr>
          <w:rFonts w:ascii="Arial" w:hAnsi="Arial"/>
          <w:color w:val="444444"/>
          <w:sz w:val="17"/>
        </w:rPr>
        <w:t>Perron, B. E. et al. Demystifying Application Programming Interfaces (APIs). RSSWP, 2024.</w:t>
      </w:r>
    </w:p>
    <w:p>
      <w:pPr>
        <w:spacing w:after="60" w:line="264" w:lineRule="auto"/>
      </w:pPr>
      <w:r>
        <w:rPr>
          <w:rFonts w:ascii="Arial" w:hAnsi="Arial"/>
          <w:color w:val="444444"/>
          <w:sz w:val="17"/>
        </w:rPr>
        <w:t>Rader, J. Integration of System Engineering Tools. Systems Engineering, 1998.</w:t>
      </w:r>
    </w:p>
    <w:p>
      <w:pPr>
        <w:spacing w:after="60" w:line="264" w:lineRule="auto"/>
      </w:pPr>
      <w:r>
        <w:rPr>
          <w:rFonts w:ascii="Arial" w:hAnsi="Arial"/>
          <w:color w:val="444444"/>
          <w:sz w:val="17"/>
        </w:rPr>
        <w:t>Reddy, B. Cloud Integration: A Beginner's Guide to Connecting Systems in the Cloud. CICAR, 2025.</w:t>
      </w:r>
    </w:p>
    <w:p>
      <w:pPr>
        <w:spacing w:after="60" w:line="264" w:lineRule="auto"/>
      </w:pPr>
      <w:r>
        <w:rPr>
          <w:rFonts w:ascii="Arial" w:hAnsi="Arial"/>
          <w:color w:val="444444"/>
          <w:sz w:val="17"/>
        </w:rPr>
        <w:t>Sainyaara, S. A Survey on Integration of Applications - Tools, Types &amp; It's Challenges. JSSR, 2023.</w:t>
      </w:r>
    </w:p>
    <w:p>
      <w:pPr>
        <w:spacing w:after="60" w:line="264" w:lineRule="auto"/>
      </w:pPr>
      <w:r>
        <w:rPr>
          <w:rFonts w:ascii="Arial" w:hAnsi="Arial"/>
          <w:color w:val="444444"/>
          <w:sz w:val="17"/>
        </w:rPr>
        <w:t>Schulik, T. et al. Efficient Integration of Cross Platform Functions onto Service-Oriented Architectures. ASEJ, 2025.</w:t>
      </w:r>
    </w:p>
    <w:p>
      <w:pPr>
        <w:spacing w:after="60" w:line="264" w:lineRule="auto"/>
      </w:pPr>
      <w:r>
        <w:rPr>
          <w:rFonts w:ascii="Arial" w:hAnsi="Arial"/>
          <w:color w:val="444444"/>
          <w:sz w:val="17"/>
        </w:rPr>
        <w:t>Seth, D. et al. Pattern Play: Advanced API Integration for Cutting-Edge Applications. IJACS, 2024.</w:t>
      </w:r>
    </w:p>
    <w:p>
      <w:pPr>
        <w:spacing w:after="60" w:line="264" w:lineRule="auto"/>
      </w:pPr>
      <w:r>
        <w:rPr>
          <w:rFonts w:ascii="Arial" w:hAnsi="Arial"/>
          <w:color w:val="444444"/>
          <w:sz w:val="17"/>
        </w:rPr>
        <w:t>Widya, M. A.; Sari, L. M. Design an API for a Population Social Welfare Survey Application. JPIS, 2021.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