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Source: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https://www.kaggle.com/datasets/tawfikelmetwally/employee-dataset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Context:</w:t>
        <w:br w:type="textWrapping"/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This dataset contains information about employees in a company, including their educational backgrounds, work history, demographics, and employment-related factors. It has been anonymized to protect privacy while still providing valuable insights into the workforce.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Columns: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Education: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The educational qualifications of employees, including degree, institution, and field of study.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Joining Year: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The year each employee joined the company, indicating their length of service.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City: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The location or city where each employee is based or works.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Payment Tier: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Categorization of employees into different salary tiers.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Age: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The age of each employee, providing demographic insights.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Gender: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Gender identity of employees, promoting diversity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Ever Benched: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Indicates if an employee has ever been temporarily without assigned work.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Experience in Current Domain: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The number of years of experience employees have in their current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720" w:hanging="360"/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Leave or Not: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a target column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480" w:lineRule="auto"/>
        <w:rPr/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Make one or more classification models with </w:t>
      </w: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Leave or Not 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column as</w:t>
      </w:r>
      <w:r w:rsidDel="00000000" w:rsidR="00000000" w:rsidRPr="00000000">
        <w:rPr>
          <w:color w:val="3c4043"/>
          <w:sz w:val="21"/>
          <w:szCs w:val="21"/>
          <w:rtl w:val="0"/>
        </w:rPr>
        <w:t xml:space="preserve"> a target column. Use proper evaluation metrics to assess model performance.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