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ind w:firstLine="720"/>
        <w:contextualSpacing w:val="0"/>
        <w:jc w:val="center"/>
        <w:rPr>
          <w:rFonts w:ascii="Verdana" w:cs="Verdana" w:eastAsia="Verdana" w:hAnsi="Verdana"/>
          <w:b w:val="0"/>
          <w:sz w:val="40"/>
          <w:szCs w:val="40"/>
        </w:rPr>
      </w:pPr>
      <w:bookmarkStart w:colFirst="0" w:colLast="0" w:name="_3w69ya21uvjq" w:id="0"/>
      <w:bookmarkEnd w:id="0"/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0"/>
        </w:rPr>
        <w:t xml:space="preserve">Лабораторная работа № 4. Семафоры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jc w:val="both"/>
        <w:rPr/>
      </w:pPr>
      <w:bookmarkStart w:colFirst="0" w:colLast="0" w:name="_3cofcgsy7zuz" w:id="1"/>
      <w:bookmarkEnd w:id="1"/>
      <w:r w:rsidDel="00000000" w:rsidR="00000000" w:rsidRPr="00000000">
        <w:rPr>
          <w:rFonts w:ascii="Verdana" w:cs="Verdana" w:eastAsia="Verdana" w:hAnsi="Verdana"/>
          <w:b w:val="0"/>
          <w:sz w:val="32"/>
          <w:szCs w:val="32"/>
          <w:rtl w:val="0"/>
        </w:rPr>
        <w:t xml:space="preserve">Функции для работы с семафорами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09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Семафор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– это объект синхронизации процессов или потоков, который может находиться в двух состояниях – открыт или закрыт. В общем и целом использование семафоров аналогично использованию мьютексов. Более того, можно утверждать, что мьютексы являются частным случаем реализации семафоров – бинарными семафорами.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09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Главным отличием семафоров от мьютексов с точки зрения их использования для синхронизации потоков является то, что семафоры могут использоваться для организации доступа к делимым ресурсам, т.к. в состав семафора входит специальная переменная – счетчик. Счетчик может принимать значения от 0 до n, где n – количество единиц разделяемого ресурса, доступом к которому управляет монитор. Если n = 1, то семафор считается бинарным, в противном случае семафор принято называть считающими. Для считающих семафоров состояние «открыт» характеризуется значением счетчика больше 0, а состояние «закрыт» возникает, когда счетчик равен 0.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09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Семафор, как и мьютекс, является системным объектом Microsoft Windows, поэтому его можно использовать для синхронизации потоков, определенных в контексте разных процессов. При этом, как и в случае с мьютексом, для синхронизации потоков, принадлежащих разным процессам, используются поименованные семафоры. Анонимные семафоры используются для синхронизации потоков в рамках одного процесса и/или его дочерних процессов, которые унаследовали указатель (handle) данного семафора.</w:t>
        <w:br w:type="textWrapping"/>
        <w:t xml:space="preserve">Для создания семафора используется функция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CreateSemaphore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HANDLE CreateSemaphore(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LPSECURITY_ATTRIBUTES 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lpSemaphoreAttributes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LONG 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lInitialCount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LONG 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lMaximumCount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LPCTSTR 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lpName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Параметры функции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CreateSemaphore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0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Параметры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lpSemaphoreAttributes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lpName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аналогичны параметрам функции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CreateMutex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Параметры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lInitialCount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lMaximumCount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используются для настройки счетчика семафора. Параметр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lMaximumCount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определяет максимальное значение счетчика, а параметр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lInitialCount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– текущее значение счетчика, или, вернее, то значение, с которым семафор будет создан. Если параметр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lInitialCount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равен нулю, то семафор создается в закрытом состоянии, в противном случае – в состоянии «открыт».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0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Возвращаемые значения функции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CreateSemaphore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0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1. Если создание семафора прошло успешно, то функция вернет значение указателя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handle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 созданного семафора.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0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2. Если во время создания семафора произошла ошибка, то функция вернет значение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а более подробно об ошибке можно узнать, обратившись к функции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GetLastError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0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3. Если при создании поименованного семафора окажется, что семафор с таким именем уже существует, то функция все равно вернет его указатель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handle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), а значением функции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GetLastError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будет код ошибки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ERROR_ALREADY_EXISTS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0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0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Открыть уже существующий семафор можно при помощи функции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OpenSemaphore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0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HANDLE OpenSemaphore(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DWORD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dwDesiredAccess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BOOL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bInheritHandle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LPCTSTR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lpName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00"/>
        <w:contextualSpacing w:val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0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Функция позволяет определить права доступа к семафору, возможность наследования  указателя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handle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 семафора потомками процесса, открывшего семафор, и имя открываемого семафора. В случае успеха, функция возвращает указатель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handle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 семафора, иначе – значение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0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0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Дождаться освобождения семафора и захватить его перед входом в критическую секцию можно при помощи функции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WaitForSingleObject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0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DWORD WaitForSingleObject(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HANDLE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hHandle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DWORD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dwMilliseconds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0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Если же потоку необходимо дождаться освобождения и захватить несколько семафоров (или один из нескольких семафоров), то можно воспользоваться функцией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WaitForMultipleObjects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0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DWORD WaitForMultipleObjects(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DWORD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nCount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const HANDLE*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lpHandles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BOOL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bWaitAll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DWORD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dwMilliseconds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0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Значение параметров данных функций аналогично тем, которые использовались при работе с потоками (см. лаб. работу № 1), за исключением того, что в качестве дескриптора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hHandle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используется дескриптор семафора, и вместо массива дескрипторов потоков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lpHandles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используется массив дескрипторов семафоров.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0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При работе с семафорами данные функции выполняют следующие действия: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0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- проверка состояния семафора;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0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- если мьютекс открыт, то уменьшить значение его счетчика на 1 и войти в критическую секцию. При этом, если после уменьшения счетчика он примет значение 0, то семафор перейдет в состояние «закрыт»;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0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- в противном случае (счетчик семафора уже равен нулю) – приостановить выполнение потока до того момента, пока семафор не окажется в состоянии «открыт», т.е. пока его счетчик не превысит значение 0.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0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0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Освобождение семафора и увеличение значения его счетчика можно выполнить функцией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ReleaseSemaphore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0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ReleaseSemaphore(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HANDLE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hSemaphore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LONG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lReleaseCount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LPLONG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lpPreviousCount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0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Параметры функции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ReleaseSemaphore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00"/>
        <w:contextualSpacing w:val="0"/>
        <w:jc w:val="both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</w:t>
      </w:r>
    </w:p>
    <w:tbl>
      <w:tblPr>
        <w:tblStyle w:val="Table1"/>
        <w:tblW w:w="951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55"/>
        <w:gridCol w:w="7155"/>
        <w:tblGridChange w:id="0">
          <w:tblGrid>
            <w:gridCol w:w="2355"/>
            <w:gridCol w:w="715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-100" w:firstLine="0"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Параметр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-100" w:firstLine="0"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-100" w:firstLine="0"/>
              <w:contextualSpacing w:val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hSemaphore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-100" w:firstLine="0"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Указатель 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handle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) изменяемого семафора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-100" w:firstLine="0"/>
              <w:contextualSpacing w:val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lReleaseCoun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-100" w:firstLine="0"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Значение, на которое будет изменено значение счетчика семафора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.14173228346445" w:firstLine="0"/>
              <w:contextualSpacing w:val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lpPreviousCount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-100" w:firstLine="0"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Указатель на переменную типа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LONG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, в которую будет сохранено предыдущее значение счетчика семафора – значение до изменения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0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0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Функция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ReleaseSemaphore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возвращает значение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если после изменения семафор перешел в состояние «открыт», и значение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false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в случае, когда счетчик остался в нулевом состоянии. Эта ситуация считается ошибкой. Получить большую информацию можно, как всегда, воспользовавшись функцией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GetLastError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0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После использования семафоры можно освободит функцией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CloseHandle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32"/>
          <w:szCs w:val="32"/>
        </w:rPr>
      </w:pPr>
      <w:bookmarkStart w:colFirst="0" w:colLast="0" w:name="_59qnm6xl5p6f" w:id="2"/>
      <w:bookmarkEnd w:id="2"/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Пример программы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0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Задача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В качестве примера использования семафоров используем другой классический пример синхронизации процессов – задачу «Читатели-писатели». В целом задача является развитием задачи «Производитель-потребитель». В системе имеется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потоков писателей, которые генерируют данные в буфере длиной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единиц. Также имеется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m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потоков читателей, которые считывают и обрабатывают информацию из указанного буфера. Писатель может записать информацию в буфер только в том случае, если в буфере есть хотя бы одна свободная ячейка, в противном случае – все потоки-писатели должны быть приостановлены. Читатель может считать и обработать информацию только тогда, когда она есть в буфере. Если буфер пуст, то все потоки-читатели должны быть приостановлены.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0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В качестве частного примера рассмотрим задачу, в которой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потоков-писателей генерируют записи об изменении счета клиента в банке, а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потоков-читателей обрабатывают эту информацию и формируют баланс счета. Каждая операция характеризуется </w:t>
        <w:tab/>
        <w:t xml:space="preserve">видом (приход/расход), которые будем обозначать операциями +/−, и значением операции. Баланс должен содержать графы «сумма прихода», «сумма расхода» и «оборот по счету».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0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Решение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Для решения задачи потребуется два считающих семафора: один для подсчета пустых ячеек в буфере, другой – для заполненных, и</w:t>
        <w:tab/>
        <w:t xml:space="preserve"> одни мьютекс, который блокирует доступ к разделяемым между всеми потоками ресурсам – буфером и переменными для накопления сумм.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0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0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0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0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0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0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0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0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0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0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&lt;windows.h&gt;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int n = 20, m = 10, k = 7;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int oper_number = 100;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Описание структуры буфера и самого буфера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s_operation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char oper;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float amount;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buffer[k];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Текущая позиция буфера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cur_pos;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Значения для итоговых переменных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float income = 0,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outcome = 0,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total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HANDLE hSemFull,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hSemEmpty,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hMutex;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Функция писателя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DWORD WINAPI writer(LPVOID param)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for(int i = 0; i&lt;oper_number; 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</w:t>
        <w:tab/>
        <w:t xml:space="preserve">// Дождаться освобождения ячеек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</w:t>
        <w:tab/>
        <w:t xml:space="preserve">WaitForSingleObject(hSemEmpty,INFINITE);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</w:t>
        <w:tab/>
        <w:t xml:space="preserve">// Захватить критический ресурс и сформировать новую операцию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</w:t>
        <w:tab/>
        <w:t xml:space="preserve">WaitForSingleObject(hMutex,INFINITE);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</w:t>
        <w:tab/>
        <w:t xml:space="preserve">std::cout &lt;&lt; "Введите вид операции: 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</w:t>
        <w:tab/>
        <w:t xml:space="preserve">std::cin &gt;&gt; buffer[cur_pos].oper;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</w:t>
        <w:tab/>
        <w:t xml:space="preserve">std::cout &lt;&lt; "Введите сумму операции: 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</w:t>
        <w:tab/>
        <w:t xml:space="preserve">std::cin &gt;&gt; buffer[cur_pos].amount;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</w:t>
        <w:tab/>
        <w:t xml:space="preserve">cur_pos++;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</w:t>
        <w:tab/>
        <w:t xml:space="preserve">// Освободить критический ресурс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</w:t>
        <w:tab/>
        <w:t xml:space="preserve">ReleaseMutex(hMutex);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</w:t>
        <w:tab/>
        <w:t xml:space="preserve">// Увеличить число занятых ячеек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</w:t>
        <w:tab/>
        <w:t xml:space="preserve">ReleaseSemaphore(hSemFull,1,NULL);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return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Функция читателя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DWORD WINAPI reader(LPVOID param)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for(int i = 0; i&lt;oper_number; 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</w:t>
        <w:tab/>
        <w:t xml:space="preserve">// Дождаться появления заполненных ячеек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</w:t>
        <w:tab/>
        <w:t xml:space="preserve">WaitForSingleObject(hSemFull,INFINITE);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</w:t>
        <w:tab/>
        <w:t xml:space="preserve">// Захватить критический ресурс и обработать операцию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</w:t>
        <w:tab/>
        <w:t xml:space="preserve">WaitForSingleObject(hMutex,INFINITE);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</w:t>
        <w:tab/>
        <w:t xml:space="preserve">cur_pos--;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</w:t>
        <w:tab/>
        <w:t xml:space="preserve">switch (buffer[cur_pos].oper)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</w:t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</w:t>
        <w:tab/>
        <w:t xml:space="preserve">case '+': income += (buffer[cur_pos].amount);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</w:t>
        <w:tab/>
        <w:tab/>
        <w:t xml:space="preserve">case '-': outcome -= (buffer[cur_pos].amount);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  <w:tab/>
        <w:tab/>
        <w:t xml:space="preserve">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</w:t>
        <w:tab/>
        <w:tab/>
        <w:t xml:space="preserve">default: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  <w:tab/>
        <w:t xml:space="preserve">std::cout &lt;&lt; "Ошибочная операция\n";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</w:t>
        <w:tab/>
        <w:t xml:space="preserve">// Освободить критический ресурс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</w:t>
        <w:tab/>
        <w:t xml:space="preserve">ReleaseMutex(hMutex);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</w:t>
        <w:tab/>
        <w:t xml:space="preserve">// Увеличить число пустых ячеек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</w:t>
        <w:tab/>
        <w:t xml:space="preserve">ReleaseSemaphore(hSemEmpty,1,NULL);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return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_tmain(int argc, _TCHAR* argv[])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// Массивы дескрипторов потоков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HANDLE hReaders[m], hWriters[n];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cur_pos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// Создание семафоров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// семафор занятых ячеек создаем закрытым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hSemFull = CreateSemaphore(NULL,0,k,NULL);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// семафор пустых ячеек создаем открытым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hSemEmpty = CreateSemaphore(NULL,k,k,NULL);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hMutex = CreateMutex(NULL,false,NULL);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// Запуск потоков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for (int i = 0; i &lt; m; 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</w:t>
        <w:tab/>
        <w:t xml:space="preserve">hReaders[i] = CreateThread(NULL,0,reader,NULL,0,NULL);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for (int i = 0; i &lt; n; 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</w:t>
        <w:tab/>
        <w:t xml:space="preserve">hWriters[i] = CreateThread(NULL,0,writer,NULL,0,NULL);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// Необходимо дождаться завершения всех потоков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WaitForMultipleObjects(n,hWriters,true,INFINITE);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WaitForMultipleObjects(m,hReaders,true,INFINITE);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// Подсчет итоговой суммы и вывод результатов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total = income - outcome;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std::cout &lt;&lt; "Приход = " &lt;&lt; income &lt;&lt; '\t' &lt;&lt; "Расход = " &lt;&lt; outcome &lt;&lt; '\t' &lt;&lt; "Оборот = " &lt;&lt; total &lt;&lt; '\n';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for(int i = 0; i&lt;n+m; 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</w:t>
        <w:tab/>
        <w:t xml:space="preserve">CloseHandle(hThread[i]);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CloseHandle(hSemFull);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CloseHandle(hSemEmpty);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CloseHandle(hMutex);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return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jc w:val="both"/>
        <w:rPr/>
      </w:pPr>
      <w:bookmarkStart w:colFirst="0" w:colLast="0" w:name="_ixk6anvgd1qj" w:id="3"/>
      <w:bookmarkEnd w:id="3"/>
      <w:r w:rsidDel="00000000" w:rsidR="00000000" w:rsidRPr="00000000">
        <w:rPr>
          <w:rFonts w:ascii="Verdana" w:cs="Verdana" w:eastAsia="Verdana" w:hAnsi="Verdana"/>
          <w:b w:val="0"/>
          <w:sz w:val="32"/>
          <w:szCs w:val="32"/>
          <w:rtl w:val="0"/>
        </w:rPr>
        <w:t xml:space="preserve">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.141732283464449" w:firstLine="705"/>
        <w:contextualSpacing w:val="1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Напишите программу управления пулом печати. В системе, имеется пул печати объемом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байт, поток управления пулом 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потоков, осуществляющих печать.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Поток, получивший доступ к пулу может записать в него либо весь текст, предназначенный для печати, либо часть текста, если места в пуле недостаточно. Если места в пуле недостаточно, то поток должен быть приостановлен до тех пор, пока поток управления пулом не освободит место в пуле. Поток, начавший вывод информации в пул не может быть прерван другими потоками вывода текста до тех пор, пока не осуществит вывод всего текста. Запись текста всегда осуществляется в конец пула.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Поток управления пулом может получить доступ к пулу только тогда, когда в пуле имеются заполненные ячейки. Чтение из пула осуществляется из начала. При этом остальное содержимое пула сдвигается к началу – выведенный на печать текст удаляется.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Для имитации работы пула используйте потоки, читающие текстовые файлы, и поток управления, выполняющий запись текста в файл.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.141732283464449" w:firstLine="705"/>
        <w:contextualSpacing w:val="1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В текстовом файле находится текст произвольной длины на английском языке. Необходимо выполнить шифрование этого текста по следующему алгоритму: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строчные буквы в тексте преобразуются в заглавные и наоборот;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каждая буква заменяется на следующую по алфавиту, т.е. А заменяется на В, В – на С, и т.д. Буква Z должна быть заменена на 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0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Зашифрованный текст должен быть помещен в новый текстовый файл.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0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Выборку текста из файла выполняет один поток, который считывает символы последовательно в буфер, длиной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m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символов. Каждый новый символ записывается в первую свободную ячейку с конца буфера.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0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Шифрование текста осуществляют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потоков-шифровщиков, которые модифицируют буквы в буфере по указанным правилам.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0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Запись шифрованного текста выполняет третий поток, который вычитывает символы из буфера от начала к концу в файл и освобождает ячейки для записи новых символов.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0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Также необходимо написать программу-дешифровщик зашифрованного текста, которая начинает работу только после окончания работы программы-шифровщика.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8" w:w="11906"/>
      <w:pgMar w:bottom="1133.8582677165355" w:top="1133.8582677165355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Verdana"/>
  <w:font w:name="Courier New"/>
  <w:font w:name="Arial Unicode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contextualSpacing w:val="0"/>
      <w:rPr>
        <w:rFonts w:ascii="Times New Roman" w:cs="Times New Roman" w:eastAsia="Times New Roman" w:hAnsi="Times New Roman"/>
        <w:b w:val="0"/>
        <w:color w:val="000000"/>
        <w:sz w:val="24"/>
        <w:szCs w:val="24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