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Língua Portuguesa — Guia para iniciantes (PM-PE 2026)</w:t>
      </w:r>
    </w:p>
    <w:p>
      <w:pPr/>
      <w:r>
        <w:t xml:space="preserve">Material de estudo · Concurso PM-PE 2026 · Banca Instituto AOCP</w:t>
      </w:r>
    </w:p>
    <w:p>
      <w:pPr/>
      <w:r>
        <w:t xml:space="preserve">Os exemplos abaixo foram montados no </w:t>
      </w:r>
      <w:r>
        <w:rPr>
          <w:b/>
        </w:rPr>
        <w:t xml:space="preserve">estilo da AOCP</w:t>
      </w:r>
      <w:r>
        <w:t xml:space="preserve">. Não são questões reais de uma prova específica. As provas reais ficam no site do Instituto AOCP (institutoaocp.org.br), na área de provas anteriores.</w:t>
      </w:r>
    </w:p>
    <w:p>
      <w:pPr>
        <w:pStyle w:val="Heading2"/>
      </w:pPr>
      <w:r>
        <w:t xml:space="preserve">Fontes oficiais para conferir as regras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VOLP</w:t>
      </w:r>
      <w:r>
        <w:t xml:space="preserve">, da Academia Brasileira de Letras (www.academia.org.br): vocabulário oficial de ortografia.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Decreto 6.583/2008</w:t>
      </w:r>
      <w:r>
        <w:t xml:space="preserve">, no Planalto: promulga o Acordo Ortográfico.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Manual de Redação da Presidência da República</w:t>
      </w:r>
      <w:r>
        <w:t xml:space="preserve">, no Planalto: mostra pontuação, crase e concordância na prática, em ofícios.</w:t>
      </w:r>
    </w:p>
    <w:p>
      <w:pPr>
        <w:pStyle w:val="Heading2"/>
      </w:pPr>
      <w:r>
        <w:t xml:space="preserve">1.1 Interpretação e Semântica</w:t>
      </w:r>
    </w:p>
    <w:p>
      <w:pPr>
        <w:pStyle w:val="Heading3"/>
      </w:pPr>
      <w:r>
        <w:t xml:space="preserve">1. Compreensão e interpretação de textos</w:t>
      </w:r>
    </w:p>
    <w:p>
      <w:pPr/>
      <w:r>
        <w:rPr>
          <w:i/>
        </w:rPr>
        <w:t xml:space="preserve">Compreender</w:t>
      </w:r>
      <w:r>
        <w:t xml:space="preserve"> é entender o que está escrito. </w:t>
      </w:r>
      <w:r>
        <w:rPr>
          <w:i/>
        </w:rPr>
        <w:t xml:space="preserve">Interpretar</w:t>
      </w:r>
      <w:r>
        <w:t xml:space="preserve"> é concluir o que o texto sugere sem dizer.</w:t>
      </w:r>
    </w:p>
    <w:p>
      <w:pPr>
        <w:pStyle w:val="ListParagraph"/>
        <w:numPr>
          <w:ilvl w:val="0"/>
          <w:numId w:val="3"/>
        </w:numPr>
      </w:pPr>
      <w:r>
        <w:t xml:space="preserve">“João deixou o guarda-chuva pingando no corredor.” Conclusão: choveu (inferência).</w:t>
      </w:r>
    </w:p>
    <w:p>
      <w:pPr>
        <w:pStyle w:val="ListParagraph"/>
        <w:numPr>
          <w:ilvl w:val="0"/>
          <w:numId w:val="3"/>
        </w:numPr>
      </w:pPr>
      <w:r>
        <w:t xml:space="preserve">“O quartel só abre às 8h.” Isso é informação explícita.</w:t>
      </w:r>
    </w:p>
    <w:p>
      <w:pPr/>
      <w:r>
        <w:t xml:space="preserve">Pegadinha: a banca inventa alternativas que </w:t>
      </w:r>
      <w:r>
        <w:rPr>
          <w:b/>
        </w:rPr>
        <w:t xml:space="preserve">extrapolam</w:t>
      </w:r>
      <w:r>
        <w:t xml:space="preserve"> (dizem mais que o texto), </w:t>
      </w:r>
      <w:r>
        <w:rPr>
          <w:b/>
        </w:rPr>
        <w:t xml:space="preserve">reduzem</w:t>
      </w:r>
      <w:r>
        <w:t xml:space="preserve"> ou </w:t>
      </w:r>
      <w:r>
        <w:rPr>
          <w:b/>
        </w:rPr>
        <w:t xml:space="preserve">contradizem</w:t>
      </w:r>
      <w:r>
        <w:t xml:space="preserve"> o texto.</w:t>
      </w:r>
    </w:p>
    <w:p>
      <w:pPr>
        <w:pStyle w:val="Heading3"/>
      </w:pPr>
      <w:r>
        <w:t xml:space="preserve">2. Tipologias e gêneros</w:t>
      </w:r>
    </w:p>
    <w:p>
      <w:pPr/>
      <w:r>
        <w:rPr>
          <w:i/>
        </w:rPr>
        <w:t xml:space="preserve">Tipo</w:t>
      </w:r>
      <w:r>
        <w:t xml:space="preserve"> é a estrutura do texto: narração, descrição, dissertação, injunção (ordem ou instrução) e exposição. </w:t>
      </w:r>
      <w:r>
        <w:rPr>
          <w:i/>
        </w:rPr>
        <w:t xml:space="preserve">Gênero</w:t>
      </w:r>
      <w:r>
        <w:t xml:space="preserve"> é o formato social: notícia, boletim de ocorrência, ofício, receita.</w:t>
      </w:r>
    </w:p>
    <w:p>
      <w:pPr>
        <w:pStyle w:val="ListParagraph"/>
        <w:numPr>
          <w:ilvl w:val="0"/>
          <w:numId w:val="4"/>
        </w:numPr>
      </w:pPr>
      <w:r>
        <w:t xml:space="preserve">Boletim de ocorrência: gênero, com tipo predominantemente narrativo.</w:t>
      </w:r>
    </w:p>
    <w:p>
      <w:pPr>
        <w:pStyle w:val="ListParagraph"/>
        <w:numPr>
          <w:ilvl w:val="0"/>
          <w:numId w:val="4"/>
        </w:numPr>
      </w:pPr>
      <w:r>
        <w:t xml:space="preserve">Edital: gênero, com tipo injuntivo e expositivo.</w:t>
      </w:r>
    </w:p>
    <w:p>
      <w:pPr>
        <w:pStyle w:val="Heading3"/>
      </w:pPr>
      <w:r>
        <w:t xml:space="preserve">3. Figuras de linguagem</w:t>
      </w:r>
    </w:p>
    <w:p>
      <w:pPr>
        <w:pStyle w:val="ListParagraph"/>
        <w:numPr>
          <w:ilvl w:val="0"/>
          <w:numId w:val="5"/>
        </w:numPr>
      </w:pPr>
      <w:r>
        <w:t xml:space="preserve">Metáfora: “O policial é o escudo da população.”</w:t>
      </w:r>
    </w:p>
    <w:p>
      <w:pPr>
        <w:pStyle w:val="ListParagraph"/>
        <w:numPr>
          <w:ilvl w:val="0"/>
          <w:numId w:val="5"/>
        </w:numPr>
      </w:pPr>
      <w:r>
        <w:t xml:space="preserve">Metonímia: “Li Machado de Assis” (o autor no lugar da obra).</w:t>
      </w:r>
    </w:p>
    <w:p>
      <w:pPr>
        <w:pStyle w:val="ListParagraph"/>
        <w:numPr>
          <w:ilvl w:val="0"/>
          <w:numId w:val="5"/>
        </w:numPr>
      </w:pPr>
      <w:r>
        <w:t xml:space="preserve">Hipérbole: “Chorei um oceano.”</w:t>
      </w:r>
    </w:p>
    <w:p>
      <w:pPr>
        <w:pStyle w:val="ListParagraph"/>
        <w:numPr>
          <w:ilvl w:val="0"/>
          <w:numId w:val="5"/>
        </w:numPr>
      </w:pPr>
      <w:r>
        <w:t xml:space="preserve">Eufemismo: “Ele nos deixou” (morreu).</w:t>
      </w:r>
    </w:p>
    <w:p>
      <w:pPr>
        <w:pStyle w:val="ListParagraph"/>
        <w:numPr>
          <w:ilvl w:val="0"/>
          <w:numId w:val="5"/>
        </w:numPr>
      </w:pPr>
      <w:r>
        <w:t xml:space="preserve">Antítese: “Amor é fogo que arde sem se ver.”</w:t>
      </w:r>
    </w:p>
    <w:p>
      <w:pPr>
        <w:pStyle w:val="Heading3"/>
      </w:pPr>
      <w:r>
        <w:t xml:space="preserve">4. Relações entre orações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2"/>
        <w:gridCol w:w="3079"/>
        <w:gridCol w:w="4468"/>
      </w:tblGrid>
      <w:tr>
        <w:trPr>
          <w:tblHeader/>
        </w:trPr>
        <w:tc>
          <w:tcPr>
            <w:tcW w:w="1812" w:type="dxa"/>
            <w:shd w:val="clear" w:color="auto" w:fill="F2F2F2"/>
          </w:tcPr>
          <w:p>
            <w:pPr/>
            <w:r>
              <w:t xml:space="preserve">Relação</w:t>
            </w:r>
          </w:p>
        </w:tc>
        <w:tc>
          <w:tcPr>
            <w:tcW w:w="3079" w:type="dxa"/>
            <w:shd w:val="clear" w:color="auto" w:fill="F2F2F2"/>
          </w:tcPr>
          <w:p>
            <w:pPr/>
            <w:r>
              <w:t xml:space="preserve">Conectivos</w:t>
            </w:r>
          </w:p>
        </w:tc>
        <w:tc>
          <w:tcPr>
            <w:tcW w:w="4468" w:type="dxa"/>
            <w:shd w:val="clear" w:color="auto" w:fill="F2F2F2"/>
          </w:tcPr>
          <w:p>
            <w:pPr/>
            <w:r>
              <w:t xml:space="preserve">Exemplo</w:t>
            </w:r>
          </w:p>
        </w:tc>
      </w:tr>
      <w:tr>
        <w:tc>
          <w:tcPr>
            <w:tcW w:w="1812" w:type="dxa"/>
          </w:tcPr>
          <w:p>
            <w:pPr/>
            <w:r>
              <w:t xml:space="preserve">Oposição</w:t>
            </w:r>
          </w:p>
        </w:tc>
        <w:tc>
          <w:tcPr>
            <w:tcW w:w="3079" w:type="dxa"/>
          </w:tcPr>
          <w:p>
            <w:pPr/>
            <w:r>
              <w:t xml:space="preserve">mas, porém, contudo</w:t>
            </w:r>
          </w:p>
        </w:tc>
        <w:tc>
          <w:tcPr>
            <w:tcW w:w="4468" w:type="dxa"/>
          </w:tcPr>
          <w:p>
            <w:pPr/>
            <w:r>
              <w:t xml:space="preserve">Estudou, </w:t>
            </w:r>
            <w:r>
              <w:rPr>
                <w:b/>
              </w:rPr>
              <w:t xml:space="preserve">mas</w:t>
            </w:r>
            <w:r>
              <w:t xml:space="preserve"> não passou.</w:t>
            </w:r>
          </w:p>
        </w:tc>
      </w:tr>
      <w:tr>
        <w:tc>
          <w:tcPr>
            <w:tcW w:w="1812" w:type="dxa"/>
          </w:tcPr>
          <w:p>
            <w:pPr/>
            <w:r>
              <w:t xml:space="preserve">Concessão</w:t>
            </w:r>
          </w:p>
        </w:tc>
        <w:tc>
          <w:tcPr>
            <w:tcW w:w="3079" w:type="dxa"/>
          </w:tcPr>
          <w:p>
            <w:pPr/>
            <w:r>
              <w:t xml:space="preserve">embora, ainda que</w:t>
            </w:r>
          </w:p>
        </w:tc>
        <w:tc>
          <w:tcPr>
            <w:tcW w:w="4468" w:type="dxa"/>
          </w:tcPr>
          <w:p>
            <w:pPr/>
            <w:r>
              <w:rPr>
                <w:b/>
              </w:rPr>
              <w:t xml:space="preserve">Embora</w:t>
            </w:r>
            <w:r>
              <w:t xml:space="preserve"> estudasse, não passou.</w:t>
            </w:r>
          </w:p>
        </w:tc>
      </w:tr>
      <w:tr>
        <w:tc>
          <w:tcPr>
            <w:tcW w:w="1812" w:type="dxa"/>
          </w:tcPr>
          <w:p>
            <w:pPr/>
            <w:r>
              <w:t xml:space="preserve">Conclusão</w:t>
            </w:r>
          </w:p>
        </w:tc>
        <w:tc>
          <w:tcPr>
            <w:tcW w:w="3079" w:type="dxa"/>
          </w:tcPr>
          <w:p>
            <w:pPr/>
            <w:r>
              <w:t xml:space="preserve">logo, portanto</w:t>
            </w:r>
          </w:p>
        </w:tc>
        <w:tc>
          <w:tcPr>
            <w:tcW w:w="4468" w:type="dxa"/>
          </w:tcPr>
          <w:p>
            <w:pPr/>
            <w:r>
              <w:t xml:space="preserve">Estudou; </w:t>
            </w:r>
            <w:r>
              <w:rPr>
                <w:b/>
              </w:rPr>
              <w:t xml:space="preserve">logo</w:t>
            </w:r>
            <w:r>
              <w:t xml:space="preserve">, passará.</w:t>
            </w:r>
          </w:p>
        </w:tc>
      </w:tr>
      <w:tr>
        <w:tc>
          <w:tcPr>
            <w:tcW w:w="1812" w:type="dxa"/>
          </w:tcPr>
          <w:p>
            <w:pPr/>
            <w:r>
              <w:t xml:space="preserve">Causa</w:t>
            </w:r>
          </w:p>
        </w:tc>
        <w:tc>
          <w:tcPr>
            <w:tcW w:w="3079" w:type="dxa"/>
          </w:tcPr>
          <w:p>
            <w:pPr/>
            <w:r>
              <w:t xml:space="preserve">porque, já que</w:t>
            </w:r>
          </w:p>
        </w:tc>
        <w:tc>
          <w:tcPr>
            <w:tcW w:w="4468" w:type="dxa"/>
          </w:tcPr>
          <w:p>
            <w:pPr/>
            <w:r>
              <w:t xml:space="preserve">Passou </w:t>
            </w:r>
            <w:r>
              <w:rPr>
                <w:b/>
              </w:rPr>
              <w:t xml:space="preserve">porque</w:t>
            </w:r>
            <w:r>
              <w:t xml:space="preserve"> estudou.</w:t>
            </w:r>
          </w:p>
        </w:tc>
      </w:tr>
      <w:tr>
        <w:tc>
          <w:tcPr>
            <w:tcW w:w="1812" w:type="dxa"/>
          </w:tcPr>
          <w:p>
            <w:pPr/>
            <w:r>
              <w:t xml:space="preserve">Adição</w:t>
            </w:r>
          </w:p>
        </w:tc>
        <w:tc>
          <w:tcPr>
            <w:tcW w:w="3079" w:type="dxa"/>
          </w:tcPr>
          <w:p>
            <w:pPr/>
            <w:r>
              <w:t xml:space="preserve">e, além disso</w:t>
            </w:r>
          </w:p>
        </w:tc>
        <w:tc>
          <w:tcPr>
            <w:tcW w:w="4468" w:type="dxa"/>
          </w:tcPr>
          <w:p>
            <w:pPr/>
            <w:r>
              <w:t xml:space="preserve">Estudou </w:t>
            </w:r>
            <w:r>
              <w:rPr>
                <w:b/>
              </w:rPr>
              <w:t xml:space="preserve">e</w:t>
            </w:r>
            <w:r>
              <w:t xml:space="preserve"> treinou.</w:t>
            </w:r>
          </w:p>
        </w:tc>
      </w:tr>
      <w:tr>
        <w:tc>
          <w:tcPr>
            <w:tcW w:w="1812" w:type="dxa"/>
          </w:tcPr>
          <w:p>
            <w:pPr/>
            <w:r>
              <w:t xml:space="preserve">Alternância</w:t>
            </w:r>
          </w:p>
        </w:tc>
        <w:tc>
          <w:tcPr>
            <w:tcW w:w="3079" w:type="dxa"/>
          </w:tcPr>
          <w:p>
            <w:pPr/>
            <w:r>
              <w:t xml:space="preserve">ou, ora... ora</w:t>
            </w:r>
          </w:p>
        </w:tc>
        <w:tc>
          <w:tcPr>
            <w:tcW w:w="4468" w:type="dxa"/>
          </w:tcPr>
          <w:p>
            <w:pPr/>
            <w:r>
              <w:rPr>
                <w:b/>
              </w:rPr>
              <w:t xml:space="preserve">Ou</w:t>
            </w:r>
            <w:r>
              <w:t xml:space="preserve"> estuda </w:t>
            </w:r>
            <w:r>
              <w:rPr>
                <w:b/>
              </w:rPr>
              <w:t xml:space="preserve">ou</w:t>
            </w:r>
            <w:r>
              <w:t xml:space="preserve"> perde.</w:t>
            </w:r>
          </w:p>
        </w:tc>
      </w:tr>
    </w:tbl>
    <w:p>
      <w:pPr/>
      <w:r>
        <w:t xml:space="preserve">Cuidado: concessão e oposição parecem iguais, mas só a concessão admite o conectivo “embora”.</w:t>
      </w:r>
    </w:p>
    <w:p>
      <w:pPr>
        <w:pStyle w:val="Heading3"/>
      </w:pPr>
      <w:r>
        <w:t xml:space="preserve">17. Significação das palavras</w:t>
      </w:r>
    </w:p>
    <w:p>
      <w:pPr>
        <w:pStyle w:val="ListParagraph"/>
        <w:numPr>
          <w:ilvl w:val="0"/>
          <w:numId w:val="6"/>
        </w:numPr>
      </w:pPr>
      <w:r>
        <w:t xml:space="preserve">Sinônimo e antônimo: feliz e alegre; feliz e triste.</w:t>
      </w:r>
    </w:p>
    <w:p>
      <w:pPr>
        <w:pStyle w:val="ListParagraph"/>
        <w:numPr>
          <w:ilvl w:val="0"/>
          <w:numId w:val="6"/>
        </w:numPr>
      </w:pPr>
      <w:r>
        <w:t xml:space="preserve">Polissemia: “banco” (de sentar ou de dinheiro).</w:t>
      </w:r>
    </w:p>
    <w:p>
      <w:pPr>
        <w:pStyle w:val="ListParagraph"/>
        <w:numPr>
          <w:ilvl w:val="0"/>
          <w:numId w:val="6"/>
        </w:numPr>
      </w:pPr>
      <w:r>
        <w:t xml:space="preserve">Parônimos, que parecem iguais e confundem: </w:t>
      </w:r>
      <w:r>
        <w:rPr>
          <w:i/>
        </w:rPr>
        <w:t xml:space="preserve">ratificar</w:t>
      </w:r>
      <w:r>
        <w:t xml:space="preserve"> (confirmar) e </w:t>
      </w:r>
      <w:r>
        <w:rPr>
          <w:i/>
        </w:rPr>
        <w:t xml:space="preserve">retificar</w:t>
      </w:r>
      <w:r>
        <w:t xml:space="preserve"> (corrigir); </w:t>
      </w:r>
      <w:r>
        <w:rPr>
          <w:i/>
        </w:rPr>
        <w:t xml:space="preserve">infringir</w:t>
      </w:r>
      <w:r>
        <w:t xml:space="preserve"> (violar a lei) e </w:t>
      </w:r>
      <w:r>
        <w:rPr>
          <w:i/>
        </w:rPr>
        <w:t xml:space="preserve">infligir</w:t>
      </w:r>
      <w:r>
        <w:t xml:space="preserve"> (aplicar pena).</w:t>
      </w:r>
    </w:p>
    <w:p>
      <w:pPr>
        <w:pStyle w:val="ListParagraph"/>
        <w:numPr>
          <w:ilvl w:val="0"/>
          <w:numId w:val="6"/>
        </w:numPr>
      </w:pPr>
      <w:r>
        <w:t xml:space="preserve">Sentido denotativo é o literal; conotativo é o figurado.</w:t>
      </w:r>
    </w:p>
    <w:p>
      <w:pPr>
        <w:pStyle w:val="Heading3"/>
      </w:pPr>
      <w:r>
        <w:t xml:space="preserve">18. Variação linguística</w:t>
      </w:r>
    </w:p>
    <w:p>
      <w:pPr/>
      <w:r>
        <w:t xml:space="preserve">A língua muda conforme a região, a época, o grupo social e a situação.</w:t>
      </w:r>
    </w:p>
    <w:p>
      <w:pPr>
        <w:pStyle w:val="ListParagraph"/>
        <w:numPr>
          <w:ilvl w:val="0"/>
          <w:numId w:val="7"/>
        </w:numPr>
      </w:pPr>
      <w:r>
        <w:t xml:space="preserve">Regional: </w:t>
      </w:r>
      <w:r>
        <w:rPr>
          <w:i/>
        </w:rPr>
        <w:t xml:space="preserve">macaxeira</w:t>
      </w:r>
      <w:r>
        <w:t xml:space="preserve">, </w:t>
      </w:r>
      <w:r>
        <w:rPr>
          <w:i/>
        </w:rPr>
        <w:t xml:space="preserve">aipim</w:t>
      </w:r>
      <w:r>
        <w:t xml:space="preserve"> e </w:t>
      </w:r>
      <w:r>
        <w:rPr>
          <w:i/>
        </w:rPr>
        <w:t xml:space="preserve">mandioca</w:t>
      </w:r>
      <w:r>
        <w:t xml:space="preserve"> são a mesma raiz, com nomes diferentes.</w:t>
      </w:r>
    </w:p>
    <w:p>
      <w:pPr>
        <w:pStyle w:val="ListParagraph"/>
        <w:numPr>
          <w:ilvl w:val="0"/>
          <w:numId w:val="7"/>
        </w:numPr>
      </w:pPr>
      <w:r>
        <w:t xml:space="preserve">Situacional: num ofício se usa a norma culta; numa conversa informal, “tá”.</w:t>
      </w:r>
    </w:p>
    <w:p>
      <w:pPr/>
      <w:r>
        <w:t xml:space="preserve">Cuidado: variação não é “erro”. A banca costuma perguntar qual registro é adequado a cada situação.</w:t>
      </w:r>
    </w:p>
    <w:p>
      <w:pPr>
        <w:pStyle w:val="Heading2"/>
      </w:pPr>
      <w:r>
        <w:t xml:space="preserve">1.2 Ortografia e Acentuação</w:t>
      </w:r>
    </w:p>
    <w:p>
      <w:pPr>
        <w:pStyle w:val="Heading3"/>
      </w:pPr>
      <w:r>
        <w:t xml:space="preserve">5. Ortografia oficial (Acordo de 1990)</w:t>
      </w:r>
    </w:p>
    <w:p>
      <w:pPr>
        <w:pStyle w:val="ListParagraph"/>
        <w:numPr>
          <w:ilvl w:val="0"/>
          <w:numId w:val="8"/>
        </w:numPr>
      </w:pPr>
      <w:r>
        <w:t xml:space="preserve">O trema acabou: </w:t>
      </w:r>
      <w:r>
        <w:rPr>
          <w:i/>
        </w:rPr>
        <w:t xml:space="preserve">frequência</w:t>
      </w:r>
      <w:r>
        <w:t xml:space="preserve">, não “freqüência”.</w:t>
      </w:r>
    </w:p>
    <w:p>
      <w:pPr>
        <w:pStyle w:val="ListParagraph"/>
        <w:numPr>
          <w:ilvl w:val="0"/>
          <w:numId w:val="8"/>
        </w:numPr>
      </w:pPr>
      <w:r>
        <w:t xml:space="preserve">Ditongos abertos “ei” e “oi” em paroxítonas perderam o acento: </w:t>
      </w:r>
      <w:r>
        <w:rPr>
          <w:i/>
        </w:rPr>
        <w:t xml:space="preserve">ideia</w:t>
      </w:r>
      <w:r>
        <w:t xml:space="preserve">, </w:t>
      </w:r>
      <w:r>
        <w:rPr>
          <w:i/>
        </w:rPr>
        <w:t xml:space="preserve">heroico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 acento de hiato “oo” e “êem” caiu: </w:t>
      </w:r>
      <w:r>
        <w:rPr>
          <w:i/>
        </w:rPr>
        <w:t xml:space="preserve">voo</w:t>
      </w:r>
      <w:r>
        <w:t xml:space="preserve">, </w:t>
      </w:r>
      <w:r>
        <w:rPr>
          <w:i/>
        </w:rPr>
        <w:t xml:space="preserve">enjoo</w:t>
      </w:r>
      <w:r>
        <w:t xml:space="preserve">, </w:t>
      </w:r>
      <w:r>
        <w:rPr>
          <w:i/>
        </w:rPr>
        <w:t xml:space="preserve">leem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Hífen: “anti” + “social” vira </w:t>
      </w:r>
      <w:r>
        <w:rPr>
          <w:i/>
        </w:rPr>
        <w:t xml:space="preserve">antissocial</w:t>
      </w:r>
      <w:r>
        <w:t xml:space="preserve">; “anti” + “higiênico” vira </w:t>
      </w:r>
      <w:r>
        <w:rPr>
          <w:i/>
        </w:rPr>
        <w:t xml:space="preserve">anti-higiênico</w:t>
      </w:r>
      <w:r>
        <w:t xml:space="preserve">; “auto” + “escola” vira </w:t>
      </w:r>
      <w:r>
        <w:rPr>
          <w:i/>
        </w:rPr>
        <w:t xml:space="preserve">autoescola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As letras k, w e y voltaram ao alfabeto.</w:t>
      </w:r>
    </w:p>
    <w:p>
      <w:pPr>
        <w:pStyle w:val="Heading3"/>
      </w:pPr>
      <w:r>
        <w:t xml:space="preserve">6. Acentuação gráfica</w:t>
      </w:r>
    </w:p>
    <w:p>
      <w:pPr>
        <w:pStyle w:val="ListParagraph"/>
        <w:numPr>
          <w:ilvl w:val="0"/>
          <w:numId w:val="9"/>
        </w:numPr>
      </w:pPr>
      <w:r>
        <w:t xml:space="preserve">Oxítonas terminadas em a, e, o, em e ens: </w:t>
      </w:r>
      <w:r>
        <w:rPr>
          <w:i/>
        </w:rPr>
        <w:t xml:space="preserve">café</w:t>
      </w:r>
      <w:r>
        <w:t xml:space="preserve">, </w:t>
      </w:r>
      <w:r>
        <w:rPr>
          <w:i/>
        </w:rPr>
        <w:t xml:space="preserve">também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Paroxítonas que </w:t>
      </w:r>
      <w:r>
        <w:rPr>
          <w:b/>
        </w:rPr>
        <w:t xml:space="preserve">não</w:t>
      </w:r>
      <w:r>
        <w:t xml:space="preserve"> terminam nessas letras: </w:t>
      </w:r>
      <w:r>
        <w:rPr>
          <w:i/>
        </w:rPr>
        <w:t xml:space="preserve">fácil</w:t>
      </w:r>
      <w:r>
        <w:t xml:space="preserve">, </w:t>
      </w:r>
      <w:r>
        <w:rPr>
          <w:i/>
        </w:rPr>
        <w:t xml:space="preserve">útil</w:t>
      </w:r>
      <w:r>
        <w:t xml:space="preserve">, </w:t>
      </w:r>
      <w:r>
        <w:rPr>
          <w:i/>
        </w:rPr>
        <w:t xml:space="preserve">órgão</w:t>
      </w:r>
      <w:r>
        <w:t xml:space="preserve">, </w:t>
      </w:r>
      <w:r>
        <w:rPr>
          <w:i/>
        </w:rPr>
        <w:t xml:space="preserve">álbum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Todas as proparoxítonas: </w:t>
      </w:r>
      <w:r>
        <w:rPr>
          <w:i/>
        </w:rPr>
        <w:t xml:space="preserve">médico</w:t>
      </w:r>
      <w:r>
        <w:t xml:space="preserve">, </w:t>
      </w:r>
      <w:r>
        <w:rPr>
          <w:i/>
        </w:rPr>
        <w:t xml:space="preserve">química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Hiatos: </w:t>
      </w:r>
      <w:r>
        <w:rPr>
          <w:i/>
        </w:rPr>
        <w:t xml:space="preserve">saída</w:t>
      </w:r>
      <w:r>
        <w:t xml:space="preserve">, </w:t>
      </w:r>
      <w:r>
        <w:rPr>
          <w:i/>
        </w:rPr>
        <w:t xml:space="preserve">baú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Plural de “ter” e “vir” em 3ª pessoa: </w:t>
      </w:r>
      <w:r>
        <w:rPr>
          <w:i/>
        </w:rPr>
        <w:t xml:space="preserve">ele </w:t>
      </w:r>
      <w:r>
        <w:rPr>
          <w:b/>
          <w:i/>
        </w:rPr>
        <w:t xml:space="preserve">tem</w:t>
      </w:r>
      <w:r>
        <w:rPr>
          <w:i/>
        </w:rPr>
        <w:t xml:space="preserve">, eles </w:t>
      </w:r>
      <w:r>
        <w:rPr>
          <w:b/>
          <w:i/>
        </w:rPr>
        <w:t xml:space="preserve">têm</w:t>
      </w:r>
      <w:r>
        <w:rPr>
          <w:i/>
        </w:rPr>
        <w:t xml:space="preserve">; ele </w:t>
      </w:r>
      <w:r>
        <w:rPr>
          <w:b/>
          <w:i/>
        </w:rPr>
        <w:t xml:space="preserve">vem</w:t>
      </w:r>
      <w:r>
        <w:rPr>
          <w:i/>
        </w:rPr>
        <w:t xml:space="preserve">, eles </w:t>
      </w:r>
      <w:r>
        <w:rPr>
          <w:b/>
          <w:i/>
        </w:rPr>
        <w:t xml:space="preserve">vêm</w:t>
      </w:r>
      <w:r>
        <w:t xml:space="preserve">.</w:t>
      </w:r>
    </w:p>
    <w:p>
      <w:pPr>
        <w:pStyle w:val="Heading2"/>
      </w:pPr>
      <w:r>
        <w:t xml:space="preserve">1.3 Morfologia</w:t>
      </w:r>
    </w:p>
    <w:p>
      <w:pPr>
        <w:pStyle w:val="Heading3"/>
      </w:pPr>
      <w:r>
        <w:t xml:space="preserve">7. Classes de palavras</w:t>
      </w:r>
    </w:p>
    <w:p>
      <w:pPr/>
      <w:r>
        <w:t xml:space="preserve">Substantivo, adjetivo, artigo, numeral, pronome, verbo, advérbio, preposição, conjunção e interjeição.</w:t>
      </w:r>
    </w:p>
    <w:p>
      <w:pPr>
        <w:pStyle w:val="ListParagraph"/>
        <w:numPr>
          <w:ilvl w:val="0"/>
          <w:numId w:val="10"/>
        </w:numPr>
      </w:pPr>
      <w:r>
        <w:t xml:space="preserve">“O policial </w:t>
      </w:r>
      <w:r>
        <w:rPr>
          <w:b/>
        </w:rPr>
        <w:t xml:space="preserve">rapidamente</w:t>
      </w:r>
      <w:r>
        <w:t xml:space="preserve"> socorreu a vítima”: </w:t>
      </w:r>
      <w:r>
        <w:rPr>
          <w:i/>
        </w:rPr>
        <w:t xml:space="preserve">rapidamente</w:t>
      </w:r>
      <w:r>
        <w:t xml:space="preserve"> é advérbio.</w:t>
      </w:r>
    </w:p>
    <w:p>
      <w:pPr>
        <w:pStyle w:val="ListParagraph"/>
        <w:numPr>
          <w:ilvl w:val="0"/>
          <w:numId w:val="10"/>
        </w:numPr>
      </w:pPr>
      <w:r>
        <w:t xml:space="preserve">“O </w:t>
      </w:r>
      <w:r>
        <w:rPr>
          <w:b/>
        </w:rPr>
        <w:t xml:space="preserve">bom</w:t>
      </w:r>
      <w:r>
        <w:t xml:space="preserve"> é descansar”: </w:t>
      </w:r>
      <w:r>
        <w:rPr>
          <w:i/>
        </w:rPr>
        <w:t xml:space="preserve">bom</w:t>
      </w:r>
      <w:r>
        <w:t xml:space="preserve"> normalmente é adjetivo, mas aqui virou substantivo.</w:t>
      </w:r>
    </w:p>
    <w:p>
      <w:pPr/>
      <w:r>
        <w:t xml:space="preserve">Dica: a classe depende do uso da palavra na frase, não da palavra isolada.</w:t>
      </w:r>
    </w:p>
    <w:p>
      <w:pPr>
        <w:pStyle w:val="Heading3"/>
      </w:pPr>
      <w:r>
        <w:t xml:space="preserve">8. Crase</w:t>
      </w:r>
    </w:p>
    <w:p>
      <w:pPr/>
      <w:r>
        <w:t xml:space="preserve">Crase é a junção da preposição </w:t>
      </w:r>
      <w:r>
        <w:rPr>
          <w:b/>
        </w:rPr>
        <w:t xml:space="preserve">a</w:t>
      </w:r>
      <w:r>
        <w:t xml:space="preserve"> com o artigo ou pronome </w:t>
      </w:r>
      <w:r>
        <w:rPr>
          <w:b/>
        </w:rPr>
        <w:t xml:space="preserve">a(s)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Teste: troque a palavra feminina por uma masculina. Se aparecer “ao”, há crase. “Fui </w:t>
      </w:r>
      <w:r>
        <w:rPr>
          <w:b/>
        </w:rPr>
        <w:t xml:space="preserve">à</w:t>
      </w:r>
      <w:r>
        <w:t xml:space="preserve"> delegacia” (fui </w:t>
      </w:r>
      <w:r>
        <w:rPr>
          <w:b/>
        </w:rPr>
        <w:t xml:space="preserve">ao</w:t>
      </w:r>
      <w:r>
        <w:t xml:space="preserve"> quartel).</w:t>
      </w:r>
    </w:p>
    <w:p>
      <w:pPr>
        <w:pStyle w:val="ListParagraph"/>
        <w:numPr>
          <w:ilvl w:val="0"/>
          <w:numId w:val="11"/>
        </w:numPr>
      </w:pPr>
      <w:r>
        <w:t xml:space="preserve">Teste do lugar: “vou </w:t>
      </w:r>
      <w:r>
        <w:rPr>
          <w:b/>
        </w:rPr>
        <w:t xml:space="preserve">a</w:t>
      </w:r>
      <w:r>
        <w:t xml:space="preserve">, volto </w:t>
      </w:r>
      <w:r>
        <w:rPr>
          <w:b/>
        </w:rPr>
        <w:t xml:space="preserve">da</w:t>
      </w:r>
      <w:r>
        <w:t xml:space="preserve">” pede crase. “Vou </w:t>
      </w:r>
      <w:r>
        <w:rPr>
          <w:b/>
        </w:rPr>
        <w:t xml:space="preserve">à</w:t>
      </w:r>
      <w:r>
        <w:t xml:space="preserve"> Bahia; volto </w:t>
      </w:r>
      <w:r>
        <w:rPr>
          <w:b/>
        </w:rPr>
        <w:t xml:space="preserve">da</w:t>
      </w:r>
      <w:r>
        <w:t xml:space="preserve"> Bahia.”</w:t>
      </w:r>
    </w:p>
    <w:p>
      <w:pPr>
        <w:pStyle w:val="ListParagraph"/>
        <w:numPr>
          <w:ilvl w:val="0"/>
          <w:numId w:val="11"/>
        </w:numPr>
      </w:pPr>
      <w:r>
        <w:t xml:space="preserve">“Vou </w:t>
      </w:r>
      <w:r>
        <w:rPr>
          <w:b/>
        </w:rPr>
        <w:t xml:space="preserve">a</w:t>
      </w:r>
      <w:r>
        <w:t xml:space="preserve"> Recife; volto </w:t>
      </w:r>
      <w:r>
        <w:rPr>
          <w:b/>
        </w:rPr>
        <w:t xml:space="preserve">de</w:t>
      </w:r>
      <w:r>
        <w:t xml:space="preserve"> Recife”: sem crase.</w:t>
      </w:r>
    </w:p>
    <w:p>
      <w:pPr>
        <w:pStyle w:val="ListParagraph"/>
        <w:numPr>
          <w:ilvl w:val="0"/>
          <w:numId w:val="11"/>
        </w:numPr>
      </w:pPr>
      <w:r>
        <w:t xml:space="preserve">Nunca há crase antes de verbo, de pronome pessoal (“entreguei </w:t>
      </w:r>
      <w:r>
        <w:rPr>
          <w:b/>
        </w:rPr>
        <w:t xml:space="preserve">a</w:t>
      </w:r>
      <w:r>
        <w:t xml:space="preserve"> ela”) nem de palavras masculinas.</w:t>
      </w:r>
    </w:p>
    <w:p>
      <w:pPr>
        <w:pStyle w:val="ListParagraph"/>
        <w:numPr>
          <w:ilvl w:val="0"/>
          <w:numId w:val="11"/>
        </w:numPr>
      </w:pPr>
      <w:r>
        <w:t xml:space="preserve">Com horas é obrigatória: “às 8h”.</w:t>
      </w:r>
    </w:p>
    <w:p>
      <w:pPr>
        <w:pStyle w:val="Heading3"/>
      </w:pPr>
      <w:r>
        <w:t xml:space="preserve">16. Formação de palavras</w:t>
      </w:r>
    </w:p>
    <w:p>
      <w:pPr>
        <w:pStyle w:val="ListParagraph"/>
        <w:numPr>
          <w:ilvl w:val="0"/>
          <w:numId w:val="12"/>
        </w:numPr>
      </w:pPr>
      <w:r>
        <w:t xml:space="preserve">Derivação prefixal: </w:t>
      </w:r>
      <w:r>
        <w:rPr>
          <w:i/>
        </w:rPr>
        <w:t xml:space="preserve">desleal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Derivação sufixal: </w:t>
      </w:r>
      <w:r>
        <w:rPr>
          <w:i/>
        </w:rPr>
        <w:t xml:space="preserve">lealdade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Parassintética (prefixo e sufixo juntos): </w:t>
      </w:r>
      <w:r>
        <w:rPr>
          <w:i/>
        </w:rPr>
        <w:t xml:space="preserve">entardecer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Regressiva (substantivo que vem do verbo): </w:t>
      </w:r>
      <w:r>
        <w:rPr>
          <w:i/>
        </w:rPr>
        <w:t xml:space="preserve">venda</w:t>
      </w:r>
      <w:r>
        <w:t xml:space="preserve">, de vender.</w:t>
      </w:r>
    </w:p>
    <w:p>
      <w:pPr>
        <w:pStyle w:val="ListParagraph"/>
        <w:numPr>
          <w:ilvl w:val="0"/>
          <w:numId w:val="12"/>
        </w:numPr>
      </w:pPr>
      <w:r>
        <w:t xml:space="preserve">Composição por justaposição: </w:t>
      </w:r>
      <w:r>
        <w:rPr>
          <w:i/>
        </w:rPr>
        <w:t xml:space="preserve">guarda-chuva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Composição por aglutinação: </w:t>
      </w:r>
      <w:r>
        <w:rPr>
          <w:i/>
        </w:rPr>
        <w:t xml:space="preserve">planalto</w:t>
      </w:r>
      <w:r>
        <w:t xml:space="preserve"> (plano + alto).</w:t>
      </w:r>
    </w:p>
    <w:p>
      <w:pPr>
        <w:pStyle w:val="ListParagraph"/>
        <w:numPr>
          <w:ilvl w:val="0"/>
          <w:numId w:val="12"/>
        </w:numPr>
      </w:pPr>
      <w:r>
        <w:t xml:space="preserve">Siglas e abreviações: </w:t>
      </w:r>
      <w:r>
        <w:rPr>
          <w:i/>
        </w:rPr>
        <w:t xml:space="preserve">PM</w:t>
      </w:r>
      <w:r>
        <w:t xml:space="preserve">.</w:t>
      </w:r>
    </w:p>
    <w:p>
      <w:pPr>
        <w:pStyle w:val="Heading2"/>
      </w:pPr>
      <w:r>
        <w:t xml:space="preserve">1.4 Sintaxe</w:t>
      </w:r>
    </w:p>
    <w:p>
      <w:pPr>
        <w:pStyle w:val="Heading3"/>
      </w:pPr>
      <w:r>
        <w:t xml:space="preserve">9. Sintaxe da oração e do período</w:t>
      </w:r>
    </w:p>
    <w:p>
      <w:pPr>
        <w:pStyle w:val="ListParagraph"/>
        <w:numPr>
          <w:ilvl w:val="0"/>
          <w:numId w:val="13"/>
        </w:numPr>
      </w:pPr>
      <w:r>
        <w:t xml:space="preserve">Termos essenciais: sujeito e predicado.</w:t>
      </w:r>
    </w:p>
    <w:p>
      <w:pPr>
        <w:pStyle w:val="ListParagraph"/>
        <w:numPr>
          <w:ilvl w:val="0"/>
          <w:numId w:val="13"/>
        </w:numPr>
      </w:pPr>
      <w:r>
        <w:t xml:space="preserve">Termos integrantes: objeto direto, objeto indireto e complemento nominal.</w:t>
      </w:r>
    </w:p>
    <w:p>
      <w:pPr>
        <w:pStyle w:val="ListParagraph"/>
        <w:numPr>
          <w:ilvl w:val="0"/>
          <w:numId w:val="13"/>
        </w:numPr>
      </w:pPr>
      <w:r>
        <w:t xml:space="preserve">Termos acessórios: adjunto adnominal, adjunto adverbial, aposto e vocativo.</w:t>
      </w:r>
    </w:p>
    <w:p>
      <w:pPr>
        <w:pStyle w:val="ListParagraph"/>
        <w:numPr>
          <w:ilvl w:val="0"/>
          <w:numId w:val="13"/>
        </w:numPr>
      </w:pPr>
      <w:r>
        <w:t xml:space="preserve">“Os policiais prenderam o suspeito </w:t>
      </w:r>
      <w:r>
        <w:rPr>
          <w:b/>
        </w:rPr>
        <w:t xml:space="preserve">ontem</w:t>
      </w:r>
      <w:r>
        <w:t xml:space="preserve">”: sujeito = </w:t>
      </w:r>
      <w:r>
        <w:rPr>
          <w:i/>
        </w:rPr>
        <w:t xml:space="preserve">os policiais</w:t>
      </w:r>
      <w:r>
        <w:t xml:space="preserve">; objeto direto = </w:t>
      </w:r>
      <w:r>
        <w:rPr>
          <w:i/>
        </w:rPr>
        <w:t xml:space="preserve">o suspeito</w:t>
      </w:r>
      <w:r>
        <w:t xml:space="preserve">; adjunto adverbial de tempo = </w:t>
      </w:r>
      <w:r>
        <w:rPr>
          <w:i/>
        </w:rPr>
        <w:t xml:space="preserve">ontem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Período simples tem um verbo. Período composto tem mais de um.</w:t>
      </w:r>
    </w:p>
    <w:p>
      <w:pPr>
        <w:pStyle w:val="ListParagraph"/>
        <w:numPr>
          <w:ilvl w:val="0"/>
          <w:numId w:val="13"/>
        </w:numPr>
      </w:pPr>
      <w:r>
        <w:t xml:space="preserve">Coordenação: “Estudou, </w:t>
      </w:r>
      <w:r>
        <w:rPr>
          <w:b/>
        </w:rPr>
        <w:t xml:space="preserve">mas</w:t>
      </w:r>
      <w:r>
        <w:t xml:space="preserve"> não passou.” Subordinação: “Espero </w:t>
      </w:r>
      <w:r>
        <w:rPr>
          <w:b/>
        </w:rPr>
        <w:t xml:space="preserve">que você passe</w:t>
      </w:r>
      <w:r>
        <w:t xml:space="preserve">.”</w:t>
      </w:r>
    </w:p>
    <w:p>
      <w:pPr>
        <w:pStyle w:val="Heading3"/>
      </w:pPr>
      <w:r>
        <w:t xml:space="preserve">10. Funções do “que” e do “se”</w:t>
      </w:r>
    </w:p>
    <w:p>
      <w:pPr>
        <w:pStyle w:val="ListParagraph"/>
        <w:numPr>
          <w:ilvl w:val="0"/>
          <w:numId w:val="14"/>
        </w:numPr>
      </w:pPr>
      <w:r>
        <w:t xml:space="preserve">QUE pronome relativo: “O candidato </w:t>
      </w:r>
      <w:r>
        <w:rPr>
          <w:b/>
        </w:rPr>
        <w:t xml:space="preserve">que</w:t>
      </w:r>
      <w:r>
        <w:t xml:space="preserve"> estudou passou” (equivale a “o qual”).</w:t>
      </w:r>
    </w:p>
    <w:p>
      <w:pPr>
        <w:pStyle w:val="ListParagraph"/>
        <w:numPr>
          <w:ilvl w:val="0"/>
          <w:numId w:val="14"/>
        </w:numPr>
      </w:pPr>
      <w:r>
        <w:t xml:space="preserve">QUE conjunção integrante: “Disse </w:t>
      </w:r>
      <w:r>
        <w:rPr>
          <w:b/>
        </w:rPr>
        <w:t xml:space="preserve">que</w:t>
      </w:r>
      <w:r>
        <w:t xml:space="preserve"> viria.”</w:t>
      </w:r>
    </w:p>
    <w:p>
      <w:pPr>
        <w:pStyle w:val="ListParagraph"/>
        <w:numPr>
          <w:ilvl w:val="0"/>
          <w:numId w:val="14"/>
        </w:numPr>
      </w:pPr>
      <w:r>
        <w:t xml:space="preserve">QUE advérbio de intensidade: “</w:t>
      </w:r>
      <w:r>
        <w:rPr>
          <w:b/>
        </w:rPr>
        <w:t xml:space="preserve">Que</w:t>
      </w:r>
      <w:r>
        <w:t xml:space="preserve"> bonito!”</w:t>
      </w:r>
    </w:p>
    <w:p>
      <w:pPr>
        <w:pStyle w:val="ListParagraph"/>
        <w:numPr>
          <w:ilvl w:val="0"/>
          <w:numId w:val="14"/>
        </w:numPr>
      </w:pPr>
      <w:r>
        <w:t xml:space="preserve">SE conjunção integrante: “Não sei </w:t>
      </w:r>
      <w:r>
        <w:rPr>
          <w:b/>
        </w:rPr>
        <w:t xml:space="preserve">se</w:t>
      </w:r>
      <w:r>
        <w:t xml:space="preserve"> ele virá.”</w:t>
      </w:r>
    </w:p>
    <w:p>
      <w:pPr>
        <w:pStyle w:val="ListParagraph"/>
        <w:numPr>
          <w:ilvl w:val="0"/>
          <w:numId w:val="14"/>
        </w:numPr>
      </w:pPr>
      <w:r>
        <w:t xml:space="preserve">SE conjunção condicional: “</w:t>
      </w:r>
      <w:r>
        <w:rPr>
          <w:b/>
        </w:rPr>
        <w:t xml:space="preserve">Se</w:t>
      </w:r>
      <w:r>
        <w:t xml:space="preserve"> chover, não vou.”</w:t>
      </w:r>
    </w:p>
    <w:p>
      <w:pPr>
        <w:pStyle w:val="ListParagraph"/>
        <w:numPr>
          <w:ilvl w:val="0"/>
          <w:numId w:val="14"/>
        </w:numPr>
      </w:pPr>
      <w:r>
        <w:t xml:space="preserve">SE apassivador: “Vendem-</w:t>
      </w:r>
      <w:r>
        <w:rPr>
          <w:b/>
        </w:rPr>
        <w:t xml:space="preserve">se</w:t>
      </w:r>
      <w:r>
        <w:t xml:space="preserve"> casas” (as casas são vendidas).</w:t>
      </w:r>
    </w:p>
    <w:p>
      <w:pPr>
        <w:pStyle w:val="ListParagraph"/>
        <w:numPr>
          <w:ilvl w:val="0"/>
          <w:numId w:val="14"/>
        </w:numPr>
      </w:pPr>
      <w:r>
        <w:t xml:space="preserve">SE indeterminador: “Precisa-</w:t>
      </w:r>
      <w:r>
        <w:rPr>
          <w:b/>
        </w:rPr>
        <w:t xml:space="preserve">se</w:t>
      </w:r>
      <w:r>
        <w:t xml:space="preserve"> de policiais.”</w:t>
      </w:r>
    </w:p>
    <w:p>
      <w:pPr>
        <w:pStyle w:val="ListParagraph"/>
        <w:numPr>
          <w:ilvl w:val="0"/>
          <w:numId w:val="14"/>
        </w:numPr>
      </w:pPr>
      <w:r>
        <w:t xml:space="preserve">SE reflexivo: “Ele </w:t>
      </w:r>
      <w:r>
        <w:rPr>
          <w:b/>
        </w:rPr>
        <w:t xml:space="preserve">se</w:t>
      </w:r>
      <w:r>
        <w:t xml:space="preserve"> feriu.”</w:t>
      </w:r>
    </w:p>
    <w:p>
      <w:pPr>
        <w:pStyle w:val="Heading3"/>
      </w:pPr>
      <w:r>
        <w:t xml:space="preserve">13. Concordância</w:t>
      </w:r>
    </w:p>
    <w:p>
      <w:pPr>
        <w:pStyle w:val="ListParagraph"/>
        <w:numPr>
          <w:ilvl w:val="0"/>
          <w:numId w:val="15"/>
        </w:numPr>
      </w:pPr>
      <w:r>
        <w:t xml:space="preserve">Verbal: “Faz dois anos que estudo” (verbo </w:t>
      </w:r>
      <w:r>
        <w:rPr>
          <w:i/>
        </w:rPr>
        <w:t xml:space="preserve">fazer</w:t>
      </w:r>
      <w:r>
        <w:t xml:space="preserve"> indicando tempo é impessoal e fica no singular). “Há muitos candidatos” (</w:t>
      </w:r>
      <w:r>
        <w:rPr>
          <w:i/>
        </w:rPr>
        <w:t xml:space="preserve">haver</w:t>
      </w:r>
      <w:r>
        <w:t xml:space="preserve"> no sentido de existir também).</w:t>
      </w:r>
    </w:p>
    <w:p>
      <w:pPr>
        <w:pStyle w:val="ListParagraph"/>
        <w:numPr>
          <w:ilvl w:val="0"/>
          <w:numId w:val="15"/>
        </w:numPr>
      </w:pPr>
      <w:r>
        <w:t xml:space="preserve">Verbal: “Vendem-se casas”, com o verbo no plural, e “Precisa-se de casas”, no singular.</w:t>
      </w:r>
    </w:p>
    <w:p>
      <w:pPr>
        <w:pStyle w:val="ListParagraph"/>
        <w:numPr>
          <w:ilvl w:val="0"/>
          <w:numId w:val="15"/>
        </w:numPr>
      </w:pPr>
      <w:r>
        <w:t xml:space="preserve">Nominal: “É proibida </w:t>
      </w:r>
      <w:r>
        <w:rPr>
          <w:b/>
        </w:rPr>
        <w:t xml:space="preserve">a</w:t>
      </w:r>
      <w:r>
        <w:t xml:space="preserve"> entrada” (com artigo, concorda); “É proibido entrada” (sem artigo, fica no masculino).</w:t>
      </w:r>
    </w:p>
    <w:p>
      <w:pPr>
        <w:pStyle w:val="ListParagraph"/>
        <w:numPr>
          <w:ilvl w:val="0"/>
          <w:numId w:val="15"/>
        </w:numPr>
      </w:pPr>
      <w:r>
        <w:rPr>
          <w:i/>
        </w:rPr>
        <w:t xml:space="preserve">Meio</w:t>
      </w:r>
      <w:r>
        <w:t xml:space="preserve"> como advérbio não varia: “Ela está </w:t>
      </w:r>
      <w:r>
        <w:rPr>
          <w:b/>
        </w:rPr>
        <w:t xml:space="preserve">meio</w:t>
      </w:r>
      <w:r>
        <w:t xml:space="preserve"> cansada.”</w:t>
      </w:r>
    </w:p>
    <w:p>
      <w:pPr>
        <w:pStyle w:val="ListParagraph"/>
        <w:numPr>
          <w:ilvl w:val="0"/>
          <w:numId w:val="15"/>
        </w:numPr>
      </w:pPr>
      <w:r>
        <w:rPr>
          <w:i/>
        </w:rPr>
        <w:t xml:space="preserve">Anexo</w:t>
      </w:r>
      <w:r>
        <w:t xml:space="preserve"> varia: “As fotos seguem </w:t>
      </w:r>
      <w:r>
        <w:rPr>
          <w:b/>
        </w:rPr>
        <w:t xml:space="preserve">anexas</w:t>
      </w:r>
      <w:r>
        <w:t xml:space="preserve">.”</w:t>
      </w:r>
    </w:p>
    <w:p>
      <w:pPr>
        <w:pStyle w:val="Heading3"/>
      </w:pPr>
      <w:r>
        <w:t xml:space="preserve">14. Regência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Assistir</w:t>
      </w:r>
      <w:r>
        <w:t xml:space="preserve"> (ver) pede “a”: “Assisti </w:t>
      </w:r>
      <w:r>
        <w:rPr>
          <w:b/>
        </w:rPr>
        <w:t xml:space="preserve">ao</w:t>
      </w:r>
      <w:r>
        <w:t xml:space="preserve"> jogo.”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Preferir</w:t>
      </w:r>
      <w:r>
        <w:t xml:space="preserve"> pede “a”, nunca “do que”: “Prefiro estudar </w:t>
      </w:r>
      <w:r>
        <w:rPr>
          <w:b/>
        </w:rPr>
        <w:t xml:space="preserve">a</w:t>
      </w:r>
      <w:r>
        <w:t xml:space="preserve"> dormir.”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Obedecer a</w:t>
      </w:r>
      <w:r>
        <w:t xml:space="preserve">: “Obedeço </w:t>
      </w:r>
      <w:r>
        <w:rPr>
          <w:b/>
        </w:rPr>
        <w:t xml:space="preserve">às</w:t>
      </w:r>
      <w:r>
        <w:t xml:space="preserve"> ordens.”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Visar</w:t>
      </w:r>
      <w:r>
        <w:t xml:space="preserve"> (ter como objetivo) pede “a”: “Visava </w:t>
      </w:r>
      <w:r>
        <w:rPr>
          <w:b/>
        </w:rPr>
        <w:t xml:space="preserve">ao</w:t>
      </w:r>
      <w:r>
        <w:t xml:space="preserve"> cargo.”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Chegar</w:t>
      </w:r>
      <w:r>
        <w:t xml:space="preserve"> e </w:t>
      </w:r>
      <w:r>
        <w:rPr>
          <w:i/>
        </w:rPr>
        <w:t xml:space="preserve">ir</w:t>
      </w:r>
      <w:r>
        <w:t xml:space="preserve"> pedem “a”: “Cheguei </w:t>
      </w:r>
      <w:r>
        <w:rPr>
          <w:b/>
        </w:rPr>
        <w:t xml:space="preserve">ao</w:t>
      </w:r>
      <w:r>
        <w:t xml:space="preserve"> quartel.”</w:t>
      </w:r>
    </w:p>
    <w:p>
      <w:pPr>
        <w:pStyle w:val="ListParagraph"/>
        <w:numPr>
          <w:ilvl w:val="0"/>
          <w:numId w:val="16"/>
        </w:numPr>
      </w:pPr>
      <w:r>
        <w:rPr>
          <w:i/>
        </w:rPr>
        <w:t xml:space="preserve">Lembrar</w:t>
      </w:r>
      <w:r>
        <w:t xml:space="preserve"> algo; </w:t>
      </w:r>
      <w:r>
        <w:rPr>
          <w:i/>
        </w:rPr>
        <w:t xml:space="preserve">lembrar-se</w:t>
      </w:r>
      <w:r>
        <w:t xml:space="preserve"> </w:t>
      </w:r>
      <w:r>
        <w:rPr>
          <w:b/>
        </w:rPr>
        <w:t xml:space="preserve">de</w:t>
      </w:r>
      <w:r>
        <w:t xml:space="preserve"> algo.</w:t>
      </w:r>
    </w:p>
    <w:p>
      <w:pPr>
        <w:pStyle w:val="Heading3"/>
      </w:pPr>
      <w:r>
        <w:t xml:space="preserve">15. Colocação pronominal</w:t>
      </w:r>
    </w:p>
    <w:p>
      <w:pPr>
        <w:pStyle w:val="ListParagraph"/>
        <w:numPr>
          <w:ilvl w:val="0"/>
          <w:numId w:val="17"/>
        </w:numPr>
      </w:pPr>
      <w:r>
        <w:t xml:space="preserve">Próclise (antes do verbo): depois de negação, de pronome relativo e de advérbio: “</w:t>
      </w:r>
      <w:r>
        <w:rPr>
          <w:b/>
        </w:rPr>
        <w:t xml:space="preserve">Não</w:t>
      </w:r>
      <w:r>
        <w:t xml:space="preserve"> me disse”; “O policial </w:t>
      </w:r>
      <w:r>
        <w:rPr>
          <w:b/>
        </w:rPr>
        <w:t xml:space="preserve">que</w:t>
      </w:r>
      <w:r>
        <w:t xml:space="preserve"> me atendeu.”</w:t>
      </w:r>
    </w:p>
    <w:p>
      <w:pPr>
        <w:pStyle w:val="ListParagraph"/>
        <w:numPr>
          <w:ilvl w:val="0"/>
          <w:numId w:val="17"/>
        </w:numPr>
      </w:pPr>
      <w:r>
        <w:t xml:space="preserve">Ênclise (depois do verbo): em início de frase e no imperativo afirmativo: “Disseram-</w:t>
      </w:r>
      <w:r>
        <w:rPr>
          <w:b/>
        </w:rPr>
        <w:t xml:space="preserve">me</w:t>
      </w:r>
      <w:r>
        <w:t xml:space="preserve">”; “Entregue-</w:t>
      </w:r>
      <w:r>
        <w:rPr>
          <w:b/>
        </w:rPr>
        <w:t xml:space="preserve">me</w:t>
      </w:r>
      <w:r>
        <w:t xml:space="preserve">.”</w:t>
      </w:r>
    </w:p>
    <w:p>
      <w:pPr>
        <w:pStyle w:val="ListParagraph"/>
        <w:numPr>
          <w:ilvl w:val="0"/>
          <w:numId w:val="17"/>
        </w:numPr>
      </w:pPr>
      <w:r>
        <w:t xml:space="preserve">Mesóclise (no meio): só com futuro do presente e do pretérito, e sem palavra atrativa: “Entregar-</w:t>
      </w:r>
      <w:r>
        <w:rPr>
          <w:b/>
        </w:rPr>
        <w:t xml:space="preserve">lhe</w:t>
      </w:r>
      <w:r>
        <w:t xml:space="preserve">-ei.”</w:t>
      </w:r>
    </w:p>
    <w:p>
      <w:pPr>
        <w:pStyle w:val="ListParagraph"/>
        <w:numPr>
          <w:ilvl w:val="0"/>
          <w:numId w:val="17"/>
        </w:numPr>
      </w:pPr>
      <w:r>
        <w:t xml:space="preserve">Nunca se usa ênclise após o particípio.</w:t>
      </w:r>
    </w:p>
    <w:p>
      <w:pPr>
        <w:pStyle w:val="Heading2"/>
      </w:pPr>
      <w:r>
        <w:t xml:space="preserve">1.5 Coesão e Pontuação</w:t>
      </w:r>
    </w:p>
    <w:p>
      <w:pPr>
        <w:pStyle w:val="Heading3"/>
      </w:pPr>
      <w:r>
        <w:t xml:space="preserve">11. Coesão textual</w:t>
      </w:r>
    </w:p>
    <w:p>
      <w:pPr/>
      <w:r>
        <w:t xml:space="preserve">Coesão é a “costura” entre as partes do texto.</w:t>
      </w:r>
    </w:p>
    <w:p>
      <w:pPr>
        <w:pStyle w:val="ListParagraph"/>
        <w:numPr>
          <w:ilvl w:val="0"/>
          <w:numId w:val="18"/>
        </w:numPr>
      </w:pPr>
      <w:r>
        <w:t xml:space="preserve">Referencial: “O delegado chegou. </w:t>
      </w:r>
      <w:r>
        <w:rPr>
          <w:b/>
        </w:rPr>
        <w:t xml:space="preserve">Ele</w:t>
      </w:r>
      <w:r>
        <w:t xml:space="preserve"> pediu o relatório.” (</w:t>
      </w:r>
      <w:r>
        <w:rPr>
          <w:i/>
        </w:rPr>
        <w:t xml:space="preserve">ele</w:t>
      </w:r>
      <w:r>
        <w:t xml:space="preserve"> retoma </w:t>
      </w:r>
      <w:r>
        <w:rPr>
          <w:i/>
        </w:rPr>
        <w:t xml:space="preserve">delegado</w:t>
      </w:r>
      <w:r>
        <w:t xml:space="preserve">)</w:t>
      </w:r>
    </w:p>
    <w:p>
      <w:pPr>
        <w:pStyle w:val="ListParagraph"/>
        <w:numPr>
          <w:ilvl w:val="0"/>
          <w:numId w:val="18"/>
        </w:numPr>
      </w:pPr>
      <w:r>
        <w:t xml:space="preserve">Por sinônimo: “O delegado recebeu o relatório. </w:t>
      </w:r>
      <w:r>
        <w:rPr>
          <w:b/>
        </w:rPr>
        <w:t xml:space="preserve">O documento</w:t>
      </w:r>
      <w:r>
        <w:t xml:space="preserve"> estava incompleto.”</w:t>
      </w:r>
    </w:p>
    <w:p>
      <w:pPr>
        <w:pStyle w:val="ListParagraph"/>
        <w:numPr>
          <w:ilvl w:val="0"/>
          <w:numId w:val="18"/>
        </w:numPr>
      </w:pPr>
      <w:r>
        <w:t xml:space="preserve">Sequencial: conectivos como </w:t>
      </w:r>
      <w:r>
        <w:rPr>
          <w:i/>
        </w:rPr>
        <w:t xml:space="preserve">porém</w:t>
      </w:r>
      <w:r>
        <w:t xml:space="preserve">, </w:t>
      </w:r>
      <w:r>
        <w:rPr>
          <w:i/>
        </w:rPr>
        <w:t xml:space="preserve">além disso</w:t>
      </w:r>
      <w:r>
        <w:t xml:space="preserve">, </w:t>
      </w:r>
      <w:r>
        <w:rPr>
          <w:i/>
        </w:rPr>
        <w:t xml:space="preserve">portanto</w:t>
      </w:r>
      <w:r>
        <w:t xml:space="preserve">.</w:t>
      </w:r>
    </w:p>
    <w:p>
      <w:pPr>
        <w:pStyle w:val="Heading3"/>
      </w:pPr>
      <w:r>
        <w:t xml:space="preserve">12. Pontuação</w:t>
      </w:r>
    </w:p>
    <w:p>
      <w:pPr>
        <w:pStyle w:val="ListParagraph"/>
        <w:numPr>
          <w:ilvl w:val="0"/>
          <w:numId w:val="19"/>
        </w:numPr>
      </w:pPr>
      <w:r>
        <w:t xml:space="preserve">Vírgula separa aposto: “Maria, </w:t>
      </w:r>
      <w:r>
        <w:rPr>
          <w:b/>
        </w:rPr>
        <w:t xml:space="preserve">a delegada</w:t>
      </w:r>
      <w:r>
        <w:t xml:space="preserve">, chegou.” Também separa vocativo, adjunto adverbial deslocado e elementos de enumeração.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Nunca</w:t>
      </w:r>
      <w:r>
        <w:t xml:space="preserve"> se separa sujeito de verbo, nem verbo de complemento.</w:t>
      </w:r>
    </w:p>
    <w:p>
      <w:pPr>
        <w:pStyle w:val="ListParagraph"/>
        <w:numPr>
          <w:ilvl w:val="0"/>
          <w:numId w:val="19"/>
        </w:numPr>
      </w:pPr>
      <w:r>
        <w:t xml:space="preserve">A vírgula muda o sentido: “Os policiais, que estavam de folga, foram chamados” (</w:t>
      </w:r>
      <w:r>
        <w:rPr>
          <w:b/>
        </w:rPr>
        <w:t xml:space="preserve">todos</w:t>
      </w:r>
      <w:r>
        <w:t xml:space="preserve"> estavam de folga). Sem vírgula, “Os policiais que estavam de folga foram chamados” (só </w:t>
      </w:r>
      <w:r>
        <w:rPr>
          <w:b/>
        </w:rPr>
        <w:t xml:space="preserve">alguns</w:t>
      </w:r>
      <w:r>
        <w:t xml:space="preserve">).</w:t>
      </w:r>
    </w:p>
    <w:p>
      <w:pPr>
        <w:pStyle w:val="ListParagraph"/>
        <w:numPr>
          <w:ilvl w:val="0"/>
          <w:numId w:val="19"/>
        </w:numPr>
      </w:pPr>
      <w:r>
        <w:t xml:space="preserve">Dois-pontos introduzem enumeração, citação ou explicação.</w:t>
      </w:r>
    </w:p>
    <w:p>
      <w:pPr>
        <w:pStyle w:val="ListParagraph"/>
        <w:numPr>
          <w:ilvl w:val="0"/>
          <w:numId w:val="19"/>
        </w:numPr>
      </w:pPr>
      <w:r>
        <w:t xml:space="preserve">Ponto e vírgula separa itens longos ou orações já pontuadas.</w:t>
      </w:r>
    </w:p>
    <w:p>
      <w:pPr>
        <w:pStyle w:val="Heading2"/>
      </w:pPr>
      <w:r>
        <w:t xml:space="preserve">Modelos de questão (estilo AOCP)</w:t>
      </w:r>
    </w:p>
    <w:p>
      <w:pPr>
        <w:pStyle w:val="ListParagraph"/>
        <w:numPr>
          <w:ilvl w:val="0"/>
          <w:numId w:val="20"/>
        </w:numPr>
      </w:pPr>
      <w:r>
        <w:t xml:space="preserve">“Embora tenha estudado, não passou.” A relação entre as orações é de: (a) causa (b) </w:t>
      </w:r>
      <w:r>
        <w:rPr>
          <w:b/>
        </w:rPr>
        <w:t xml:space="preserve">concessão</w:t>
      </w:r>
      <w:r>
        <w:t xml:space="preserve"> (c) conclusão (d) adição.</w:t>
      </w:r>
    </w:p>
    <w:p>
      <w:pPr>
        <w:pStyle w:val="ListParagraph"/>
        <w:numPr>
          <w:ilvl w:val="0"/>
          <w:numId w:val="20"/>
        </w:numPr>
      </w:pPr>
      <w:r>
        <w:t xml:space="preserve">Em qual alternativa há erro de crase? (a) Fui </w:t>
      </w:r>
      <w:r>
        <w:rPr>
          <w:b/>
        </w:rPr>
        <w:t xml:space="preserve">à</w:t>
      </w:r>
      <w:r>
        <w:t xml:space="preserve"> delegacia. (b) Vou </w:t>
      </w:r>
      <w:r>
        <w:rPr>
          <w:b/>
        </w:rPr>
        <w:t xml:space="preserve">à</w:t>
      </w:r>
      <w:r>
        <w:t xml:space="preserve"> pé. </w:t>
      </w:r>
      <w:r>
        <w:rPr>
          <w:b/>
        </w:rPr>
        <w:t xml:space="preserve">(Incorreta.)</w:t>
      </w:r>
      <w:r>
        <w:t xml:space="preserve"> (c) Cheguei </w:t>
      </w:r>
      <w:r>
        <w:rPr>
          <w:b/>
        </w:rPr>
        <w:t xml:space="preserve">às</w:t>
      </w:r>
      <w:r>
        <w:t xml:space="preserve"> 8h.</w:t>
      </w:r>
    </w:p>
    <w:p>
      <w:pPr>
        <w:pStyle w:val="ListParagraph"/>
        <w:numPr>
          <w:ilvl w:val="0"/>
          <w:numId w:val="20"/>
        </w:numPr>
      </w:pPr>
      <w:r>
        <w:t xml:space="preserve">“Assisti </w:t>
      </w:r>
      <w:r>
        <w:rPr>
          <w:b/>
        </w:rPr>
        <w:t xml:space="preserve">ao</w:t>
      </w:r>
      <w:r>
        <w:t xml:space="preserve"> jogo ontem” está correta? </w:t>
      </w:r>
      <w:r>
        <w:rPr>
          <w:b/>
        </w:rPr>
        <w:t xml:space="preserve">Sim</w:t>
      </w:r>
      <w:r>
        <w:t xml:space="preserve">: </w:t>
      </w:r>
      <w:r>
        <w:rPr>
          <w:i/>
        </w:rPr>
        <w:t xml:space="preserve">assistir</w:t>
      </w:r>
      <w:r>
        <w:t xml:space="preserve"> no sentido de ver exige a preposição “a”.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Língua Portuguesa — Guia para iniciantes (PM-PE 2026)</dc:title>
  <dc:description>Claude Docs node/6032dabe-9cbe@1 docx-w7</dc:description>
  <cp:revision>1</cp:revision>
</cp:coreProperties>
</file>