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7CEF" w14:textId="76097D68" w:rsidR="007870C2" w:rsidRDefault="007870C2" w:rsidP="00FC7568">
      <w:pPr>
        <w:rPr>
          <w:rFonts w:ascii="Arial" w:hAnsi="Arial" w:cs="Arial"/>
        </w:rPr>
      </w:pPr>
      <w:r>
        <w:rPr>
          <w:rFonts w:ascii="Arial" w:hAnsi="Arial" w:cs="Arial"/>
        </w:rPr>
        <w:t xml:space="preserve">Name: </w:t>
      </w:r>
      <w:proofErr w:type="spellStart"/>
      <w:r>
        <w:rPr>
          <w:rFonts w:ascii="Arial" w:hAnsi="Arial" w:cs="Arial"/>
        </w:rPr>
        <w:t>Dijay</w:t>
      </w:r>
      <w:proofErr w:type="spellEnd"/>
      <w:r>
        <w:rPr>
          <w:rFonts w:ascii="Arial" w:hAnsi="Arial" w:cs="Arial"/>
        </w:rPr>
        <w:t xml:space="preserve"> Kumar </w:t>
      </w:r>
      <w:proofErr w:type="spellStart"/>
      <w:r>
        <w:rPr>
          <w:rFonts w:ascii="Arial" w:hAnsi="Arial" w:cs="Arial"/>
        </w:rPr>
        <w:t>Valautham</w:t>
      </w:r>
      <w:proofErr w:type="spellEnd"/>
    </w:p>
    <w:p w14:paraId="24F5F54B" w14:textId="1924D859" w:rsidR="007870C2" w:rsidRDefault="007870C2" w:rsidP="00FC7568">
      <w:pPr>
        <w:rPr>
          <w:rFonts w:ascii="Arial" w:hAnsi="Arial" w:cs="Arial"/>
        </w:rPr>
      </w:pPr>
      <w:r>
        <w:rPr>
          <w:rFonts w:ascii="Arial" w:hAnsi="Arial" w:cs="Arial"/>
        </w:rPr>
        <w:t xml:space="preserve">Student ID: </w:t>
      </w:r>
      <w:r w:rsidRPr="007870C2">
        <w:rPr>
          <w:rFonts w:ascii="Arial" w:hAnsi="Arial" w:cs="Arial"/>
        </w:rPr>
        <w:t>PACE.K2420664D</w:t>
      </w:r>
    </w:p>
    <w:p w14:paraId="446C4641" w14:textId="77777777" w:rsidR="007870C2" w:rsidRDefault="007870C2" w:rsidP="00FC7568">
      <w:pPr>
        <w:rPr>
          <w:rFonts w:ascii="Arial" w:hAnsi="Arial" w:cs="Arial"/>
        </w:rPr>
      </w:pPr>
    </w:p>
    <w:p w14:paraId="5DF81C10" w14:textId="639ACB0B" w:rsidR="00FC7568" w:rsidRPr="00096EB9" w:rsidRDefault="00FC7568" w:rsidP="00FC7568">
      <w:pPr>
        <w:rPr>
          <w:rFonts w:ascii="Arial" w:hAnsi="Arial" w:cs="Arial"/>
          <w:b/>
          <w:bCs/>
        </w:rPr>
      </w:pPr>
      <w:r w:rsidRPr="00096EB9">
        <w:rPr>
          <w:rFonts w:ascii="Arial" w:hAnsi="Arial" w:cs="Arial"/>
          <w:b/>
          <w:bCs/>
        </w:rPr>
        <w:t>Assignment for Module 1.1</w:t>
      </w:r>
    </w:p>
    <w:p w14:paraId="12AB2666" w14:textId="4AECE009" w:rsidR="00FC7568" w:rsidRPr="00096EB9" w:rsidRDefault="00FC7568" w:rsidP="00FC7568">
      <w:pPr>
        <w:rPr>
          <w:rFonts w:ascii="Arial" w:hAnsi="Arial" w:cs="Arial"/>
          <w:b/>
          <w:bCs/>
        </w:rPr>
      </w:pPr>
      <w:r w:rsidRPr="00096EB9">
        <w:rPr>
          <w:rFonts w:ascii="Arial" w:hAnsi="Arial" w:cs="Arial"/>
          <w:b/>
          <w:bCs/>
        </w:rPr>
        <w:t>6m-cloud-1.1-infra-intro</w:t>
      </w:r>
      <w:r w:rsidRPr="00096EB9">
        <w:rPr>
          <w:rFonts w:ascii="Arial" w:hAnsi="Arial" w:cs="Arial"/>
          <w:b/>
          <w:bCs/>
        </w:rPr>
        <w:t xml:space="preserve"> </w:t>
      </w:r>
      <w:r w:rsidRPr="00096EB9">
        <w:rPr>
          <w:rFonts w:ascii="Arial" w:hAnsi="Arial" w:cs="Arial"/>
          <w:b/>
          <w:bCs/>
        </w:rPr>
        <w:t>/assignment.md</w:t>
      </w:r>
    </w:p>
    <w:p w14:paraId="5FAEB046" w14:textId="77777777" w:rsidR="00FC7568" w:rsidRDefault="00FC7568" w:rsidP="00FC7568">
      <w:pPr>
        <w:rPr>
          <w:rFonts w:ascii="Arial" w:hAnsi="Arial" w:cs="Arial"/>
        </w:rPr>
      </w:pPr>
    </w:p>
    <w:tbl>
      <w:tblPr>
        <w:tblStyle w:val="TableGrid"/>
        <w:tblW w:w="0" w:type="auto"/>
        <w:tblLook w:val="04A0" w:firstRow="1" w:lastRow="0" w:firstColumn="1" w:lastColumn="0" w:noHBand="0" w:noVBand="1"/>
      </w:tblPr>
      <w:tblGrid>
        <w:gridCol w:w="1737"/>
        <w:gridCol w:w="3461"/>
        <w:gridCol w:w="3818"/>
      </w:tblGrid>
      <w:tr w:rsidR="00FC7568" w:rsidRPr="00096EB9" w14:paraId="3C55EB57" w14:textId="77777777" w:rsidTr="00FC7568">
        <w:tc>
          <w:tcPr>
            <w:tcW w:w="1555" w:type="dxa"/>
          </w:tcPr>
          <w:p w14:paraId="09468403" w14:textId="1E87687F" w:rsidR="00FC7568" w:rsidRPr="00096EB9" w:rsidRDefault="00FC7568" w:rsidP="00FC7568">
            <w:pPr>
              <w:rPr>
                <w:rFonts w:ascii="Arial" w:hAnsi="Arial" w:cs="Arial"/>
                <w:b/>
                <w:bCs/>
              </w:rPr>
            </w:pPr>
            <w:r w:rsidRPr="00096EB9">
              <w:rPr>
                <w:rFonts w:ascii="Arial" w:hAnsi="Arial" w:cs="Arial"/>
                <w:b/>
                <w:bCs/>
              </w:rPr>
              <w:t>Challenge #</w:t>
            </w:r>
          </w:p>
        </w:tc>
        <w:tc>
          <w:tcPr>
            <w:tcW w:w="3543" w:type="dxa"/>
          </w:tcPr>
          <w:p w14:paraId="71431565" w14:textId="332BF07A" w:rsidR="00FC7568" w:rsidRPr="00096EB9" w:rsidRDefault="00FC7568" w:rsidP="00FC7568">
            <w:pPr>
              <w:rPr>
                <w:rFonts w:ascii="Arial" w:hAnsi="Arial" w:cs="Arial"/>
                <w:b/>
                <w:bCs/>
              </w:rPr>
            </w:pPr>
            <w:r w:rsidRPr="00096EB9">
              <w:rPr>
                <w:rFonts w:ascii="Arial" w:hAnsi="Arial" w:cs="Arial"/>
                <w:b/>
                <w:bCs/>
              </w:rPr>
              <w:t>Challenge with assumptions</w:t>
            </w:r>
          </w:p>
        </w:tc>
        <w:tc>
          <w:tcPr>
            <w:tcW w:w="3918" w:type="dxa"/>
          </w:tcPr>
          <w:p w14:paraId="3598A746" w14:textId="01A4D484" w:rsidR="00FC7568" w:rsidRPr="00096EB9" w:rsidRDefault="00FC7568" w:rsidP="00FC7568">
            <w:pPr>
              <w:rPr>
                <w:rFonts w:ascii="Arial" w:hAnsi="Arial" w:cs="Arial"/>
                <w:b/>
                <w:bCs/>
              </w:rPr>
            </w:pPr>
            <w:r w:rsidRPr="00096EB9">
              <w:rPr>
                <w:rFonts w:ascii="Arial" w:hAnsi="Arial" w:cs="Arial"/>
                <w:b/>
                <w:bCs/>
              </w:rPr>
              <w:t>Proposed Solution(s)</w:t>
            </w:r>
          </w:p>
        </w:tc>
      </w:tr>
      <w:tr w:rsidR="00FC7568" w14:paraId="74547D44" w14:textId="77777777" w:rsidTr="00FC7568">
        <w:tc>
          <w:tcPr>
            <w:tcW w:w="1555" w:type="dxa"/>
          </w:tcPr>
          <w:p w14:paraId="47324A50" w14:textId="49B932A6" w:rsidR="00FC7568" w:rsidRPr="00096EB9" w:rsidRDefault="00FC7568" w:rsidP="00FC7568">
            <w:pPr>
              <w:rPr>
                <w:rFonts w:ascii="Arial" w:hAnsi="Arial" w:cs="Arial"/>
                <w:b/>
                <w:bCs/>
              </w:rPr>
            </w:pPr>
            <w:r w:rsidRPr="00096EB9">
              <w:rPr>
                <w:rFonts w:ascii="Arial" w:hAnsi="Arial" w:cs="Arial"/>
                <w:b/>
                <w:bCs/>
              </w:rPr>
              <w:t>1</w:t>
            </w:r>
            <w:r w:rsidR="00BE0A0A" w:rsidRPr="00096EB9">
              <w:rPr>
                <w:rFonts w:ascii="Arial" w:hAnsi="Arial" w:cs="Arial"/>
                <w:b/>
                <w:bCs/>
              </w:rPr>
              <w:t xml:space="preserve"> - </w:t>
            </w:r>
            <w:r w:rsidR="00BE0A0A" w:rsidRPr="00096EB9">
              <w:rPr>
                <w:rFonts w:ascii="Arial" w:hAnsi="Arial" w:cs="Arial"/>
                <w:b/>
                <w:bCs/>
              </w:rPr>
              <w:t>Compatibility Issue</w:t>
            </w:r>
          </w:p>
        </w:tc>
        <w:tc>
          <w:tcPr>
            <w:tcW w:w="3543" w:type="dxa"/>
          </w:tcPr>
          <w:p w14:paraId="2781E939" w14:textId="77777777" w:rsidR="00FC7568" w:rsidRDefault="00FC7568" w:rsidP="00FC7568">
            <w:pPr>
              <w:rPr>
                <w:rFonts w:ascii="Arial" w:hAnsi="Arial" w:cs="Arial"/>
              </w:rPr>
            </w:pPr>
            <w:r w:rsidRPr="00FC7568">
              <w:rPr>
                <w:rFonts w:ascii="Arial" w:hAnsi="Arial" w:cs="Arial"/>
              </w:rPr>
              <w:t>Your superior wants to leverage on serverless technology as it eliminates operational overheads but the software is not serverless ready.</w:t>
            </w:r>
          </w:p>
          <w:p w14:paraId="6F59B381" w14:textId="0BCB86EA" w:rsidR="007870C2" w:rsidRDefault="006E66FE" w:rsidP="00FC7568">
            <w:pPr>
              <w:rPr>
                <w:rFonts w:ascii="Arial" w:hAnsi="Arial" w:cs="Arial"/>
              </w:rPr>
            </w:pPr>
            <w:r>
              <w:rPr>
                <w:rFonts w:ascii="Arial" w:hAnsi="Arial" w:cs="Arial"/>
              </w:rPr>
              <w:t xml:space="preserve">The application design of the software </w:t>
            </w:r>
            <w:r w:rsidR="00DF5157">
              <w:rPr>
                <w:rFonts w:ascii="Arial" w:hAnsi="Arial" w:cs="Arial"/>
              </w:rPr>
              <w:t>in its current state will not be useful for deploying to a serverless platform.</w:t>
            </w:r>
          </w:p>
        </w:tc>
        <w:tc>
          <w:tcPr>
            <w:tcW w:w="3918" w:type="dxa"/>
          </w:tcPr>
          <w:p w14:paraId="5F4850E6" w14:textId="7FA1858B" w:rsidR="00FC7568" w:rsidRDefault="00DF5157" w:rsidP="00FC7568">
            <w:pPr>
              <w:rPr>
                <w:rFonts w:ascii="Arial" w:hAnsi="Arial" w:cs="Arial"/>
              </w:rPr>
            </w:pPr>
            <w:r>
              <w:rPr>
                <w:rFonts w:ascii="Arial" w:hAnsi="Arial" w:cs="Arial"/>
              </w:rPr>
              <w:t xml:space="preserve">The software developers can design the software in a cloud-friendly way. At the minimum, the software should be partly deployable to a cloud service and other components able to communicate with it </w:t>
            </w:r>
            <w:r>
              <w:rPr>
                <w:rFonts w:ascii="Arial" w:hAnsi="Arial" w:cs="Arial"/>
              </w:rPr>
              <w:t>(</w:t>
            </w:r>
            <w:proofErr w:type="spellStart"/>
            <w:r w:rsidRPr="007870C2">
              <w:rPr>
                <w:rFonts w:ascii="Arial" w:hAnsi="Arial" w:cs="Arial"/>
              </w:rPr>
              <w:t>Ellingwood</w:t>
            </w:r>
            <w:proofErr w:type="spellEnd"/>
            <w:r>
              <w:rPr>
                <w:rFonts w:ascii="Arial" w:hAnsi="Arial" w:cs="Arial"/>
              </w:rPr>
              <w:t>, 2013).</w:t>
            </w:r>
          </w:p>
        </w:tc>
      </w:tr>
      <w:tr w:rsidR="00FC7568" w14:paraId="61CD3E33" w14:textId="77777777" w:rsidTr="00FC7568">
        <w:tc>
          <w:tcPr>
            <w:tcW w:w="1555" w:type="dxa"/>
          </w:tcPr>
          <w:p w14:paraId="68568140" w14:textId="47EB3F62" w:rsidR="00FC7568" w:rsidRPr="00096EB9" w:rsidRDefault="00FC7568" w:rsidP="00FC7568">
            <w:pPr>
              <w:rPr>
                <w:rFonts w:ascii="Arial" w:hAnsi="Arial" w:cs="Arial"/>
                <w:b/>
                <w:bCs/>
              </w:rPr>
            </w:pPr>
            <w:r w:rsidRPr="00096EB9">
              <w:rPr>
                <w:rFonts w:ascii="Arial" w:hAnsi="Arial" w:cs="Arial"/>
                <w:b/>
                <w:bCs/>
              </w:rPr>
              <w:t>2</w:t>
            </w:r>
            <w:r w:rsidR="00BE0A0A" w:rsidRPr="00096EB9">
              <w:rPr>
                <w:rFonts w:ascii="Arial" w:hAnsi="Arial" w:cs="Arial"/>
                <w:b/>
                <w:bCs/>
              </w:rPr>
              <w:t xml:space="preserve"> - </w:t>
            </w:r>
            <w:r w:rsidR="00BE0A0A" w:rsidRPr="00096EB9">
              <w:rPr>
                <w:rFonts w:ascii="Arial" w:hAnsi="Arial" w:cs="Arial"/>
                <w:b/>
                <w:bCs/>
              </w:rPr>
              <w:t>Vendor Lock-in</w:t>
            </w:r>
          </w:p>
        </w:tc>
        <w:tc>
          <w:tcPr>
            <w:tcW w:w="3543" w:type="dxa"/>
          </w:tcPr>
          <w:p w14:paraId="009AC09D" w14:textId="77777777" w:rsidR="00FC7568" w:rsidRDefault="00DF5157" w:rsidP="00FC7568">
            <w:pPr>
              <w:rPr>
                <w:rFonts w:ascii="Arial" w:hAnsi="Arial" w:cs="Arial"/>
              </w:rPr>
            </w:pPr>
            <w:r>
              <w:rPr>
                <w:rFonts w:ascii="Arial" w:hAnsi="Arial" w:cs="Arial"/>
              </w:rPr>
              <w:t>We have picked Cloud X as the destination of our migration, only to find out that Cloud Y is better as our technology scales.</w:t>
            </w:r>
          </w:p>
          <w:p w14:paraId="59A975A6" w14:textId="78D00D3A" w:rsidR="00DF5157" w:rsidRDefault="00DF5157" w:rsidP="00FC7568">
            <w:pPr>
              <w:rPr>
                <w:rFonts w:ascii="Arial" w:hAnsi="Arial" w:cs="Arial"/>
              </w:rPr>
            </w:pPr>
            <w:r>
              <w:rPr>
                <w:rFonts w:ascii="Arial" w:hAnsi="Arial" w:cs="Arial"/>
              </w:rPr>
              <w:t>Migrating to another cloud platform can be difficult and expensive.</w:t>
            </w:r>
          </w:p>
        </w:tc>
        <w:tc>
          <w:tcPr>
            <w:tcW w:w="3918" w:type="dxa"/>
          </w:tcPr>
          <w:p w14:paraId="551355BE" w14:textId="2ECD8220" w:rsidR="00FC7568" w:rsidRDefault="006E66FE" w:rsidP="00FC7568">
            <w:pPr>
              <w:rPr>
                <w:rFonts w:ascii="Arial" w:hAnsi="Arial" w:cs="Arial"/>
              </w:rPr>
            </w:pPr>
            <w:r>
              <w:rPr>
                <w:rFonts w:ascii="Arial" w:hAnsi="Arial" w:cs="Arial"/>
              </w:rPr>
              <w:t xml:space="preserve">The company’s software developers can try to limit the risks of provider lock-in challenges by writing functions in a commonly used language like JavaScript and limit the use of services towards commodity offerings which are supported almost identically on each </w:t>
            </w:r>
            <w:r w:rsidR="00DF5157">
              <w:rPr>
                <w:rFonts w:ascii="Arial" w:hAnsi="Arial" w:cs="Arial"/>
              </w:rPr>
              <w:t xml:space="preserve">cloud service provider </w:t>
            </w:r>
            <w:r>
              <w:rPr>
                <w:rFonts w:ascii="Arial" w:hAnsi="Arial" w:cs="Arial"/>
              </w:rPr>
              <w:t>platform (</w:t>
            </w:r>
            <w:proofErr w:type="spellStart"/>
            <w:r w:rsidRPr="007870C2">
              <w:rPr>
                <w:rFonts w:ascii="Arial" w:hAnsi="Arial" w:cs="Arial"/>
              </w:rPr>
              <w:t>Ellingwood</w:t>
            </w:r>
            <w:proofErr w:type="spellEnd"/>
            <w:r>
              <w:rPr>
                <w:rFonts w:ascii="Arial" w:hAnsi="Arial" w:cs="Arial"/>
              </w:rPr>
              <w:t>, 2013).</w:t>
            </w:r>
          </w:p>
        </w:tc>
      </w:tr>
      <w:tr w:rsidR="00FC7568" w14:paraId="5B0A227E" w14:textId="77777777" w:rsidTr="00FC7568">
        <w:tc>
          <w:tcPr>
            <w:tcW w:w="1555" w:type="dxa"/>
          </w:tcPr>
          <w:p w14:paraId="3830DB4F" w14:textId="64BD3F55" w:rsidR="00FC7568" w:rsidRPr="00096EB9" w:rsidRDefault="00FC7568" w:rsidP="00FC7568">
            <w:pPr>
              <w:rPr>
                <w:rFonts w:ascii="Arial" w:hAnsi="Arial" w:cs="Arial"/>
                <w:b/>
                <w:bCs/>
              </w:rPr>
            </w:pPr>
            <w:r w:rsidRPr="00096EB9">
              <w:rPr>
                <w:rFonts w:ascii="Arial" w:hAnsi="Arial" w:cs="Arial"/>
                <w:b/>
                <w:bCs/>
              </w:rPr>
              <w:t>3</w:t>
            </w:r>
            <w:r w:rsidR="00BE0A0A" w:rsidRPr="00096EB9">
              <w:rPr>
                <w:rFonts w:ascii="Arial" w:hAnsi="Arial" w:cs="Arial"/>
                <w:b/>
                <w:bCs/>
              </w:rPr>
              <w:t xml:space="preserve"> - </w:t>
            </w:r>
            <w:r w:rsidR="00BE0A0A" w:rsidRPr="00096EB9">
              <w:rPr>
                <w:rFonts w:ascii="Arial" w:hAnsi="Arial" w:cs="Arial"/>
                <w:b/>
                <w:bCs/>
              </w:rPr>
              <w:t>Processes &amp; Policies</w:t>
            </w:r>
          </w:p>
        </w:tc>
        <w:tc>
          <w:tcPr>
            <w:tcW w:w="3543" w:type="dxa"/>
          </w:tcPr>
          <w:p w14:paraId="455A4635" w14:textId="3F2B13B6" w:rsidR="00FC7568" w:rsidRDefault="00DF5157" w:rsidP="00FC7568">
            <w:pPr>
              <w:rPr>
                <w:rFonts w:ascii="Arial" w:hAnsi="Arial" w:cs="Arial"/>
              </w:rPr>
            </w:pPr>
            <w:r>
              <w:rPr>
                <w:rFonts w:ascii="Arial" w:hAnsi="Arial" w:cs="Arial"/>
              </w:rPr>
              <w:t xml:space="preserve">The security policies configured locally in our data </w:t>
            </w:r>
            <w:proofErr w:type="spellStart"/>
            <w:r>
              <w:rPr>
                <w:rFonts w:ascii="Arial" w:hAnsi="Arial" w:cs="Arial"/>
              </w:rPr>
              <w:t>centers</w:t>
            </w:r>
            <w:proofErr w:type="spellEnd"/>
            <w:r>
              <w:rPr>
                <w:rFonts w:ascii="Arial" w:hAnsi="Arial" w:cs="Arial"/>
              </w:rPr>
              <w:t xml:space="preserve"> does not match the policies architecture in the Cloud. </w:t>
            </w:r>
            <w:r w:rsidR="00096EB9">
              <w:rPr>
                <w:rFonts w:ascii="Arial" w:hAnsi="Arial" w:cs="Arial"/>
              </w:rPr>
              <w:t>The current IT Operations team’s deployment process may not get well with the Cloud’s.</w:t>
            </w:r>
          </w:p>
        </w:tc>
        <w:tc>
          <w:tcPr>
            <w:tcW w:w="3918" w:type="dxa"/>
          </w:tcPr>
          <w:p w14:paraId="3344374C" w14:textId="51CFBA8D" w:rsidR="00FC7568" w:rsidRDefault="00096EB9" w:rsidP="00FC7568">
            <w:pPr>
              <w:rPr>
                <w:rFonts w:ascii="Arial" w:hAnsi="Arial" w:cs="Arial"/>
              </w:rPr>
            </w:pPr>
            <w:r>
              <w:rPr>
                <w:rFonts w:ascii="Arial" w:hAnsi="Arial" w:cs="Arial"/>
              </w:rPr>
              <w:t>We can send the current IT Operations team to attend and learn Cloud security processes and policies. They can then use this knowledge to amend the current security policies locally to better match and integrate with the ones in the cloud.</w:t>
            </w:r>
          </w:p>
        </w:tc>
      </w:tr>
    </w:tbl>
    <w:p w14:paraId="5473D2A1" w14:textId="77777777" w:rsidR="00FC7568" w:rsidRDefault="00FC7568" w:rsidP="00FC7568">
      <w:pPr>
        <w:rPr>
          <w:rFonts w:ascii="Arial" w:hAnsi="Arial" w:cs="Arial"/>
        </w:rPr>
      </w:pPr>
    </w:p>
    <w:p w14:paraId="61116266" w14:textId="276F2462" w:rsidR="007870C2" w:rsidRPr="00096EB9" w:rsidRDefault="007870C2" w:rsidP="00FC7568">
      <w:pPr>
        <w:rPr>
          <w:rFonts w:ascii="Arial" w:hAnsi="Arial" w:cs="Arial"/>
          <w:b/>
          <w:bCs/>
        </w:rPr>
      </w:pPr>
      <w:r w:rsidRPr="00096EB9">
        <w:rPr>
          <w:rFonts w:ascii="Arial" w:hAnsi="Arial" w:cs="Arial"/>
          <w:b/>
          <w:bCs/>
        </w:rPr>
        <w:t>References</w:t>
      </w:r>
    </w:p>
    <w:p w14:paraId="09DF2E6C" w14:textId="77777777" w:rsidR="007870C2" w:rsidRDefault="007870C2" w:rsidP="00FC7568">
      <w:pPr>
        <w:rPr>
          <w:rFonts w:ascii="Arial" w:hAnsi="Arial" w:cs="Arial"/>
        </w:rPr>
      </w:pPr>
    </w:p>
    <w:p w14:paraId="16DEBEB9" w14:textId="311C44DF" w:rsidR="007870C2" w:rsidRPr="00FC7568" w:rsidRDefault="007870C2" w:rsidP="007870C2">
      <w:pPr>
        <w:rPr>
          <w:rFonts w:ascii="Arial" w:hAnsi="Arial" w:cs="Arial"/>
        </w:rPr>
      </w:pPr>
      <w:proofErr w:type="spellStart"/>
      <w:r w:rsidRPr="007870C2">
        <w:rPr>
          <w:rFonts w:ascii="Arial" w:hAnsi="Arial" w:cs="Arial"/>
        </w:rPr>
        <w:t>Ellingwood</w:t>
      </w:r>
      <w:proofErr w:type="spellEnd"/>
      <w:r w:rsidRPr="007870C2">
        <w:rPr>
          <w:rFonts w:ascii="Arial" w:hAnsi="Arial" w:cs="Arial"/>
        </w:rPr>
        <w:t xml:space="preserve">, </w:t>
      </w:r>
      <w:r>
        <w:rPr>
          <w:rFonts w:ascii="Arial" w:hAnsi="Arial" w:cs="Arial"/>
        </w:rPr>
        <w:t>J</w:t>
      </w:r>
      <w:r w:rsidRPr="007870C2">
        <w:rPr>
          <w:rFonts w:ascii="Arial" w:hAnsi="Arial" w:cs="Arial"/>
        </w:rPr>
        <w:t>. (2004) Serverless architecture</w:t>
      </w:r>
      <w:r>
        <w:rPr>
          <w:rFonts w:ascii="Arial" w:hAnsi="Arial" w:cs="Arial"/>
        </w:rPr>
        <w:t xml:space="preserve">: </w:t>
      </w:r>
      <w:r w:rsidRPr="007870C2">
        <w:rPr>
          <w:rFonts w:ascii="Arial" w:hAnsi="Arial" w:cs="Arial"/>
        </w:rPr>
        <w:t>Introduction to common serverless challenges. Available at: https://www.prisma.io/dataguide/serverless/serverless-challenges#provider-lock-in-concerns</w:t>
      </w:r>
      <w:r w:rsidRPr="007870C2">
        <w:rPr>
          <w:rFonts w:ascii="Arial" w:hAnsi="Arial" w:cs="Arial"/>
        </w:rPr>
        <w:t xml:space="preserve"> </w:t>
      </w:r>
      <w:r w:rsidRPr="007870C2">
        <w:rPr>
          <w:rFonts w:ascii="Arial" w:hAnsi="Arial" w:cs="Arial"/>
        </w:rPr>
        <w:t xml:space="preserve">(Accessed </w:t>
      </w:r>
      <w:r>
        <w:rPr>
          <w:rFonts w:ascii="Arial" w:hAnsi="Arial" w:cs="Arial"/>
        </w:rPr>
        <w:t>14 June 2024</w:t>
      </w:r>
      <w:r w:rsidRPr="007870C2">
        <w:rPr>
          <w:rFonts w:ascii="Arial" w:hAnsi="Arial" w:cs="Arial"/>
        </w:rPr>
        <w:t>).</w:t>
      </w:r>
    </w:p>
    <w:sectPr w:rsidR="007870C2" w:rsidRPr="00FC7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68"/>
    <w:rsid w:val="00096EB9"/>
    <w:rsid w:val="0041098C"/>
    <w:rsid w:val="006E66FE"/>
    <w:rsid w:val="00785797"/>
    <w:rsid w:val="007870C2"/>
    <w:rsid w:val="008619C0"/>
    <w:rsid w:val="00BE0A0A"/>
    <w:rsid w:val="00DB07B4"/>
    <w:rsid w:val="00DF5157"/>
    <w:rsid w:val="00F84E74"/>
    <w:rsid w:val="00FC75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414EF57"/>
  <w15:chartTrackingRefBased/>
  <w15:docId w15:val="{9239EBA9-C246-AC46-954A-7B296E5B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5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5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5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5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7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568"/>
    <w:rPr>
      <w:rFonts w:eastAsiaTheme="majorEastAsia" w:cstheme="majorBidi"/>
      <w:color w:val="272727" w:themeColor="text1" w:themeTint="D8"/>
    </w:rPr>
  </w:style>
  <w:style w:type="paragraph" w:styleId="Title">
    <w:name w:val="Title"/>
    <w:basedOn w:val="Normal"/>
    <w:next w:val="Normal"/>
    <w:link w:val="TitleChar"/>
    <w:uiPriority w:val="10"/>
    <w:qFormat/>
    <w:rsid w:val="00FC75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5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5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568"/>
    <w:rPr>
      <w:i/>
      <w:iCs/>
      <w:color w:val="404040" w:themeColor="text1" w:themeTint="BF"/>
    </w:rPr>
  </w:style>
  <w:style w:type="paragraph" w:styleId="ListParagraph">
    <w:name w:val="List Paragraph"/>
    <w:basedOn w:val="Normal"/>
    <w:uiPriority w:val="34"/>
    <w:qFormat/>
    <w:rsid w:val="00FC7568"/>
    <w:pPr>
      <w:ind w:left="720"/>
      <w:contextualSpacing/>
    </w:pPr>
  </w:style>
  <w:style w:type="character" w:styleId="IntenseEmphasis">
    <w:name w:val="Intense Emphasis"/>
    <w:basedOn w:val="DefaultParagraphFont"/>
    <w:uiPriority w:val="21"/>
    <w:qFormat/>
    <w:rsid w:val="00FC7568"/>
    <w:rPr>
      <w:i/>
      <w:iCs/>
      <w:color w:val="0F4761" w:themeColor="accent1" w:themeShade="BF"/>
    </w:rPr>
  </w:style>
  <w:style w:type="paragraph" w:styleId="IntenseQuote">
    <w:name w:val="Intense Quote"/>
    <w:basedOn w:val="Normal"/>
    <w:next w:val="Normal"/>
    <w:link w:val="IntenseQuoteChar"/>
    <w:uiPriority w:val="30"/>
    <w:qFormat/>
    <w:rsid w:val="00FC7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568"/>
    <w:rPr>
      <w:i/>
      <w:iCs/>
      <w:color w:val="0F4761" w:themeColor="accent1" w:themeShade="BF"/>
    </w:rPr>
  </w:style>
  <w:style w:type="character" w:styleId="IntenseReference">
    <w:name w:val="Intense Reference"/>
    <w:basedOn w:val="DefaultParagraphFont"/>
    <w:uiPriority w:val="32"/>
    <w:qFormat/>
    <w:rsid w:val="00FC7568"/>
    <w:rPr>
      <w:b/>
      <w:bCs/>
      <w:smallCaps/>
      <w:color w:val="0F4761" w:themeColor="accent1" w:themeShade="BF"/>
      <w:spacing w:val="5"/>
    </w:rPr>
  </w:style>
  <w:style w:type="table" w:styleId="TableGrid">
    <w:name w:val="Table Grid"/>
    <w:basedOn w:val="TableNormal"/>
    <w:uiPriority w:val="39"/>
    <w:rsid w:val="00FC7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5793">
      <w:bodyDiv w:val="1"/>
      <w:marLeft w:val="0"/>
      <w:marRight w:val="0"/>
      <w:marTop w:val="0"/>
      <w:marBottom w:val="0"/>
      <w:divBdr>
        <w:top w:val="none" w:sz="0" w:space="0" w:color="auto"/>
        <w:left w:val="none" w:sz="0" w:space="0" w:color="auto"/>
        <w:bottom w:val="none" w:sz="0" w:space="0" w:color="auto"/>
        <w:right w:val="none" w:sz="0" w:space="0" w:color="auto"/>
      </w:divBdr>
    </w:div>
    <w:div w:id="325477210">
      <w:bodyDiv w:val="1"/>
      <w:marLeft w:val="0"/>
      <w:marRight w:val="0"/>
      <w:marTop w:val="0"/>
      <w:marBottom w:val="0"/>
      <w:divBdr>
        <w:top w:val="none" w:sz="0" w:space="0" w:color="auto"/>
        <w:left w:val="none" w:sz="0" w:space="0" w:color="auto"/>
        <w:bottom w:val="none" w:sz="0" w:space="0" w:color="auto"/>
        <w:right w:val="none" w:sz="0" w:space="0" w:color="auto"/>
      </w:divBdr>
    </w:div>
    <w:div w:id="444035835">
      <w:bodyDiv w:val="1"/>
      <w:marLeft w:val="0"/>
      <w:marRight w:val="0"/>
      <w:marTop w:val="0"/>
      <w:marBottom w:val="0"/>
      <w:divBdr>
        <w:top w:val="none" w:sz="0" w:space="0" w:color="auto"/>
        <w:left w:val="none" w:sz="0" w:space="0" w:color="auto"/>
        <w:bottom w:val="none" w:sz="0" w:space="0" w:color="auto"/>
        <w:right w:val="none" w:sz="0" w:space="0" w:color="auto"/>
      </w:divBdr>
    </w:div>
    <w:div w:id="571962821">
      <w:bodyDiv w:val="1"/>
      <w:marLeft w:val="0"/>
      <w:marRight w:val="0"/>
      <w:marTop w:val="0"/>
      <w:marBottom w:val="0"/>
      <w:divBdr>
        <w:top w:val="none" w:sz="0" w:space="0" w:color="auto"/>
        <w:left w:val="none" w:sz="0" w:space="0" w:color="auto"/>
        <w:bottom w:val="none" w:sz="0" w:space="0" w:color="auto"/>
        <w:right w:val="none" w:sz="0" w:space="0" w:color="auto"/>
      </w:divBdr>
    </w:div>
    <w:div w:id="783117123">
      <w:bodyDiv w:val="1"/>
      <w:marLeft w:val="0"/>
      <w:marRight w:val="0"/>
      <w:marTop w:val="0"/>
      <w:marBottom w:val="0"/>
      <w:divBdr>
        <w:top w:val="none" w:sz="0" w:space="0" w:color="auto"/>
        <w:left w:val="none" w:sz="0" w:space="0" w:color="auto"/>
        <w:bottom w:val="none" w:sz="0" w:space="0" w:color="auto"/>
        <w:right w:val="none" w:sz="0" w:space="0" w:color="auto"/>
      </w:divBdr>
    </w:div>
    <w:div w:id="1092555585">
      <w:bodyDiv w:val="1"/>
      <w:marLeft w:val="0"/>
      <w:marRight w:val="0"/>
      <w:marTop w:val="0"/>
      <w:marBottom w:val="0"/>
      <w:divBdr>
        <w:top w:val="none" w:sz="0" w:space="0" w:color="auto"/>
        <w:left w:val="none" w:sz="0" w:space="0" w:color="auto"/>
        <w:bottom w:val="none" w:sz="0" w:space="0" w:color="auto"/>
        <w:right w:val="none" w:sz="0" w:space="0" w:color="auto"/>
      </w:divBdr>
    </w:div>
    <w:div w:id="1934196634">
      <w:bodyDiv w:val="1"/>
      <w:marLeft w:val="0"/>
      <w:marRight w:val="0"/>
      <w:marTop w:val="0"/>
      <w:marBottom w:val="0"/>
      <w:divBdr>
        <w:top w:val="none" w:sz="0" w:space="0" w:color="auto"/>
        <w:left w:val="none" w:sz="0" w:space="0" w:color="auto"/>
        <w:bottom w:val="none" w:sz="0" w:space="0" w:color="auto"/>
        <w:right w:val="none" w:sz="0" w:space="0" w:color="auto"/>
      </w:divBdr>
    </w:div>
    <w:div w:id="2078280928">
      <w:bodyDiv w:val="1"/>
      <w:marLeft w:val="0"/>
      <w:marRight w:val="0"/>
      <w:marTop w:val="0"/>
      <w:marBottom w:val="0"/>
      <w:divBdr>
        <w:top w:val="none" w:sz="0" w:space="0" w:color="auto"/>
        <w:left w:val="none" w:sz="0" w:space="0" w:color="auto"/>
        <w:bottom w:val="none" w:sz="0" w:space="0" w:color="auto"/>
        <w:right w:val="none" w:sz="0" w:space="0" w:color="auto"/>
      </w:divBdr>
      <w:divsChild>
        <w:div w:id="189766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Dijay Kumar</dc:creator>
  <cp:keywords/>
  <dc:description/>
  <cp:lastModifiedBy>Dijay Kumar</cp:lastModifiedBy>
  <cp:revision>3</cp:revision>
  <dcterms:created xsi:type="dcterms:W3CDTF">2024-06-14T03:34:00Z</dcterms:created>
  <dcterms:modified xsi:type="dcterms:W3CDTF">2024-06-14T04:49:00Z</dcterms:modified>
</cp:coreProperties>
</file>