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Liberation Sans" w:hAnsi="Liberation Sans" w:eastAsia="Liberation Sans"/>
          <w:b/>
          <w:color w:val="2F5597"/>
          <w:sz w:val="22"/>
        </w:rPr>
        <w:t>SAFETY PLANE</w:t>
      </w:r>
    </w:p>
    <w:p>
      <w:pPr>
        <w:pStyle w:val="Title"/>
        <w:jc w:val="center"/>
      </w:pPr>
      <w:r>
        <w:rPr>
          <w:rFonts w:ascii="Noto Sans CJK SC" w:hAnsi="Noto Sans CJK SC" w:eastAsia="Noto Sans CJK SC"/>
          <w:b/>
          <w:color w:val="17365D"/>
          <w:sz w:val="50"/>
        </w:rPr>
        <w:t>实验设计与评测计划</w:t>
      </w:r>
    </w:p>
    <w:p>
      <w:pPr>
        <w:jc w:val="center"/>
      </w:pPr>
      <w:r>
        <w:rPr>
          <w:rFonts w:ascii="Noto Sans CJK SC" w:hAnsi="Noto Sans CJK SC" w:eastAsia="Noto Sans CJK SC"/>
          <w:color w:val="243447"/>
          <w:sz w:val="27"/>
        </w:rPr>
        <w:t>从 Agent Safety 生态压缩到可移植运行时安全层</w:t>
      </w:r>
    </w:p>
    <w:p>
      <w:pPr>
        <w:jc w:val="center"/>
      </w:pPr>
      <w:r>
        <w:rPr>
          <w:rFonts w:ascii="Liberation Sans" w:hAnsi="Liberation Sans" w:eastAsia="Liberation Sans"/>
          <w:color w:val="2F5597"/>
          <w:sz w:val="20"/>
        </w:rPr>
        <w:t>━━━━━━━━━━━━━━━━━━━━━━━━━━━━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20"/>
              </w:rPr>
              <w:t xml:space="preserve">核心 Thesis  </w:t>
            </w:r>
            <w:r>
              <w:rPr>
                <w:rFonts w:ascii="Noto Sans CJK SC" w:hAnsi="Noto Sans CJK SC" w:eastAsia="Noto Sans CJK SC"/>
                <w:color w:val="243447"/>
                <w:sz w:val="20"/>
              </w:rPr>
              <w:t>Agent safety 生态表面上包含大量零散的 Skill、MCP、guardrail 与 policy，但底层能力高度冗余。我们研究能否将其归一化为紧凑的原子安全能力空间，并依据每个能力的性质，将其编译到 deterministic hook、hybrid fast-path 或 semantic skill，再通过轻量 adapter 部署到异构 agent harness。</w:t>
            </w:r>
          </w:p>
        </w:tc>
      </w:tr>
    </w:tbl>
    <w:p>
      <w:pPr>
        <w:spacing w:after="0"/>
      </w:pPr>
    </w:p>
    <w:p>
      <w:pPr>
        <w:spacing w:before="440"/>
        <w:jc w:val="center"/>
      </w:pPr>
      <w:r>
        <w:rPr>
          <w:rFonts w:ascii="Noto Sans CJK SC" w:hAnsi="Noto Sans CJK SC" w:eastAsia="Noto Sans CJK SC"/>
          <w:color w:val="666666"/>
          <w:sz w:val="18"/>
        </w:rPr>
        <w:t>版本：2026-08-31 · 基于当前项目 README 与本轮实验讨论</w:t>
      </w:r>
    </w:p>
    <w:p>
      <w:r>
        <w:br w:type="page"/>
      </w:r>
    </w:p>
    <w:p>
      <w:pPr>
        <w:pStyle w:val="Heading1"/>
        <w:keepNext/>
        <w:keepLines/>
      </w:pPr>
      <w:r>
        <w:t>0. Executive Summary</w:t>
      </w:r>
    </w:p>
    <w:p>
      <w:pPr>
        <w:pStyle w:val="ListBullet"/>
        <w:spacing w:after="60" w:line="252" w:lineRule="auto"/>
      </w:pPr>
      <w:r>
        <w:rPr>
          <w:rFonts w:ascii="Noto Sans CJK SC" w:hAnsi="Noto Sans CJK SC" w:eastAsia="Noto Sans CJK SC"/>
          <w:b/>
          <w:color w:val="243447"/>
          <w:sz w:val="20"/>
        </w:rPr>
        <w:t>论文定位：</w:t>
      </w:r>
      <w:r>
        <w:rPr>
          <w:rFonts w:ascii="Noto Sans CJK SC" w:hAnsi="Noto Sans CJK SC" w:eastAsia="Noto Sans CJK SC"/>
          <w:color w:val="243447"/>
          <w:sz w:val="20"/>
        </w:rPr>
        <w:t>不强调“新的 skill distillation 算法”，而定位为 empirical study + systems paper：先刻画安全生态的 capability redundancy，再构建 Safety Compiler / Safety Plane。</w:t>
      </w:r>
    </w:p>
    <w:p>
      <w:pPr>
        <w:pStyle w:val="ListBullet"/>
        <w:spacing w:after="60" w:line="252" w:lineRule="auto"/>
      </w:pPr>
      <w:r>
        <w:rPr>
          <w:rFonts w:ascii="Noto Sans CJK SC" w:hAnsi="Noto Sans CJK SC" w:eastAsia="Noto Sans CJK SC"/>
          <w:b/>
          <w:color w:val="243447"/>
          <w:sz w:val="20"/>
        </w:rPr>
        <w:t>两个主 benchmark：</w:t>
      </w:r>
      <w:r>
        <w:rPr>
          <w:rFonts w:ascii="Noto Sans CJK SC" w:hAnsi="Noto Sans CJK SC" w:eastAsia="Noto Sans CJK SC"/>
          <w:color w:val="243447"/>
          <w:sz w:val="20"/>
        </w:rPr>
        <w:t>SABER + OpenAgentSafety。前者覆盖 stateful workspace 的 operational safety，后者覆盖跨应用、真实工具、多轮高风险任务。暂不加入第三个主 benchmark。</w:t>
      </w:r>
    </w:p>
    <w:p>
      <w:pPr>
        <w:pStyle w:val="ListBullet"/>
        <w:spacing w:after="60" w:line="252" w:lineRule="auto"/>
      </w:pPr>
      <w:r>
        <w:rPr>
          <w:rFonts w:ascii="Noto Sans CJK SC" w:hAnsi="Noto Sans CJK SC" w:eastAsia="Noto Sans CJK SC"/>
          <w:b/>
          <w:color w:val="243447"/>
          <w:sz w:val="20"/>
        </w:rPr>
        <w:t>主模型：</w:t>
      </w:r>
      <w:r>
        <w:rPr>
          <w:rFonts w:ascii="Noto Sans CJK SC" w:hAnsi="Noto Sans CJK SC" w:eastAsia="Noto Sans CJK SC"/>
          <w:color w:val="243447"/>
          <w:sz w:val="20"/>
        </w:rPr>
        <w:t>3 个 frontier API 模型 + 6 个 open-weight main 模型；另做一条 Qwen3.5 2B→4B→9B→27B controlled scaling。</w:t>
      </w:r>
    </w:p>
    <w:p>
      <w:pPr>
        <w:pStyle w:val="ListBullet"/>
        <w:spacing w:after="60" w:line="252" w:lineRule="auto"/>
      </w:pPr>
      <w:r>
        <w:rPr>
          <w:rFonts w:ascii="Noto Sans CJK SC" w:hAnsi="Noto Sans CJK SC" w:eastAsia="Noto Sans CJK SC"/>
          <w:b/>
          <w:color w:val="243447"/>
          <w:sz w:val="20"/>
        </w:rPr>
        <w:t>实验策略：</w:t>
      </w:r>
      <w:r>
        <w:rPr>
          <w:rFonts w:ascii="Noto Sans CJK SC" w:hAnsi="Noto Sans CJK SC" w:eastAsia="Noto Sans CJK SC"/>
          <w:color w:val="243447"/>
          <w:sz w:val="20"/>
        </w:rPr>
        <w:t>Main result 用 full benchmark 只比较 Native Agent vs +Safety Plane；昂贵的 architecture ablation、External Guard、Router 与 portability 放在固定 diagnostic subset 上，避免笛卡尔积。</w:t>
      </w:r>
    </w:p>
    <w:p>
      <w:pPr>
        <w:pStyle w:val="ListBullet"/>
        <w:spacing w:after="60" w:line="252" w:lineRule="auto"/>
      </w:pPr>
      <w:r>
        <w:rPr>
          <w:rFonts w:ascii="Noto Sans CJK SC" w:hAnsi="Noto Sans CJK SC" w:eastAsia="Noto Sans CJK SC"/>
          <w:b/>
          <w:color w:val="243447"/>
          <w:sz w:val="20"/>
        </w:rPr>
        <w:t>核心证据链：</w:t>
      </w:r>
      <w:r>
        <w:rPr>
          <w:rFonts w:ascii="Noto Sans CJK SC" w:hAnsi="Noto Sans CJK SC" w:eastAsia="Noto Sans CJK SC"/>
          <w:color w:val="243447"/>
          <w:sz w:val="20"/>
        </w:rPr>
        <w:t>Ecosystem compression → enforcement placement → end-to-end safety → model scaling → architecture advantage → cross-host portability。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rPr>
          <w:tblHeader w:val="true"/>
        </w:trPr>
        <w:tc>
          <w:tcPr>
            <w:tcW w:type="dxa" w:w="181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Ecosystem</w:t>
            </w:r>
          </w:p>
        </w:tc>
        <w:tc>
          <w:tcPr>
            <w:tcW w:type="dxa" w:w="175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Canonical IR</w:t>
            </w:r>
          </w:p>
        </w:tc>
        <w:tc>
          <w:tcPr>
            <w:tcW w:type="dxa" w:w="19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Lowering</w:t>
            </w:r>
          </w:p>
        </w:tc>
        <w:tc>
          <w:tcPr>
            <w:tcW w:type="dxa" w:w="19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Runtime</w:t>
            </w:r>
          </w:p>
        </w:tc>
        <w:tc>
          <w:tcPr>
            <w:tcW w:type="dxa" w:w="204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Independent Eval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r>
              <w:rPr>
                <w:rFonts w:ascii="Noto Sans CJK SC" w:hAnsi="Noto Sans CJK SC" w:eastAsia="Noto Sans CJK SC"/>
                <w:sz w:val="17"/>
              </w:rPr>
              <w:t>10K+ Skill / MCP / refs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  <w:sz w:val="17"/>
              </w:rPr>
              <w:t>95 safety atoms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2F0D9"/>
          </w:tcPr>
          <w:p>
            <w:r>
              <w:rPr>
                <w:rFonts w:ascii="Noto Sans CJK SC" w:hAnsi="Noto Sans CJK SC" w:eastAsia="Noto Sans CJK SC"/>
                <w:sz w:val="17"/>
              </w:rPr>
              <w:t>hook / hybrid / skill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FF2CC"/>
          </w:tcPr>
          <w:p>
            <w:r>
              <w:rPr>
                <w:rFonts w:ascii="Noto Sans CJK SC" w:hAnsi="Noto Sans CJK SC" w:eastAsia="Noto Sans CJK SC"/>
                <w:sz w:val="17"/>
              </w:rPr>
              <w:t>Claude Code / Codex / DSH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CE4D6"/>
          </w:tcPr>
          <w:p>
            <w:r>
              <w:rPr>
                <w:rFonts w:ascii="Noto Sans CJK SC" w:hAnsi="Noto Sans CJK SC" w:eastAsia="Noto Sans CJK SC"/>
                <w:sz w:val="17"/>
              </w:rPr>
              <w:t>SABER + OAS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1. 当前系统基线与论文定位</w:t>
      </w:r>
    </w:p>
    <w:p>
      <w:r>
        <w:rPr>
          <w:rFonts w:ascii="Noto Sans CJK SC" w:hAnsi="Noto Sans CJK SC" w:eastAsia="Noto Sans CJK SC"/>
          <w:sz w:val="20"/>
        </w:rPr>
        <w:t>当前 README 中已经形成一个明确的训练无关安全模块：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238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7143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当前实现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候选生态资产</w:t>
            </w:r>
          </w:p>
        </w:tc>
        <w:tc>
          <w:tcPr>
            <w:tcW w:type="dxa" w:w="71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10,223 条原始候选；三层筛选后 1,390 条进入 LLM 审计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Canonical capability</w:t>
            </w:r>
          </w:p>
        </w:tc>
        <w:tc>
          <w:tcPr>
            <w:tcW w:type="dxa" w:w="71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95 个原子安全能力，归属于 19 个 archetype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Enforcement placement</w:t>
            </w:r>
          </w:p>
        </w:tc>
        <w:tc>
          <w:tcPr>
            <w:tcW w:type="dxa" w:w="71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60 hook（63%）+ 21 hybrid（22%）+ 14 semantic skill（15%）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Lifecycle routing</w:t>
            </w:r>
          </w:p>
        </w:tc>
        <w:tc>
          <w:tcPr>
            <w:tcW w:type="dxa" w:w="71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input-understanding / planning / tool-invocation / output-generation / cross-cutting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Runtime form</w:t>
            </w:r>
          </w:p>
        </w:tc>
        <w:tc>
          <w:tcPr>
            <w:tcW w:type="dxa" w:w="71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1 个 Router meta-skill + 14 archetype docs + host hooks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Adapters</w:t>
            </w:r>
          </w:p>
        </w:tc>
        <w:tc>
          <w:tcPr>
            <w:tcW w:type="dxa" w:w="71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现有 Claude Code 与 Codex；计划补 DeepSeek Harness（DSH）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Training</w:t>
            </w:r>
          </w:p>
        </w:tc>
        <w:tc>
          <w:tcPr>
            <w:tcW w:type="dxa" w:w="71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Training-free：蒸馏、归一化、包装、runtime enforcement 与 prompt-level routing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20"/>
              </w:rPr>
              <w:t xml:space="preserve">推荐 framing  </w:t>
            </w:r>
            <w:r>
              <w:rPr>
                <w:rFonts w:ascii="Noto Sans CJK SC" w:hAnsi="Noto Sans CJK SC" w:eastAsia="Noto Sans CJK SC"/>
                <w:color w:val="243447"/>
                <w:sz w:val="20"/>
              </w:rPr>
              <w:t>“We study whether the fragmented agent-safety ecosystem can be compiled into a compact, portable safety plane for modern agent harnesses.” 不把贡献建立在“first safety skill / first hook / first plugin”上，而建立在规模化生态归一、enforcement characterization 与 portability 的实证证据上。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1.1 与 S³ / DeepSeek Harness 的关系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81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3515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它解决什么</w:t>
            </w:r>
          </w:p>
        </w:tc>
        <w:tc>
          <w:tcPr>
            <w:tcW w:type="dxa" w:w="4195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我们应如何定位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S³ (2608.02683)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把少量已有 safety defense 转成 stage-specific skills，并由独立 Guard Agent 编排。</w:t>
            </w:r>
          </w:p>
        </w:tc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Closest concurrent work。我们的重点不是“把 defense 写成 skill”，而是 ecosystem-scale normalization、atomic capability IR、enforcement lowering，以及不依赖独立 guard 的低开销 runtime。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DeepSeek Harness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“Everything is a Plugin”的 agent harness；为 tools、sandbox、loop、policy 等提供可组合 extension seams。</w:t>
            </w:r>
          </w:p>
        </w:tc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作为时代背景和第三个 host：证明 safety knowledge 可以保持 host-independent，而 enforcement API 由 adapter 映射。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2. Research Questions（RQ）与需要证明的 Claim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68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RQ</w:t>
            </w:r>
          </w:p>
        </w:tc>
        <w:tc>
          <w:tcPr>
            <w:tcW w:type="dxa" w:w="187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核心问题</w:t>
            </w:r>
          </w:p>
        </w:tc>
        <w:tc>
          <w:tcPr>
            <w:tcW w:type="dxa" w:w="3969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要证明的 Claim</w:t>
            </w:r>
          </w:p>
        </w:tc>
        <w:tc>
          <w:tcPr>
            <w:tcW w:type="dxa" w:w="3005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主要证据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RQ1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安全生态是否真的可压缩？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大量公开安全 artifacts 背后的 capability space 高度冗余并趋于饱和；95 atoms 能覆盖未见来源。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Held-out coverage、saturation、fidelity、redundancy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RQ2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每个安全能力应该在哪里执行？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多数 recurring safety capabilities 可以完全或部分下沉到 deterministic runtime，而非全部依赖 LLM。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Human placement validation + atomic conformance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RQ3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Safety Plane 是否真的提升实际安全？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在独立、可执行、真实工具环境中降低 safety violation，同时维持 task utility。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SABER + OAS × 9 main models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RQ4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收益如何随模型能力变化？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Deterministic protection 应更 model-independent；semantic checks 的收益可能随模型能力增长。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Qwen3.5 2B/4B/9B/27B scaling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RQ5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为什么用这种 runtime architecture？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Hook+Hybrid+Router 在 safety–utility–overhead 上优于 flat / skill-only / all-loaded，并可接近 external guard 的保护效果。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100-case architecture ablation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RQ6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是否可移植？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同一 safety core 在 Claude Code、Codex、DSH 三种 harness 上均产生正向安全增益，且 host-specific glue 较小。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3-adapter diagnostic study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3. Benchmark 选择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20"/>
              </w:rPr>
              <w:t xml:space="preserve">最终主 benchmark  </w:t>
            </w:r>
            <w:r>
              <w:rPr>
                <w:rFonts w:ascii="Noto Sans CJK SC" w:hAnsi="Noto Sans CJK SC" w:eastAsia="Noto Sans CJK SC"/>
                <w:color w:val="243447"/>
                <w:sz w:val="20"/>
              </w:rPr>
              <w:t>只保留 SABER 与 OpenAgentSafety。第三个 benchmark 设为 conditional：只有当 reviewer-facing gap 无法由这两个 benchmark + utility / over-defense 分析回答时才补。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rPr>
          <w:tblHeader w:val="true"/>
        </w:trPr>
        <w:tc>
          <w:tcPr>
            <w:tcW w:type="dxa" w:w="170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Benchmark</w:t>
            </w:r>
          </w:p>
        </w:tc>
        <w:tc>
          <w:tcPr>
            <w:tcW w:type="dxa" w:w="170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2835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环境/任务</w:t>
            </w:r>
          </w:p>
        </w:tc>
        <w:tc>
          <w:tcPr>
            <w:tcW w:type="dxa" w:w="2665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为什么必须</w:t>
            </w:r>
          </w:p>
        </w:tc>
        <w:tc>
          <w:tcPr>
            <w:tcW w:type="dxa" w:w="226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主要指标/切分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SABER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Operational Safety 主证据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Stateful project workspace；sandbox/tool runtime；从最终环境状态判断多步操作是否造成伤害。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与 workspace、shell、destructive action、warning、injection 等原子能力直接对应；最适合测试 runtime enforcement。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官方 safety metrics + task completion；按 Scenario A/B/C 分层分析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OpenAgentSafety (OAS)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Cross-app External Generalization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356 个任务；GitLab、ownCloud、RocketChat、filesystem、terminal、browser 等真实工具/服务；包含 benign / malicious / ambiguous 多轮风险。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证明 95 atoms 不是只对 coding workspace 有效，而能迁移到独立的 enterprise/multi-app 风险。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Safety / unsafe rate、task utility、false positive；按 intent / environment / tool / risk category 分组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/>
          <w:color w:val="17365D"/>
          <w:sz w:val="19"/>
        </w:rPr>
        <w:t>版本锁定建议：</w:t>
      </w:r>
      <w:r>
        <w:rPr>
          <w:rFonts w:ascii="Noto Sans CJK SC" w:hAnsi="Noto Sans CJK SC" w:eastAsia="Noto Sans CJK SC"/>
          <w:sz w:val="19"/>
        </w:rPr>
        <w:t xml:space="preserve"> SABER 与 OAS 在正式实验前固定 Git commit / dataset revision。OAS 当前官方仓库提示 legacy evaluation code 不再积极维护，应优先采用其更新的 OpenHands evaluation path；记录具体 revision，避免任务数量或 evaluator 后续漂移。</w:t>
      </w:r>
    </w:p>
    <w:p>
      <w:pPr>
        <w:pStyle w:val="Heading1"/>
        <w:keepNext/>
        <w:keepLines/>
      </w:pPr>
      <w:r>
        <w:t>4. 模型清单</w:t>
      </w:r>
    </w:p>
    <w:p>
      <w:pPr>
        <w:pStyle w:val="Heading2"/>
        <w:keepNext/>
        <w:keepLines/>
      </w:pPr>
      <w:r>
        <w:t>4.1 Frontier API Models（3）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198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Model</w:t>
            </w:r>
          </w:p>
        </w:tc>
        <w:tc>
          <w:tcPr>
            <w:tcW w:type="dxa" w:w="130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Provider</w:t>
            </w:r>
          </w:p>
        </w:tc>
        <w:tc>
          <w:tcPr>
            <w:tcW w:type="dxa" w:w="459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在实验中的角色</w:t>
            </w:r>
          </w:p>
        </w:tc>
        <w:tc>
          <w:tcPr>
            <w:tcW w:type="dxa" w:w="3005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执行建议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GPT-5.6 Sol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OpenAI</w:t>
            </w:r>
          </w:p>
        </w:tc>
        <w:tc>
          <w:tcPr>
            <w:tcW w:type="dxa" w:w="4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Frontier proprietary；强 coding / tool use / computer use；检验强原生安全模型上是否仍有增益。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固定 snapshot/alias、reasoning effort、temperature 与 tool settings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Claude Fable 5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Anthropic</w:t>
            </w:r>
          </w:p>
        </w:tc>
        <w:tc>
          <w:tcPr>
            <w:tcW w:type="dxa" w:w="4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当前 generally available 的高能力 Claude；长程 coding / agent workflow 代表。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固定 claude-fable-5、fallback/safeguard 行为需记录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Gemini 3.7 Flash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Google</w:t>
            </w:r>
          </w:p>
        </w:tc>
        <w:tc>
          <w:tcPr>
            <w:tcW w:type="dxa" w:w="4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最新稳定 Gemini 3 系列 agent-capable API；补齐第三家 frontier family。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固定 gemini-3.7-flash 与 thinking level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4.2 Open-weight Main Models（6）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45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#</w:t>
            </w:r>
          </w:p>
        </w:tc>
        <w:tc>
          <w:tcPr>
            <w:tcW w:type="dxa" w:w="238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Model</w:t>
            </w:r>
          </w:p>
        </w:tc>
        <w:tc>
          <w:tcPr>
            <w:tcW w:type="dxa" w:w="425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代表性</w:t>
            </w:r>
          </w:p>
        </w:tc>
        <w:tc>
          <w:tcPr>
            <w:tcW w:type="dxa" w:w="379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部署备注（3×H20 144GB）</w:t>
            </w:r>
          </w:p>
        </w:tc>
      </w:tr>
      <w:tr>
        <w:trPr>
          <w:cantSplit/>
        </w:trPr>
        <w:tc>
          <w:tcPr>
            <w:tcW w:type="dxa" w:w="4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Qwen3.8-27B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当前 Qwen 中型代表；与 Qwen3.5 scaling endpoint 分开承担“latest-family representative”。</w:t>
            </w:r>
          </w:p>
        </w:tc>
        <w:tc>
          <w:tcPr>
            <w:tcW w:type="dxa" w:w="37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优先单卡；可多 replica 提升 episode throughput</w:t>
            </w:r>
          </w:p>
        </w:tc>
      </w:tr>
      <w:tr>
        <w:trPr>
          <w:cantSplit/>
        </w:trPr>
        <w:tc>
          <w:tcPr>
            <w:tcW w:type="dxa" w:w="4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2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GLM-4.7-Flash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30B-A3B MoE；轻量 MoE + tool/agent 能力，补充 Z.ai family。</w:t>
            </w:r>
          </w:p>
        </w:tc>
        <w:tc>
          <w:tcPr>
            <w:tcW w:type="dxa" w:w="37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单卡优先，固定 thinking/tool parser 配置</w:t>
            </w:r>
          </w:p>
        </w:tc>
      </w:tr>
      <w:tr>
        <w:trPr>
          <w:cantSplit/>
        </w:trPr>
        <w:tc>
          <w:tcPr>
            <w:tcW w:type="dxa" w:w="4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3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gpt-oss-120b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OpenAI open-weight；117B / 5.1B active；reasoning + agentic/tool use。</w:t>
            </w:r>
          </w:p>
        </w:tc>
        <w:tc>
          <w:tcPr>
            <w:tcW w:type="dxa" w:w="37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官方模型卡称可单 80GB GPU；H20 单卡应可做首选 smoke test</w:t>
            </w:r>
          </w:p>
        </w:tc>
      </w:tr>
      <w:tr>
        <w:trPr>
          <w:cantSplit/>
        </w:trPr>
        <w:tc>
          <w:tcPr>
            <w:tcW w:type="dxa" w:w="4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4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DeepSeek-V4-Flash-0731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DeepSeek agent/terminal/cyber 强模型；大 MoE，代表更高规模 open-weight agent。</w:t>
            </w:r>
          </w:p>
        </w:tc>
        <w:tc>
          <w:tcPr>
            <w:tcW w:type="dxa" w:w="37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必须先做 FP8/量化与 vLLM/SGLang compatibility smoke test；不承诺 full-precision 三卡可直接部署</w:t>
            </w:r>
          </w:p>
        </w:tc>
      </w:tr>
      <w:tr>
        <w:trPr>
          <w:cantSplit/>
        </w:trPr>
        <w:tc>
          <w:tcPr>
            <w:tcW w:type="dxa" w:w="4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5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Mistral Small 4 119B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Mistral family；119B、FP8 checkpoint，coding/agentic 代表。</w:t>
            </w:r>
          </w:p>
        </w:tc>
        <w:tc>
          <w:tcPr>
            <w:tcW w:type="dxa" w:w="37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checkpoint 约 242GB；建议两卡部署并给 KV cache 留余量</w:t>
            </w:r>
          </w:p>
        </w:tc>
      </w:tr>
      <w:tr>
        <w:trPr>
          <w:cantSplit/>
        </w:trPr>
        <w:tc>
          <w:tcPr>
            <w:tcW w:type="dxa" w:w="4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6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MiniMax M2.5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Agent-native RL、coding/tool/search/office work；独立训练路线。</w:t>
            </w:r>
          </w:p>
        </w:tc>
        <w:tc>
          <w:tcPr>
            <w:tcW w:type="dxa" w:w="37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官方支持 vLLM/SGLang；大 MoE，正式跑前验证权重、TP 与 tool calling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4.3 Controlled Scaling（Qwen3.5，仅一条 scaling curve）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226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Model</w:t>
            </w:r>
          </w:p>
        </w:tc>
        <w:tc>
          <w:tcPr>
            <w:tcW w:type="dxa" w:w="340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目的</w:t>
            </w:r>
          </w:p>
        </w:tc>
        <w:tc>
          <w:tcPr>
            <w:tcW w:type="dxa" w:w="510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注意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Qwen3.5-2B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低能力端点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避免把“做不了任务”误判成“安全”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Qwen3.5-4B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小模型中间点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与 2B 同 family / recipe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Qwen3.5-9B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中等能力点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观察 semantic skill 开始有效的区间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Qwen3.5-27B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scaling endpoint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与 Qwen3.8-27B 的角色不同：这里用于 controlled scale，而非 latest main representative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5. 总体实验矩阵：避免笛卡尔积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rPr>
          <w:tblHeader w:val="true"/>
        </w:trPr>
        <w:tc>
          <w:tcPr>
            <w:tcW w:type="dxa" w:w="175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实验</w:t>
            </w:r>
          </w:p>
        </w:tc>
        <w:tc>
          <w:tcPr>
            <w:tcW w:type="dxa" w:w="198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Benchmark</w:t>
            </w:r>
          </w:p>
        </w:tc>
        <w:tc>
          <w:tcPr>
            <w:tcW w:type="dxa" w:w="255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Models</w:t>
            </w:r>
          </w:p>
        </w:tc>
        <w:tc>
          <w:tcPr>
            <w:tcW w:type="dxa" w:w="357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Methods / Conditions</w:t>
            </w:r>
          </w:p>
        </w:tc>
        <w:tc>
          <w:tcPr>
            <w:tcW w:type="dxa" w:w="238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规模策略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Main End-to-End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SABER + OAS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9 main models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Native vs +Ours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Full benchmark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Scaling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SABER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Qwen3.5 2B/4B/9B/27B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Native vs +Ours；Hook/Semantic 分解放 subset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Full 或先 full Native/Ours，分解用 subset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Architecture Ablation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SABER 60 + OAS 40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 个代表性 open model（建议 Qwen3.8-27B）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No Safety / Flat / Hook-only / Skill-only / All-loaded / External Guard / Ours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固定 100-case diagnostic set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External Guard confirm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同 100 cases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额外 1 个 frontier model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External Guard vs Ours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只做第二模型确认，不 full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Router robustness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同 100 cases 或定向风险集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 个代表性 model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Normal / long-context / goal pressure / direct / indirect injection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只分析 routing/critical miss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Portability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同 100 cases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host-native model 或固定 model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Claude Code / Codex / DSH × Native/Ours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不与 9 models 相乘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6. Experiment 1 — Ecosystem Compression &amp; Generalization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20"/>
              </w:rPr>
              <w:t xml:space="preserve">目的  </w:t>
            </w:r>
            <w:r>
              <w:rPr>
                <w:rFonts w:ascii="Noto Sans CJK SC" w:hAnsi="Noto Sans CJK SC" w:eastAsia="Noto Sans CJK SC"/>
                <w:color w:val="243447"/>
                <w:sz w:val="20"/>
              </w:rPr>
              <w:t>证明“95 atoms”不是项目内部的随意分类，而是一个对未见安全资产仍有解释力、并随数据规模逐渐饱和的 canonical capability vocabulary。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170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子实验</w:t>
            </w:r>
          </w:p>
        </w:tc>
        <w:tc>
          <w:tcPr>
            <w:tcW w:type="dxa" w:w="340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设置</w:t>
            </w:r>
          </w:p>
        </w:tc>
        <w:tc>
          <w:tcPr>
            <w:tcW w:type="dxa" w:w="260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340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成功标准/可写 Claim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Coverage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冻结 95 atoms；对 held-out artifacts 做 atom mapping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Artifact Coverage↑ / Unmapped Rate↓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高 coverage 且低 unmapped，支持 compact capability space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Source-held-out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整站/registry 留出，而非随机 split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Coverage / New-Atom Discovery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跨 source 仍稳定，避免同源泄漏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Temporal-held-out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按抓取时间切分；未来/近期 artifacts 只做测试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Coverage / New-Atom Rate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新发布 artifacts 多数仍落入既有 atoms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Saturation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按审计 artifact 数逐步增加，记录累计 unique capability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Unique atoms vs artifacts 曲线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曲线明显趋缓/饱和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Mapping Fidelity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人工抽样比较原 artifact 意图与 mapped atoms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Full / Partial / Miss / Wrong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证明 normalization 不丢关键安全意图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External taxonomy coverage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冻结 atoms 后映射 SABER/OAS 风险类别与 task requirements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External Coverage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证明 taxonomy 与 benchmark 构建解耦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7. Experiment 2 — Enforcement Placement &amp; Atomic Conformance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20"/>
              </w:rPr>
              <w:t xml:space="preserve">目的  </w:t>
            </w:r>
            <w:r>
              <w:rPr>
                <w:rFonts w:ascii="Noto Sans CJK SC" w:hAnsi="Noto Sans CJK SC" w:eastAsia="Noto Sans CJK SC"/>
                <w:color w:val="243447"/>
                <w:sz w:val="20"/>
              </w:rPr>
              <w:t>把 README 里的 60 hook / 21 hybrid / 14 semantic 从“工程划分”提升为可验证的 empirical finding：哪些安全能力真的需要模型推理，哪些应成为 host-level invariant。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226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评测对象</w:t>
            </w:r>
          </w:p>
        </w:tc>
        <w:tc>
          <w:tcPr>
            <w:tcW w:type="dxa" w:w="4649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测试内容</w:t>
            </w:r>
          </w:p>
        </w:tc>
        <w:tc>
          <w:tcPr>
            <w:tcW w:type="dxa" w:w="4195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主要指标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Placement validation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2–3 名 annotator 对 95 atoms 独立判断 fully deterministic / partially deterministic / necessarily semantic</w:t>
            </w:r>
          </w:p>
        </w:tc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Agreement（κ/α）、ours vs consensus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Hook atoms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positive / hard negative / boundary / adversarial unit cases</w:t>
            </w:r>
          </w:p>
        </w:tc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Precision、Recall、FPR、latency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Hybrid atoms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fast path + uncertain fallback</w:t>
            </w:r>
          </w:p>
        </w:tc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Fast-path coverage、fallback rate、overall accuracy、latency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Semantic atoms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需要 context/intent/reasoning 的判断</w:t>
            </w:r>
          </w:p>
        </w:tc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Decision accuracy、token、latency、model sensitivity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8. Experiment 3 — Main End-to-End Safety</w:t>
      </w:r>
    </w:p>
    <w:p>
      <w:r>
        <w:rPr>
          <w:rFonts w:ascii="Noto Sans CJK SC" w:hAnsi="Noto Sans CJK SC" w:eastAsia="Noto Sans CJK SC"/>
          <w:sz w:val="20"/>
        </w:rPr>
        <w:t>主实验只比较两个条件：Native Agent 与 Native Agent + Safety Plane。这样把昂贵预算集中到跨模型、跨 benchmark 的外部有效性，而不是所有 baseline 的 full-run。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  <w:gridCol w:w="1465"/>
      </w:tblGrid>
      <w:tr>
        <w:trPr>
          <w:tblHeader w:val="true"/>
        </w:trPr>
        <w:tc>
          <w:tcPr>
            <w:tcW w:type="dxa" w:w="272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Model</w:t>
            </w:r>
          </w:p>
        </w:tc>
        <w:tc>
          <w:tcPr>
            <w:tcW w:type="dxa" w:w="136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Native Utility↑</w:t>
            </w:r>
          </w:p>
        </w:tc>
        <w:tc>
          <w:tcPr>
            <w:tcW w:type="dxa" w:w="136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+Ours↑</w:t>
            </w:r>
          </w:p>
        </w:tc>
        <w:tc>
          <w:tcPr>
            <w:tcW w:type="dxa" w:w="136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Native Safety↑</w:t>
            </w:r>
          </w:p>
        </w:tc>
        <w:tc>
          <w:tcPr>
            <w:tcW w:type="dxa" w:w="136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+Ours↑</w:t>
            </w:r>
          </w:p>
        </w:tc>
        <w:tc>
          <w:tcPr>
            <w:tcW w:type="dxa" w:w="130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Δ Safety↑</w:t>
            </w:r>
          </w:p>
        </w:tc>
        <w:tc>
          <w:tcPr>
            <w:tcW w:type="dxa" w:w="141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Overhead↓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GPT-5.6 Sol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Claude Fable 5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Gemini 3.7 Flash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Qwen3.8-27B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GLM-4.7-Flash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gpt-oss-120b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DeepSeek-V4-Flash-0731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Mistral Small 4 119B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MiniMax M2.5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color w:val="666666"/>
          <w:sz w:val="17"/>
        </w:rPr>
        <w:t>表 8-A：SABER（实际提交时用 SABER 官方核心 safety metrics 替换通用 “Safety” 列，并按 Scenario A/B/C 补充 breakdown）。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  <w:gridCol w:w="1465"/>
      </w:tblGrid>
      <w:tr>
        <w:trPr>
          <w:tblHeader w:val="true"/>
        </w:trPr>
        <w:tc>
          <w:tcPr>
            <w:tcW w:type="dxa" w:w="272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Model</w:t>
            </w:r>
          </w:p>
        </w:tc>
        <w:tc>
          <w:tcPr>
            <w:tcW w:type="dxa" w:w="136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Native Utility↑</w:t>
            </w:r>
          </w:p>
        </w:tc>
        <w:tc>
          <w:tcPr>
            <w:tcW w:type="dxa" w:w="136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+Ours↑</w:t>
            </w:r>
          </w:p>
        </w:tc>
        <w:tc>
          <w:tcPr>
            <w:tcW w:type="dxa" w:w="136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Native Unsafe↓</w:t>
            </w:r>
          </w:p>
        </w:tc>
        <w:tc>
          <w:tcPr>
            <w:tcW w:type="dxa" w:w="136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+Ours↓</w:t>
            </w:r>
          </w:p>
        </w:tc>
        <w:tc>
          <w:tcPr>
            <w:tcW w:type="dxa" w:w="130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Δ Safety↑</w:t>
            </w:r>
          </w:p>
        </w:tc>
        <w:tc>
          <w:tcPr>
            <w:tcW w:type="dxa" w:w="141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False Positive↓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GPT-5.6 Sol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Claude Fable 5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Gemini 3.7 Flash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Qwen3.8-27B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GLM-4.7-Flash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gpt-oss-120b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DeepSeek-V4-Flash-0731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Mistral Small 4 119B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MiniMax M2.5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color w:val="666666"/>
          <w:sz w:val="17"/>
        </w:rPr>
        <w:t>表 8-B：OpenAgentSafety。建议额外按 benign/ambiguous、malicious user、malicious environment/NPC、tool/risk category 做分组。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CE4D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20"/>
              </w:rPr>
              <w:t xml:space="preserve">避免 incapability = safety  </w:t>
            </w:r>
            <w:r>
              <w:rPr>
                <w:rFonts w:ascii="Noto Sans CJK SC" w:hAnsi="Noto Sans CJK SC" w:eastAsia="Noto Sans CJK SC"/>
                <w:color w:val="243447"/>
                <w:sz w:val="20"/>
              </w:rPr>
              <w:t>所有模型都必须同时报告 task utility / completion。尤其小模型或强拒绝模型，低 harm 可能只是没有到达风险动作。必要时增加 conditional violation rate，例如 violation | task attempted / risky state reached。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9. Experiment 4 — Model Scale × Runtime Safety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  <w:gridCol w:w="1465"/>
      </w:tblGrid>
      <w:tr>
        <w:trPr>
          <w:tblHeader w:val="true"/>
        </w:trPr>
        <w:tc>
          <w:tcPr>
            <w:tcW w:type="dxa" w:w="249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Model</w:t>
            </w:r>
          </w:p>
        </w:tc>
        <w:tc>
          <w:tcPr>
            <w:tcW w:type="dxa" w:w="170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Native Task Success↑</w:t>
            </w:r>
          </w:p>
        </w:tc>
        <w:tc>
          <w:tcPr>
            <w:tcW w:type="dxa" w:w="153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Native Safety↑</w:t>
            </w:r>
          </w:p>
        </w:tc>
        <w:tc>
          <w:tcPr>
            <w:tcW w:type="dxa" w:w="130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+Hook</w:t>
            </w:r>
          </w:p>
        </w:tc>
        <w:tc>
          <w:tcPr>
            <w:tcW w:type="dxa" w:w="141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+Semantic</w:t>
            </w:r>
          </w:p>
        </w:tc>
        <w:tc>
          <w:tcPr>
            <w:tcW w:type="dxa" w:w="141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+Full Ours</w:t>
            </w:r>
          </w:p>
        </w:tc>
        <w:tc>
          <w:tcPr>
            <w:tcW w:type="dxa" w:w="141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Full Δ↑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Qwen3.5-2B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Qwen3.5-4B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Qwen3.5-9B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Qwen3.5-27B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</w:tr>
    </w:tbl>
    <w:p>
      <w:pPr>
        <w:spacing w:after="0"/>
      </w:pPr>
    </w:p>
    <w:p>
      <w:pPr>
        <w:pStyle w:val="ListBullet"/>
        <w:spacing w:after="60" w:line="252" w:lineRule="auto"/>
      </w:pPr>
      <w:r>
        <w:rPr>
          <w:rFonts w:ascii="Noto Sans CJK SC" w:hAnsi="Noto Sans CJK SC" w:eastAsia="Noto Sans CJK SC"/>
          <w:b/>
          <w:color w:val="243447"/>
          <w:sz w:val="20"/>
        </w:rPr>
        <w:t>Hypothesis H1：</w:t>
      </w:r>
      <w:r>
        <w:rPr>
          <w:rFonts w:ascii="Noto Sans CJK SC" w:hAnsi="Noto Sans CJK SC" w:eastAsia="Noto Sans CJK SC"/>
          <w:color w:val="243447"/>
          <w:sz w:val="20"/>
        </w:rPr>
        <w:t>Hook gain 对模型尺寸相对稳定，因为 hard invariants 不依赖模型 intelligence。</w:t>
      </w:r>
    </w:p>
    <w:p>
      <w:pPr>
        <w:pStyle w:val="ListBullet"/>
        <w:spacing w:after="60" w:line="252" w:lineRule="auto"/>
      </w:pPr>
      <w:r>
        <w:rPr>
          <w:rFonts w:ascii="Noto Sans CJK SC" w:hAnsi="Noto Sans CJK SC" w:eastAsia="Noto Sans CJK SC"/>
          <w:b/>
          <w:color w:val="243447"/>
          <w:sz w:val="20"/>
        </w:rPr>
        <w:t>Hypothesis H2：</w:t>
      </w:r>
      <w:r>
        <w:rPr>
          <w:rFonts w:ascii="Noto Sans CJK SC" w:hAnsi="Noto Sans CJK SC" w:eastAsia="Noto Sans CJK SC"/>
          <w:color w:val="243447"/>
          <w:sz w:val="20"/>
        </w:rPr>
        <w:t>Semantic-skill gain 随模型能力增长，因为更强模型更能理解 context、intent 与复杂风险。</w:t>
      </w:r>
    </w:p>
    <w:p>
      <w:pPr>
        <w:pStyle w:val="ListBullet"/>
        <w:spacing w:after="60" w:line="252" w:lineRule="auto"/>
      </w:pPr>
      <w:r>
        <w:rPr>
          <w:rFonts w:ascii="Noto Sans CJK SC" w:hAnsi="Noto Sans CJK SC" w:eastAsia="Noto Sans CJK SC"/>
          <w:b/>
          <w:color w:val="243447"/>
          <w:sz w:val="20"/>
        </w:rPr>
        <w:t>Hypothesis H3：</w:t>
      </w:r>
      <w:r>
        <w:rPr>
          <w:rFonts w:ascii="Noto Sans CJK SC" w:hAnsi="Noto Sans CJK SC" w:eastAsia="Noto Sans CJK SC"/>
          <w:color w:val="243447"/>
          <w:sz w:val="20"/>
        </w:rPr>
        <w:t>Frontier/native safety 与 runtime safety 是互补关系：强模型 baseline 更安全，但外部 Safety Plane 仍有非零增益。</w:t>
      </w:r>
    </w:p>
    <w:p>
      <w:pPr>
        <w:pStyle w:val="Heading1"/>
        <w:keepNext/>
        <w:keepLines/>
      </w:pPr>
      <w:r>
        <w:t>10. Experiment 5 — Architecture Ablation / S³-style External Guard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20"/>
              </w:rPr>
              <w:t xml:space="preserve">核心比较  </w:t>
            </w:r>
            <w:r>
              <w:rPr>
                <w:rFonts w:ascii="Noto Sans CJK SC" w:hAnsi="Noto Sans CJK SC" w:eastAsia="Noto Sans CJK SC"/>
                <w:color w:val="243447"/>
                <w:sz w:val="20"/>
              </w:rPr>
              <w:t>External Guard 与 Ours 应尽量共享同一套 atom/archetype safety knowledge，只改变 orchestration / enforcement substrate。否则无法回答“是否需要独立 Guard Agent”。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  <w:gridCol w:w="1465"/>
      </w:tblGrid>
      <w:tr>
        <w:trPr>
          <w:tblHeader w:val="true"/>
        </w:trPr>
        <w:tc>
          <w:tcPr>
            <w:tcW w:type="dxa" w:w="3345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Architecture</w:t>
            </w:r>
          </w:p>
        </w:tc>
        <w:tc>
          <w:tcPr>
            <w:tcW w:type="dxa" w:w="124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Safety↑</w:t>
            </w:r>
          </w:p>
        </w:tc>
        <w:tc>
          <w:tcPr>
            <w:tcW w:type="dxa" w:w="124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Utility↑</w:t>
            </w:r>
          </w:p>
        </w:tc>
        <w:tc>
          <w:tcPr>
            <w:tcW w:type="dxa" w:w="141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Critical Miss↓</w:t>
            </w:r>
          </w:p>
        </w:tc>
        <w:tc>
          <w:tcPr>
            <w:tcW w:type="dxa" w:w="170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Extra LLM Calls↓</w:t>
            </w:r>
          </w:p>
        </w:tc>
        <w:tc>
          <w:tcPr>
            <w:tcW w:type="dxa" w:w="141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Input Tokens↓</w:t>
            </w:r>
          </w:p>
        </w:tc>
        <w:tc>
          <w:tcPr>
            <w:tcW w:type="dxa" w:w="141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Latency↓</w:t>
            </w:r>
          </w:p>
        </w:tc>
      </w:tr>
      <w:tr>
        <w:trPr>
          <w:cantSplit/>
        </w:trPr>
        <w:tc>
          <w:tcPr>
            <w:tcW w:type="dxa" w:w="334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No Safety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</w:tr>
      <w:tr>
        <w:trPr>
          <w:cantSplit/>
        </w:trPr>
        <w:tc>
          <w:tcPr>
            <w:tcW w:type="dxa" w:w="334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Flat Safety Prompt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</w:tr>
      <w:tr>
        <w:trPr>
          <w:cantSplit/>
        </w:trPr>
        <w:tc>
          <w:tcPr>
            <w:tcW w:type="dxa" w:w="334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Hook-only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</w:tr>
      <w:tr>
        <w:trPr>
          <w:cantSplit/>
        </w:trPr>
        <w:tc>
          <w:tcPr>
            <w:tcW w:type="dxa" w:w="334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Skill-only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</w:tr>
      <w:tr>
        <w:trPr>
          <w:cantSplit/>
        </w:trPr>
        <w:tc>
          <w:tcPr>
            <w:tcW w:type="dxa" w:w="334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All Safety Loaded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</w:tr>
      <w:tr>
        <w:trPr>
          <w:cantSplit/>
        </w:trPr>
        <w:tc>
          <w:tcPr>
            <w:tcW w:type="dxa" w:w="334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External Guard (S³-style)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</w:tr>
      <w:tr>
        <w:trPr>
          <w:cantSplit/>
        </w:trPr>
        <w:tc>
          <w:tcPr>
            <w:tcW w:type="dxa" w:w="334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Ours: Hook + Hybrid + Phase Router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/>
          <w:color w:val="17365D"/>
          <w:sz w:val="19"/>
        </w:rPr>
        <w:t>最重要的可写结果不是“全面胜过 External Guard”，而是：</w:t>
      </w:r>
      <w:r>
        <w:rPr>
          <w:rFonts w:ascii="Noto Sans CJK SC" w:hAnsi="Noto Sans CJK SC" w:eastAsia="Noto Sans CJK SC"/>
          <w:sz w:val="19"/>
        </w:rPr>
        <w:t>在接近的 safety 下显著减少额外模型调用、token 与 latency，从而占据更好的 safety–utility–overhead Pareto 点。</w:t>
      </w:r>
    </w:p>
    <w:p>
      <w:pPr>
        <w:pStyle w:val="Heading1"/>
        <w:keepNext/>
        <w:keepLines/>
      </w:pPr>
      <w:r>
        <w:t>11. Experiment 6 — Router Ablation &amp; Bypass Robustness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  <w:gridCol w:w="1465"/>
      </w:tblGrid>
      <w:tr>
        <w:trPr>
          <w:tblHeader w:val="true"/>
        </w:trPr>
        <w:tc>
          <w:tcPr>
            <w:tcW w:type="dxa" w:w="2835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Routing strategy</w:t>
            </w:r>
          </w:p>
        </w:tc>
        <w:tc>
          <w:tcPr>
            <w:tcW w:type="dxa" w:w="124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Safety↑</w:t>
            </w:r>
          </w:p>
        </w:tc>
        <w:tc>
          <w:tcPr>
            <w:tcW w:type="dxa" w:w="158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Routing Recall↑</w:t>
            </w:r>
          </w:p>
        </w:tc>
        <w:tc>
          <w:tcPr>
            <w:tcW w:type="dxa" w:w="141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Critical Miss↓</w:t>
            </w:r>
          </w:p>
        </w:tc>
        <w:tc>
          <w:tcPr>
            <w:tcW w:type="dxa" w:w="187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Docs Loaded/Step↓</w:t>
            </w:r>
          </w:p>
        </w:tc>
        <w:tc>
          <w:tcPr>
            <w:tcW w:type="dxa" w:w="130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Tokens↓</w:t>
            </w:r>
          </w:p>
        </w:tc>
        <w:tc>
          <w:tcPr>
            <w:tcW w:type="dxa" w:w="130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Latency↓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All-loaded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14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Semantic Retrieval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Phase Router (Ours)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No Semantic Routing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—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3969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Stress condition</w:t>
            </w:r>
          </w:p>
        </w:tc>
        <w:tc>
          <w:tcPr>
            <w:tcW w:type="dxa" w:w="226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Routing Recall↑</w:t>
            </w:r>
          </w:p>
        </w:tc>
        <w:tc>
          <w:tcPr>
            <w:tcW w:type="dxa" w:w="226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Critical Miss↓</w:t>
            </w:r>
          </w:p>
        </w:tc>
        <w:tc>
          <w:tcPr>
            <w:tcW w:type="dxa" w:w="226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Final Violation↓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Normal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Long context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Goal pressure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Direct prompt injection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Indirect prompt injection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4CC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20"/>
              </w:rPr>
              <w:t xml:space="preserve">必须正面回答的弱点  </w:t>
            </w:r>
            <w:r>
              <w:rPr>
                <w:rFonts w:ascii="Noto Sans CJK SC" w:hAnsi="Noto Sans CJK SC" w:eastAsia="Noto Sans CJK SC"/>
                <w:color w:val="243447"/>
                <w:sz w:val="20"/>
              </w:rPr>
              <w:t>Router 由 host 主 LLM 读取并执行，存在 omission / bypass 风险。论文应展示：semantic router 可能被干扰，但关键 hard invariant 已下沉到 host hooks，因此“agent 可以忽略建议，但不能忽略 enforcement”。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12. Experiment 7 — Three-Adapter Portability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40"/>
        <w:gridCol w:w="1140"/>
        <w:gridCol w:w="1140"/>
        <w:gridCol w:w="1140"/>
        <w:gridCol w:w="1140"/>
        <w:gridCol w:w="1140"/>
        <w:gridCol w:w="1140"/>
        <w:gridCol w:w="1140"/>
        <w:gridCol w:w="1140"/>
      </w:tblGrid>
      <w:tr>
        <w:trPr>
          <w:tblHeader w:val="true"/>
        </w:trPr>
        <w:tc>
          <w:tcPr>
            <w:tcW w:type="dxa" w:w="181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Host</w:t>
            </w:r>
          </w:p>
        </w:tc>
        <w:tc>
          <w:tcPr>
            <w:tcW w:type="dxa" w:w="181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Native Model</w:t>
            </w:r>
          </w:p>
        </w:tc>
        <w:tc>
          <w:tcPr>
            <w:tcW w:type="dxa" w:w="124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Baseline Safety</w:t>
            </w:r>
          </w:p>
        </w:tc>
        <w:tc>
          <w:tcPr>
            <w:tcW w:type="dxa" w:w="113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+Ours</w:t>
            </w:r>
          </w:p>
        </w:tc>
        <w:tc>
          <w:tcPr>
            <w:tcW w:type="dxa" w:w="119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Δ Safety↑</w:t>
            </w:r>
          </w:p>
        </w:tc>
        <w:tc>
          <w:tcPr>
            <w:tcW w:type="dxa" w:w="119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Δ Utility</w:t>
            </w:r>
          </w:p>
        </w:tc>
        <w:tc>
          <w:tcPr>
            <w:tcW w:type="dxa" w:w="147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Atom Coverage↑</w:t>
            </w:r>
          </w:p>
        </w:tc>
        <w:tc>
          <w:tcPr>
            <w:tcW w:type="dxa" w:w="124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Adapter LOC↓</w:t>
            </w:r>
          </w:p>
        </w:tc>
        <w:tc>
          <w:tcPr>
            <w:tcW w:type="dxa" w:w="130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Core Reuse↑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Claude Code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Claude family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Codex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GPT family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DeepSeek Harness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固定一个可控 model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</w:tbl>
    <w:p>
      <w:pPr>
        <w:spacing w:after="0"/>
      </w:pPr>
    </w:p>
    <w:p>
      <w:pPr>
        <w:pStyle w:val="ListBullet"/>
        <w:spacing w:after="60" w:line="252" w:lineRule="auto"/>
      </w:pPr>
      <w:r>
        <w:rPr>
          <w:rFonts w:ascii="Noto Sans CJK SC" w:hAnsi="Noto Sans CJK SC" w:eastAsia="Noto Sans CJK SC"/>
          <w:b/>
          <w:color w:val="243447"/>
          <w:sz w:val="20"/>
        </w:rPr>
        <w:t>不要比较绝对 Safety：</w:t>
      </w:r>
      <w:r>
        <w:rPr>
          <w:rFonts w:ascii="Noto Sans CJK SC" w:hAnsi="Noto Sans CJK SC" w:eastAsia="Noto Sans CJK SC"/>
          <w:color w:val="243447"/>
          <w:sz w:val="20"/>
        </w:rPr>
        <w:t>host、native model、tool loop 不同，绝对分数有 confound。</w:t>
      </w:r>
    </w:p>
    <w:p>
      <w:pPr>
        <w:pStyle w:val="ListBullet"/>
        <w:spacing w:after="60" w:line="252" w:lineRule="auto"/>
      </w:pPr>
      <w:r>
        <w:rPr>
          <w:rFonts w:ascii="Noto Sans CJK SC" w:hAnsi="Noto Sans CJK SC" w:eastAsia="Noto Sans CJK SC"/>
          <w:b/>
          <w:color w:val="243447"/>
          <w:sz w:val="20"/>
        </w:rPr>
        <w:t>比较 Δ：</w:t>
      </w:r>
      <w:r>
        <w:rPr>
          <w:rFonts w:ascii="Noto Sans CJK SC" w:hAnsi="Noto Sans CJK SC" w:eastAsia="Noto Sans CJK SC"/>
          <w:color w:val="243447"/>
          <w:sz w:val="20"/>
        </w:rPr>
        <w:t>对每个 host 看 +Safety Plane 相对 native baseline 的安全增益与 utility 变化。</w:t>
      </w:r>
    </w:p>
    <w:p>
      <w:pPr>
        <w:pStyle w:val="ListBullet"/>
        <w:spacing w:after="60" w:line="252" w:lineRule="auto"/>
      </w:pPr>
      <w:r>
        <w:rPr>
          <w:rFonts w:ascii="Noto Sans CJK SC" w:hAnsi="Noto Sans CJK SC" w:eastAsia="Noto Sans CJK SC"/>
          <w:b/>
          <w:color w:val="243447"/>
          <w:sz w:val="20"/>
        </w:rPr>
        <w:t>Portability 证据：</w:t>
      </w:r>
      <w:r>
        <w:rPr>
          <w:rFonts w:ascii="Noto Sans CJK SC" w:hAnsi="Noto Sans CJK SC" w:eastAsia="Noto Sans CJK SC"/>
          <w:color w:val="243447"/>
          <w:sz w:val="20"/>
        </w:rPr>
        <w:t>Atom support coverage、adapter-specific LOC、core reuse ratio、行为一致性与 runtime overhead。</w:t>
      </w:r>
    </w:p>
    <w:p>
      <w:pPr>
        <w:pStyle w:val="Heading1"/>
        <w:keepNext/>
        <w:keepLines/>
      </w:pPr>
      <w:r>
        <w:t>13. Diagnostic Set 与运行预算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226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181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建议数量</w:t>
            </w:r>
          </w:p>
        </w:tc>
        <w:tc>
          <w:tcPr>
            <w:tcW w:type="dxa" w:w="691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分层原则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SABER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60</w:t>
            </w:r>
          </w:p>
        </w:tc>
        <w:tc>
          <w:tcPr>
            <w:tcW w:type="dxa" w:w="69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Scenario A/B/C 各 20；再平衡 category / difficulty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OpenAgentSafety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40</w:t>
            </w:r>
          </w:p>
        </w:tc>
        <w:tc>
          <w:tcPr>
            <w:tcW w:type="dxa" w:w="69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覆盖 benign/ambiguous、malicious user、malicious environment、不同 tool/risk category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合计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100</w:t>
            </w:r>
          </w:p>
        </w:tc>
        <w:tc>
          <w:tcPr>
            <w:tcW w:type="dxa" w:w="69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固定一次后所有 ablation / portability 共用，禁止事后按结果挑 case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68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2835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2835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运行范围</w:t>
            </w:r>
          </w:p>
        </w:tc>
        <w:tc>
          <w:tcPr>
            <w:tcW w:type="dxa" w:w="476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原因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9 main models × Native/Ours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SABER + OAS full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论文最核心的跨模型外部有效性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P1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Ecosystem + atom study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离线/低成本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novelty 的根，不依赖 API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P2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Architecture ablation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100-case diagnostic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解释为什么不是 flat / skill-only / guard-only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P3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3-host portability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100-case diagnostic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证明 portable safety plane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P4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Repeated runs / variance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优先 diagnostic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比第三 benchmark 更有统计价值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P5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第三 benchmark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仅条件触发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只有 SABER+OAS 无法回答关键 reviewer gap 时再加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14. 3×H20 集群部署策略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E7E6E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20"/>
              </w:rPr>
              <w:t xml:space="preserve">硬件假设  </w:t>
            </w:r>
            <w:r>
              <w:rPr>
                <w:rFonts w:ascii="Noto Sans CJK SC" w:hAnsi="Noto Sans CJK SC" w:eastAsia="Noto Sans CJK SC"/>
                <w:color w:val="243447"/>
                <w:sz w:val="20"/>
              </w:rPr>
              <w:t>当前计划按 3 张 NVIDIA H20、每张约 144GB VRAM 设计。正式执行前用 nvidia-smi 锁定实际型号与显存，并记录 CUDA / driver / vLLM / SGLang 版本。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255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模型类别</w:t>
            </w:r>
          </w:p>
        </w:tc>
        <w:tc>
          <w:tcPr>
            <w:tcW w:type="dxa" w:w="408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建议方式</w:t>
            </w:r>
          </w:p>
        </w:tc>
        <w:tc>
          <w:tcPr>
            <w:tcW w:type="dxa" w:w="4535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理由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2B–30B dense / small MoE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单卡，优先 3 个并发 replica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最大化 benchmark episode throughput，而非无必要的 tensor parallel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gpt-oss-120b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优先单卡 smoke test；必要时 2 卡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官方 open-weight checkpoint 针对单 80GB 级 GPU 设计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Mistral Small 4 119B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2 卡 FP8；第 3 卡留 evaluator / environment / worker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checkpoint 约 242GB，需给 KV cache 和 runtime 留余量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DeepSeek-V4-Flash-0731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先测试官方/社区 FP8 或兼容量化 + SGLang/vLLM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模型很大；“总显存够”不等于 kernel/TP/quantization 兼容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MiniMax M2.5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先做 vLLM/SGLang + tool calling smoke test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大 MoE；确认实际 weights / TP / parser 后再进入 full run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15. Reproducibility / Version Lock Checklist</w:t>
      </w:r>
    </w:p>
    <w:p>
      <w:pPr>
        <w:pStyle w:val="ListNumber"/>
        <w:spacing w:after="60" w:line="252" w:lineRule="auto"/>
      </w:pPr>
      <w:r>
        <w:rPr>
          <w:rFonts w:ascii="Noto Sans CJK SC" w:hAnsi="Noto Sans CJK SC" w:eastAsia="Noto Sans CJK SC"/>
          <w:color w:val="243447"/>
          <w:sz w:val="20"/>
        </w:rPr>
        <w:t>冻结 benchmark revision：SABER commit、OAS dataset/repo/OpenHands evaluator revision。</w:t>
      </w:r>
    </w:p>
    <w:p>
      <w:pPr>
        <w:pStyle w:val="ListNumber"/>
        <w:spacing w:after="60" w:line="252" w:lineRule="auto"/>
      </w:pPr>
      <w:r>
        <w:rPr>
          <w:rFonts w:ascii="Noto Sans CJK SC" w:hAnsi="Noto Sans CJK SC" w:eastAsia="Noto Sans CJK SC"/>
          <w:color w:val="243447"/>
          <w:sz w:val="20"/>
        </w:rPr>
        <w:t>冻结模型 ID / snapshot：不要只写“latest”；记录 API snapshot 或 exact Hugging Face revision。</w:t>
      </w:r>
    </w:p>
    <w:p>
      <w:pPr>
        <w:pStyle w:val="ListNumber"/>
        <w:spacing w:after="60" w:line="252" w:lineRule="auto"/>
      </w:pPr>
      <w:r>
        <w:rPr>
          <w:rFonts w:ascii="Noto Sans CJK SC" w:hAnsi="Noto Sans CJK SC" w:eastAsia="Noto Sans CJK SC"/>
          <w:color w:val="243447"/>
          <w:sz w:val="20"/>
        </w:rPr>
        <w:t>冻结推理设置：temperature、top_p、reasoning/thinking level、max tokens、tool parser、context length。</w:t>
      </w:r>
    </w:p>
    <w:p>
      <w:pPr>
        <w:pStyle w:val="ListNumber"/>
        <w:spacing w:after="60" w:line="252" w:lineRule="auto"/>
      </w:pPr>
      <w:r>
        <w:rPr>
          <w:rFonts w:ascii="Noto Sans CJK SC" w:hAnsi="Noto Sans CJK SC" w:eastAsia="Noto Sans CJK SC"/>
          <w:color w:val="243447"/>
          <w:sz w:val="20"/>
        </w:rPr>
        <w:t>冻结 agent scaffold：system prompt、tool schema、max steps、timeout、retry、environment reset 流程。</w:t>
      </w:r>
    </w:p>
    <w:p>
      <w:pPr>
        <w:pStyle w:val="ListNumber"/>
        <w:spacing w:after="60" w:line="252" w:lineRule="auto"/>
      </w:pPr>
      <w:r>
        <w:rPr>
          <w:rFonts w:ascii="Noto Sans CJK SC" w:hAnsi="Noto Sans CJK SC" w:eastAsia="Noto Sans CJK SC"/>
          <w:color w:val="243447"/>
          <w:sz w:val="20"/>
        </w:rPr>
        <w:t>冻结 Safety Plane：atoms.json、archetype docs、hook scripts、router、adapter commit。</w:t>
      </w:r>
    </w:p>
    <w:p>
      <w:pPr>
        <w:pStyle w:val="ListNumber"/>
        <w:spacing w:after="60" w:line="252" w:lineRule="auto"/>
      </w:pPr>
      <w:r>
        <w:rPr>
          <w:rFonts w:ascii="Noto Sans CJK SC" w:hAnsi="Noto Sans CJK SC" w:eastAsia="Noto Sans CJK SC"/>
          <w:color w:val="243447"/>
          <w:sz w:val="20"/>
        </w:rPr>
        <w:t>记录每个 episode 的完整 trajectory、tool calls、verdict、triggered atoms、LLM fallback、token/latency/cost。</w:t>
      </w:r>
    </w:p>
    <w:p>
      <w:pPr>
        <w:pStyle w:val="ListNumber"/>
        <w:spacing w:after="60" w:line="252" w:lineRule="auto"/>
      </w:pPr>
      <w:r>
        <w:rPr>
          <w:rFonts w:ascii="Noto Sans CJK SC" w:hAnsi="Noto Sans CJK SC" w:eastAsia="Noto Sans CJK SC"/>
          <w:color w:val="243447"/>
          <w:sz w:val="20"/>
        </w:rPr>
        <w:t>主结果预先定义 failure / exclusion policy；环境故障与模型行为失败必须分开统计。</w:t>
      </w:r>
    </w:p>
    <w:p>
      <w:pPr>
        <w:pStyle w:val="Heading1"/>
        <w:keepNext/>
        <w:keepLines/>
      </w:pPr>
      <w:r>
        <w:t>16. 最终正文建议的核心表/图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70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正文元素</w:t>
            </w:r>
          </w:p>
        </w:tc>
        <w:tc>
          <w:tcPr>
            <w:tcW w:type="dxa" w:w="5329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4195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对应 Claim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Fig. 1</w:t>
            </w:r>
          </w:p>
        </w:tc>
        <w:tc>
          <w:tcPr>
            <w:tcW w:type="dxa" w:w="53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10K+ ecosystem → 95 atoms → hook/hybrid/skill → adapters → benchmarks 的 Safety Compiler / Plane 总图</w:t>
            </w:r>
          </w:p>
        </w:tc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整体概念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Fig. 2</w:t>
            </w:r>
          </w:p>
        </w:tc>
        <w:tc>
          <w:tcPr>
            <w:tcW w:type="dxa" w:w="53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Capability saturation curve</w:t>
            </w:r>
          </w:p>
        </w:tc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RQ1：生态冗余/饱和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Table 1</w:t>
            </w:r>
          </w:p>
        </w:tc>
        <w:tc>
          <w:tcPr>
            <w:tcW w:type="dxa" w:w="53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Held-out coverage + fidelity + external taxonomy coverage</w:t>
            </w:r>
          </w:p>
        </w:tc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RQ1：95 atoms 的外部有效性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Table 2</w:t>
            </w:r>
          </w:p>
        </w:tc>
        <w:tc>
          <w:tcPr>
            <w:tcW w:type="dxa" w:w="53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60/21/14 placement + conformance</w:t>
            </w:r>
          </w:p>
        </w:tc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RQ2：多数能力无需专用 LLM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Table 3</w:t>
            </w:r>
          </w:p>
        </w:tc>
        <w:tc>
          <w:tcPr>
            <w:tcW w:type="dxa" w:w="53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SABER × 9 main models</w:t>
            </w:r>
          </w:p>
        </w:tc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RQ3：operational safety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Table 4</w:t>
            </w:r>
          </w:p>
        </w:tc>
        <w:tc>
          <w:tcPr>
            <w:tcW w:type="dxa" w:w="53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OAS × 9 main models</w:t>
            </w:r>
          </w:p>
        </w:tc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RQ3：cross-app generalization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Fig. 3</w:t>
            </w:r>
          </w:p>
        </w:tc>
        <w:tc>
          <w:tcPr>
            <w:tcW w:type="dxa" w:w="53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Qwen3.5 2B→27B：Hook gain vs Semantic gain</w:t>
            </w:r>
          </w:p>
        </w:tc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RQ4：scale interaction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Table 5</w:t>
            </w:r>
          </w:p>
        </w:tc>
        <w:tc>
          <w:tcPr>
            <w:tcW w:type="dxa" w:w="53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External Guard / Hook-only / Skill-only / All-loaded / Ours</w:t>
            </w:r>
          </w:p>
        </w:tc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RQ5：architecture advantage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Table 6</w:t>
            </w:r>
          </w:p>
        </w:tc>
        <w:tc>
          <w:tcPr>
            <w:tcW w:type="dxa" w:w="53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Claude Code / Codex / DSH portability</w:t>
            </w:r>
          </w:p>
        </w:tc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RQ6：portable safety plane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20"/>
              </w:rPr>
              <w:t xml:space="preserve">论文最核心的 3 个可验证 Finding  </w:t>
            </w:r>
            <w:r>
              <w:rPr>
                <w:rFonts w:ascii="Noto Sans CJK SC" w:hAnsi="Noto Sans CJK SC" w:eastAsia="Noto Sans CJK SC"/>
                <w:color w:val="243447"/>
                <w:sz w:val="20"/>
              </w:rPr>
              <w:t>① Safety capability space 的增长远慢于 marketplace artifact 数量，并可由紧凑 IR 覆盖；② 多数 recurring safety capabilities 可完全或部分下沉到 deterministic runtime；③ model-native safety 与 runtime safety 互补，同一安全 core 可跨模型与 harness 部署。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17. 当前不建议做的事情</w:t>
      </w:r>
    </w:p>
    <w:p>
      <w:pPr>
        <w:pStyle w:val="ListBullet"/>
        <w:spacing w:after="60" w:line="252" w:lineRule="auto"/>
      </w:pPr>
      <w:r>
        <w:rPr>
          <w:rFonts w:ascii="Noto Sans CJK SC" w:hAnsi="Noto Sans CJK SC" w:eastAsia="Noto Sans CJK SC"/>
          <w:color w:val="243447"/>
          <w:sz w:val="20"/>
        </w:rPr>
        <w:t>不做 2 benchmarks × 9 models × 3 adapters × 7 architectures 的完整笛卡尔积。</w:t>
      </w:r>
    </w:p>
    <w:p>
      <w:pPr>
        <w:pStyle w:val="ListBullet"/>
        <w:spacing w:after="60" w:line="252" w:lineRule="auto"/>
      </w:pPr>
      <w:r>
        <w:rPr>
          <w:rFonts w:ascii="Noto Sans CJK SC" w:hAnsi="Noto Sans CJK SC" w:eastAsia="Noto Sans CJK SC"/>
          <w:color w:val="243447"/>
          <w:sz w:val="20"/>
        </w:rPr>
        <w:t>不为了 benchmark 数量加入第三个主 benchmark；优先保证模型 diversity、External Guard baseline、ablation 与重复运行。</w:t>
      </w:r>
    </w:p>
    <w:p>
      <w:pPr>
        <w:pStyle w:val="ListBullet"/>
        <w:spacing w:after="60" w:line="252" w:lineRule="auto"/>
      </w:pPr>
      <w:r>
        <w:rPr>
          <w:rFonts w:ascii="Noto Sans CJK SC" w:hAnsi="Noto Sans CJK SC" w:eastAsia="Noto Sans CJK SC"/>
          <w:color w:val="243447"/>
          <w:sz w:val="20"/>
        </w:rPr>
        <w:t>不把 ST-WebAgentBench policy compliance 当主 safety claim；仅在后续发现 phase routing 对 constraint scaling 有独特优势时作为 stress test。</w:t>
      </w:r>
    </w:p>
    <w:p>
      <w:pPr>
        <w:pStyle w:val="ListBullet"/>
        <w:spacing w:after="60" w:line="252" w:lineRule="auto"/>
      </w:pPr>
      <w:r>
        <w:rPr>
          <w:rFonts w:ascii="Noto Sans CJK SC" w:hAnsi="Noto Sans CJK SC" w:eastAsia="Noto Sans CJK SC"/>
          <w:color w:val="243447"/>
          <w:sz w:val="20"/>
        </w:rPr>
        <w:t>不把“做成插件”“用了 hook”“stage routing”“把 defense 写成 skill”单独 claim 为 novelty。</w:t>
      </w:r>
    </w:p>
    <w:p>
      <w:pPr>
        <w:pStyle w:val="ListBullet"/>
        <w:spacing w:after="60" w:line="252" w:lineRule="auto"/>
      </w:pPr>
      <w:r>
        <w:rPr>
          <w:rFonts w:ascii="Noto Sans CJK SC" w:hAnsi="Noto Sans CJK SC" w:eastAsia="Noto Sans CJK SC"/>
          <w:color w:val="243447"/>
          <w:sz w:val="20"/>
        </w:rPr>
        <w:t>不写“We distilled 10,223 artifacts into 95 atoms”这种过强表述；当前更准确是 reference-seeded taxonomy + ecosystem-scale validation/refinement。</w:t>
      </w:r>
    </w:p>
    <w:p>
      <w:pPr>
        <w:pStyle w:val="Heading1"/>
        <w:keepNext/>
        <w:keepLines/>
      </w:pPr>
      <w:r>
        <w:t>Appendix A. 关键外部来源（版本核验）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555555"/>
          <w:sz w:val="17"/>
        </w:rPr>
        <w:t>项目 README（本次上传）：README(5).md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555555"/>
          <w:sz w:val="17"/>
        </w:rPr>
        <w:t xml:space="preserve">SABER paper: </w:t>
      </w:r>
      <w:hyperlink r:id="rId11">
        <w:r>
          <w:rPr>
            <w:color w:val="2F5597"/>
            <w:u w:val="single"/>
            <w:rFonts w:ascii="Liberation Sans" w:hAnsi="Liberation Sans"/>
          </w:rPr>
          <w:t>https://arxiv.org/abs/2606.01317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color w:val="555555"/>
          <w:sz w:val="17"/>
        </w:rPr>
        <w:t xml:space="preserve">SABER code: </w:t>
      </w:r>
      <w:hyperlink r:id="rId12">
        <w:r>
          <w:rPr>
            <w:color w:val="2F5597"/>
            <w:u w:val="single"/>
            <w:rFonts w:ascii="Liberation Sans" w:hAnsi="Liberation Sans"/>
          </w:rPr>
          <w:t>https://github.com/sssr-lab/saber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color w:val="555555"/>
          <w:sz w:val="17"/>
        </w:rPr>
        <w:t xml:space="preserve">OpenAgentSafety paper: </w:t>
      </w:r>
      <w:hyperlink r:id="rId13">
        <w:r>
          <w:rPr>
            <w:color w:val="2F5597"/>
            <w:u w:val="single"/>
            <w:rFonts w:ascii="Liberation Sans" w:hAnsi="Liberation Sans"/>
          </w:rPr>
          <w:t>https://arxiv.org/abs/2507.06134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color w:val="555555"/>
          <w:sz w:val="17"/>
        </w:rPr>
        <w:t xml:space="preserve">OpenAgentSafety code: </w:t>
      </w:r>
      <w:hyperlink r:id="rId14">
        <w:r>
          <w:rPr>
            <w:color w:val="2F5597"/>
            <w:u w:val="single"/>
            <w:rFonts w:ascii="Liberation Sans" w:hAnsi="Liberation Sans"/>
          </w:rPr>
          <w:t>https://github.com/Open-Agent-Safety/OpenAgentSafety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color w:val="555555"/>
          <w:sz w:val="17"/>
        </w:rPr>
        <w:t xml:space="preserve">OpenAgentSafety dataset (356 tasks): </w:t>
      </w:r>
      <w:hyperlink r:id="rId15">
        <w:r>
          <w:rPr>
            <w:color w:val="2F5597"/>
            <w:u w:val="single"/>
            <w:rFonts w:ascii="Liberation Sans" w:hAnsi="Liberation Sans"/>
          </w:rPr>
          <w:t>https://huggingface.co/datasets/sani903/openagentsafety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color w:val="555555"/>
          <w:sz w:val="17"/>
        </w:rPr>
        <w:t xml:space="preserve">GPT-5.6 Sol: </w:t>
      </w:r>
      <w:hyperlink r:id="rId16">
        <w:r>
          <w:rPr>
            <w:color w:val="2F5597"/>
            <w:u w:val="single"/>
            <w:rFonts w:ascii="Liberation Sans" w:hAnsi="Liberation Sans"/>
          </w:rPr>
          <w:t>https://developers.openai.com/api/docs/models/gpt-5.6-sol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color w:val="555555"/>
          <w:sz w:val="17"/>
        </w:rPr>
        <w:t xml:space="preserve">Claude Fable 5: </w:t>
      </w:r>
      <w:hyperlink r:id="rId17">
        <w:r>
          <w:rPr>
            <w:color w:val="2F5597"/>
            <w:u w:val="single"/>
            <w:rFonts w:ascii="Liberation Sans" w:hAnsi="Liberation Sans"/>
          </w:rPr>
          <w:t>https://www.anthropic.com/claude/fable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color w:val="555555"/>
          <w:sz w:val="17"/>
        </w:rPr>
        <w:t xml:space="preserve">Gemini 3.7 Flash: </w:t>
      </w:r>
      <w:hyperlink r:id="rId18">
        <w:r>
          <w:rPr>
            <w:color w:val="2F5597"/>
            <w:u w:val="single"/>
            <w:rFonts w:ascii="Liberation Sans" w:hAnsi="Liberation Sans"/>
          </w:rPr>
          <w:t>https://ai.google.dev/gemini-api/docs/models/gemini-3.7-flash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color w:val="555555"/>
          <w:sz w:val="17"/>
        </w:rPr>
        <w:t xml:space="preserve">Qwen3.8-27B: </w:t>
      </w:r>
      <w:hyperlink r:id="rId19">
        <w:r>
          <w:rPr>
            <w:color w:val="2F5597"/>
            <w:u w:val="single"/>
            <w:rFonts w:ascii="Liberation Sans" w:hAnsi="Liberation Sans"/>
          </w:rPr>
          <w:t>https://huggingface.co/Qwen/Qwen3.8-27B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color w:val="555555"/>
          <w:sz w:val="17"/>
        </w:rPr>
        <w:t xml:space="preserve">Qwen3.5 family: </w:t>
      </w:r>
      <w:hyperlink r:id="rId20">
        <w:r>
          <w:rPr>
            <w:color w:val="2F5597"/>
            <w:u w:val="single"/>
            <w:rFonts w:ascii="Liberation Sans" w:hAnsi="Liberation Sans"/>
          </w:rPr>
          <w:t>https://huggingface.co/Qwen/Qwen3.5-27B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color w:val="555555"/>
          <w:sz w:val="17"/>
        </w:rPr>
        <w:t xml:space="preserve">GLM-4.7-Flash: </w:t>
      </w:r>
      <w:hyperlink r:id="rId21">
        <w:r>
          <w:rPr>
            <w:color w:val="2F5597"/>
            <w:u w:val="single"/>
            <w:rFonts w:ascii="Liberation Sans" w:hAnsi="Liberation Sans"/>
          </w:rPr>
          <w:t>https://huggingface.co/zai-org/GLM-4.7-Flash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color w:val="555555"/>
          <w:sz w:val="17"/>
        </w:rPr>
        <w:t xml:space="preserve">gpt-oss-120b: </w:t>
      </w:r>
      <w:hyperlink r:id="rId22">
        <w:r>
          <w:rPr>
            <w:color w:val="2F5597"/>
            <w:u w:val="single"/>
            <w:rFonts w:ascii="Liberation Sans" w:hAnsi="Liberation Sans"/>
          </w:rPr>
          <w:t>https://huggingface.co/openai/gpt-oss-120b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color w:val="555555"/>
          <w:sz w:val="17"/>
        </w:rPr>
        <w:t xml:space="preserve">DeepSeek-V4-Flash-0731: </w:t>
      </w:r>
      <w:hyperlink r:id="rId23">
        <w:r>
          <w:rPr>
            <w:color w:val="2F5597"/>
            <w:u w:val="single"/>
            <w:rFonts w:ascii="Liberation Sans" w:hAnsi="Liberation Sans"/>
          </w:rPr>
          <w:t>https://huggingface.co/deepseek-ai/DeepSeek-V4-Flash-0731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color w:val="555555"/>
          <w:sz w:val="17"/>
        </w:rPr>
        <w:t xml:space="preserve">Mistral Small 4 119B: </w:t>
      </w:r>
      <w:hyperlink r:id="rId24">
        <w:r>
          <w:rPr>
            <w:color w:val="2F5597"/>
            <w:u w:val="single"/>
            <w:rFonts w:ascii="Liberation Sans" w:hAnsi="Liberation Sans"/>
          </w:rPr>
          <w:t>https://huggingface.co/mistralai/Mistral-Small-4-119B-2603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color w:val="555555"/>
          <w:sz w:val="17"/>
        </w:rPr>
        <w:t xml:space="preserve">MiniMax M2.5: </w:t>
      </w:r>
      <w:hyperlink r:id="rId25">
        <w:r>
          <w:rPr>
            <w:color w:val="2F5597"/>
            <w:u w:val="single"/>
            <w:rFonts w:ascii="Liberation Sans" w:hAnsi="Liberation Sans"/>
          </w:rPr>
          <w:t>https://huggingface.co/MiniMaxAI/MiniMax-M2.5</w:t>
        </w:r>
      </w:hyperlink>
    </w:p>
    <w:p>
      <w:pPr>
        <w:spacing w:before="160"/>
      </w:pPr>
      <w:r>
        <w:rPr>
          <w:rFonts w:ascii="Noto Sans CJK SC" w:hAnsi="Noto Sans CJK SC" w:eastAsia="Noto Sans CJK SC"/>
          <w:b/>
          <w:color w:val="666666"/>
          <w:sz w:val="17"/>
        </w:rPr>
        <w:t>注：</w:t>
      </w:r>
      <w:r>
        <w:rPr>
          <w:rFonts w:ascii="Noto Sans CJK SC" w:hAnsi="Noto Sans CJK SC" w:eastAsia="Noto Sans CJK SC"/>
          <w:color w:val="666666"/>
          <w:sz w:val="17"/>
        </w:rPr>
        <w:t>模型和 benchmark 在快速更新。本文档记录的是 2026-08-31 的实验规划；真正提交论文时应在 Appendix 中报告 exact revisions，而不是依赖此处的“当前”状态。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5" w:right="992" w:bottom="879" w:left="992" w:header="425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 w:eastAsia="Liberation Sans"/>
        <w:color w:val="666666"/>
        <w:sz w:val="17"/>
      </w:rPr>
      <w:t xml:space="preserve">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 w:eastAsia="Liberation Sans"/>
        <w:color w:val="6B7280"/>
        <w:sz w:val="16"/>
      </w:rPr>
      <w:t>Safety Plane · Experimental Design &amp; Evaluation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344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24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rxiv.org/abs/2606.01317" TargetMode="External"/><Relationship Id="rId12" Type="http://schemas.openxmlformats.org/officeDocument/2006/relationships/hyperlink" Target="https://github.com/sssr-lab/saber" TargetMode="External"/><Relationship Id="rId13" Type="http://schemas.openxmlformats.org/officeDocument/2006/relationships/hyperlink" Target="https://arxiv.org/abs/2507.06134" TargetMode="External"/><Relationship Id="rId14" Type="http://schemas.openxmlformats.org/officeDocument/2006/relationships/hyperlink" Target="https://github.com/Open-Agent-Safety/OpenAgentSafety" TargetMode="External"/><Relationship Id="rId15" Type="http://schemas.openxmlformats.org/officeDocument/2006/relationships/hyperlink" Target="https://huggingface.co/datasets/sani903/openagentsafety" TargetMode="External"/><Relationship Id="rId16" Type="http://schemas.openxmlformats.org/officeDocument/2006/relationships/hyperlink" Target="https://developers.openai.com/api/docs/models/gpt-5.6-sol" TargetMode="External"/><Relationship Id="rId17" Type="http://schemas.openxmlformats.org/officeDocument/2006/relationships/hyperlink" Target="https://www.anthropic.com/claude/fable" TargetMode="External"/><Relationship Id="rId18" Type="http://schemas.openxmlformats.org/officeDocument/2006/relationships/hyperlink" Target="https://ai.google.dev/gemini-api/docs/models/gemini-3.7-flash" TargetMode="External"/><Relationship Id="rId19" Type="http://schemas.openxmlformats.org/officeDocument/2006/relationships/hyperlink" Target="https://huggingface.co/Qwen/Qwen3.8-27B" TargetMode="External"/><Relationship Id="rId20" Type="http://schemas.openxmlformats.org/officeDocument/2006/relationships/hyperlink" Target="https://huggingface.co/Qwen/Qwen3.5-27B" TargetMode="External"/><Relationship Id="rId21" Type="http://schemas.openxmlformats.org/officeDocument/2006/relationships/hyperlink" Target="https://huggingface.co/zai-org/GLM-4.7-Flash" TargetMode="External"/><Relationship Id="rId22" Type="http://schemas.openxmlformats.org/officeDocument/2006/relationships/hyperlink" Target="https://huggingface.co/openai/gpt-oss-120b" TargetMode="External"/><Relationship Id="rId23" Type="http://schemas.openxmlformats.org/officeDocument/2006/relationships/hyperlink" Target="https://huggingface.co/deepseek-ai/DeepSeek-V4-Flash-0731" TargetMode="External"/><Relationship Id="rId24" Type="http://schemas.openxmlformats.org/officeDocument/2006/relationships/hyperlink" Target="https://huggingface.co/mistralai/Mistral-Small-4-119B-2603" TargetMode="External"/><Relationship Id="rId25" Type="http://schemas.openxmlformats.org/officeDocument/2006/relationships/hyperlink" Target="https://huggingface.co/MiniMaxAI/MiniMax-M2.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Safety Plane 实验设计与评测计划</dc:title>
  <dc:subject>Agent Safety capability compilation, benchmark, model and portability evaluation plan</dc:subject>
  <dc:creator>Research Draft</dc:creator>
  <cp:keywords>Agent Safety, Safety Plane, Safety Compiler, SABER, OpenAgentSafety, Skills, MCP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