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16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die zeker vervangen moeten worden</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die zeker vervangen moeten worden</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bevatten namen en locaties die zeker vervangen moeten worden. Ze worden vóór Deduce toegepast, zodat een naam uit de lijst in zijn geheel wordt vervangen, inclusief tussenvoegsels en dubbele achternaam; daarna anonimiseert Deduce de rest van de tekst. Namenlijsten bevatten volledige namen (voornaam en achternaam); locatielijsten bevatten één locatie per regel. Een voor- of achternaam die meerdere mensen in de lijst delen, wordt ook los vervangen, met een eigen pseudoniem. Deduce kent zelf ruim 150.000 Nederlandse straatnamen; een voornaam uit de namenlijst die deel is van zo'n straat ('Willem' in 'Prins Willem-Alexanderstraat') blijft staan voor Deduce, dat de hele straat met huisnummer vervangt. Zet een straat daarom alleen in de locatielijst als Deduce hem niet kent, bijvoorbeeld bij een afwijkende spelling. Alle lijsten worden in één keer doorlopen en de langste treffer wint, zodat een straat uit de locatielijst voorgaat op een voornaam. Bij een straat uit de locatielijst wordt het huisnummer meegenomen, ook met toevoeging ('12a', '258-K'). Een locatie wordt alleen als hele regel herkend; zet varianten daarom als aparte regels in de lijst. Een postcode op 'MG' in hoofdletters ('9257MG'), die Deduce overslaat, wordt als locatie vervangen; '1000 mg' in kleine letters blijft staan als dosering.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Een achternaam of naam van één woord die ook een gewoon Nederlands woord is (zoals 'Linker' of 'Anders') wordt aan het begin van een zin niet vervangen, omdat de hoofdletter daar van het zinsbegin komt; na een titel of voorletter ('mevr. Anders') en midden in een zin wel. Voornamen uit een volledige naam (zoals 'Wil' uit 'Wil Bakker') worden ook aan het begin van een zin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 Uitzondering: een term van één woord die ook een gewoon Nederlands woord is (zoals 'Kamer' of 'Zondag') blijft staan als die op de whitelist staat.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De andere keuzes worden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 behalve als het één gewoon Nederlands woord is.</w:t>
            </w:r>
          </w:p>
        </w:tc>
      </w:tr>
      <w:tr>
        <w:tc>
          <w:tcPr>
            <w:tcW w:type="dxa" w:w="4997"/>
          </w:tcPr>
          <w:p>
            <w:r>
              <w:rPr>
                <w:sz w:val="18"/>
              </w:rPr>
              <w:t>Gewoon woord wordt als naam vervangen</w:t>
            </w:r>
          </w:p>
        </w:tc>
        <w:tc>
          <w:tcPr>
            <w:tcW w:type="dxa" w:w="4997"/>
          </w:tcPr>
          <w:p>
            <w:r>
              <w:rPr>
                <w:sz w:val="18"/>
              </w:rPr>
              <w:t>Het woord staat in de namenlijst en midden in een zin met hoofdletter. Zet het op de whitelist of haal het uit de namenlijst.</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