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14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Privacy en veilig gebruik</w:t>
      </w:r>
    </w:p>
    <w:p>
      <w:pPr>
        <w:pStyle w:val="ListBullet"/>
      </w:pPr>
      <w:r>
        <w:t>10. Problemen oplossen</w:t>
      </w:r>
    </w:p>
    <w:p>
      <w:pPr>
        <w:pStyle w:val="ListBullet"/>
      </w:pPr>
      <w:r>
        <w:t>11.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als aanvullende vangnetherkenning</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als aanvullende vangnetherkenning</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p>
      <w:pPr>
        <w:jc w:val="center"/>
      </w:pPr>
      <w:r>
        <w:drawing>
          <wp:inline xmlns:a="http://schemas.openxmlformats.org/drawingml/2006/main" xmlns:pic="http://schemas.openxmlformats.org/drawingml/2006/picture">
            <wp:extent cx="5943600" cy="4383405"/>
            <wp:docPr id="2" name="Picture 2"/>
            <wp:cNvGraphicFramePr>
              <a:graphicFrameLocks noChangeAspect="1"/>
            </wp:cNvGraphicFramePr>
            <a:graphic>
              <a:graphicData uri="http://schemas.openxmlformats.org/drawingml/2006/picture">
                <pic:pic>
                  <pic:nvPicPr>
                    <pic:cNvPr id="0" name="hoofdscherm.png"/>
                    <pic:cNvPicPr/>
                  </pic:nvPicPr>
                  <pic:blipFill>
                    <a:blip r:embed="rId12"/>
                    <a:stretch>
                      <a:fillRect/>
                    </a:stretch>
                  </pic:blipFill>
                  <pic:spPr>
                    <a:xfrm>
                      <a:off x="0" y="0"/>
                      <a:ext cx="5943600" cy="4383405"/>
                    </a:xfrm>
                    <a:prstGeom prst="rect"/>
                  </pic:spPr>
                </pic:pic>
              </a:graphicData>
            </a:graphic>
          </wp:inline>
        </w:drawing>
      </w:r>
    </w:p>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extra lijsten kunnen nog steeds aanvullend vervangen.</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p>
      <w:pPr>
        <w:jc w:val="center"/>
      </w:pPr>
      <w:r>
        <w:drawing>
          <wp:inline xmlns:a="http://schemas.openxmlformats.org/drawingml/2006/main" xmlns:pic="http://schemas.openxmlformats.org/drawingml/2006/picture">
            <wp:extent cx="5943600" cy="4383405"/>
            <wp:docPr id="3" name="Picture 3"/>
            <wp:cNvGraphicFramePr>
              <a:graphicFrameLocks noChangeAspect="1"/>
            </wp:cNvGraphicFramePr>
            <a:graphic>
              <a:graphicData uri="http://schemas.openxmlformats.org/drawingml/2006/picture">
                <pic:pic>
                  <pic:nvPicPr>
                    <pic:cNvPr id="0" name="bestandskeuze_voorcontrole.png"/>
                    <pic:cNvPicPr/>
                  </pic:nvPicPr>
                  <pic:blipFill>
                    <a:blip r:embed="rId13"/>
                    <a:stretch>
                      <a:fillRect/>
                    </a:stretch>
                  </pic:blipFill>
                  <pic:spPr>
                    <a:xfrm>
                      <a:off x="0" y="0"/>
                      <a:ext cx="5943600" cy="4383405"/>
                    </a:xfrm>
                    <a:prstGeom prst="rect"/>
                  </pic:spPr>
                </pic:pic>
              </a:graphicData>
            </a:graphic>
          </wp:inline>
        </w:drawing>
      </w:r>
    </w:p>
    <w:p>
      <w:pPr>
        <w:pStyle w:val="Caption"/>
        <w:jc w:val="center"/>
      </w:pPr>
      <w:r>
        <w:rPr>
          <w:i/>
          <w:color w:val="637083"/>
        </w:rPr>
        <w:t>Figuur: Bestandskeuze en voorcontrole</w:t>
      </w:r>
    </w:p>
    <w:p>
      <w:pPr>
        <w:jc w:val="center"/>
      </w:pPr>
      <w:r>
        <w:drawing>
          <wp:inline xmlns:a="http://schemas.openxmlformats.org/drawingml/2006/main" xmlns:pic="http://schemas.openxmlformats.org/drawingml/2006/picture">
            <wp:extent cx="5943600" cy="2206562"/>
            <wp:docPr id="4" name="Picture 4"/>
            <wp:cNvGraphicFramePr>
              <a:graphicFrameLocks noChangeAspect="1"/>
            </wp:cNvGraphicFramePr>
            <a:graphic>
              <a:graphicData uri="http://schemas.openxmlformats.org/drawingml/2006/picture">
                <pic:pic>
                  <pic:nvPicPr>
                    <pic:cNvPr id="0" name="filtergroepen_lijsten.png"/>
                    <pic:cNvPicPr/>
                  </pic:nvPicPr>
                  <pic:blipFill>
                    <a:blip r:embed="rId14"/>
                    <a:stretch>
                      <a:fillRect/>
                    </a:stretch>
                  </pic:blipFill>
                  <pic:spPr>
                    <a:xfrm>
                      <a:off x="0" y="0"/>
                      <a:ext cx="5943600" cy="2206562"/>
                    </a:xfrm>
                    <a:prstGeom prst="rect"/>
                  </pic:spPr>
                </pic:pic>
              </a:graphicData>
            </a:graphic>
          </wp:inline>
        </w:drawing>
      </w:r>
    </w:p>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p>
      <w:pPr>
        <w:jc w:val="center"/>
      </w:pPr>
      <w:r>
        <w:drawing>
          <wp:inline xmlns:a="http://schemas.openxmlformats.org/drawingml/2006/main" xmlns:pic="http://schemas.openxmlformats.org/drawingml/2006/picture">
            <wp:extent cx="5943600" cy="4383405"/>
            <wp:docPr id="5" name="Picture 5"/>
            <wp:cNvGraphicFramePr>
              <a:graphicFrameLocks noChangeAspect="1"/>
            </wp:cNvGraphicFramePr>
            <a:graphic>
              <a:graphicData uri="http://schemas.openxmlformats.org/drawingml/2006/picture">
                <pic:pic>
                  <pic:nvPicPr>
                    <pic:cNvPr id="0" name="voortgang.png"/>
                    <pic:cNvPicPr/>
                  </pic:nvPicPr>
                  <pic:blipFill>
                    <a:blip r:embed="rId15"/>
                    <a:stretch>
                      <a:fillRect/>
                    </a:stretch>
                  </pic:blipFill>
                  <pic:spPr>
                    <a:xfrm>
                      <a:off x="0" y="0"/>
                      <a:ext cx="5943600" cy="4383405"/>
                    </a:xfrm>
                    <a:prstGeom prst="rect"/>
                  </pic:spPr>
                </pic:pic>
              </a:graphicData>
            </a:graphic>
          </wp:inline>
        </w:drawing>
      </w:r>
    </w:p>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waaronder per filtergroep of die aan of uit stond. Onderin open je met Open resultaat het bestand, met Open uitvoermap de map en met Open log het logbestand. Sluit het met Sluiten, Escape of het kruisje. Daarna blijven dezelfde acties beschikbaar als kleine links (Resultaat · Uitvoermap · Log) rechts op de statusregel, tot je een nieuwe run start.</w:t>
      </w:r>
    </w:p>
    <w:p>
      <w:pPr>
        <w:jc w:val="center"/>
      </w:pPr>
      <w:r>
        <w:drawing>
          <wp:inline xmlns:a="http://schemas.openxmlformats.org/drawingml/2006/main" xmlns:pic="http://schemas.openxmlformats.org/drawingml/2006/picture">
            <wp:extent cx="5943600" cy="4383405"/>
            <wp:docPr id="6" name="Picture 6"/>
            <wp:cNvGraphicFramePr>
              <a:graphicFrameLocks noChangeAspect="1"/>
            </wp:cNvGraphicFramePr>
            <a:graphic>
              <a:graphicData uri="http://schemas.openxmlformats.org/drawingml/2006/picture">
                <pic:pic>
                  <pic:nvPicPr>
                    <pic:cNvPr id="0" name="resultatenvenster_log.png"/>
                    <pic:cNvPicPr/>
                  </pic:nvPicPr>
                  <pic:blipFill>
                    <a:blip r:embed="rId16"/>
                    <a:stretch>
                      <a:fillRect/>
                    </a:stretch>
                  </pic:blipFill>
                  <pic:spPr>
                    <a:xfrm>
                      <a:off x="0" y="0"/>
                      <a:ext cx="5943600" cy="4383405"/>
                    </a:xfrm>
                    <a:prstGeom prst="rect"/>
                  </pic:spPr>
                </pic:pic>
              </a:graphicData>
            </a:graphic>
          </wp:inline>
        </w:drawing>
      </w:r>
    </w:p>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en uitgeschakelde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zijn aanvullende vangnetten voor termen die Deduce mogelijk niet herkent. Namenlijsten kunnen volledige namen en bruikbare schrijfvarianten bevatten; locatielijsten bevatten één locatie per regel. De tool kan personen pseudonimiseren met consistente placeholders en telt extra vervangingen afzonderlijk in het log.</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 Staat een term ook in de patiënten-, medewerkers- of locatielijst, dan gaat die lijst voor en wordt de term toch geanonimiseerd.</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en het pad naar het whitelistbestand lokaal in het Windows-profiel van de gebruiker onder `%LOCALAPPDATA%\HealthNoord\AnonymisatieTool`. De inhoud van de whitelist wordt niet in de instellingen gekopieerd. Het hoofd-invoerbestand wordt bewust nooit onthouden; selecteer dit voor iedere run opnieuw.</w:t>
      </w:r>
    </w:p>
    <w:p>
      <w:pPr>
        <w:pStyle w:val="Heading1"/>
      </w:pPr>
      <w:r>
        <w:t>9.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10.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 Staat de term ook in een extra lijst, dan wordt hij bewust toch geanonimiseerd.</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11.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