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28"/>
          <w:szCs w:val="28"/>
        </w:rPr>
        <w:t xml:space="preserve">「プライベートエクイティファンドの実際」を受講して</w:t>
      </w:r>
    </w:p>
    <w:p>
      <w:pPr>
        <w:spacing w:after="200" w:line="360"/>
        <w:ind w:firstLine="210"/>
      </w:pPr>
      <w:r>
        <w:rPr>
          <w:sz w:val="21"/>
          <w:szCs w:val="21"/>
        </w:rPr>
        <w:t xml:space="preserve">私は現在、事業会社からPEファンドに出向している。出向先はハンズオン支援に力を入れているファンドであり、講義の内容は自身の業務と重なる部分が多く、共感を持って聞くことができた。以下、有意義だった点、勉強になった点について述べる。</w:t>
      </w:r>
    </w:p>
    <w:p>
      <w:pPr>
        <w:spacing w:after="200" w:line="360"/>
        <w:ind w:firstLine="210"/>
      </w:pPr>
      <w:r>
        <w:rPr>
          <w:sz w:val="21"/>
          <w:szCs w:val="21"/>
        </w:rPr>
        <w:t xml:space="preserve">まず、「金融と言いながら、実は事業が本質」という指摘が印象に残った。安く買ってレバレッジをかけて高く売るという金融工学的な手法は今日では効果が限定的であり、EBITDA、すなわち本業の収益力を高め、商品やサービスの競争力を強化しなければリターンは出ないという説明であった。この点は自分自身も日々の業務で感じていたことだが、ジャパンブルーの事例を通じて理解が深まった。特に、投資判断の決め手がデューデリジェンスの分析ではなく、縫製工場の75歳の工場長が「職人が執着すべきクオリティ」について語る映像であったという話は印象的だった。財務諸表に表れない価値を見て「完全なアンダーバリューだ」と確信したという部分に、数字の前にまず事業と人を見ることの重要性を感じた。</w:t>
      </w:r>
    </w:p>
    <w:p>
      <w:pPr>
        <w:spacing w:after="200" w:line="360"/>
        <w:ind w:firstLine="210"/>
      </w:pPr>
      <w:r>
        <w:rPr>
          <w:sz w:val="21"/>
          <w:szCs w:val="21"/>
        </w:rPr>
        <w:t xml:space="preserve">次に、最も共感したのはエンゲージメントに関する議論である。講義の中で、エンゲージメントが低下するのは業績の良し悪しによるものではなく、「従業員の声が経営層に届いていない」「自分たちが軽視されている」といった感覚に強く影響される、だからこそ声を聞ける場を作り、経営に反映していくことが重要である、という趣旨の話があった。これは出向先で私が日々感じていることと完全に一致する。投資先の従業員と話をすると、不満の中身は待遇そのものよりも、自分たちに知らされないまま物事が決まっていくことに対するものであることが多い。講師が投資直後の3か月で100人全員とワンオンワンを実施し、その上で基本戦略を立てるというやり方は、一見遠回りだが、実際には最も確実な方法だと思う。ストックオプション等の制度は出向先でも活用しているが、制度だけでは人は動かず、一人ひとりとの対話と組み合わせて初めて機能するという点は、自身の業務においても意識していきたい。</w:t>
      </w:r>
    </w:p>
    <w:p>
      <w:pPr>
        <w:spacing w:after="200" w:line="360"/>
        <w:ind w:firstLine="210"/>
      </w:pPr>
      <w:r>
        <w:rPr>
          <w:sz w:val="21"/>
          <w:szCs w:val="21"/>
        </w:rPr>
        <w:t xml:space="preserve">また、事業運営の担当者は出向者としてではなく「当事者として対象先のメンバーと同じ釜の飯を食う」という話は、出向の立場にある自分にとって耳の痛いものだった。どこかで「いずれ戻る人間」という意識で仕事をしていないか、考えさせられた。</w:t>
      </w:r>
    </w:p>
    <w:p>
      <w:pPr>
        <w:spacing w:after="200" w:line="360"/>
        <w:ind w:firstLine="210"/>
      </w:pPr>
      <w:r>
        <w:rPr>
          <w:sz w:val="21"/>
          <w:szCs w:val="21"/>
        </w:rPr>
        <w:t xml:space="preserve">投資実務の回では、業界の華やかなイメージとの落差が勉強になった。17か月で約1,000件の案件情報を検討し、LOIを提出したのは8件、DDまで進んだ案件はゼロという数字には驚いた。「千三つ」という言葉が誇張ではないことがよく分かった。「案件を取ってくるやつが一番偉い」、すなわちソーシングは本質的に営業であるという説明も、書籍等で語られるPE業界のイメージとは異なる、現場の実感がこもった話だと感じた。DDについても、株主の変遷が書類でも記憶でも辿れない、賃貸借契約のCOC条項によりディールが白紙になる、クロージング直前に売主の心変わりが起きる、といった具体例が豊富で、非上場の中小企業を対象とすることの難しさがよく理解できた。DDに1億円近くを投じた後であっても「これはやってはいけない」と判断して撤退できるかどうかというサンクコストの議論は、投資に限らずあらゆる業務に当てはまるものだと思う。</w:t>
      </w:r>
    </w:p>
    <w:p>
      <w:pPr>
        <w:spacing w:after="200" w:line="360"/>
        <w:ind w:firstLine="210"/>
      </w:pPr>
      <w:r>
        <w:rPr>
          <w:sz w:val="21"/>
          <w:szCs w:val="21"/>
        </w:rPr>
        <w:t xml:space="preserve">スキームの説明では、売主再出資による2段階エグジットが勉強になった。12億円で売り切るよりも、10億円に下げてもらい1億円を再出資してもらう方が、レバレッジの効果により売主は20%の持分を確保でき、再エグジット時には手取りの合計が大きくなる可能性があるという説明は分かりやすかった。ただし、このスキームが成立するかどうかは、数年後の企業価値を売主に信じてもらえるかどうかにかかっており、最終的には投資ストーリーと人への信頼の問題に帰着するという点が印象に残った。駆け引きをせず、都合の悪いことも先に伝えるという「誠実さ」についての話も、自身の業務の参考にしたい。</w:t>
      </w:r>
    </w:p>
    <w:p>
      <w:pPr>
        <w:spacing w:after="200" w:line="360"/>
        <w:ind w:firstLine="210"/>
      </w:pPr>
      <w:r>
        <w:rPr>
          <w:sz w:val="21"/>
          <w:szCs w:val="21"/>
        </w:rPr>
        <w:t xml:space="preserve">全体を通じて、PEの仕事を金融の技術としてではなく経営そのものとして説明された点に、本講義の意義があったと考える。ステークホルダー全員が幸せになることを本気で考えなければ投資は失敗するという話が、労務トラブルゼロ、投資元本を一度も割っていないという実績とともに語られていた点に説得力があった。出向者という中途半端になりがちな立場ではあるが、講義で学んだことを踏まえ、投資先に対して当事者意識を持って業務にあたりた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Yu Mincho"/>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2026-07-31T14:45:20.206Z</dcterms:created>
  <dcterms:modified xsi:type="dcterms:W3CDTF">2026-07-31T14:45:20.207Z</dcterms:modified>
</cp:coreProperties>
</file>

<file path=docProps/custom.xml><?xml version="1.0" encoding="utf-8"?>
<Properties xmlns="http://schemas.openxmlformats.org/officeDocument/2006/custom-properties" xmlns:vt="http://schemas.openxmlformats.org/officeDocument/2006/docPropsVTypes"/>
</file>