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Line"/>
        <w:jc w:val="right"/>
      </w:pPr>
      <w:r>
        <w:t xml:space="preserve">学籍番号　【要記入】</w:t>
      </w:r>
    </w:p>
    <w:p>
      <w:pPr>
        <w:pStyle w:val="CoverLine"/>
      </w:pPr>
      <w:r>
        <w:t xml:space="preserve"> </w:t>
      </w:r>
    </w:p>
    <w:p>
      <w:pPr>
        <w:pStyle w:val="CoverLine"/>
      </w:pPr>
      <w:r>
        <w:t xml:space="preserve"> </w:t>
      </w:r>
    </w:p>
    <w:p>
      <w:pPr>
        <w:pStyle w:val="CoverLine"/>
      </w:pPr>
      <w:r>
        <w:t xml:space="preserve"> </w:t>
      </w:r>
    </w:p>
    <w:p>
      <w:pPr>
        <w:pStyle w:val="CoverLine"/>
      </w:pPr>
      <w:r>
        <w:rPr>
          <w:rFonts w:hint="eastAsia"/>
        </w:rPr>
        <w:t xml:space="preserve">修士論文（要旨）</w:t>
      </w:r>
      <w:r>
        <w:t xml:space="preserve">　</w:t>
      </w:r>
      <w:r>
        <w:rPr>
          <w:rFonts w:hint="eastAsia"/>
        </w:rPr>
        <w:t xml:space="preserve">【要確認】（「修士論文」は様式にない表記。表紙に記載するか）</w:t>
      </w:r>
    </w:p>
    <w:p>
      <w:pPr>
        <w:pStyle w:val="CoverLine"/>
      </w:pPr>
      <w:r>
        <w:t xml:space="preserve"> </w:t>
      </w:r>
    </w:p>
    <w:p>
      <w:pPr>
        <w:pStyle w:val="CoverTitle"/>
      </w:pPr>
      <w:r>
        <w:rPr>
          <w:rFonts w:hint="eastAsia"/>
        </w:rPr>
        <w:t xml:space="preserve">風力主導電力市場における蓄電池の価値形成と自由参入均衡</w:t>
      </w:r>
    </w:p>
    <w:p>
      <w:pPr>
        <w:pStyle w:val="CoverLine"/>
      </w:pPr>
      <w:r>
        <w:rPr>
          <w:rFonts w:hint="eastAsia"/>
        </w:rPr>
        <w:t xml:space="preserve">－北海道の実証と下限価格・市場外収入の定量分析－</w:t>
      </w:r>
    </w:p>
    <w:p>
      <w:pPr>
        <w:pStyle w:val="CoverLine"/>
      </w:pPr>
      <w:r>
        <w:t xml:space="preserve"> </w:t>
      </w:r>
    </w:p>
    <w:p>
      <w:pPr>
        <w:pStyle w:val="CoverLine"/>
      </w:pPr>
      <w:r>
        <w:rPr>
          <w:b/>
          <w:bCs/>
        </w:rPr>
        <w:t xml:space="preserve">Battery Storage Value and Free-Entry Equilibrium in a Wind-Dominated Electricity Market: Evidence from Hokkaido on the Price Floor and Out-of-Market Revenues</w:t>
      </w:r>
    </w:p>
    <w:p>
      <w:pPr>
        <w:pStyle w:val="CoverLine"/>
      </w:pPr>
      <w:r>
        <w:t xml:space="preserve"> </w:t>
      </w:r>
    </w:p>
    <w:p>
      <w:pPr>
        <w:pStyle w:val="CoverLine"/>
      </w:pPr>
      <w:r>
        <w:t xml:space="preserve"> </w:t>
      </w:r>
    </w:p>
    <w:p>
      <w:pPr>
        <w:pStyle w:val="CoverLine"/>
      </w:pPr>
      <w:r>
        <w:t xml:space="preserve"> </w:t>
      </w:r>
    </w:p>
    <w:p>
      <w:pPr>
        <w:pStyle w:val="CoverLine"/>
      </w:pPr>
      <w:r>
        <w:t xml:space="preserve"> </w:t>
      </w:r>
    </w:p>
    <w:p>
      <w:pPr>
        <w:pStyle w:val="CoverLine"/>
      </w:pPr>
      <w:r>
        <w:rPr>
          <w:rFonts w:hint="eastAsia"/>
        </w:rPr>
        <w:t xml:space="preserve">一橋大学大学院</w:t>
      </w:r>
      <w:r>
        <w:t xml:space="preserve"> </w:t>
      </w:r>
      <w:r>
        <w:rPr>
          <w:rFonts w:hint="eastAsia"/>
        </w:rPr>
        <w:t xml:space="preserve">経営管理研究科</w:t>
      </w:r>
      <w:r>
        <w:t xml:space="preserve"> </w:t>
      </w:r>
      <w:r>
        <w:rPr>
          <w:rFonts w:hint="eastAsia"/>
        </w:rPr>
        <w:t xml:space="preserve">経営管理専攻</w:t>
      </w:r>
      <w:r>
        <w:br/>
      </w:r>
      <w:r>
        <w:rPr>
          <w:rFonts w:hint="eastAsia"/>
        </w:rPr>
        <w:t xml:space="preserve">修士課程</w:t>
      </w:r>
      <w:r>
        <w:t xml:space="preserve"> </w:t>
      </w:r>
      <w:r>
        <w:rPr>
          <w:rFonts w:hint="eastAsia"/>
        </w:rPr>
        <w:t xml:space="preserve">経営学修士コース</w:t>
      </w:r>
      <w:r>
        <w:t xml:space="preserve"> </w:t>
      </w:r>
      <w:r>
        <w:rPr>
          <w:rFonts w:hint="eastAsia"/>
        </w:rPr>
        <w:t xml:space="preserve">金融戦略・経営財務プログラム</w:t>
      </w:r>
      <w:r>
        <w:t xml:space="preserve">　</w:t>
      </w:r>
      <w:r>
        <w:rPr>
          <w:rFonts w:hint="eastAsia"/>
        </w:rPr>
        <w:t xml:space="preserve">【要確認】</w:t>
      </w:r>
    </w:p>
    <w:p>
      <w:pPr>
        <w:pStyle w:val="CoverLine"/>
      </w:pPr>
      <w:r>
        <w:t xml:space="preserve"> </w:t>
      </w:r>
    </w:p>
    <w:p>
      <w:pPr>
        <w:pStyle w:val="CoverLine"/>
      </w:pPr>
      <w:r>
        <w:rPr>
          <w:rFonts w:hint="eastAsia"/>
        </w:rPr>
        <w:t xml:space="preserve">松葉</w:t>
      </w:r>
      <w:r>
        <w:t xml:space="preserve"> </w:t>
      </w:r>
      <w:r>
        <w:rPr>
          <w:rFonts w:hint="eastAsia"/>
        </w:rPr>
        <w:t xml:space="preserve">大希</w:t>
      </w:r>
    </w:p>
    <w:p>
      <w:pPr>
        <w:pStyle w:val="CoverLine"/>
      </w:pPr>
      <w:r>
        <w:rPr>
          <w:rFonts w:hint="eastAsia"/>
        </w:rPr>
        <w:t xml:space="preserve">指導教員</w:t>
      </w:r>
      <w:r>
        <w:t xml:space="preserve">　</w:t>
      </w:r>
      <w:r>
        <w:rPr>
          <w:rFonts w:hint="eastAsia"/>
        </w:rPr>
        <w:t xml:space="preserve">【要記入】（表紙に記載するか【要確認】）</w:t>
      </w:r>
    </w:p>
    <w:p>
      <w:pPr>
        <w:pStyle w:val="CoverLine"/>
      </w:pPr>
      <w:r>
        <w:rPr>
          <w:rFonts w:hint="eastAsia"/>
        </w:rPr>
        <w:t xml:space="preserve">2028年1月</w:t>
      </w:r>
      <w:r>
        <w:t xml:space="preserve">　</w:t>
      </w:r>
      <w:r>
        <w:rPr>
          <w:rFonts w:hint="eastAsia"/>
        </w:rPr>
        <w:t xml:space="preserve">【要確認】（仮置きの提出年月。表紙に記載するか）</w:t>
      </w:r>
    </w:p>
    <w:p>
      <w:pPr>
        <w:pStyle w:val="FrontHeading"/>
        <w:pageBreakBefore/>
      </w:pPr>
      <w:r>
        <w:rPr>
          <w:rFonts w:hint="eastAsia"/>
        </w:rPr>
        <w:t xml:space="preserve">要旨</w:t>
      </w:r>
    </w:p>
    <w:p>
      <w:pPr>
        <w:pStyle w:val="BodyText"/>
      </w:pPr>
      <w:r>
        <w:rPr>
          <w:rFonts w:hint="eastAsia"/>
          <w:b/>
          <w:bCs/>
        </w:rPr>
        <w:t xml:space="preserve">研究の背景と課題</w:t>
      </w:r>
      <w:r>
        <w:t xml:space="preserve">　</w:t>
      </w:r>
      <w:r>
        <w:rPr>
          <w:rFonts w:hint="eastAsia"/>
        </w:rPr>
        <w:t xml:space="preserve">脱炭素化に向けて変動性の再生可能エネルギー（以下、再エネ）が増えるにつれ、送配電網に直接接続して卸電力市場などで充放電する系統用蓄電池への参入が急増している。その背後には、再エネの増加が卸電力価格の変動性を高め、蓄電池の裁定価値を高めるという通説がある。しかし通説は、電源種の違いも、価格の水準・日内の形状・多日の変動という時間スケールの違いも区別しておらず、蓄電池の参入そのものが価格差を縮めることも考慮していない。本研究は、風力の導入量が都道府県別で全国最大で、本州とは容量の小さい連系線でのみつながる北海道エリアを対象に、市場構造と制度を所与としたとき系統用蓄電池の均衡導入量はどこにあり、現実の参入との乖離は何によって、いくらで説明されるのかを主たる研究課題とする。北海道では、系統に接続済みの系統用蓄電池が約20万kW、契約申込が約234万kW</w:t>
      </w:r>
      <w:r>
        <w:t xml:space="preserve"> </w:t>
      </w:r>
      <w:r>
        <w:rPr>
          <w:rFonts w:hint="eastAsia"/>
        </w:rPr>
        <w:t xml:space="preserve">に達している。この課題を、価格形成、蓄電池の価値、均衡と乖離、併設蓄電池の価値、均衡が正に転じる条件、下限価格の六つの下位の課題に分けて検討する。</w:t>
      </w:r>
    </w:p>
    <w:p>
      <w:pPr>
        <w:pStyle w:val="BodyText"/>
      </w:pPr>
      <w:r>
        <w:rPr>
          <w:rFonts w:hint="eastAsia"/>
          <w:b/>
          <w:bCs/>
        </w:rPr>
        <w:t xml:space="preserve">データと方法</w:t>
      </w:r>
      <w:r>
        <w:t xml:space="preserve">　</w:t>
      </w:r>
      <w:r>
        <w:rPr>
          <w:rFonts w:hint="eastAsia"/>
        </w:rPr>
        <w:t xml:space="preserve">分析には、2016年4月から2026年6月までの北海道の需給実績と日本卸電力取引所（JEPX）のエリアプライスを結合した時間単位のパネルを用い、九州を比較の対象に置く。第一に、気象で決まる再エネの発電量を外生的なショックとみなして、価格の水準と日内の価格差を日次で回帰し、系列相関に頑健な推論で結果を確かめる。24時間の価格カーブは、債券の期間構造と同じ方法で主成分に分ける。第二に、4時間蓄電池の1日の裁定を日次のスプレッド（交換）オプションとみなして、完全予見の下での裁定粗利（以下、完全予見粗利）を測り、前日に実行可能な戦略が取れる割合を検定する。第三に、純需要を供給曲線に当てて価格を導く構造型の電力価格モデルを推定し、蓄電池の参入が価格を動かす効果を内生化したうえで、限界参入者の正味現在価値がゼロになる条件から均衡容量を求め、価格水準の不確実性の下での参入閾値を実物オプションとして解く。第四に、長期脱炭素電源オークション（LTDA）や補助金による契約を、事業の内部収益率（IRR）、資産の資本コスト、調整現在価値（APV）、Cash-Flow-at-Risk</w:t>
      </w:r>
      <w:r>
        <w:t xml:space="preserve"> </w:t>
      </w:r>
      <w:r>
        <w:rPr>
          <w:rFonts w:hint="eastAsia"/>
        </w:rPr>
        <w:t xml:space="preserve">で評価する。最後に、下限価格を負の価格に置き換える反実仮想を行う。主張はすべて、現行の市場制度と公表済みの構造イベントを所与とする条件の下に置く。</w:t>
      </w:r>
    </w:p>
    <w:p>
      <w:pPr>
        <w:pStyle w:val="BodyText"/>
      </w:pPr>
      <w:r>
        <w:rPr>
          <w:rFonts w:hint="eastAsia"/>
          <w:b/>
          <w:bCs/>
        </w:rPr>
        <w:t xml:space="preserve">主要な結果</w:t>
      </w:r>
      <w:r>
        <w:t xml:space="preserve">　</w:t>
      </w:r>
      <w:r>
        <w:rPr>
          <w:rFonts w:hint="eastAsia"/>
        </w:rPr>
        <w:t xml:space="preserve">第一に、太陽光は不需要期を中心に日内の価格差を広げるが、風力は一日の価格をほぼ一様に引き下げ、日内の価格差を広げるという頑健な証拠はない。効果があったとしても、その95%信頼区間の上限は、夏・冬・不需要期の3季節の区分では年度内の1標準偏差あたり季節平均の価格差の約3〜5%（2023〜2025年度の夏では約11%）、不需要期を暦月の春に限ると約7%である。価格カーブでみると、風力は主に水準の因子に負荷し、蓄電池は形状の因子に対するロング・ポジションなので、風力の増加が蓄電池の価値を動かすという頑健な証拠はなく、効果があっても小さい。第二に、4時間蓄電池の完全予見粗利は2023〜2025年度に0.96〜1.15万円/kW-年と九州の約9割であり、過去28日の平均価格カーブで前日に充放電の窓を固定する本源的方策がその81.7%を取る。限界参入者の収益は蓄電池の総容量の拡大とともに速く減衰し、約31万kW</w:t>
      </w:r>
      <w:r>
        <w:t xml:space="preserve"> </w:t>
      </w:r>
      <w:r>
        <w:rPr>
          <w:rFonts w:hint="eastAsia"/>
        </w:rPr>
        <w:t xml:space="preserve">で半減して約72万kW</w:t>
      </w:r>
      <w:r>
        <w:t xml:space="preserve"> </w:t>
      </w:r>
      <w:r>
        <w:rPr>
          <w:rFonts w:hint="eastAsia"/>
        </w:rPr>
        <w:t xml:space="preserve">で負に転じる。第三に、スポット裁定と容量収入だけで運営する蓄電池（マーチャント）の均衡容量は、需給調整市場のレントを0と置く限りゼロである（このレントは、競争の下では調達量の程度の容量しか支えない）。参入が採算に乗るには、収益の基準の置き方によって2023〜2025年度の2倍強から約3倍の価格水準が要り、燃料危機期の2022年度の実績価格でも必要な収入の82〜99%にとどまる。補助金のないマーチャントの事業</w:t>
      </w:r>
      <w:r>
        <w:t xml:space="preserve"> IRR </w:t>
      </w:r>
      <w:r>
        <w:rPr>
          <w:rFonts w:hint="eastAsia"/>
        </w:rPr>
        <w:t xml:space="preserve">は−5.6%である。価格水準の不確実性を考え、期待成長を0、資本費を一定とすると、競争均衡の参入閾値は静学の損益分岐の1.17〜1.59倍に上がり、補助金がなければ2040年度までに参入が開く確率は最大7.3%（資本費が年5%下がっても最大14%）にとどまる。第四に、接続済みと契約申込の計254万kW</w:t>
      </w:r>
      <w:r>
        <w:t xml:space="preserve"> </w:t>
      </w:r>
      <w:r>
        <w:rPr>
          <w:rFonts w:hint="eastAsia"/>
        </w:rPr>
        <w:t xml:space="preserve">のうち、市場外収入で</w:t>
      </w:r>
      <w:r>
        <w:t xml:space="preserve"> APV </w:t>
      </w:r>
      <w:r>
        <w:rPr>
          <w:rFonts w:hint="eastAsia"/>
        </w:rPr>
        <w:t xml:space="preserve">が正になるのは</w:t>
      </w:r>
      <w:r>
        <w:t xml:space="preserve"> LTDA </w:t>
      </w:r>
      <w:r>
        <w:rPr>
          <w:rFonts w:hint="eastAsia"/>
        </w:rPr>
        <w:t xml:space="preserve">の落札分（容量の22〜27%）にとどまり、補助を受けた案件などは本研究の資本コスト（9%）で評価した</w:t>
      </w:r>
      <w:r>
        <w:t xml:space="preserve"> APV </w:t>
      </w:r>
      <w:r>
        <w:rPr>
          <w:rFonts w:hint="eastAsia"/>
        </w:rPr>
        <w:t xml:space="preserve">が負のまま参入を決め、61〜70%は属性が特定できない。属性不明の容量がすべてマーチャントの4時間蓄電池として建設されるなら、計測していない成分が1kWあたり約21万円を埋めなければならない。LTDA</w:t>
      </w:r>
      <w:r>
        <w:t xml:space="preserve"> </w:t>
      </w:r>
      <w:r>
        <w:rPr>
          <w:rFonts w:hint="eastAsia"/>
        </w:rPr>
        <w:t xml:space="preserve">は固定収入と市場収入を交換するレベニュースワップにあたる。同じ蓄電池でも落札すれば事業</w:t>
      </w:r>
      <w:r>
        <w:t xml:space="preserve"> IRR </w:t>
      </w:r>
      <w:r>
        <w:rPr>
          <w:rFonts w:hint="eastAsia"/>
        </w:rPr>
        <w:t xml:space="preserve">は負から正に転じるが、スワップの価値のうちリスクの移転は約11%で、大半は需要家からの期待値の移転である。第五に、北海道で価格に映らない出力制御の中心は下限価格での打ち切りであり、併設蓄電池の抑制回避の価値は小さい。0.01円/kWh</w:t>
      </w:r>
      <w:r>
        <w:t xml:space="preserve"> </w:t>
      </w:r>
      <w:r>
        <w:rPr>
          <w:rFonts w:hint="eastAsia"/>
        </w:rPr>
        <w:t xml:space="preserve">の下限価格は、充電する蓄電池からみると行使価格0.01円のプットの売りとして裁定価値を削る。しかし、これを負の価格に置き換える効果は現状の余剰の下では小さく、下限を−10円/kWh</w:t>
      </w:r>
      <w:r>
        <w:t xml:space="preserve"> </w:t>
      </w:r>
      <w:r>
        <w:rPr>
          <w:rFonts w:hint="eastAsia"/>
        </w:rPr>
        <w:t xml:space="preserve">とし、泊3号機の再稼働と風力の倍増が重なる局面でも、参入に必要な価格水準の低下は27%にとどまる。均衡容量が正に転じるのは、資本費の大幅な低下と容量収入の上振れ、あるいは高い価格水準の持続と容量収入の上振れのように、複数の条件が同時に満たされる場合に限られる。</w:t>
      </w:r>
    </w:p>
    <w:p>
      <w:pPr>
        <w:pStyle w:val="BodyText"/>
      </w:pPr>
      <w:r>
        <w:rPr>
          <w:rFonts w:hint="eastAsia"/>
          <w:b/>
          <w:bCs/>
        </w:rPr>
        <w:t xml:space="preserve">貢献と含意</w:t>
      </w:r>
      <w:r>
        <w:t xml:space="preserve">　</w:t>
      </w:r>
      <w:r>
        <w:rPr>
          <w:rFonts w:hint="eastAsia"/>
        </w:rPr>
        <w:t xml:space="preserve">本研究は、第一に、通説を電源種と時間スケールに分けて検証し、有意でない効果の大きさを信頼区間の上限で限った。第二に、蓄電池投資を内生化した自由参入均衡の枠組みを、出力制御、連系線の制約、下限価格、複数の市場が一次的に重要となる市場に適用した。第三に、均衡と現実の参入との乖離を、案件の属性別の</w:t>
      </w:r>
      <w:r>
        <w:t xml:space="preserve"> kW </w:t>
      </w:r>
      <w:r>
        <w:rPr>
          <w:rFonts w:hint="eastAsia"/>
        </w:rPr>
        <w:t xml:space="preserve">と1kWあたりの現在価値で勘定する問いを定式化し、説明できない残差を勘定表の上の量として定義した。ファイナンスの面では、スプレッド・オプション、期間構造の因子分解、実物オプション、企業金融の評価の道具を、一つの資産の評価と参入の判定に体系的に用いた。結果は、市場外収入で説明できる蓄電池の参入を支えているのが、資産の収益性ではなく、主に契約が上乗せする期待収入であること、マーチャントの案件に契約型の割引率を当てると参入を有利に見ること、LTDA</w:t>
      </w:r>
      <w:r>
        <w:t xml:space="preserve"> </w:t>
      </w:r>
      <w:r>
        <w:rPr>
          <w:rFonts w:hint="eastAsia"/>
        </w:rPr>
        <w:t xml:space="preserve">の評価の中心をリスクの移転ではなく期待値の移転に置くべきことを示している。</w:t>
      </w:r>
    </w:p>
    <w:p>
      <w:pPr>
        <w:pStyle w:val="BodyText"/>
      </w:pPr>
      <w:r>
        <w:rPr>
          <w:b/>
          <w:bCs/>
        </w:rPr>
        <w:t xml:space="preserve">キーワード</w:t>
      </w:r>
      <w:r>
        <w:rPr>
          <w:rFonts w:hint="eastAsia"/>
        </w:rPr>
        <w:t xml:space="preserve">：系統用蓄電池、風力発電、日本卸電力取引所、自由参入均衡、スプレッド・オプション、実物オプション、下限価格、北海道</w:t>
      </w:r>
    </w:p>
    <w:sectPr>
      <w:footnotePr>
        <w:numRestart w:val="eachSect"/>
      </w:footnotePr>
      <w:pgSz w:h="16838" w:w="11906"/>
      <w:pgMar w:bottom="1417" w:left="1701" w:right="1417"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exact"/>
      <w:jc w:val="both"/>
    </w:pPr>
    <w:rPr>
      <w:rFonts w:ascii="Yu Mincho" w:cs="Yu Mincho" w:eastAsia="Yu Mincho" w:hAnsi="Yu Mincho"/>
      <w:sz w:val="21"/>
    </w:rPr>
  </w:style>
  <w:style w:styleId="BodyText" w:type="paragraph">
    <w:name w:val="Body Text"/>
    <w:basedOn w:val="Normal"/>
    <w:link w:val="BodyTextChar"/>
    <w:qFormat/>
    <w:pPr>
      <w:spacing w:after="0" w:before="0" w:line="360" w:lineRule="exact"/>
      <w:ind w:firstLine="210"/>
      <w:jc w:val="both"/>
    </w:pPr>
    <w:rPr>
      <w:rFonts w:ascii="Yu Mincho" w:cs="Yu Mincho" w:eastAsia="Yu Mincho" w:hAnsi="Yu Mincho"/>
      <w:sz w:val="21"/>
    </w:rPr>
  </w:style>
  <w:style w:customStyle="1" w:styleId="FirstParagraph" w:type="paragraph">
    <w:name w:val="First Paragraph"/>
    <w:basedOn w:val="BodyText"/>
    <w:next w:val="BodyText"/>
    <w:qFormat/>
    <w:pPr>
      <w:spacing w:after="0" w:before="0" w:line="360" w:lineRule="exact"/>
      <w:ind w:firstLine="210"/>
      <w:jc w:val="both"/>
    </w:pPr>
    <w:rPr>
      <w:rFonts w:ascii="Yu Mincho" w:cs="Yu Mincho" w:eastAsia="Yu Mincho" w:hAnsi="Yu Mincho"/>
      <w:sz w:val="21"/>
    </w:rPr>
  </w:style>
  <w:style w:customStyle="1" w:styleId="Compact" w:type="paragraph">
    <w:name w:val="Compact"/>
    <w:basedOn w:val="BodyText"/>
    <w:qFormat/>
    <w:pPr>
      <w:spacing w:after="0" w:before="0" w:line="360" w:lineRule="exact"/>
    </w:pPr>
    <w:rPr>
      <w:rFonts w:ascii="Yu Mincho" w:cs="Yu Mincho" w:eastAsia="Yu Mincho" w:hAnsi="Yu Mincho"/>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80" w:before="0" w:line="360" w:lineRule="exact"/>
      <w:ind w:hanging="420" w:left="420"/>
      <w:jc w:val="left"/>
    </w:pPr>
    <w:rPr>
      <w:rFonts w:ascii="Yu Mincho" w:cs="Yu Mincho" w:eastAsia="Yu Mincho" w:hAnsi="Yu Mincho"/>
      <w:sz w:val="21"/>
    </w:rPr>
  </w:style>
  <w:style w:styleId="Heading1" w:type="paragraph">
    <w:name w:val="heading 1"/>
    <w:basedOn w:val="Normal"/>
    <w:next w:val="BodyText"/>
    <w:link w:val="Heading1Char"/>
    <w:uiPriority w:val="9"/>
    <w:qFormat/>
    <w:rsid w:val="00A10FD9"/>
    <w:pPr>
      <w:keepNext/>
      <w:keepLines/>
      <w:spacing w:after="360" w:before="0" w:line="480" w:lineRule="exact"/>
      <w:outlineLvl w:val="0"/>
    </w:pPr>
    <w:rPr>
      <w:rFonts w:ascii="Yu Gothic" w:asciiTheme="majorHAnsi" w:cs="Yu Gothic" w:cstheme="majorBidi" w:eastAsia="Yu Gothic" w:eastAsiaTheme="majorEastAsia" w:hAnsi="Yu Gothic" w:hAnsiTheme="majorHAnsi"/>
      <w:b/>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90" w:lineRule="exact"/>
      <w:outlineLvl w:val="1"/>
    </w:pPr>
    <w:rPr>
      <w:rFonts w:ascii="Yu Gothic" w:asciiTheme="majorHAnsi" w:cs="Yu Gothic" w:cstheme="majorBidi" w:eastAsia="Yu Gothic" w:eastAsiaTheme="majorEastAsia" w:hAnsi="Yu Gothic" w:hAnsiTheme="majorHAnsi"/>
      <w:b/>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45" w:lineRule="exact"/>
      <w:outlineLvl w:val="2"/>
    </w:pPr>
    <w:rPr>
      <w:rFonts w:ascii="Yu Gothic" w:cs="Yu Gothic" w:cstheme="majorBidi" w:eastAsia="Yu Gothic" w:eastAsiaTheme="majorEastAsia" w:hAnsi="Yu Gothic"/>
      <w:b/>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60" w:lineRule="exact"/>
    </w:pPr>
    <w:rPr>
      <w:rFonts w:ascii="Yu Mincho" w:cs="Yu Mincho" w:eastAsia="Yu Mincho" w:hAnsi="Yu Mincho"/>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80" w:line="280" w:lineRule="exact"/>
      <w:jc w:val="center"/>
    </w:pPr>
    <w:rPr>
      <w:rFonts w:ascii="Yu Gothic" w:cs="Yu Gothic" w:eastAsia="Yu Gothic" w:hAnsi="Yu Gothic"/>
      <w:i w:val="0"/>
      <w:sz w:val="19"/>
    </w:rPr>
  </w:style>
  <w:style w:customStyle="1" w:styleId="TableCaption" w:type="paragraph">
    <w:name w:val="Table Caption"/>
    <w:basedOn w:val="Caption"/>
    <w:pPr>
      <w:keepNext/>
      <w:spacing w:after="80" w:before="80" w:line="280" w:lineRule="exact"/>
      <w:jc w:val="center"/>
    </w:pPr>
    <w:rPr>
      <w:rFonts w:ascii="Yu Gothic" w:cs="Yu Gothic" w:eastAsia="Yu Gothic" w:hAnsi="Yu Gothic"/>
      <w:i w:val="0"/>
      <w:sz w:val="19"/>
    </w:rPr>
  </w:style>
  <w:style w:customStyle="1" w:styleId="ImageCaption" w:type="paragraph">
    <w:name w:val="Image Caption"/>
    <w:basedOn w:val="Caption"/>
    <w:pPr>
      <w:spacing w:after="80" w:before="80" w:line="280" w:lineRule="exact"/>
      <w:jc w:val="center"/>
    </w:pPr>
    <w:rPr>
      <w:rFonts w:ascii="Yu Gothic" w:cs="Yu Gothic" w:eastAsia="Yu Gothic" w:hAnsi="Yu Gothic"/>
      <w:i w:val="0"/>
      <w:sz w:val="19"/>
    </w:rPr>
  </w:style>
  <w:style w:customStyle="1" w:styleId="Figure" w:type="paragraph">
    <w:name w:val="Figure"/>
    <w:basedOn w:val="Normal"/>
    <w:pPr>
      <w:spacing w:after="0" w:before="120" w:line="240" w:lineRule="auto"/>
      <w:jc w:val="center"/>
    </w:pPr>
  </w:style>
  <w:style w:customStyle="1" w:styleId="CaptionedFigure" w:type="paragraph">
    <w:name w:val="Captioned Figure"/>
    <w:basedOn w:val="Figure"/>
    <w:pPr>
      <w:keepNext/>
      <w:spacing w:after="0" w:before="120" w:line="240" w:lineRule="auto"/>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Line" w:type="paragraph">
    <w:name w:val="Cover Line"/>
    <w:basedOn w:val="BodyText"/>
    <w:qFormat/>
    <w:pPr>
      <w:spacing w:after="120" w:before="120" w:line="400" w:lineRule="exact"/>
      <w:jc w:val="center"/>
    </w:pPr>
    <w:rPr>
      <w:rFonts w:ascii="Yu Mincho" w:cs="Yu Mincho" w:eastAsia="Yu Mincho" w:hAnsi="Yu Mincho"/>
      <w:sz w:val="24"/>
    </w:rPr>
  </w:style>
  <w:style w:customStyle="1" w:styleId="CoverTitle" w:type="paragraph">
    <w:name w:val="Cover Title"/>
    <w:basedOn w:val="BodyText"/>
    <w:qFormat/>
    <w:pPr>
      <w:spacing w:after="240" w:before="240" w:line="600" w:lineRule="exact"/>
      <w:jc w:val="center"/>
    </w:pPr>
    <w:rPr>
      <w:rFonts w:ascii="Yu Gothic" w:cs="Yu Gothic" w:eastAsia="Yu Gothic" w:hAnsi="Yu Gothic"/>
      <w:b/>
      <w:sz w:val="36"/>
    </w:rPr>
  </w:style>
  <w:style w:customStyle="1" w:styleId="FrontHeading" w:type="paragraph">
    <w:name w:val="Front Heading"/>
    <w:basedOn w:val="BodyText"/>
    <w:qFormat/>
    <w:pPr>
      <w:spacing w:after="240" w:before="0" w:line="440" w:lineRule="exact"/>
      <w:jc w:val="center"/>
    </w:pPr>
    <w:rPr>
      <w:rFonts w:ascii="Yu Gothic" w:cs="Yu Gothic" w:eastAsia="Yu Gothic" w:hAnsi="Yu Gothic"/>
      <w:b/>
      <w:sz w:val="28"/>
    </w:rPr>
  </w:style>
  <w:style w:customStyle="1" w:styleId="TableNote" w:type="paragraph">
    <w:name w:val="Table Note"/>
    <w:basedOn w:val="BodyText"/>
    <w:qFormat/>
    <w:pPr>
      <w:spacing w:after="120" w:before="0" w:line="260" w:lineRule="exact"/>
    </w:pPr>
    <w:rPr>
      <w:rFonts w:ascii="Yu Mincho" w:cs="Yu Mincho" w:eastAsia="Yu Mincho" w:hAnsi="Yu Mincho"/>
      <w:sz w:val="18"/>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2026-10-22T00:47:47Z</dcterms:created>
  <dcterms:modified xsi:type="dcterms:W3CDTF">2026-10-22T00:47:47Z</dcterms:modified>
</cp:coreProperties>
</file>

<file path=docProps/custom.xml><?xml version="1.0" encoding="utf-8"?>
<Properties xmlns="http://schemas.openxmlformats.org/officeDocument/2006/custom-properties" xmlns:vt="http://schemas.openxmlformats.org/officeDocument/2006/docPropsVTypes"/>
</file>