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jc w:val="right"/>
      </w:pPr>
      <w:r>
        <w:t xml:space="preserve">学籍番号　【要記入】</w:t>
      </w:r>
    </w:p>
    <w:p>
      <w:pPr>
        <w:pStyle w:val="CoverLine"/>
      </w:pPr>
      <w:r>
        <w:t xml:space="preserve"> </w:t>
      </w:r>
    </w:p>
    <w:p>
      <w:pPr>
        <w:pStyle w:val="CoverLine"/>
      </w:pPr>
      <w:r>
        <w:t xml:space="preserve"> </w:t>
      </w:r>
    </w:p>
    <w:p>
      <w:pPr>
        <w:pStyle w:val="CoverLine"/>
      </w:pPr>
      <w:r>
        <w:rPr>
          <w:rFonts w:hint="eastAsia"/>
        </w:rPr>
        <w:t xml:space="preserve">修士論文</w:t>
      </w:r>
      <w:r>
        <w:t xml:space="preserve">　</w:t>
      </w:r>
      <w:r>
        <w:rPr>
          <w:rFonts w:hint="eastAsia"/>
        </w:rPr>
        <w:t xml:space="preserve">【要確認】（様式にない表記。表紙に記載するか）</w:t>
      </w:r>
    </w:p>
    <w:p>
      <w:pPr>
        <w:pStyle w:val="CoverLine"/>
      </w:pPr>
      <w:r>
        <w:t xml:space="preserve"> </w:t>
      </w:r>
    </w:p>
    <w:p>
      <w:pPr>
        <w:pStyle w:val="CoverTitle"/>
      </w:pPr>
      <w:r>
        <w:rPr>
          <w:rFonts w:hint="eastAsia"/>
        </w:rPr>
        <w:t xml:space="preserve">風力主導電力市場における蓄電池の価値形成と自由参入均衡</w:t>
      </w:r>
    </w:p>
    <w:p>
      <w:pPr>
        <w:pStyle w:val="CoverLine"/>
      </w:pPr>
      <w:r>
        <w:rPr>
          <w:rFonts w:hint="eastAsia"/>
        </w:rPr>
        <w:t xml:space="preserve">－北海道の実証と下限価格・市場外収入の定量分析－</w:t>
      </w:r>
    </w:p>
    <w:p>
      <w:pPr>
        <w:pStyle w:val="CoverLine"/>
      </w:pPr>
      <w:r>
        <w:t xml:space="preserve"> </w:t>
      </w:r>
    </w:p>
    <w:p>
      <w:pPr>
        <w:pStyle w:val="CoverLine"/>
      </w:pPr>
      <w:r>
        <w:rPr>
          <w:b/>
          <w:bCs/>
        </w:rPr>
        <w:t xml:space="preserve">Battery Storage Value and Free-Entry Equilibrium in a Wind-Dominated Electricity Market: Evidence from Hokkaido on the Price Floor and Out-of-Market Revenues</w:t>
      </w:r>
    </w:p>
    <w:p>
      <w:pPr>
        <w:pStyle w:val="CoverLine"/>
      </w:pPr>
      <w:r>
        <w:t xml:space="preserve"> </w:t>
      </w:r>
    </w:p>
    <w:p>
      <w:pPr>
        <w:pStyle w:val="CoverLine"/>
      </w:pPr>
      <w:r>
        <w:t xml:space="preserve"> </w:t>
      </w:r>
    </w:p>
    <w:p>
      <w:pPr>
        <w:pStyle w:val="CoverLine"/>
      </w:pPr>
      <w:r>
        <w:rPr>
          <w:rFonts w:hint="eastAsia"/>
        </w:rPr>
        <w:t xml:space="preserve">一橋大学大学院</w:t>
      </w:r>
      <w:r>
        <w:t xml:space="preserve"> </w:t>
      </w:r>
      <w:r>
        <w:rPr>
          <w:rFonts w:hint="eastAsia"/>
        </w:rPr>
        <w:t xml:space="preserve">経営管理研究科</w:t>
      </w:r>
      <w:r>
        <w:t xml:space="preserve"> </w:t>
      </w:r>
      <w:r>
        <w:rPr>
          <w:rFonts w:hint="eastAsia"/>
        </w:rPr>
        <w:t xml:space="preserve">経営管理専攻</w:t>
      </w:r>
      <w:r>
        <w:br/>
      </w:r>
      <w:r>
        <w:rPr>
          <w:rFonts w:hint="eastAsia"/>
        </w:rPr>
        <w:t xml:space="preserve">修士課程</w:t>
      </w:r>
      <w:r>
        <w:t xml:space="preserve"> </w:t>
      </w:r>
      <w:r>
        <w:rPr>
          <w:rFonts w:hint="eastAsia"/>
        </w:rPr>
        <w:t xml:space="preserve">経営学修士コース</w:t>
      </w:r>
      <w:r>
        <w:t xml:space="preserve"> </w:t>
      </w:r>
      <w:r>
        <w:rPr>
          <w:rFonts w:hint="eastAsia"/>
        </w:rPr>
        <w:t xml:space="preserve">金融戦略・経営財務プログラム</w:t>
      </w:r>
      <w:r>
        <w:t xml:space="preserve">　</w:t>
      </w:r>
      <w:r>
        <w:rPr>
          <w:rFonts w:hint="eastAsia"/>
        </w:rPr>
        <w:t xml:space="preserve">【要確認】</w:t>
      </w:r>
    </w:p>
    <w:p>
      <w:pPr>
        <w:pStyle w:val="CoverLine"/>
      </w:pPr>
      <w:r>
        <w:t xml:space="preserve"> </w:t>
      </w:r>
    </w:p>
    <w:p>
      <w:pPr>
        <w:pStyle w:val="CoverLine"/>
      </w:pPr>
      <w:r>
        <w:rPr>
          <w:rFonts w:hint="eastAsia"/>
        </w:rPr>
        <w:t xml:space="preserve">松葉</w:t>
      </w:r>
      <w:r>
        <w:t xml:space="preserve"> </w:t>
      </w:r>
      <w:r>
        <w:rPr>
          <w:rFonts w:hint="eastAsia"/>
        </w:rPr>
        <w:t xml:space="preserve">大希</w:t>
      </w:r>
    </w:p>
    <w:p>
      <w:pPr>
        <w:pStyle w:val="CoverLine"/>
      </w:pPr>
      <w:r>
        <w:rPr>
          <w:rFonts w:hint="eastAsia"/>
        </w:rPr>
        <w:t xml:space="preserve">指導教員</w:t>
      </w:r>
      <w:r>
        <w:t xml:space="preserve">　</w:t>
      </w:r>
      <w:r>
        <w:rPr>
          <w:rFonts w:hint="eastAsia"/>
        </w:rPr>
        <w:t xml:space="preserve">【要記入】（表紙に記載するか【要確認】）</w:t>
      </w:r>
    </w:p>
    <w:p>
      <w:pPr>
        <w:pStyle w:val="CoverLine"/>
      </w:pPr>
      <w:r>
        <w:rPr>
          <w:rFonts w:hint="eastAsia"/>
        </w:rPr>
        <w:t xml:space="preserve">2028年1月</w:t>
      </w:r>
      <w:r>
        <w:t xml:space="preserve">　</w:t>
      </w:r>
      <w:r>
        <w:rPr>
          <w:rFonts w:hint="eastAsia"/>
        </w:rPr>
        <w:t xml:space="preserve">【要確認】（仮置きの提出年月。表紙に記載するか）</w:t>
      </w:r>
    </w:p>
    <w:p>
      <w:pPr>
        <w:pStyle w:val="BodyText"/>
        <w:sectPr>
          <w:footerReference w:type="default" r:id="rId9"/>
          <w:footnotePr>
            <w:numRestart w:val="eachSect"/>
          </w:footnotePr>
          <w:pgSz w:h="16838" w:w="11906"/>
          <w:pgMar w:bottom="1417" w:left="1701" w:right="1417" w:top="1701"/>
          <w:pgNumType/>
        </w:sectPr>
      </w:pPr>
    </w:p>
    <w:p>
      <w:pPr>
        <w:pStyle w:val="FrontHeading"/>
      </w:pPr>
      <w:r>
        <w:rPr>
          <w:rFonts w:hint="eastAsia"/>
        </w:rPr>
        <w:t xml:space="preserve">要旨</w:t>
      </w:r>
    </w:p>
    <w:p>
      <w:pPr>
        <w:pStyle w:val="BodyText"/>
      </w:pPr>
      <w:r>
        <w:rPr>
          <w:rFonts w:hint="eastAsia"/>
        </w:rPr>
        <w:t xml:space="preserve">再生可能エネルギーの増加は卸電力価格の変動性を高め、蓄電池の裁定価値を高めるという通説がある。しかし通説は、電源種と時間スケール（価格の水準・日内の形状・多日の変動）を区別していない。本研究は、風力主導の市場である北海道エリアを対象に、系統用蓄電池の自由参入均衡の容量はどこにあり、現実の参入との乖離は何によって、いくらで説明されるのかを問う。2016年4月から2026年6月までの需給実績と日本卸電力取引所のエリアプライスからなる時間単位のパネルを用いて、再生可能エネルギーの発電量が価格に与える効果を推定し、構造型の電力価格モデルの上で蓄電池の参入が価格を動かす効果を内生化して、限界参入者のゼロレント条件で均衡を判定する。その際、蓄電池の1日の裁定を日次のスプレッド・オプションの束として評価し、価格カーブを債券の期間構造と同じ方法で因子に分け、参入を実物オプションで判定し、契約を事業の内部収益率・調整現在価値・Cash-Flow-at-Risk</w:t>
      </w:r>
      <w:r>
        <w:t xml:space="preserve"> </w:t>
      </w:r>
      <w:r>
        <w:rPr>
          <w:rFonts w:hint="eastAsia"/>
        </w:rPr>
        <w:t xml:space="preserve">で評価するという、ファイナンスの標準的な手法を用いる。</w:t>
      </w:r>
    </w:p>
    <w:p>
      <w:pPr>
        <w:pStyle w:val="BodyText"/>
      </w:pPr>
      <w:r>
        <w:rPr>
          <w:rFonts w:hint="eastAsia"/>
        </w:rPr>
        <w:t xml:space="preserve">主要な結果は四つである。第一に、太陽光は不需要期を中心に日内の価格差を広げるが、風力は一日の価格をほぼ一様に引き下げ、日内の価格差を広げるという頑健な証拠はない。蓄電池は価格カーブの形状に対するロング・ポジションであり、風力の増加が価値を動かす頑健な証拠はない。第二に、限界参入者の収益は蓄電池の総容量の拡大とともに速く減衰し、スポット裁定と容量収入だけで運営する蓄電池（マーチャント）の均衡容量は、需給調整市場のレントを0と置く限りゼロである。このレントは、競争の下では調達量の程度の容量しか支えない。参入が採算に乗るには2023〜2025年度の2倍強から約3倍の価格水準が要り、燃料危機期の2022年度の実績価格でも必要な収入の82〜99%にとどまる。価格水準の不確実性を考えると、参入の閾値はさらに上がる。第三に、接続済みと契約申込を合わせた254万kW</w:t>
      </w:r>
      <w:r>
        <w:t xml:space="preserve"> </w:t>
      </w:r>
      <w:r>
        <w:rPr>
          <w:rFonts w:hint="eastAsia"/>
        </w:rPr>
        <w:t xml:space="preserve">のうち市場外収入で説明できるのは、長期脱炭素電源オークションの落札分にあたる2〜3割にとどまる。同オークションは固定収入と市場収入を交換するレベニュースワップにあたり、同じ蓄電池でも落札すれば事業の内部収益率は負から正に転じるが、この差を生むスワップの価値のうちリスクの移転は約1割で、大半は容量拠出金を通じた需要家からの期待値の移転である。第四に、0.01円/kWh</w:t>
      </w:r>
      <w:r>
        <w:t xml:space="preserve"> </w:t>
      </w:r>
      <w:r>
        <w:rPr>
          <w:rFonts w:hint="eastAsia"/>
        </w:rPr>
        <w:t xml:space="preserve">の下限価格は充電側のプットの売りとして裁定価値を削るが、これを負の価格に置き換える効果は現状の余剰の下では小さく、それだけでは参入は開かない。以上から、均衡を超える参入のうち市場外収入で説明できる部分を支えているのは、資産の収益性ではなく、主に契約が上乗せする期待収入である。導入の見通しや支援策の評価には、市場均衡との距離を</w:t>
      </w:r>
      <w:r>
        <w:t xml:space="preserve"> kW </w:t>
      </w:r>
      <w:r>
        <w:rPr>
          <w:rFonts w:hint="eastAsia"/>
        </w:rPr>
        <w:t xml:space="preserve">と円で測る視点が要る。</w:t>
      </w:r>
    </w:p>
    <w:p>
      <w:pPr>
        <w:pStyle w:val="BodyText"/>
      </w:pPr>
      <w:r>
        <w:rPr>
          <w:b/>
          <w:bCs/>
        </w:rPr>
        <w:t xml:space="preserve">キーワード</w:t>
      </w:r>
      <w:r>
        <w:rPr>
          <w:rFonts w:hint="eastAsia"/>
        </w:rPr>
        <w:t xml:space="preserve">：系統用蓄電池、風力発電、日本卸電力取引所、自由参入均衡、スプレッド・オプション、実物オプション、下限価格、北海道</w:t>
      </w:r>
    </w:p>
    <w:p>
      <w:pPr>
        <w:pStyle w:val="BodyText"/>
      </w:pPr>
      <w:r>
        <w:rPr>
          <w:b/>
          <w:bCs/>
        </w:rPr>
        <w:t xml:space="preserve">JEL </w:t>
      </w:r>
      <w:r>
        <w:rPr>
          <w:rFonts w:hint="eastAsia"/>
          <w:b/>
          <w:bCs/>
        </w:rPr>
        <w:t xml:space="preserve">分類</w:t>
      </w:r>
      <w:r>
        <w:rPr>
          <w:rFonts w:hint="eastAsia"/>
        </w:rPr>
        <w:t xml:space="preserve">：L94、Q41、Q42、G31、G13</w:t>
      </w:r>
    </w:p>
    <w:p>
      <w:pPr>
        <w:pStyle w:val="FrontHeading"/>
        <w:pageBreakBefore/>
      </w:pPr>
      <w:r>
        <w:t xml:space="preserve">Abstract</w:t>
      </w:r>
    </w:p>
    <w:p>
      <w:pPr>
        <w:pStyle w:val="BodyText"/>
      </w:pPr>
      <w:r>
        <w:t xml:space="preserve">A common view holds that renewables make wholesale electricity prices more volatile, raising the arbitrage value of batteries, but it distinguishes neither generation technologies nor time scales. This thesis asks where the free-entry equilibrium capacity of grid-scale batteries lies in Hokkaido, a wind-dominated market in Japan, and what explains the gap between it and actual entry. Using hourly Japan Electric Power Exchange area prices and supply–demand records for April 2016–June 2026, it estimates the price effects of wind and solar and finds the equilibrium from the marginal entrant’s zero-rent condition in a structural price model with an endogenous battery fleet. Finance tools are used throughout: spread options for daily arbitrage, term-structure factors for the 24-hour price curve, real options for entry, and the project internal rate of return (IRR), adjusted present value and Cash-Flow-at-Risk for contracts.</w:t>
      </w:r>
    </w:p>
    <w:p>
      <w:pPr>
        <w:pStyle w:val="BodyText"/>
      </w:pPr>
      <w:r>
        <w:t xml:space="preserve">Four results stand out. First, solar widens intraday spreads, mainly in low-demand months, whereas wind lowers prices almost uniformly. Because a battery is long the shape of the price curve, there is no robust evidence that more wind changes its value; any effect is small. Second, the marginal entrant’s revenue decays quickly as the fleet grows. Counting spot arbitrage and capacity payments only, with balancing-market rents set to zero, merchant batteries have zero equilibrium capacity: entry requires price levels just over two to about three times those of fiscal 2023–2025, and even fiscal 2022 actual prices cover only 82–99% of the required revenue. Third, of the 2.54 GW connected or applying for connection, out-of-market revenues explain only the 20–30% of this capacity that was awarded in the Long-Term Decarbonization Auction. The auction is a revenue swap: winning it turns a battery’s IRR from negative to positive, but risk transfer is only about one-tenth of the swap value. The rest is an expected-value transfer from consumers, so this entry rests on the expected revenue that contracts add rather than on the profitability of the asset. Fourth, the 0.01 yen/kWh price floor acts as a short put on the charging leg, but replacing it with negative prices would not by itself open entry.</w:t>
      </w:r>
    </w:p>
    <w:p>
      <w:pPr>
        <w:pStyle w:val="BodyText"/>
      </w:pPr>
      <w:r>
        <w:rPr>
          <w:b/>
          <w:bCs/>
        </w:rPr>
        <w:t xml:space="preserve">Keywords</w:t>
      </w:r>
      <w:r>
        <w:t xml:space="preserve">: grid-scale battery storage, wind power, JEPX, free-entry equilibrium, spread option, real option, price floor, Hokkaido</w:t>
      </w:r>
    </w:p>
    <w:p>
      <w:pPr>
        <w:pStyle w:val="BodyText"/>
      </w:pPr>
      <w:r>
        <w:rPr>
          <w:b/>
          <w:bCs/>
        </w:rPr>
        <w:t xml:space="preserve">JEL codes</w:t>
      </w:r>
      <w:r>
        <w:t xml:space="preserve">: L94, Q41, Q42, G31, G13</w:t>
      </w:r>
    </w:p>
    <w:p>
      <w:pPr>
        <w:pStyle w:val="FrontHeading"/>
        <w:pageBreakBefore/>
      </w:pPr>
      <w:r>
        <w:rPr>
          <w:rFonts w:hint="eastAsia"/>
        </w:rPr>
        <w:t xml:space="preserve">目次</w:t>
      </w:r>
    </w:p>
    <w:p>
      <w:r>
        <w:fldChar w:fldCharType="begin" w:dirty="true"/>
      </w:r>
      <w:r>
        <w:instrText xml:space="preserve"> TOC \o "1-3" \h \z \u </w:instrText>
      </w:r>
      <w:r>
        <w:fldChar w:fldCharType="separate"/>
      </w:r>
      <w:r>
        <w:t>（Word で開いたときに更新されます）</w:t>
      </w:r>
      <w:r>
        <w:fldChar w:fldCharType="end"/>
      </w:r>
    </w:p>
    <w:p>
      <w:pPr>
        <w:pStyle w:val="FrontHeading"/>
        <w:pageBreakBefore/>
      </w:pPr>
      <w:r>
        <w:rPr>
          <w:rFonts w:hint="eastAsia"/>
        </w:rPr>
        <w:t xml:space="preserve">図目次</w:t>
      </w:r>
    </w:p>
    <w:p>
      <w:r>
        <w:fldChar w:fldCharType="begin" w:dirty="true"/>
      </w:r>
      <w:r>
        <w:instrText xml:space="preserve"> TOC \h \z \t "Image Caption,1" </w:instrText>
      </w:r>
      <w:r>
        <w:fldChar w:fldCharType="separate"/>
      </w:r>
      <w:r>
        <w:t>（Word で開いたときに更新されます）</w:t>
      </w:r>
      <w:r>
        <w:fldChar w:fldCharType="end"/>
      </w:r>
    </w:p>
    <w:p>
      <w:pPr>
        <w:pStyle w:val="FrontHeading"/>
        <w:pageBreakBefore/>
      </w:pPr>
      <w:r>
        <w:rPr>
          <w:rFonts w:hint="eastAsia"/>
        </w:rPr>
        <w:t xml:space="preserve">表目次</w:t>
      </w:r>
    </w:p>
    <w:p>
      <w:r>
        <w:fldChar w:fldCharType="begin" w:dirty="true"/>
      </w:r>
      <w:r>
        <w:instrText xml:space="preserve"> TOC \h \z \t "Table Caption,1" </w:instrText>
      </w:r>
      <w:r>
        <w:fldChar w:fldCharType="separate"/>
      </w:r>
      <w:r>
        <w:t>（Word で開いたときに更新されます）</w:t>
      </w:r>
      <w:r>
        <w:fldChar w:fldCharType="end"/>
      </w:r>
    </w:p>
    <w:p>
      <w:pPr>
        <w:pStyle w:val="FrontHeading"/>
        <w:pageBreakBefore/>
      </w:pPr>
      <w:r>
        <w:rPr>
          <w:rFonts w:hint="eastAsia"/>
        </w:rPr>
        <w:t xml:space="preserve">略語一覧</w:t>
      </w:r>
    </w:p>
    <w:p>
      <w:pPr>
        <w:pStyle w:val="BodyText"/>
      </w:pPr>
      <w:r>
        <w:rPr>
          <w:rFonts w:hint="eastAsia"/>
        </w:rPr>
        <w:t xml:space="preserve">本文と付録で用いる略語を、アルファベット順に示す。略語は本文の初出でも正式名称とともに示す。</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略語</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原語</w:t>
            </w:r>
          </w:p>
        </w:tc>
      </w:tr>
      <w:tr>
        <w:tc>
          <w:tcPr/>
          <w:p>
            <w:pPr>
              <w:pStyle w:val="Compact"/>
            </w:pPr>
            <w:r>
              <w:rPr>
                <w:sz w:val="18"/>
              </w:rPr>
              <w:t xml:space="preserve">ADF </w:t>
            </w:r>
            <w:r>
              <w:rPr>
                <w:rFonts w:hint="eastAsia"/>
                <w:sz w:val="18"/>
              </w:rPr>
              <w:t xml:space="preserve">検定</w:t>
            </w:r>
          </w:p>
        </w:tc>
        <w:tc>
          <w:tcPr/>
          <w:p>
            <w:pPr>
              <w:pStyle w:val="Compact"/>
            </w:pPr>
            <w:r>
              <w:rPr>
                <w:rFonts w:hint="eastAsia"/>
                <w:sz w:val="18"/>
              </w:rPr>
              <w:t xml:space="preserve">拡張ディッキー–フラー検定（単位根の検定）</w:t>
            </w:r>
          </w:p>
        </w:tc>
        <w:tc>
          <w:tcPr/>
          <w:p>
            <w:pPr>
              <w:pStyle w:val="Compact"/>
            </w:pPr>
            <w:r>
              <w:rPr>
                <w:sz w:val="18"/>
              </w:rPr>
              <w:t xml:space="preserve">augmented Dickey–Fuller test</w:t>
            </w:r>
          </w:p>
        </w:tc>
      </w:tr>
      <w:tr>
        <w:tc>
          <w:tcPr/>
          <w:p>
            <w:pPr>
              <w:pStyle w:val="Compact"/>
            </w:pPr>
            <w:r>
              <w:rPr>
                <w:sz w:val="18"/>
              </w:rPr>
              <w:t xml:space="preserve">AFC</w:t>
            </w:r>
          </w:p>
        </w:tc>
        <w:tc>
          <w:tcPr/>
          <w:p>
            <w:pPr>
              <w:pStyle w:val="Compact"/>
            </w:pPr>
            <w:r>
              <w:rPr>
                <w:rFonts w:hint="eastAsia"/>
                <w:sz w:val="18"/>
              </w:rPr>
              <w:t xml:space="preserve">年間固定費（資本費の年額と運転維持費などの合計）</w:t>
            </w:r>
          </w:p>
        </w:tc>
        <w:tc>
          <w:tcPr/>
          <w:p>
            <w:pPr>
              <w:pStyle w:val="Compact"/>
            </w:pPr>
            <w:r>
              <w:rPr>
                <w:sz w:val="18"/>
              </w:rPr>
              <w:t xml:space="preserve">annual fixed cost</w:t>
            </w:r>
          </w:p>
        </w:tc>
      </w:tr>
      <w:tr>
        <w:tc>
          <w:tcPr/>
          <w:p>
            <w:pPr>
              <w:pStyle w:val="Compact"/>
            </w:pPr>
            <w:r>
              <w:rPr>
                <w:sz w:val="18"/>
              </w:rPr>
              <w:t xml:space="preserve">APV</w:t>
            </w:r>
          </w:p>
        </w:tc>
        <w:tc>
          <w:tcPr/>
          <w:p>
            <w:pPr>
              <w:pStyle w:val="Compact"/>
            </w:pPr>
            <w:r>
              <w:rPr>
                <w:rFonts w:hint="eastAsia"/>
                <w:sz w:val="18"/>
              </w:rPr>
              <w:t xml:space="preserve">調整現在価値</w:t>
            </w:r>
          </w:p>
        </w:tc>
        <w:tc>
          <w:tcPr/>
          <w:p>
            <w:pPr>
              <w:pStyle w:val="Compact"/>
            </w:pPr>
            <w:r>
              <w:rPr>
                <w:sz w:val="18"/>
              </w:rPr>
              <w:t xml:space="preserve">adjusted present value</w:t>
            </w:r>
          </w:p>
        </w:tc>
      </w:tr>
      <w:tr>
        <w:tc>
          <w:tcPr/>
          <w:p>
            <w:pPr>
              <w:pStyle w:val="Compact"/>
            </w:pPr>
            <w:r>
              <w:rPr>
                <w:sz w:val="18"/>
              </w:rPr>
              <w:t xml:space="preserve">AR(1)</w:t>
            </w:r>
          </w:p>
        </w:tc>
        <w:tc>
          <w:tcPr/>
          <w:p>
            <w:pPr>
              <w:pStyle w:val="Compact"/>
            </w:pPr>
            <w:r>
              <w:rPr>
                <w:rFonts w:hint="eastAsia"/>
                <w:sz w:val="18"/>
              </w:rPr>
              <w:t xml:space="preserve">1次の自己回帰過程</w:t>
            </w:r>
          </w:p>
        </w:tc>
        <w:tc>
          <w:tcPr/>
          <w:p>
            <w:pPr>
              <w:pStyle w:val="Compact"/>
            </w:pPr>
            <w:r>
              <w:rPr>
                <w:sz w:val="18"/>
              </w:rPr>
              <w:t xml:space="preserve">first-order autoregressive process</w:t>
            </w:r>
          </w:p>
        </w:tc>
      </w:tr>
      <w:tr>
        <w:tc>
          <w:tcPr/>
          <w:p>
            <w:pPr>
              <w:pStyle w:val="Compact"/>
            </w:pPr>
            <w:r>
              <w:rPr>
                <w:sz w:val="18"/>
              </w:rPr>
              <w:t xml:space="preserve">CAISO</w:t>
            </w:r>
          </w:p>
        </w:tc>
        <w:tc>
          <w:tcPr/>
          <w:p>
            <w:pPr>
              <w:pStyle w:val="Compact"/>
            </w:pPr>
            <w:r>
              <w:rPr>
                <w:rFonts w:hint="eastAsia"/>
                <w:sz w:val="18"/>
              </w:rPr>
              <w:t xml:space="preserve">カリフォルニア独立系統運用機関（カリフォルニア州の卸電力市場）</w:t>
            </w:r>
          </w:p>
        </w:tc>
        <w:tc>
          <w:tcPr/>
          <w:p>
            <w:pPr>
              <w:pStyle w:val="Compact"/>
            </w:pPr>
            <w:r>
              <w:rPr>
                <w:sz w:val="18"/>
              </w:rPr>
              <w:t xml:space="preserve">California Independent System Operator</w:t>
            </w:r>
          </w:p>
        </w:tc>
      </w:tr>
      <w:tr>
        <w:tc>
          <w:tcPr/>
          <w:p>
            <w:pPr>
              <w:pStyle w:val="Compact"/>
            </w:pPr>
            <w:r>
              <w:rPr>
                <w:sz w:val="18"/>
              </w:rPr>
              <w:t xml:space="preserve">CAPM</w:t>
            </w:r>
          </w:p>
        </w:tc>
        <w:tc>
          <w:tcPr/>
          <w:p>
            <w:pPr>
              <w:pStyle w:val="Compact"/>
            </w:pPr>
            <w:r>
              <w:rPr>
                <w:rFonts w:hint="eastAsia"/>
                <w:sz w:val="18"/>
              </w:rPr>
              <w:t xml:space="preserve">資本資産価格モデル</w:t>
            </w:r>
          </w:p>
        </w:tc>
        <w:tc>
          <w:tcPr/>
          <w:p>
            <w:pPr>
              <w:pStyle w:val="Compact"/>
            </w:pPr>
            <w:r>
              <w:rPr>
                <w:sz w:val="18"/>
              </w:rPr>
              <w:t xml:space="preserve">capital asset pricing model</w:t>
            </w:r>
          </w:p>
        </w:tc>
      </w:tr>
      <w:tr>
        <w:tc>
          <w:tcPr/>
          <w:p>
            <w:pPr>
              <w:pStyle w:val="Compact"/>
            </w:pPr>
            <w:r>
              <w:rPr>
                <w:sz w:val="18"/>
              </w:rPr>
              <w:t xml:space="preserve">CFaR</w:t>
            </w:r>
          </w:p>
        </w:tc>
        <w:tc>
          <w:tcPr/>
          <w:p>
            <w:pPr>
              <w:pStyle w:val="Compact"/>
            </w:pPr>
            <w:r>
              <w:rPr>
                <w:rFonts w:hint="eastAsia"/>
                <w:sz w:val="18"/>
              </w:rPr>
              <w:t xml:space="preserve">年間のキャッシュフローの下方リスクの尺度</w:t>
            </w:r>
          </w:p>
        </w:tc>
        <w:tc>
          <w:tcPr/>
          <w:p>
            <w:pPr>
              <w:pStyle w:val="Compact"/>
            </w:pPr>
            <w:r>
              <w:rPr>
                <w:sz w:val="18"/>
              </w:rPr>
              <w:t xml:space="preserve">Cash-Flow-at-Risk</w:t>
            </w:r>
          </w:p>
        </w:tc>
      </w:tr>
      <w:tr>
        <w:tc>
          <w:tcPr/>
          <w:p>
            <w:pPr>
              <w:pStyle w:val="Compact"/>
            </w:pPr>
            <w:r>
              <w:rPr>
                <w:sz w:val="18"/>
              </w:rPr>
              <w:t xml:space="preserve">CfD</w:t>
            </w:r>
          </w:p>
        </w:tc>
        <w:tc>
          <w:tcPr/>
          <w:p>
            <w:pPr>
              <w:pStyle w:val="Compact"/>
            </w:pPr>
            <w:r>
              <w:rPr>
                <w:rFonts w:hint="eastAsia"/>
                <w:sz w:val="18"/>
              </w:rPr>
              <w:t xml:space="preserve">差金決済契約</w:t>
            </w:r>
          </w:p>
        </w:tc>
        <w:tc>
          <w:tcPr/>
          <w:p>
            <w:pPr>
              <w:pStyle w:val="Compact"/>
            </w:pPr>
            <w:r>
              <w:rPr>
                <w:sz w:val="18"/>
              </w:rPr>
              <w:t xml:space="preserve">contract for difference</w:t>
            </w:r>
          </w:p>
        </w:tc>
      </w:tr>
      <w:tr>
        <w:tc>
          <w:tcPr/>
          <w:p>
            <w:pPr>
              <w:pStyle w:val="Compact"/>
            </w:pPr>
            <w:r>
              <w:rPr>
                <w:sz w:val="18"/>
              </w:rPr>
              <w:t xml:space="preserve">CONE</w:t>
            </w:r>
          </w:p>
        </w:tc>
        <w:tc>
          <w:tcPr/>
          <w:p>
            <w:pPr>
              <w:pStyle w:val="Compact"/>
            </w:pPr>
            <w:r>
              <w:rPr>
                <w:rFonts w:hint="eastAsia"/>
                <w:sz w:val="18"/>
              </w:rPr>
              <w:t xml:space="preserve">新規参入電源の費用。Gross</w:t>
            </w:r>
            <w:r>
              <w:rPr>
                <w:sz w:val="18"/>
              </w:rPr>
              <w:t xml:space="preserve"> CONE </w:t>
            </w:r>
            <w:r>
              <w:rPr>
                <w:rFonts w:hint="eastAsia"/>
                <w:sz w:val="18"/>
              </w:rPr>
              <w:t xml:space="preserve">はガス火力を新設する場合の年間固定費、Net</w:t>
            </w:r>
            <w:r>
              <w:rPr>
                <w:sz w:val="18"/>
              </w:rPr>
              <w:t xml:space="preserve"> CONE </w:t>
            </w:r>
            <w:r>
              <w:rPr>
                <w:rFonts w:hint="eastAsia"/>
                <w:sz w:val="18"/>
              </w:rPr>
              <w:t xml:space="preserve">はそこから他市場の収益を差し引いた容量市場の指標価格</w:t>
            </w:r>
          </w:p>
        </w:tc>
        <w:tc>
          <w:tcPr/>
          <w:p>
            <w:pPr>
              <w:pStyle w:val="Compact"/>
            </w:pPr>
            <w:r>
              <w:rPr>
                <w:sz w:val="18"/>
              </w:rPr>
              <w:t xml:space="preserve">cost of new entry</w:t>
            </w:r>
          </w:p>
        </w:tc>
      </w:tr>
      <w:tr>
        <w:tc>
          <w:tcPr/>
          <w:p>
            <w:pPr>
              <w:pStyle w:val="Compact"/>
            </w:pPr>
            <w:r>
              <w:rPr>
                <w:sz w:val="18"/>
              </w:rPr>
              <w:t xml:space="preserve">CRF</w:t>
            </w:r>
          </w:p>
        </w:tc>
        <w:tc>
          <w:tcPr/>
          <w:p>
            <w:pPr>
              <w:pStyle w:val="Compact"/>
            </w:pPr>
            <w:r>
              <w:rPr>
                <w:rFonts w:hint="eastAsia"/>
                <w:sz w:val="18"/>
              </w:rPr>
              <w:t xml:space="preserve">資本回収係数</w:t>
            </w:r>
          </w:p>
        </w:tc>
        <w:tc>
          <w:tcPr/>
          <w:p>
            <w:pPr>
              <w:pStyle w:val="Compact"/>
            </w:pPr>
            <w:r>
              <w:rPr>
                <w:sz w:val="18"/>
              </w:rPr>
              <w:t xml:space="preserve">capital recovery factor</w:t>
            </w:r>
          </w:p>
        </w:tc>
      </w:tr>
      <w:tr>
        <w:tc>
          <w:tcPr/>
          <w:p>
            <w:pPr>
              <w:pStyle w:val="Compact"/>
            </w:pPr>
            <w:r>
              <w:rPr>
                <w:sz w:val="18"/>
              </w:rPr>
              <w:t xml:space="preserve">DL1・DL3・DL5</w:t>
            </w:r>
          </w:p>
        </w:tc>
        <w:tc>
          <w:tcPr/>
          <w:p>
            <w:pPr>
              <w:pStyle w:val="Compact"/>
            </w:pPr>
            <w:r>
              <w:rPr>
                <w:rFonts w:hint="eastAsia"/>
                <w:sz w:val="18"/>
              </w:rPr>
              <w:t xml:space="preserve">1・3・5個の因子による</w:t>
            </w:r>
            <w:r>
              <w:rPr>
                <w:sz w:val="18"/>
              </w:rPr>
              <w:t xml:space="preserve"> Diebold–Li </w:t>
            </w:r>
            <w:r>
              <w:rPr>
                <w:rFonts w:hint="eastAsia"/>
                <w:sz w:val="18"/>
              </w:rPr>
              <w:t xml:space="preserve">型の動的因子予測</w:t>
            </w:r>
          </w:p>
        </w:tc>
        <w:tc>
          <w:tcPr/>
          <w:p>
            <w:pPr>
              <w:pStyle w:val="Compact"/>
            </w:pPr>
            <w:r>
              <w:rPr>
                <w:sz w:val="18"/>
              </w:rPr>
              <w:t xml:space="preserve">—</w:t>
            </w:r>
          </w:p>
        </w:tc>
      </w:tr>
      <w:tr>
        <w:tc>
          <w:tcPr/>
          <w:p>
            <w:pPr>
              <w:pStyle w:val="Compact"/>
            </w:pPr>
            <w:r>
              <w:rPr>
                <w:sz w:val="18"/>
              </w:rPr>
              <w:t xml:space="preserve">DM </w:t>
            </w:r>
            <w:r>
              <w:rPr>
                <w:rFonts w:hint="eastAsia"/>
                <w:sz w:val="18"/>
              </w:rPr>
              <w:t xml:space="preserve">検定</w:t>
            </w:r>
          </w:p>
        </w:tc>
        <w:tc>
          <w:tcPr/>
          <w:p>
            <w:pPr>
              <w:pStyle w:val="Compact"/>
            </w:pPr>
            <w:r>
              <w:rPr>
                <w:sz w:val="18"/>
              </w:rPr>
              <w:t xml:space="preserve">Diebold–Mariano </w:t>
            </w:r>
            <w:r>
              <w:rPr>
                <w:rFonts w:hint="eastAsia"/>
                <w:sz w:val="18"/>
              </w:rPr>
              <w:t xml:space="preserve">の予測精度の比較の検定</w:t>
            </w:r>
          </w:p>
        </w:tc>
        <w:tc>
          <w:tcPr/>
          <w:p>
            <w:pPr>
              <w:pStyle w:val="Compact"/>
            </w:pPr>
            <w:r>
              <w:rPr>
                <w:sz w:val="18"/>
              </w:rPr>
              <w:t xml:space="preserve">Diebold–Mariano test</w:t>
            </w:r>
          </w:p>
        </w:tc>
      </w:tr>
      <w:tr>
        <w:tc>
          <w:tcPr/>
          <w:p>
            <w:pPr>
              <w:pStyle w:val="Compact"/>
            </w:pPr>
            <w:r>
              <w:rPr>
                <w:sz w:val="18"/>
              </w:rPr>
              <w:t xml:space="preserve">EEX</w:t>
            </w:r>
          </w:p>
        </w:tc>
        <w:tc>
          <w:tcPr/>
          <w:p>
            <w:pPr>
              <w:pStyle w:val="Compact"/>
            </w:pPr>
            <w:r>
              <w:rPr>
                <w:rFonts w:hint="eastAsia"/>
                <w:sz w:val="18"/>
              </w:rPr>
              <w:t xml:space="preserve">欧州エネルギー取引所</w:t>
            </w:r>
          </w:p>
        </w:tc>
        <w:tc>
          <w:tcPr/>
          <w:p>
            <w:pPr>
              <w:pStyle w:val="Compact"/>
            </w:pPr>
            <w:r>
              <w:rPr>
                <w:sz w:val="18"/>
              </w:rPr>
              <w:t xml:space="preserve">European Energy Exchange</w:t>
            </w:r>
          </w:p>
        </w:tc>
      </w:tr>
      <w:tr>
        <w:tc>
          <w:tcPr/>
          <w:p>
            <w:pPr>
              <w:pStyle w:val="Compact"/>
            </w:pPr>
            <w:r>
              <w:rPr>
                <w:sz w:val="18"/>
              </w:rPr>
              <w:t xml:space="preserve">EPC</w:t>
            </w:r>
          </w:p>
        </w:tc>
        <w:tc>
          <w:tcPr/>
          <w:p>
            <w:pPr>
              <w:pStyle w:val="Compact"/>
            </w:pPr>
            <w:r>
              <w:rPr>
                <w:rFonts w:hint="eastAsia"/>
                <w:sz w:val="18"/>
              </w:rPr>
              <w:t xml:space="preserve">設計・調達・建設</w:t>
            </w:r>
          </w:p>
        </w:tc>
        <w:tc>
          <w:tcPr/>
          <w:p>
            <w:pPr>
              <w:pStyle w:val="Compact"/>
            </w:pPr>
            <w:r>
              <w:rPr>
                <w:sz w:val="18"/>
              </w:rPr>
              <w:t xml:space="preserve">engineering, procurement and construction</w:t>
            </w:r>
          </w:p>
        </w:tc>
      </w:tr>
      <w:tr>
        <w:tc>
          <w:tcPr/>
          <w:p>
            <w:pPr>
              <w:pStyle w:val="Compact"/>
            </w:pPr>
            <w:r>
              <w:rPr>
                <w:sz w:val="18"/>
              </w:rPr>
              <w:t xml:space="preserve">EPRX</w:t>
            </w:r>
          </w:p>
        </w:tc>
        <w:tc>
          <w:tcPr/>
          <w:p>
            <w:pPr>
              <w:pStyle w:val="Compact"/>
            </w:pPr>
            <w:r>
              <w:rPr>
                <w:rFonts w:hint="eastAsia"/>
                <w:sz w:val="18"/>
              </w:rPr>
              <w:t xml:space="preserve">電力需給調整力取引所（需給調整市場の運営者）</w:t>
            </w:r>
          </w:p>
        </w:tc>
        <w:tc>
          <w:tcPr/>
          <w:p>
            <w:pPr>
              <w:pStyle w:val="Compact"/>
            </w:pPr>
            <w:r>
              <w:rPr>
                <w:sz w:val="18"/>
              </w:rPr>
              <w:t xml:space="preserve">Electric Power Reserve eXchange</w:t>
            </w:r>
          </w:p>
        </w:tc>
      </w:tr>
      <w:tr>
        <w:tc>
          <w:tcPr/>
          <w:p>
            <w:pPr>
              <w:pStyle w:val="Compact"/>
            </w:pPr>
            <w:r>
              <w:rPr>
                <w:sz w:val="18"/>
              </w:rPr>
              <w:t xml:space="preserve">ERCOT</w:t>
            </w:r>
          </w:p>
        </w:tc>
        <w:tc>
          <w:tcPr/>
          <w:p>
            <w:pPr>
              <w:pStyle w:val="Compact"/>
            </w:pPr>
            <w:r>
              <w:rPr>
                <w:rFonts w:hint="eastAsia"/>
                <w:sz w:val="18"/>
              </w:rPr>
              <w:t xml:space="preserve">テキサス電力信頼度協議会（テキサス州の卸電力市場）</w:t>
            </w:r>
          </w:p>
        </w:tc>
        <w:tc>
          <w:tcPr/>
          <w:p>
            <w:pPr>
              <w:pStyle w:val="Compact"/>
            </w:pPr>
            <w:r>
              <w:rPr>
                <w:sz w:val="18"/>
              </w:rPr>
              <w:t xml:space="preserve">Electric Reliability Council of Texas</w:t>
            </w:r>
          </w:p>
        </w:tc>
      </w:tr>
      <w:tr>
        <w:tc>
          <w:tcPr/>
          <w:p>
            <w:pPr>
              <w:pStyle w:val="Compact"/>
            </w:pPr>
            <w:r>
              <w:rPr>
                <w:sz w:val="18"/>
              </w:rPr>
              <w:t xml:space="preserve">ES</w:t>
            </w:r>
          </w:p>
        </w:tc>
        <w:tc>
          <w:tcPr/>
          <w:p>
            <w:pPr>
              <w:pStyle w:val="Compact"/>
            </w:pPr>
            <w:r>
              <w:rPr>
                <w:rFonts w:hint="eastAsia"/>
                <w:sz w:val="18"/>
              </w:rPr>
              <w:t xml:space="preserve">期待ショートフォール</w:t>
            </w:r>
          </w:p>
        </w:tc>
        <w:tc>
          <w:tcPr/>
          <w:p>
            <w:pPr>
              <w:pStyle w:val="Compact"/>
            </w:pPr>
            <w:r>
              <w:rPr>
                <w:sz w:val="18"/>
              </w:rPr>
              <w:t xml:space="preserve">expected shortfall</w:t>
            </w:r>
          </w:p>
        </w:tc>
      </w:tr>
      <w:tr>
        <w:tc>
          <w:tcPr/>
          <w:p>
            <w:pPr>
              <w:pStyle w:val="Compact"/>
            </w:pPr>
            <w:r>
              <w:rPr>
                <w:sz w:val="18"/>
              </w:rPr>
              <w:t xml:space="preserve">EWC</w:t>
            </w:r>
          </w:p>
        </w:tc>
        <w:tc>
          <w:tcPr/>
          <w:p>
            <w:pPr>
              <w:pStyle w:val="Compact"/>
            </w:pPr>
            <w:r>
              <w:rPr>
                <w:rFonts w:hint="eastAsia"/>
                <w:sz w:val="18"/>
              </w:rPr>
              <w:t xml:space="preserve">等重み余弦による、系列相関に頑健な推論の方法</w:t>
            </w:r>
          </w:p>
        </w:tc>
        <w:tc>
          <w:tcPr/>
          <w:p>
            <w:pPr>
              <w:pStyle w:val="Compact"/>
            </w:pPr>
            <w:r>
              <w:rPr>
                <w:sz w:val="18"/>
              </w:rPr>
              <w:t xml:space="preserve">equal-weighted cosine</w:t>
            </w:r>
          </w:p>
        </w:tc>
      </w:tr>
      <w:tr>
        <w:tc>
          <w:tcPr/>
          <w:p>
            <w:pPr>
              <w:pStyle w:val="Compact"/>
            </w:pPr>
            <w:r>
              <w:rPr>
                <w:sz w:val="18"/>
              </w:rPr>
              <w:t xml:space="preserve">FE</w:t>
            </w:r>
          </w:p>
        </w:tc>
        <w:tc>
          <w:tcPr/>
          <w:p>
            <w:pPr>
              <w:pStyle w:val="Compact"/>
            </w:pPr>
            <w:r>
              <w:rPr>
                <w:rFonts w:hint="eastAsia"/>
                <w:sz w:val="18"/>
              </w:rPr>
              <w:t xml:space="preserve">固定効果</w:t>
            </w:r>
          </w:p>
        </w:tc>
        <w:tc>
          <w:tcPr/>
          <w:p>
            <w:pPr>
              <w:pStyle w:val="Compact"/>
            </w:pPr>
            <w:r>
              <w:rPr>
                <w:sz w:val="18"/>
              </w:rPr>
              <w:t xml:space="preserve">fixed effects</w:t>
            </w:r>
          </w:p>
        </w:tc>
      </w:tr>
      <w:tr>
        <w:tc>
          <w:tcPr/>
          <w:p>
            <w:pPr>
              <w:pStyle w:val="Compact"/>
            </w:pPr>
            <w:r>
              <w:rPr>
                <w:sz w:val="18"/>
              </w:rPr>
              <w:t xml:space="preserve">FGLS</w:t>
            </w:r>
          </w:p>
        </w:tc>
        <w:tc>
          <w:tcPr/>
          <w:p>
            <w:pPr>
              <w:pStyle w:val="Compact"/>
            </w:pPr>
            <w:r>
              <w:rPr>
                <w:rFonts w:hint="eastAsia"/>
                <w:sz w:val="18"/>
              </w:rPr>
              <w:t xml:space="preserve">実行可能な一般化最小二乗法</w:t>
            </w:r>
          </w:p>
        </w:tc>
        <w:tc>
          <w:tcPr/>
          <w:p>
            <w:pPr>
              <w:pStyle w:val="Compact"/>
            </w:pPr>
            <w:r>
              <w:rPr>
                <w:sz w:val="18"/>
              </w:rPr>
              <w:t xml:space="preserve">feasible generalized least squares</w:t>
            </w:r>
          </w:p>
        </w:tc>
      </w:tr>
      <w:tr>
        <w:tc>
          <w:tcPr/>
          <w:p>
            <w:pPr>
              <w:pStyle w:val="Compact"/>
            </w:pPr>
            <w:r>
              <w:rPr>
                <w:sz w:val="18"/>
              </w:rPr>
              <w:t xml:space="preserve">FIP</w:t>
            </w:r>
          </w:p>
        </w:tc>
        <w:tc>
          <w:tcPr/>
          <w:p>
            <w:pPr>
              <w:pStyle w:val="Compact"/>
            </w:pPr>
            <w:r>
              <w:rPr>
                <w:rFonts w:hint="eastAsia"/>
                <w:sz w:val="18"/>
              </w:rPr>
              <w:t xml:space="preserve">フィードインプレミアム制度</w:t>
            </w:r>
          </w:p>
        </w:tc>
        <w:tc>
          <w:tcPr/>
          <w:p>
            <w:pPr>
              <w:pStyle w:val="Compact"/>
            </w:pPr>
            <w:r>
              <w:rPr>
                <w:sz w:val="18"/>
              </w:rPr>
              <w:t xml:space="preserve">feed-in premium</w:t>
            </w:r>
          </w:p>
        </w:tc>
      </w:tr>
      <w:tr>
        <w:tc>
          <w:tcPr/>
          <w:p>
            <w:pPr>
              <w:pStyle w:val="Compact"/>
            </w:pPr>
            <w:r>
              <w:rPr>
                <w:sz w:val="18"/>
              </w:rPr>
              <w:t xml:space="preserve">FIT</w:t>
            </w:r>
          </w:p>
        </w:tc>
        <w:tc>
          <w:tcPr/>
          <w:p>
            <w:pPr>
              <w:pStyle w:val="Compact"/>
            </w:pPr>
            <w:r>
              <w:rPr>
                <w:rFonts w:hint="eastAsia"/>
                <w:sz w:val="18"/>
              </w:rPr>
              <w:t xml:space="preserve">固定価格買取制度</w:t>
            </w:r>
          </w:p>
        </w:tc>
        <w:tc>
          <w:tcPr/>
          <w:p>
            <w:pPr>
              <w:pStyle w:val="Compact"/>
            </w:pPr>
            <w:r>
              <w:rPr>
                <w:sz w:val="18"/>
              </w:rPr>
              <w:t xml:space="preserve">feed-in tariff</w:t>
            </w:r>
          </w:p>
        </w:tc>
      </w:tr>
      <w:tr>
        <w:tc>
          <w:tcPr/>
          <w:p>
            <w:pPr>
              <w:pStyle w:val="Compact"/>
            </w:pPr>
            <w:r>
              <w:rPr>
                <w:sz w:val="18"/>
              </w:rPr>
              <w:t xml:space="preserve">FY</w:t>
            </w:r>
          </w:p>
        </w:tc>
        <w:tc>
          <w:tcPr/>
          <w:p>
            <w:pPr>
              <w:pStyle w:val="Compact"/>
            </w:pPr>
            <w:r>
              <w:rPr>
                <w:rFonts w:hint="eastAsia"/>
                <w:sz w:val="18"/>
              </w:rPr>
              <w:t xml:space="preserve">年度（4月〜翌年3月）</w:t>
            </w:r>
          </w:p>
        </w:tc>
        <w:tc>
          <w:tcPr/>
          <w:p>
            <w:pPr>
              <w:pStyle w:val="Compact"/>
            </w:pPr>
            <w:r>
              <w:rPr>
                <w:sz w:val="18"/>
              </w:rPr>
              <w:t xml:space="preserve">fiscal year</w:t>
            </w:r>
          </w:p>
        </w:tc>
      </w:tr>
      <w:tr>
        <w:tc>
          <w:tcPr/>
          <w:p>
            <w:pPr>
              <w:pStyle w:val="Compact"/>
            </w:pPr>
            <w:r>
              <w:rPr>
                <w:sz w:val="18"/>
              </w:rPr>
              <w:t xml:space="preserve">GARCH</w:t>
            </w:r>
          </w:p>
        </w:tc>
        <w:tc>
          <w:tcPr/>
          <w:p>
            <w:pPr>
              <w:pStyle w:val="Compact"/>
            </w:pPr>
            <w:r>
              <w:rPr>
                <w:rFonts w:hint="eastAsia"/>
                <w:sz w:val="18"/>
              </w:rPr>
              <w:t xml:space="preserve">一般化自己回帰条件付き分散不均一モデル。GARCH-M</w:t>
            </w:r>
            <w:r>
              <w:rPr>
                <w:sz w:val="18"/>
              </w:rPr>
              <w:t xml:space="preserve"> </w:t>
            </w:r>
            <w:r>
              <w:rPr>
                <w:rFonts w:hint="eastAsia"/>
                <w:sz w:val="18"/>
              </w:rPr>
              <w:t xml:space="preserve">は条件付き分散を平均の式に含む型、eGARCH</w:t>
            </w:r>
            <w:r>
              <w:rPr>
                <w:sz w:val="18"/>
              </w:rPr>
              <w:t xml:space="preserve"> </w:t>
            </w:r>
            <w:r>
              <w:rPr>
                <w:rFonts w:hint="eastAsia"/>
                <w:sz w:val="18"/>
              </w:rPr>
              <w:t xml:space="preserve">は指数型、GARCH-X</w:t>
            </w:r>
            <w:r>
              <w:rPr>
                <w:sz w:val="18"/>
              </w:rPr>
              <w:t xml:space="preserve"> </w:t>
            </w:r>
            <w:r>
              <w:rPr>
                <w:rFonts w:hint="eastAsia"/>
                <w:sz w:val="18"/>
              </w:rPr>
              <w:t xml:space="preserve">は外生変数を含む型</w:t>
            </w:r>
          </w:p>
        </w:tc>
        <w:tc>
          <w:tcPr/>
          <w:p>
            <w:pPr>
              <w:pStyle w:val="Compact"/>
            </w:pPr>
            <w:r>
              <w:rPr>
                <w:sz w:val="18"/>
              </w:rPr>
              <w:t xml:space="preserve">generalized autoregressive conditional heteroskedasticity</w:t>
            </w:r>
          </w:p>
        </w:tc>
      </w:tr>
      <w:tr>
        <w:tc>
          <w:tcPr/>
          <w:p>
            <w:pPr>
              <w:pStyle w:val="Compact"/>
            </w:pPr>
            <w:r>
              <w:rPr>
                <w:sz w:val="18"/>
              </w:rPr>
              <w:t xml:space="preserve">HAC</w:t>
            </w:r>
          </w:p>
        </w:tc>
        <w:tc>
          <w:tcPr/>
          <w:p>
            <w:pPr>
              <w:pStyle w:val="Compact"/>
            </w:pPr>
            <w:r>
              <w:rPr>
                <w:rFonts w:hint="eastAsia"/>
                <w:sz w:val="18"/>
              </w:rPr>
              <w:t xml:space="preserve">不均一分散と自己相関に頑健な（標準誤差）</w:t>
            </w:r>
          </w:p>
        </w:tc>
        <w:tc>
          <w:tcPr/>
          <w:p>
            <w:pPr>
              <w:pStyle w:val="Compact"/>
            </w:pPr>
            <w:r>
              <w:rPr>
                <w:sz w:val="18"/>
              </w:rPr>
              <w:t xml:space="preserve">heteroskedasticity and autocorrelation consistent</w:t>
            </w:r>
          </w:p>
        </w:tc>
      </w:tr>
      <w:tr>
        <w:tc>
          <w:tcPr/>
          <w:p>
            <w:pPr>
              <w:pStyle w:val="Compact"/>
            </w:pPr>
            <w:r>
              <w:rPr>
                <w:sz w:val="18"/>
              </w:rPr>
              <w:t xml:space="preserve">HAR</w:t>
            </w:r>
          </w:p>
        </w:tc>
        <w:tc>
          <w:tcPr/>
          <w:p>
            <w:pPr>
              <w:pStyle w:val="Compact"/>
            </w:pPr>
            <w:r>
              <w:rPr>
                <w:rFonts w:hint="eastAsia"/>
                <w:sz w:val="18"/>
              </w:rPr>
              <w:t xml:space="preserve">異質的自己回帰モデル（Corsi,</w:t>
            </w:r>
            <w:r>
              <w:rPr>
                <w:sz w:val="18"/>
              </w:rPr>
              <w:t xml:space="preserve"> </w:t>
            </w:r>
            <w:r>
              <w:rPr>
                <w:rFonts w:hint="eastAsia"/>
                <w:sz w:val="18"/>
              </w:rPr>
              <w:t xml:space="preserve">2009）。帯域分解の発想の比較にだけ用い、推論法の</w:t>
            </w:r>
            <w:r>
              <w:rPr>
                <w:sz w:val="18"/>
              </w:rPr>
              <w:t xml:space="preserve"> </w:t>
            </w:r>
            <w:r>
              <w:rPr>
                <w:rFonts w:hint="eastAsia"/>
                <w:sz w:val="18"/>
              </w:rPr>
              <w:t xml:space="preserve">HAR（自己相関に頑健な推論）とは別である</w:t>
            </w:r>
          </w:p>
        </w:tc>
        <w:tc>
          <w:tcPr/>
          <w:p>
            <w:pPr>
              <w:pStyle w:val="Compact"/>
            </w:pPr>
            <w:r>
              <w:rPr>
                <w:sz w:val="18"/>
              </w:rPr>
              <w:t xml:space="preserve">heterogeneous autoregressive model</w:t>
            </w:r>
          </w:p>
        </w:tc>
      </w:tr>
      <w:tr>
        <w:tc>
          <w:tcPr/>
          <w:p>
            <w:pPr>
              <w:pStyle w:val="Compact"/>
            </w:pPr>
            <w:r>
              <w:rPr>
                <w:sz w:val="18"/>
              </w:rPr>
              <w:t xml:space="preserve">HC3</w:t>
            </w:r>
          </w:p>
        </w:tc>
        <w:tc>
          <w:tcPr/>
          <w:p>
            <w:pPr>
              <w:pStyle w:val="Compact"/>
            </w:pPr>
            <w:r>
              <w:rPr>
                <w:rFonts w:hint="eastAsia"/>
                <w:sz w:val="18"/>
              </w:rPr>
              <w:t xml:space="preserve">不均一分散だけに頑健な</w:t>
            </w:r>
            <w:r>
              <w:rPr>
                <w:sz w:val="18"/>
              </w:rPr>
              <w:t xml:space="preserve"> HC3 </w:t>
            </w:r>
            <w:r>
              <w:rPr>
                <w:rFonts w:hint="eastAsia"/>
                <w:sz w:val="18"/>
              </w:rPr>
              <w:t xml:space="preserve">型の標準誤差</w:t>
            </w:r>
          </w:p>
        </w:tc>
        <w:tc>
          <w:tcPr/>
          <w:p>
            <w:pPr>
              <w:pStyle w:val="Compact"/>
            </w:pPr>
            <w:r>
              <w:rPr>
                <w:sz w:val="18"/>
              </w:rPr>
              <w:t xml:space="preserve">heteroskedasticity-consistent standard error, type 3</w:t>
            </w:r>
          </w:p>
        </w:tc>
      </w:tr>
      <w:tr>
        <w:tc>
          <w:tcPr/>
          <w:p>
            <w:pPr>
              <w:pStyle w:val="Compact"/>
            </w:pPr>
            <w:r>
              <w:rPr>
                <w:sz w:val="18"/>
              </w:rPr>
              <w:t xml:space="preserve">HE</w:t>
            </w:r>
          </w:p>
        </w:tc>
        <w:tc>
          <w:tcPr/>
          <w:p>
            <w:pPr>
              <w:pStyle w:val="Compact"/>
            </w:pPr>
            <w:r>
              <w:rPr>
                <w:rFonts w:hint="eastAsia"/>
                <w:sz w:val="18"/>
              </w:rPr>
              <w:t xml:space="preserve">ヘッジ有効性</w:t>
            </w:r>
          </w:p>
        </w:tc>
        <w:tc>
          <w:tcPr/>
          <w:p>
            <w:pPr>
              <w:pStyle w:val="Compact"/>
            </w:pPr>
            <w:r>
              <w:rPr>
                <w:sz w:val="18"/>
              </w:rPr>
              <w:t xml:space="preserve">hedge effectiveness</w:t>
            </w:r>
          </w:p>
        </w:tc>
      </w:tr>
      <w:tr>
        <w:tc>
          <w:tcPr/>
          <w:p>
            <w:pPr>
              <w:pStyle w:val="Compact"/>
            </w:pPr>
            <w:r>
              <w:rPr>
                <w:sz w:val="18"/>
              </w:rPr>
              <w:t xml:space="preserve">IQR</w:t>
            </w:r>
          </w:p>
        </w:tc>
        <w:tc>
          <w:tcPr/>
          <w:p>
            <w:pPr>
              <w:pStyle w:val="Compact"/>
            </w:pPr>
            <w:r>
              <w:rPr>
                <w:rFonts w:hint="eastAsia"/>
                <w:sz w:val="18"/>
              </w:rPr>
              <w:t xml:space="preserve">分位点の幅。本論文では条件付き分布の0.9分位と0.1分位の差</w:t>
            </w:r>
          </w:p>
        </w:tc>
        <w:tc>
          <w:tcPr/>
          <w:p>
            <w:pPr>
              <w:pStyle w:val="Compact"/>
            </w:pPr>
            <w:r>
              <w:rPr>
                <w:sz w:val="18"/>
              </w:rPr>
              <w:t xml:space="preserve">interquantile range</w:t>
            </w:r>
          </w:p>
        </w:tc>
      </w:tr>
      <w:tr>
        <w:tc>
          <w:tcPr/>
          <w:p>
            <w:pPr>
              <w:pStyle w:val="Compact"/>
            </w:pPr>
            <w:r>
              <w:rPr>
                <w:sz w:val="18"/>
              </w:rPr>
              <w:t xml:space="preserve">IRR</w:t>
            </w:r>
          </w:p>
        </w:tc>
        <w:tc>
          <w:tcPr/>
          <w:p>
            <w:pPr>
              <w:pStyle w:val="Compact"/>
            </w:pPr>
            <w:r>
              <w:rPr>
                <w:rFonts w:hint="eastAsia"/>
                <w:sz w:val="18"/>
              </w:rPr>
              <w:t xml:space="preserve">内部収益率。事業</w:t>
            </w:r>
            <w:r>
              <w:rPr>
                <w:sz w:val="18"/>
              </w:rPr>
              <w:t xml:space="preserve"> IRR </w:t>
            </w:r>
            <w:r>
              <w:rPr>
                <w:rFonts w:hint="eastAsia"/>
                <w:sz w:val="18"/>
              </w:rPr>
              <w:t xml:space="preserve">は無レバレッジ・税前・実質・20年</w:t>
            </w:r>
          </w:p>
        </w:tc>
        <w:tc>
          <w:tcPr/>
          <w:p>
            <w:pPr>
              <w:pStyle w:val="Compact"/>
            </w:pPr>
            <w:r>
              <w:rPr>
                <w:sz w:val="18"/>
              </w:rPr>
              <w:t xml:space="preserve">internal rate of return</w:t>
            </w:r>
          </w:p>
        </w:tc>
      </w:tr>
      <w:tr>
        <w:tc>
          <w:tcPr/>
          <w:p>
            <w:pPr>
              <w:pStyle w:val="Compact"/>
            </w:pPr>
            <w:r>
              <w:rPr>
                <w:sz w:val="18"/>
              </w:rPr>
              <w:t xml:space="preserve">JEPX</w:t>
            </w:r>
          </w:p>
        </w:tc>
        <w:tc>
          <w:tcPr/>
          <w:p>
            <w:pPr>
              <w:pStyle w:val="Compact"/>
            </w:pPr>
            <w:r>
              <w:rPr>
                <w:rFonts w:hint="eastAsia"/>
                <w:sz w:val="18"/>
              </w:rPr>
              <w:t xml:space="preserve">日本卸電力取引所</w:t>
            </w:r>
          </w:p>
        </w:tc>
        <w:tc>
          <w:tcPr/>
          <w:p>
            <w:pPr>
              <w:pStyle w:val="Compact"/>
            </w:pPr>
            <w:r>
              <w:rPr>
                <w:sz w:val="18"/>
              </w:rPr>
              <w:t xml:space="preserve">Japan Electric Power Exchange</w:t>
            </w:r>
          </w:p>
        </w:tc>
      </w:tr>
      <w:tr>
        <w:tc>
          <w:tcPr/>
          <w:p>
            <w:pPr>
              <w:pStyle w:val="Compact"/>
            </w:pPr>
            <w:r>
              <w:rPr>
                <w:sz w:val="18"/>
              </w:rPr>
              <w:t xml:space="preserve">JPX</w:t>
            </w:r>
          </w:p>
        </w:tc>
        <w:tc>
          <w:tcPr/>
          <w:p>
            <w:pPr>
              <w:pStyle w:val="Compact"/>
            </w:pPr>
            <w:r>
              <w:rPr>
                <w:rFonts w:hint="eastAsia"/>
                <w:sz w:val="18"/>
              </w:rPr>
              <w:t xml:space="preserve">日本取引所グループ</w:t>
            </w:r>
          </w:p>
        </w:tc>
        <w:tc>
          <w:tcPr/>
          <w:p>
            <w:pPr>
              <w:pStyle w:val="Compact"/>
            </w:pPr>
            <w:r>
              <w:rPr>
                <w:sz w:val="18"/>
              </w:rPr>
              <w:t xml:space="preserve">Japan Exchange Group</w:t>
            </w:r>
          </w:p>
        </w:tc>
      </w:tr>
      <w:tr>
        <w:tc>
          <w:tcPr/>
          <w:p>
            <w:pPr>
              <w:pStyle w:val="Compact"/>
            </w:pPr>
            <w:r>
              <w:rPr>
                <w:sz w:val="18"/>
              </w:rPr>
              <w:t xml:space="preserve">JWPA</w:t>
            </w:r>
          </w:p>
        </w:tc>
        <w:tc>
          <w:tcPr/>
          <w:p>
            <w:pPr>
              <w:pStyle w:val="Compact"/>
            </w:pPr>
            <w:r>
              <w:rPr>
                <w:rFonts w:hint="eastAsia"/>
                <w:sz w:val="18"/>
              </w:rPr>
              <w:t xml:space="preserve">日本風力発電協会</w:t>
            </w:r>
          </w:p>
        </w:tc>
        <w:tc>
          <w:tcPr/>
          <w:p>
            <w:pPr>
              <w:pStyle w:val="Compact"/>
            </w:pPr>
            <w:r>
              <w:rPr>
                <w:sz w:val="18"/>
              </w:rPr>
              <w:t xml:space="preserve">Japan Wind Power Association</w:t>
            </w:r>
          </w:p>
        </w:tc>
      </w:tr>
      <w:tr>
        <w:tc>
          <w:tcPr/>
          <w:p>
            <w:pPr>
              <w:pStyle w:val="Compact"/>
            </w:pPr>
            <w:r>
              <w:rPr>
                <w:sz w:val="18"/>
              </w:rPr>
              <w:t xml:space="preserve">KPSS </w:t>
            </w:r>
            <w:r>
              <w:rPr>
                <w:rFonts w:hint="eastAsia"/>
                <w:sz w:val="18"/>
              </w:rPr>
              <w:t xml:space="preserve">検定</w:t>
            </w:r>
          </w:p>
        </w:tc>
        <w:tc>
          <w:tcPr/>
          <w:p>
            <w:pPr>
              <w:pStyle w:val="Compact"/>
            </w:pPr>
            <w:r>
              <w:rPr>
                <w:sz w:val="18"/>
              </w:rPr>
              <w:t xml:space="preserve">Kwiatkowski–Phillips–Schmidt–Shin </w:t>
            </w:r>
            <w:r>
              <w:rPr>
                <w:rFonts w:hint="eastAsia"/>
                <w:sz w:val="18"/>
              </w:rPr>
              <w:t xml:space="preserve">の定常性の検定</w:t>
            </w:r>
          </w:p>
        </w:tc>
        <w:tc>
          <w:tcPr/>
          <w:p>
            <w:pPr>
              <w:pStyle w:val="Compact"/>
            </w:pPr>
            <w:r>
              <w:rPr>
                <w:sz w:val="18"/>
              </w:rPr>
              <w:t xml:space="preserve">KPSS test</w:t>
            </w:r>
          </w:p>
        </w:tc>
      </w:tr>
      <w:tr>
        <w:tc>
          <w:tcPr/>
          <w:p>
            <w:pPr>
              <w:pStyle w:val="Compact"/>
            </w:pPr>
            <w:r>
              <w:rPr>
                <w:sz w:val="18"/>
              </w:rPr>
              <w:t xml:space="preserve">LCOE</w:t>
            </w:r>
          </w:p>
        </w:tc>
        <w:tc>
          <w:tcPr/>
          <w:p>
            <w:pPr>
              <w:pStyle w:val="Compact"/>
            </w:pPr>
            <w:r>
              <w:rPr>
                <w:rFonts w:hint="eastAsia"/>
                <w:sz w:val="18"/>
              </w:rPr>
              <w:t xml:space="preserve">均等化発電原価</w:t>
            </w:r>
          </w:p>
        </w:tc>
        <w:tc>
          <w:tcPr/>
          <w:p>
            <w:pPr>
              <w:pStyle w:val="Compact"/>
            </w:pPr>
            <w:r>
              <w:rPr>
                <w:sz w:val="18"/>
              </w:rPr>
              <w:t xml:space="preserve">levelized cost of electricity</w:t>
            </w:r>
          </w:p>
        </w:tc>
      </w:tr>
      <w:tr>
        <w:tc>
          <w:tcPr/>
          <w:p>
            <w:pPr>
              <w:pStyle w:val="Compact"/>
            </w:pPr>
            <w:r>
              <w:rPr>
                <w:sz w:val="18"/>
              </w:rPr>
              <w:t xml:space="preserve">LDES</w:t>
            </w:r>
          </w:p>
        </w:tc>
        <w:tc>
          <w:tcPr/>
          <w:p>
            <w:pPr>
              <w:pStyle w:val="Compact"/>
            </w:pPr>
            <w:r>
              <w:rPr>
                <w:rFonts w:hint="eastAsia"/>
                <w:sz w:val="18"/>
              </w:rPr>
              <w:t xml:space="preserve">長期間エネルギー貯蔵</w:t>
            </w:r>
          </w:p>
        </w:tc>
        <w:tc>
          <w:tcPr/>
          <w:p>
            <w:pPr>
              <w:pStyle w:val="Compact"/>
            </w:pPr>
            <w:r>
              <w:rPr>
                <w:sz w:val="18"/>
              </w:rPr>
              <w:t xml:space="preserve">long-duration energy storage</w:t>
            </w:r>
          </w:p>
        </w:tc>
      </w:tr>
      <w:tr>
        <w:tc>
          <w:tcPr/>
          <w:p>
            <w:pPr>
              <w:pStyle w:val="Compact"/>
            </w:pPr>
            <w:r>
              <w:rPr>
                <w:sz w:val="18"/>
              </w:rPr>
              <w:t xml:space="preserve">LNG</w:t>
            </w:r>
          </w:p>
        </w:tc>
        <w:tc>
          <w:tcPr/>
          <w:p>
            <w:pPr>
              <w:pStyle w:val="Compact"/>
            </w:pPr>
            <w:r>
              <w:rPr>
                <w:rFonts w:hint="eastAsia"/>
                <w:sz w:val="18"/>
              </w:rPr>
              <w:t xml:space="preserve">液化天然ガス</w:t>
            </w:r>
          </w:p>
        </w:tc>
        <w:tc>
          <w:tcPr/>
          <w:p>
            <w:pPr>
              <w:pStyle w:val="Compact"/>
            </w:pPr>
            <w:r>
              <w:rPr>
                <w:sz w:val="18"/>
              </w:rPr>
              <w:t xml:space="preserve">liquefied natural gas</w:t>
            </w:r>
          </w:p>
        </w:tc>
      </w:tr>
      <w:tr>
        <w:tc>
          <w:tcPr/>
          <w:p>
            <w:pPr>
              <w:pStyle w:val="Compact"/>
            </w:pPr>
            <w:r>
              <w:rPr>
                <w:sz w:val="18"/>
              </w:rPr>
              <w:t xml:space="preserve">LTDA</w:t>
            </w:r>
          </w:p>
        </w:tc>
        <w:tc>
          <w:tcPr/>
          <w:p>
            <w:pPr>
              <w:pStyle w:val="Compact"/>
            </w:pPr>
            <w:r>
              <w:rPr>
                <w:rFonts w:hint="eastAsia"/>
                <w:sz w:val="18"/>
              </w:rPr>
              <w:t xml:space="preserve">長期脱炭素電源オークション</w:t>
            </w:r>
          </w:p>
        </w:tc>
        <w:tc>
          <w:tcPr/>
          <w:p>
            <w:pPr>
              <w:pStyle w:val="Compact"/>
            </w:pPr>
            <w:r>
              <w:rPr>
                <w:sz w:val="18"/>
              </w:rPr>
              <w:t xml:space="preserve">long-term decarbonization auction</w:t>
            </w:r>
          </w:p>
        </w:tc>
      </w:tr>
      <w:tr>
        <w:tc>
          <w:tcPr/>
          <w:p>
            <w:pPr>
              <w:pStyle w:val="Compact"/>
            </w:pPr>
            <w:r>
              <w:rPr>
                <w:sz w:val="18"/>
              </w:rPr>
              <w:t xml:space="preserve">MA</w:t>
            </w:r>
          </w:p>
        </w:tc>
        <w:tc>
          <w:tcPr/>
          <w:p>
            <w:pPr>
              <w:pStyle w:val="Compact"/>
            </w:pPr>
            <w:r>
              <w:rPr>
                <w:rFonts w:hint="eastAsia"/>
                <w:sz w:val="18"/>
              </w:rPr>
              <w:t xml:space="preserve">中心化移動平均（第5章の帯域分解）</w:t>
            </w:r>
          </w:p>
        </w:tc>
        <w:tc>
          <w:tcPr/>
          <w:p>
            <w:pPr>
              <w:pStyle w:val="Compact"/>
            </w:pPr>
            <w:r>
              <w:rPr>
                <w:sz w:val="18"/>
              </w:rPr>
              <w:t xml:space="preserve">moving average</w:t>
            </w:r>
          </w:p>
        </w:tc>
      </w:tr>
      <w:tr>
        <w:tc>
          <w:tcPr/>
          <w:p>
            <w:pPr>
              <w:pStyle w:val="Compact"/>
            </w:pPr>
            <w:r>
              <w:rPr>
                <w:sz w:val="18"/>
              </w:rPr>
              <w:t xml:space="preserve">MM </w:t>
            </w:r>
            <w:r>
              <w:rPr>
                <w:rFonts w:hint="eastAsia"/>
                <w:sz w:val="18"/>
              </w:rPr>
              <w:t xml:space="preserve">命題</w:t>
            </w:r>
          </w:p>
        </w:tc>
        <w:tc>
          <w:tcPr/>
          <w:p>
            <w:pPr>
              <w:pStyle w:val="Compact"/>
            </w:pPr>
            <w:r>
              <w:rPr>
                <w:sz w:val="18"/>
              </w:rPr>
              <w:t xml:space="preserve">Modigliani–Miller </w:t>
            </w:r>
            <w:r>
              <w:rPr>
                <w:rFonts w:hint="eastAsia"/>
                <w:sz w:val="18"/>
              </w:rPr>
              <w:t xml:space="preserve">の命題</w:t>
            </w:r>
          </w:p>
        </w:tc>
        <w:tc>
          <w:tcPr/>
          <w:p>
            <w:pPr>
              <w:pStyle w:val="Compact"/>
            </w:pPr>
            <w:r>
              <w:rPr>
                <w:sz w:val="18"/>
              </w:rPr>
              <w:t xml:space="preserve">Modigliani–Miller theorem</w:t>
            </w:r>
          </w:p>
        </w:tc>
      </w:tr>
      <w:tr>
        <w:tc>
          <w:tcPr/>
          <w:p>
            <w:pPr>
              <w:pStyle w:val="Compact"/>
            </w:pPr>
            <w:r>
              <w:rPr>
                <w:sz w:val="18"/>
              </w:rPr>
              <w:t xml:space="preserve">MOE</w:t>
            </w:r>
          </w:p>
        </w:tc>
        <w:tc>
          <w:tcPr/>
          <w:p>
            <w:pPr>
              <w:pStyle w:val="Compact"/>
            </w:pPr>
            <w:r>
              <w:rPr>
                <w:rFonts w:hint="eastAsia"/>
                <w:sz w:val="18"/>
              </w:rPr>
              <w:t xml:space="preserve">メリットオーダー効果</w:t>
            </w:r>
          </w:p>
        </w:tc>
        <w:tc>
          <w:tcPr/>
          <w:p>
            <w:pPr>
              <w:pStyle w:val="Compact"/>
            </w:pPr>
            <w:r>
              <w:rPr>
                <w:sz w:val="18"/>
              </w:rPr>
              <w:t xml:space="preserve">merit-order effect</w:t>
            </w:r>
          </w:p>
        </w:tc>
      </w:tr>
      <w:tr>
        <w:tc>
          <w:tcPr/>
          <w:p>
            <w:pPr>
              <w:pStyle w:val="Compact"/>
            </w:pPr>
            <w:r>
              <w:rPr>
                <w:sz w:val="18"/>
              </w:rPr>
              <w:t xml:space="preserve">NEM</w:t>
            </w:r>
          </w:p>
        </w:tc>
        <w:tc>
          <w:tcPr/>
          <w:p>
            <w:pPr>
              <w:pStyle w:val="Compact"/>
            </w:pPr>
            <w:r>
              <w:rPr>
                <w:rFonts w:hint="eastAsia"/>
                <w:sz w:val="18"/>
              </w:rPr>
              <w:t xml:space="preserve">豪州の全国電力市場</w:t>
            </w:r>
          </w:p>
        </w:tc>
        <w:tc>
          <w:tcPr/>
          <w:p>
            <w:pPr>
              <w:pStyle w:val="Compact"/>
            </w:pPr>
            <w:r>
              <w:rPr>
                <w:sz w:val="18"/>
              </w:rPr>
              <w:t xml:space="preserve">National Electricity Market</w:t>
            </w:r>
          </w:p>
        </w:tc>
      </w:tr>
      <w:tr>
        <w:tc>
          <w:tcPr/>
          <w:p>
            <w:pPr>
              <w:pStyle w:val="Compact"/>
            </w:pPr>
            <w:r>
              <w:rPr>
                <w:sz w:val="18"/>
              </w:rPr>
              <w:t xml:space="preserve">NPV</w:t>
            </w:r>
          </w:p>
        </w:tc>
        <w:tc>
          <w:tcPr/>
          <w:p>
            <w:pPr>
              <w:pStyle w:val="Compact"/>
            </w:pPr>
            <w:r>
              <w:rPr>
                <w:rFonts w:hint="eastAsia"/>
                <w:sz w:val="18"/>
              </w:rPr>
              <w:t xml:space="preserve">正味現在価値</w:t>
            </w:r>
          </w:p>
        </w:tc>
        <w:tc>
          <w:tcPr/>
          <w:p>
            <w:pPr>
              <w:pStyle w:val="Compact"/>
            </w:pPr>
            <w:r>
              <w:rPr>
                <w:sz w:val="18"/>
              </w:rPr>
              <w:t xml:space="preserve">net present value</w:t>
            </w:r>
          </w:p>
        </w:tc>
      </w:tr>
      <w:tr>
        <w:tc>
          <w:tcPr/>
          <w:p>
            <w:pPr>
              <w:pStyle w:val="Compact"/>
            </w:pPr>
            <w:r>
              <w:rPr>
                <w:sz w:val="18"/>
              </w:rPr>
              <w:t xml:space="preserve">OCCTO</w:t>
            </w:r>
          </w:p>
        </w:tc>
        <w:tc>
          <w:tcPr/>
          <w:p>
            <w:pPr>
              <w:pStyle w:val="Compact"/>
            </w:pPr>
            <w:r>
              <w:rPr>
                <w:rFonts w:hint="eastAsia"/>
                <w:sz w:val="18"/>
              </w:rPr>
              <w:t xml:space="preserve">電力広域的運営推進機関</w:t>
            </w:r>
          </w:p>
        </w:tc>
        <w:tc>
          <w:tcPr/>
          <w:p>
            <w:pPr>
              <w:pStyle w:val="Compact"/>
            </w:pPr>
            <w:r>
              <w:rPr>
                <w:sz w:val="18"/>
              </w:rPr>
              <w:t xml:space="preserve">Organization for Cross-regional Coordination of Transmission Operators</w:t>
            </w:r>
          </w:p>
        </w:tc>
      </w:tr>
      <w:tr>
        <w:tc>
          <w:tcPr/>
          <w:p>
            <w:pPr>
              <w:pStyle w:val="Compact"/>
            </w:pPr>
            <w:r>
              <w:rPr>
                <w:sz w:val="18"/>
              </w:rPr>
              <w:t xml:space="preserve">PCS</w:t>
            </w:r>
          </w:p>
        </w:tc>
        <w:tc>
          <w:tcPr/>
          <w:p>
            <w:pPr>
              <w:pStyle w:val="Compact"/>
            </w:pPr>
            <w:r>
              <w:rPr>
                <w:sz w:val="18"/>
              </w:rPr>
              <w:t xml:space="preserve">パワーコンディショナー</w:t>
            </w:r>
          </w:p>
        </w:tc>
        <w:tc>
          <w:tcPr/>
          <w:p>
            <w:pPr>
              <w:pStyle w:val="Compact"/>
            </w:pPr>
            <w:r>
              <w:rPr>
                <w:sz w:val="18"/>
              </w:rPr>
              <w:t xml:space="preserve">power conditioning system</w:t>
            </w:r>
          </w:p>
        </w:tc>
      </w:tr>
      <w:tr>
        <w:tc>
          <w:tcPr/>
          <w:p>
            <w:pPr>
              <w:pStyle w:val="Compact"/>
            </w:pPr>
            <w:r>
              <w:rPr>
                <w:sz w:val="18"/>
              </w:rPr>
              <w:t xml:space="preserve">PJM</w:t>
            </w:r>
          </w:p>
        </w:tc>
        <w:tc>
          <w:tcPr/>
          <w:p>
            <w:pPr>
              <w:pStyle w:val="Compact"/>
            </w:pPr>
            <w:r>
              <w:rPr>
                <w:sz w:val="18"/>
              </w:rPr>
              <w:t xml:space="preserve">PJM </w:t>
            </w:r>
            <w:r>
              <w:rPr>
                <w:rFonts w:hint="eastAsia"/>
                <w:sz w:val="18"/>
              </w:rPr>
              <w:t xml:space="preserve">インターコネクション（米国東部の卸電力市場）</w:t>
            </w:r>
          </w:p>
        </w:tc>
        <w:tc>
          <w:tcPr/>
          <w:p>
            <w:pPr>
              <w:pStyle w:val="Compact"/>
            </w:pPr>
            <w:r>
              <w:rPr>
                <w:sz w:val="18"/>
              </w:rPr>
              <w:t xml:space="preserve">PJM Interconnection</w:t>
            </w:r>
          </w:p>
        </w:tc>
      </w:tr>
      <w:tr>
        <w:tc>
          <w:tcPr/>
          <w:p>
            <w:pPr>
              <w:pStyle w:val="Compact"/>
            </w:pPr>
            <w:r>
              <w:rPr>
                <w:sz w:val="18"/>
              </w:rPr>
              <w:t xml:space="preserve">PPA</w:t>
            </w:r>
          </w:p>
        </w:tc>
        <w:tc>
          <w:tcPr/>
          <w:p>
            <w:pPr>
              <w:pStyle w:val="Compact"/>
            </w:pPr>
            <w:r>
              <w:rPr>
                <w:rFonts w:hint="eastAsia"/>
                <w:sz w:val="18"/>
              </w:rPr>
              <w:t xml:space="preserve">電力購入契約（発電事業者と需要家などの長期の電力の売買契約）</w:t>
            </w:r>
          </w:p>
        </w:tc>
        <w:tc>
          <w:tcPr/>
          <w:p>
            <w:pPr>
              <w:pStyle w:val="Compact"/>
            </w:pPr>
            <w:r>
              <w:rPr>
                <w:sz w:val="18"/>
              </w:rPr>
              <w:t xml:space="preserve">power purchase agreement</w:t>
            </w:r>
          </w:p>
        </w:tc>
      </w:tr>
      <w:tr>
        <w:tc>
          <w:tcPr/>
          <w:p>
            <w:pPr>
              <w:pStyle w:val="Compact"/>
            </w:pPr>
            <w:r>
              <w:rPr>
                <w:sz w:val="18"/>
              </w:rPr>
              <w:t xml:space="preserve">reverse DCF</w:t>
            </w:r>
          </w:p>
        </w:tc>
        <w:tc>
          <w:tcPr/>
          <w:p>
            <w:pPr>
              <w:pStyle w:val="Compact"/>
            </w:pPr>
            <w:r>
              <w:rPr>
                <w:rFonts w:hint="eastAsia"/>
                <w:sz w:val="18"/>
              </w:rPr>
              <w:t xml:space="preserve">必要な収入から含意の価格水準を逆算する割引キャッシュフローの考え方</w:t>
            </w:r>
          </w:p>
        </w:tc>
        <w:tc>
          <w:tcPr/>
          <w:p>
            <w:pPr>
              <w:pStyle w:val="Compact"/>
            </w:pPr>
            <w:r>
              <w:rPr>
                <w:sz w:val="18"/>
              </w:rPr>
              <w:t xml:space="preserve">reverse discounted cash flow</w:t>
            </w:r>
          </w:p>
        </w:tc>
      </w:tr>
      <w:tr>
        <w:tc>
          <w:tcPr/>
          <w:p>
            <w:pPr>
              <w:pStyle w:val="Compact"/>
            </w:pPr>
            <w:r>
              <w:rPr>
                <w:sz w:val="18"/>
              </w:rPr>
              <w:t xml:space="preserve">RQ</w:t>
            </w:r>
          </w:p>
        </w:tc>
        <w:tc>
          <w:tcPr/>
          <w:p>
            <w:pPr>
              <w:pStyle w:val="Compact"/>
            </w:pPr>
            <w:r>
              <w:rPr>
                <w:rFonts w:hint="eastAsia"/>
                <w:sz w:val="18"/>
              </w:rPr>
              <w:t xml:space="preserve">研究課題。主RQ</w:t>
            </w:r>
            <w:r>
              <w:rPr>
                <w:sz w:val="18"/>
              </w:rPr>
              <w:t xml:space="preserve"> と </w:t>
            </w:r>
            <w:r>
              <w:rPr>
                <w:rFonts w:hint="eastAsia"/>
                <w:sz w:val="18"/>
              </w:rPr>
              <w:t xml:space="preserve">RQ1〜RQ6（第1章）</w:t>
            </w:r>
          </w:p>
        </w:tc>
        <w:tc>
          <w:tcPr/>
          <w:p>
            <w:pPr>
              <w:pStyle w:val="Compact"/>
            </w:pPr>
            <w:r>
              <w:rPr>
                <w:sz w:val="18"/>
              </w:rPr>
              <w:t xml:space="preserve">research question</w:t>
            </w:r>
          </w:p>
        </w:tc>
      </w:tr>
      <w:tr>
        <w:tc>
          <w:tcPr/>
          <w:p>
            <w:pPr>
              <w:pStyle w:val="Compact"/>
            </w:pPr>
            <w:r>
              <w:rPr>
                <w:sz w:val="18"/>
              </w:rPr>
              <w:t xml:space="preserve">SCUC・SCED</w:t>
            </w:r>
          </w:p>
        </w:tc>
        <w:tc>
          <w:tcPr/>
          <w:p>
            <w:pPr>
              <w:pStyle w:val="Compact"/>
            </w:pPr>
            <w:r>
              <w:rPr>
                <w:rFonts w:hint="eastAsia"/>
                <w:sz w:val="18"/>
              </w:rPr>
              <w:t xml:space="preserve">安全制約付きの起動停止計画・経済負荷配分（同時市場の約定方式）</w:t>
            </w:r>
          </w:p>
        </w:tc>
        <w:tc>
          <w:tcPr/>
          <w:p>
            <w:pPr>
              <w:pStyle w:val="Compact"/>
            </w:pPr>
            <w:r>
              <w:rPr>
                <w:sz w:val="18"/>
              </w:rPr>
              <w:t xml:space="preserve">security-constrained unit commitment / economic dispatch</w:t>
            </w:r>
          </w:p>
        </w:tc>
      </w:tr>
      <w:tr>
        <w:tc>
          <w:tcPr/>
          <w:p>
            <w:pPr>
              <w:pStyle w:val="Compact"/>
            </w:pPr>
            <w:r>
              <w:rPr>
                <w:sz w:val="18"/>
              </w:rPr>
              <w:t xml:space="preserve">SII</w:t>
            </w:r>
          </w:p>
        </w:tc>
        <w:tc>
          <w:tcPr/>
          <w:p>
            <w:pPr>
              <w:pStyle w:val="Compact"/>
            </w:pPr>
            <w:r>
              <w:rPr>
                <w:rFonts w:hint="eastAsia"/>
                <w:sz w:val="18"/>
              </w:rPr>
              <w:t xml:space="preserve">環境共創イニシアチブ（系統用蓄電池の導入支援事業の執行団体）</w:t>
            </w:r>
          </w:p>
        </w:tc>
        <w:tc>
          <w:tcPr/>
          <w:p>
            <w:pPr>
              <w:pStyle w:val="Compact"/>
            </w:pPr>
            <w:r>
              <w:rPr>
                <w:sz w:val="18"/>
              </w:rPr>
              <w:t xml:space="preserve">Sustainable open Innovation Initiative</w:t>
            </w:r>
          </w:p>
        </w:tc>
      </w:tr>
      <w:tr>
        <w:tc>
          <w:tcPr/>
          <w:p>
            <w:pPr>
              <w:pStyle w:val="Compact"/>
            </w:pPr>
            <w:r>
              <w:rPr>
                <w:sz w:val="18"/>
              </w:rPr>
              <w:t xml:space="preserve">SPA </w:t>
            </w:r>
            <w:r>
              <w:rPr>
                <w:rFonts w:hint="eastAsia"/>
                <w:sz w:val="18"/>
              </w:rPr>
              <w:t xml:space="preserve">検定</w:t>
            </w:r>
          </w:p>
        </w:tc>
        <w:tc>
          <w:tcPr/>
          <w:p>
            <w:pPr>
              <w:pStyle w:val="Compact"/>
            </w:pPr>
            <w:r>
              <w:rPr>
                <w:rFonts w:hint="eastAsia"/>
                <w:sz w:val="18"/>
              </w:rPr>
              <w:t xml:space="preserve">優越予測力の検定（Hansen,</w:t>
            </w:r>
            <w:r>
              <w:rPr>
                <w:sz w:val="18"/>
              </w:rPr>
              <w:t xml:space="preserve"> </w:t>
            </w:r>
            <w:r>
              <w:rPr>
                <w:rFonts w:hint="eastAsia"/>
                <w:sz w:val="18"/>
              </w:rPr>
              <w:t xml:space="preserve">2005）</w:t>
            </w:r>
          </w:p>
        </w:tc>
        <w:tc>
          <w:tcPr/>
          <w:p>
            <w:pPr>
              <w:pStyle w:val="Compact"/>
            </w:pPr>
            <w:r>
              <w:rPr>
                <w:sz w:val="18"/>
              </w:rPr>
              <w:t xml:space="preserve">superior predictive ability test</w:t>
            </w:r>
          </w:p>
        </w:tc>
      </w:tr>
      <w:tr>
        <w:tc>
          <w:tcPr/>
          <w:p>
            <w:pPr>
              <w:pStyle w:val="Compact"/>
            </w:pPr>
            <w:r>
              <w:rPr>
                <w:sz w:val="18"/>
              </w:rPr>
              <w:t xml:space="preserve">TB4h</w:t>
            </w:r>
          </w:p>
        </w:tc>
        <w:tc>
          <w:tcPr/>
          <w:p>
            <w:pPr>
              <w:pStyle w:val="Compact"/>
            </w:pPr>
            <w:r>
              <w:rPr>
                <w:rFonts w:hint="eastAsia"/>
                <w:sz w:val="18"/>
              </w:rPr>
              <w:t xml:space="preserve">日内で価格の高い4時間の平均と低い4時間の平均の差（円/kWh）</w:t>
            </w:r>
          </w:p>
        </w:tc>
        <w:tc>
          <w:tcPr/>
          <w:p>
            <w:pPr>
              <w:pStyle w:val="Compact"/>
            </w:pPr>
            <w:r>
              <w:rPr>
                <w:sz w:val="18"/>
              </w:rPr>
              <w:t xml:space="preserve">top–bottom 4-hour spread</w:t>
            </w:r>
          </w:p>
        </w:tc>
      </w:tr>
      <w:tr>
        <w:tc>
          <w:tcPr/>
          <w:p>
            <w:pPr>
              <w:pStyle w:val="Compact"/>
            </w:pPr>
            <w:r>
              <w:rPr>
                <w:sz w:val="18"/>
              </w:rPr>
              <w:t xml:space="preserve">WACC</w:t>
            </w:r>
          </w:p>
        </w:tc>
        <w:tc>
          <w:tcPr/>
          <w:p>
            <w:pPr>
              <w:pStyle w:val="Compact"/>
            </w:pPr>
            <w:r>
              <w:rPr>
                <w:rFonts w:hint="eastAsia"/>
                <w:sz w:val="18"/>
              </w:rPr>
              <w:t xml:space="preserve">加重平均資本コスト</w:t>
            </w:r>
          </w:p>
        </w:tc>
        <w:tc>
          <w:tcPr/>
          <w:p>
            <w:pPr>
              <w:pStyle w:val="Compact"/>
            </w:pPr>
            <w:r>
              <w:rPr>
                <w:sz w:val="18"/>
              </w:rPr>
              <w:t xml:space="preserve">weighted average cost of capital</w:t>
            </w:r>
          </w:p>
        </w:tc>
      </w:tr>
      <w:tr>
        <w:tc>
          <w:tcPr/>
          <w:p>
            <w:pPr>
              <w:pStyle w:val="Compact"/>
            </w:pPr>
            <w:r>
              <w:rPr>
                <w:sz w:val="18"/>
              </w:rPr>
              <w:t xml:space="preserve">cf</w:t>
            </w:r>
          </w:p>
        </w:tc>
        <w:tc>
          <w:tcPr/>
          <w:p>
            <w:pPr>
              <w:pStyle w:val="Compact"/>
            </w:pPr>
            <w:r>
              <w:rPr>
                <w:rFonts w:hint="eastAsia"/>
                <w:sz w:val="18"/>
              </w:rPr>
              <w:t xml:space="preserve">設備利用率（制御前出力÷導入量）</w:t>
            </w:r>
          </w:p>
        </w:tc>
        <w:tc>
          <w:tcPr/>
          <w:p>
            <w:pPr>
              <w:pStyle w:val="Compact"/>
            </w:pPr>
            <w:r>
              <w:rPr>
                <w:sz w:val="18"/>
              </w:rPr>
              <w:t xml:space="preserve">capacity factor</w:t>
            </w:r>
          </w:p>
        </w:tc>
      </w:tr>
      <w:tr>
        <w:tc>
          <w:tcPr/>
          <w:p>
            <w:pPr>
              <w:pStyle w:val="Compact"/>
            </w:pPr>
            <w:r>
              <w:rPr>
                <w:sz w:val="18"/>
              </w:rPr>
              <w:t xml:space="preserve">ΔkW</w:t>
            </w:r>
          </w:p>
        </w:tc>
        <w:tc>
          <w:tcPr/>
          <w:p>
            <w:pPr>
              <w:pStyle w:val="Compact"/>
            </w:pPr>
            <w:r>
              <w:rPr>
                <w:rFonts w:hint="eastAsia"/>
                <w:sz w:val="18"/>
              </w:rPr>
              <w:t xml:space="preserve">需給調整市場で取引する調整力の容量</w:t>
            </w:r>
          </w:p>
        </w:tc>
        <w:tc>
          <w:tcPr/>
          <w:p>
            <w:pPr>
              <w:pStyle w:val="Compact"/>
            </w:pPr>
            <w:r>
              <w:rPr>
                <w:sz w:val="18"/>
              </w:rPr>
              <w:t xml:space="preserve">—</w:t>
            </w:r>
          </w:p>
        </w:tc>
      </w:tr>
      <w:tr>
        <w:tc>
          <w:tcPr/>
          <w:p>
            <w:pPr>
              <w:pStyle w:val="Compact"/>
            </w:pPr>
            <w:r>
              <w:rPr>
                <w:rFonts w:hint="eastAsia"/>
                <w:sz w:val="18"/>
              </w:rPr>
              <w:t xml:space="preserve">再エネ</w:t>
            </w:r>
          </w:p>
        </w:tc>
        <w:tc>
          <w:tcPr/>
          <w:p>
            <w:pPr>
              <w:pStyle w:val="Compact"/>
            </w:pPr>
            <w:r>
              <w:rPr>
                <w:rFonts w:hint="eastAsia"/>
                <w:sz w:val="18"/>
              </w:rPr>
              <w:t xml:space="preserve">再生可能エネルギー。本論文では主に変動性の再生可能エネルギー（太陽光と風力）を指す</w:t>
            </w:r>
          </w:p>
        </w:tc>
        <w:tc>
          <w:tcPr/>
          <w:p>
            <w:pPr>
              <w:pStyle w:val="Compact"/>
            </w:pPr>
            <w:r>
              <w:rPr>
                <w:sz w:val="18"/>
              </w:rPr>
              <w:t xml:space="preserve">variable renewable energy</w:t>
            </w:r>
          </w:p>
        </w:tc>
      </w:tr>
    </w:tbl>
    <w:p>
      <w:pPr>
        <w:pStyle w:val="FrontHeading"/>
        <w:pageBreakBefore/>
      </w:pPr>
      <w:r>
        <w:rPr>
          <w:rFonts w:hint="eastAsia"/>
        </w:rPr>
        <w:t xml:space="preserve">記号一覧</w:t>
      </w:r>
    </w:p>
    <w:p>
      <w:pPr>
        <w:pStyle w:val="BodyText"/>
      </w:pPr>
      <w:r>
        <w:rPr>
          <w:rFonts w:hint="eastAsia"/>
        </w:rPr>
        <w:t xml:space="preserve">本文で用いる主な記号を、分野ごとに示す。スカラーはイタリック、複数の文字からなる変数名と添字は立体で表す。金額の単位は、断りのない限り出力1kWあたりの年額（円/kW-年）である。付録だけで用いる記号は、各付録の中で定義する。</w:t>
      </w:r>
    </w:p>
    <w:p>
      <w:pPr>
        <w:pStyle w:val="BodyText"/>
      </w:pPr>
      <w:r>
        <w:rPr>
          <w:rFonts w:hint="eastAsia"/>
          <w:b/>
          <w:bCs/>
        </w:rPr>
        <w:t xml:space="preserve">価格と蓄電池の粗利</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sSub>
                <m:e>
                  <m:r>
                    <m:t>p</m:t>
                  </m:r>
                </m:e>
                <m:sub>
                  <m:r>
                    <m:t>t</m:t>
                  </m:r>
                  <m:r>
                    <m:rPr>
                      <m:sty m:val="p"/>
                    </m:rPr>
                    <m:t>,</m:t>
                  </m:r>
                  <m:r>
                    <m:t>h</m:t>
                  </m:r>
                </m:sub>
              </m:sSub>
            </m:oMath>
          </w:p>
        </w:tc>
        <w:tc>
          <w:tcPr/>
          <w:p>
            <w:pPr>
              <w:pStyle w:val="Compact"/>
            </w:pPr>
            <w:r>
              <w:rPr>
                <w:rFonts w:hint="eastAsia"/>
                <w:sz w:val="18"/>
              </w:rPr>
              <w:t xml:space="preserve">日</w:t>
            </w:r>
            <w:r>
              <w:rPr>
                <w:sz w:val="18"/>
              </w:rPr>
              <w:t xml:space="preserve"> </w:t>
            </w:r>
            <m:oMath>
              <m:r>
                <m:t>t</m:t>
              </m:r>
            </m:oMath>
            <w:r>
              <w:rPr>
                <w:rFonts w:hint="eastAsia"/>
                <w:sz w:val="18"/>
              </w:rPr>
              <w:t xml:space="preserve">・時刻</w:t>
            </w:r>
            <w:r>
              <w:rPr>
                <w:sz w:val="18"/>
              </w:rPr>
              <w:t xml:space="preserve"> </w:t>
            </w:r>
            <m:oMath>
              <m:r>
                <m:t>h</m:t>
              </m:r>
            </m:oMath>
            <w:r>
              <w:rPr>
                <w:sz w:val="18"/>
              </w:rPr>
              <w:t xml:space="preserve"> </w:t>
            </w:r>
            <w:r>
              <w:rPr>
                <w:sz w:val="18"/>
              </w:rPr>
              <w:t xml:space="preserve">のエリアプライス</w:t>
            </w:r>
          </w:p>
        </w:tc>
        <w:tc>
          <w:tcPr/>
          <w:p>
            <w:pPr>
              <w:pStyle w:val="Compact"/>
            </w:pPr>
            <w:r>
              <w:rPr>
                <w:rFonts w:hint="eastAsia"/>
                <w:sz w:val="18"/>
              </w:rPr>
              <w:t xml:space="preserve">円/kWh</w:t>
            </w:r>
          </w:p>
        </w:tc>
        <w:tc>
          <w:tcPr/>
          <w:p>
            <w:pPr>
              <w:pStyle w:val="Compact"/>
            </w:pPr>
            <w:r>
              <w:rPr>
                <w:rFonts w:hint="eastAsia"/>
                <w:sz w:val="18"/>
              </w:rPr>
              <w:t xml:space="preserve">式(4.1)</w:t>
            </w:r>
          </w:p>
        </w:tc>
      </w:tr>
      <w:tr>
        <w:tc>
          <w:tcPr/>
          <w:p>
            <w:pPr>
              <w:pStyle w:val="Compact"/>
            </w:pPr>
            <m:oMath>
              <m:sSub>
                <m:e>
                  <m:r>
                    <m:t>p</m:t>
                  </m:r>
                </m:e>
                <m:sub>
                  <m:r>
                    <m:t>t</m:t>
                  </m:r>
                </m:sub>
              </m:sSub>
            </m:oMath>
          </w:p>
        </w:tc>
        <w:tc>
          <w:tcPr/>
          <w:p>
            <w:pPr>
              <w:pStyle w:val="Compact"/>
            </w:pPr>
            <w:r>
              <w:rPr>
                <w:rFonts w:hint="eastAsia"/>
                <w:sz w:val="18"/>
              </w:rPr>
              <w:t xml:space="preserve">時間</w:t>
            </w:r>
            <w:r>
              <w:rPr>
                <w:sz w:val="18"/>
              </w:rPr>
              <w:t xml:space="preserve"> </w:t>
            </w:r>
            <m:oMath>
              <m:r>
                <m:t>t</m:t>
              </m:r>
            </m:oMath>
            <w:r>
              <w:rPr>
                <w:sz w:val="18"/>
              </w:rPr>
              <w:t xml:space="preserve"> </w:t>
            </w:r>
            <w:r>
              <w:rPr>
                <w:rFonts w:hint="eastAsia"/>
                <w:sz w:val="18"/>
              </w:rPr>
              <w:t xml:space="preserve">のエリアプライス（モデル価格を含む）</w:t>
            </w:r>
          </w:p>
        </w:tc>
        <w:tc>
          <w:tcPr/>
          <w:p>
            <w:pPr>
              <w:pStyle w:val="Compact"/>
            </w:pPr>
            <w:r>
              <w:rPr>
                <w:rFonts w:hint="eastAsia"/>
                <w:sz w:val="18"/>
              </w:rPr>
              <w:t xml:space="preserve">円/kWh</w:t>
            </w:r>
          </w:p>
        </w:tc>
        <w:tc>
          <w:tcPr/>
          <w:p>
            <w:pPr>
              <w:pStyle w:val="Compact"/>
            </w:pPr>
            <w:r>
              <w:rPr>
                <w:rFonts w:hint="eastAsia"/>
                <w:sz w:val="18"/>
              </w:rPr>
              <w:t xml:space="preserve">式(4.3)</w:t>
            </w:r>
          </w:p>
        </w:tc>
      </w:tr>
      <w:tr>
        <w:tc>
          <w:tcPr/>
          <w:p>
            <w:pPr>
              <w:pStyle w:val="Compact"/>
            </w:pPr>
            <m:oMath>
              <m:sSub>
                <m:e>
                  <m:acc>
                    <m:accPr>
                      <m:chr m:val="̃"/>
                    </m:accPr>
                    <m:e>
                      <m:r>
                        <m:t>p</m:t>
                      </m:r>
                    </m:e>
                  </m:acc>
                </m:e>
                <m:sub>
                  <m:r>
                    <m:t>t</m:t>
                  </m:r>
                </m:sub>
              </m:sSub>
            </m:oMath>
          </w:p>
        </w:tc>
        <w:tc>
          <w:tcPr/>
          <w:p>
            <w:pPr>
              <w:pStyle w:val="Compact"/>
            </w:pPr>
            <w:r>
              <w:rPr>
                <w:rFonts w:hint="eastAsia"/>
                <w:sz w:val="18"/>
              </w:rPr>
              <w:t xml:space="preserve">潜在価格（下限価格で打ち切る前の価格）</w:t>
            </w:r>
          </w:p>
        </w:tc>
        <w:tc>
          <w:tcPr/>
          <w:p>
            <w:pPr>
              <w:pStyle w:val="Compact"/>
            </w:pPr>
            <w:r>
              <w:rPr>
                <w:rFonts w:hint="eastAsia"/>
                <w:sz w:val="18"/>
              </w:rPr>
              <w:t xml:space="preserve">円/kWh</w:t>
            </w:r>
          </w:p>
        </w:tc>
        <w:tc>
          <w:tcPr/>
          <w:p>
            <w:pPr>
              <w:pStyle w:val="Compact"/>
            </w:pPr>
            <w:r>
              <w:rPr>
                <w:rFonts w:hint="eastAsia"/>
                <w:sz w:val="18"/>
              </w:rPr>
              <w:t xml:space="preserve">7.1.2項、式(9.3)</w:t>
            </w:r>
          </w:p>
        </w:tc>
      </w:tr>
      <w:tr>
        <w:tc>
          <w:tcPr/>
          <w:p>
            <w:pPr>
              <w:pStyle w:val="Compact"/>
            </w:pPr>
            <m:oMath>
              <m:r>
                <m:t>η</m:t>
              </m:r>
            </m:oMath>
          </w:p>
        </w:tc>
        <w:tc>
          <w:tcPr/>
          <w:p>
            <w:pPr>
              <w:pStyle w:val="Compact"/>
            </w:pPr>
            <w:r>
              <w:rPr>
                <w:rFonts w:hint="eastAsia"/>
                <w:sz w:val="18"/>
              </w:rPr>
              <w:t xml:space="preserve">往復効率（放電側にまとめて適用）。</w:t>
            </w:r>
            <m:oMath>
              <m:r>
                <m:t>1</m:t>
              </m:r>
              <m:r>
                <m:rPr>
                  <m:sty m:val="p"/>
                </m:rPr>
                <m:t>/</m:t>
              </m:r>
              <m:r>
                <m:t>η</m:t>
              </m:r>
              <m:r>
                <m:rPr>
                  <m:sty m:val="p"/>
                </m:rPr>
                <m:t>≈</m:t>
              </m:r>
              <m:r>
                <m:t>1.18</m:t>
              </m:r>
            </m:oMath>
            <w:r>
              <w:rPr>
                <w:sz w:val="18"/>
              </w:rPr>
              <w:t xml:space="preserve"> </w:t>
            </w:r>
            <w:r>
              <w:rPr>
                <w:sz w:val="18"/>
              </w:rPr>
              <w:t xml:space="preserve">はヒートレートにあたる</w:t>
            </w:r>
          </w:p>
        </w:tc>
        <w:tc>
          <w:tcPr/>
          <w:p>
            <w:pPr>
              <w:pStyle w:val="Compact"/>
            </w:pPr>
            <w:r>
              <w:rPr>
                <w:sz w:val="18"/>
              </w:rPr>
              <w:t xml:space="preserve">0.85</w:t>
            </w:r>
          </w:p>
        </w:tc>
        <w:tc>
          <w:tcPr/>
          <w:p>
            <w:pPr>
              <w:pStyle w:val="Compact"/>
            </w:pPr>
            <w:r>
              <w:rPr>
                <w:rFonts w:hint="eastAsia"/>
                <w:sz w:val="18"/>
              </w:rPr>
              <w:t xml:space="preserve">式(4.1)</w:t>
            </w:r>
          </w:p>
        </w:tc>
      </w:tr>
      <w:tr>
        <w:tc>
          <w:tcPr/>
          <w:p>
            <w:pPr>
              <w:pStyle w:val="Compact"/>
            </w:pPr>
            <m:oMath>
              <m:r>
                <m:t>D</m:t>
              </m:r>
            </m:oMath>
            <w:r>
              <w:rPr>
                <w:sz w:val="18"/>
              </w:rPr>
              <w:t xml:space="preserve">,</w:t>
            </w:r>
            <w:r>
              <w:rPr>
                <w:sz w:val="18"/>
              </w:rPr>
              <w:t xml:space="preserve"> </w:t>
            </w:r>
            <m:oMath>
              <m:r>
                <m:t>C</m:t>
              </m:r>
            </m:oMath>
          </w:p>
        </w:tc>
        <w:tc>
          <w:tcPr/>
          <w:p>
            <w:pPr>
              <w:pStyle w:val="Compact"/>
            </w:pPr>
            <w:r>
              <w:rPr>
                <w:rFonts w:hint="eastAsia"/>
                <w:sz w:val="18"/>
              </w:rPr>
              <w:t xml:space="preserve">放電する4時間・充電する4時間の集合</w:t>
            </w:r>
          </w:p>
        </w:tc>
        <w:tc>
          <w:tcPr/>
          <w:p>
            <w:pPr>
              <w:pStyle w:val="Compact"/>
            </w:pPr>
            <w:r>
              <w:rPr>
                <w:sz w:val="18"/>
              </w:rPr>
              <w:t xml:space="preserve">—</w:t>
            </w:r>
          </w:p>
        </w:tc>
        <w:tc>
          <w:tcPr/>
          <w:p>
            <w:pPr>
              <w:pStyle w:val="Compact"/>
            </w:pPr>
            <w:r>
              <w:rPr>
                <w:rFonts w:hint="eastAsia"/>
                <w:sz w:val="18"/>
              </w:rPr>
              <w:t xml:space="preserve">式(4.1)</w:t>
            </w:r>
          </w:p>
        </w:tc>
      </w:tr>
      <w:tr>
        <w:tc>
          <w:tcPr/>
          <w:p>
            <w:pPr>
              <w:pStyle w:val="Compact"/>
            </w:pPr>
            <m:oMath>
              <m:r>
                <m:rPr>
                  <m:sty m:val="p"/>
                </m:rPr>
                <m:t>(</m:t>
              </m:r>
              <m:sSub>
                <m:e>
                  <m:r>
                    <m:t>D</m:t>
                  </m:r>
                </m:e>
                <m:sub>
                  <m:r>
                    <m:t>c</m:t>
                  </m:r>
                </m:sub>
              </m:sSub>
              <m:r>
                <m:rPr>
                  <m:sty m:val="p"/>
                </m:rPr>
                <m:t>,</m:t>
              </m:r>
              <m:sSub>
                <m:e>
                  <m:r>
                    <m:t>C</m:t>
                  </m:r>
                </m:e>
                <m:sub>
                  <m:r>
                    <m:t>c</m:t>
                  </m:r>
                </m:sub>
              </m:sSub>
              <m:r>
                <m:rPr>
                  <m:sty m:val="p"/>
                </m:rPr>
                <m:t>)</m:t>
              </m:r>
            </m:oMath>
          </w:p>
        </w:tc>
        <w:tc>
          <w:tcPr/>
          <w:p>
            <w:pPr>
              <w:pStyle w:val="Compact"/>
            </w:pPr>
            <w:r>
              <w:rPr>
                <w:rFonts w:hint="eastAsia"/>
                <w:sz w:val="18"/>
              </w:rPr>
              <w:t xml:space="preserve">戦略</w:t>
            </w:r>
            <w:r>
              <w:rPr>
                <w:sz w:val="18"/>
              </w:rPr>
              <w:t xml:space="preserve"> c </w:t>
            </w:r>
            <w:r>
              <w:rPr>
                <w:rFonts w:hint="eastAsia"/>
                <w:sz w:val="18"/>
              </w:rPr>
              <w:t xml:space="preserve">が前日に固定する放電・充電の窓</w:t>
            </w:r>
          </w:p>
        </w:tc>
        <w:tc>
          <w:tcPr/>
          <w:p>
            <w:pPr>
              <w:pStyle w:val="Compact"/>
            </w:pPr>
            <w:r>
              <w:rPr>
                <w:sz w:val="18"/>
              </w:rPr>
              <w:t xml:space="preserve">—</w:t>
            </w:r>
          </w:p>
        </w:tc>
        <w:tc>
          <w:tcPr/>
          <w:p>
            <w:pPr>
              <w:pStyle w:val="Compact"/>
            </w:pPr>
            <w:r>
              <w:rPr>
                <w:rFonts w:hint="eastAsia"/>
                <w:sz w:val="18"/>
              </w:rPr>
              <w:t xml:space="preserve">式(6.2)</w:t>
            </w:r>
          </w:p>
        </w:tc>
      </w:tr>
      <w:tr>
        <w:tc>
          <w:tcPr/>
          <w:p>
            <w:pPr>
              <w:pStyle w:val="Compact"/>
            </w:pPr>
            <m:oMath>
              <m:sSub>
                <m:e>
                  <m:r>
                    <m:t>X</m:t>
                  </m:r>
                </m:e>
                <m:sub>
                  <m:r>
                    <m:t>t</m:t>
                  </m:r>
                </m:sub>
              </m:sSub>
              <m:r>
                <m:rPr>
                  <m:sty m:val="p"/>
                </m:rPr>
                <m:t>(</m:t>
              </m:r>
              <m:r>
                <m:t>D</m:t>
              </m:r>
              <m:r>
                <m:rPr>
                  <m:sty m:val="p"/>
                </m:rPr>
                <m:t>,</m:t>
              </m:r>
              <m:r>
                <m:t>C</m:t>
              </m:r>
              <m:r>
                <m:rPr>
                  <m:sty m:val="p"/>
                </m:rPr>
                <m:t>)</m:t>
              </m:r>
            </m:oMath>
          </w:p>
        </w:tc>
        <w:tc>
          <w:tcPr/>
          <w:p>
            <w:pPr>
              <w:pStyle w:val="Compact"/>
            </w:pPr>
            <w:r>
              <w:rPr>
                <w:rFonts w:hint="eastAsia"/>
                <w:sz w:val="18"/>
              </w:rPr>
              <w:t xml:space="preserve">日</w:t>
            </w:r>
            <w:r>
              <w:rPr>
                <w:sz w:val="18"/>
              </w:rPr>
              <w:t xml:space="preserve"> </w:t>
            </w:r>
            <m:oMath>
              <m:r>
                <m:t>t</m:t>
              </m:r>
            </m:oMath>
            <w:r>
              <w:rPr>
                <w:sz w:val="18"/>
              </w:rPr>
              <w:t xml:space="preserve"> </w:t>
            </w:r>
            <w:r>
              <w:rPr>
                <w:rFonts w:hint="eastAsia"/>
                <w:sz w:val="18"/>
              </w:rPr>
              <w:t xml:space="preserve">の裁定の粗利</w:t>
            </w:r>
          </w:p>
        </w:tc>
        <w:tc>
          <w:tcPr/>
          <w:p>
            <w:pPr>
              <w:pStyle w:val="Compact"/>
            </w:pPr>
            <w:r>
              <w:rPr>
                <w:rFonts w:hint="eastAsia"/>
                <w:sz w:val="18"/>
              </w:rPr>
              <w:t xml:space="preserve">円/kW-日</w:t>
            </w:r>
          </w:p>
        </w:tc>
        <w:tc>
          <w:tcPr/>
          <w:p>
            <w:pPr>
              <w:pStyle w:val="Compact"/>
            </w:pPr>
            <w:r>
              <w:rPr>
                <w:rFonts w:hint="eastAsia"/>
                <w:sz w:val="18"/>
              </w:rPr>
              <w:t xml:space="preserve">式(4.1)</w:t>
            </w:r>
          </w:p>
        </w:tc>
      </w:tr>
      <w:tr>
        <w:tc>
          <w:tcPr/>
          <w:p>
            <w:pPr>
              <w:pStyle w:val="Compact"/>
            </w:pPr>
            <m:oMath>
              <m:sSub>
                <m:e>
                  <m:r>
                    <m:t>π</m:t>
                  </m:r>
                </m:e>
                <m:sub>
                  <m:r>
                    <m:rPr>
                      <m:sty m:val="p"/>
                    </m:rPr>
                    <m:t>P</m:t>
                  </m:r>
                  <m:r>
                    <m:rPr>
                      <m:sty m:val="p"/>
                    </m:rPr>
                    <m:t>F</m:t>
                  </m:r>
                </m:sub>
              </m:sSub>
            </m:oMath>
          </w:p>
        </w:tc>
        <w:tc>
          <w:tcPr/>
          <w:p>
            <w:pPr>
              <w:pStyle w:val="Compact"/>
            </w:pPr>
            <w:r>
              <w:rPr>
                <w:rFonts w:hint="eastAsia"/>
                <w:sz w:val="18"/>
              </w:rPr>
              <w:t xml:space="preserve">完全予見粗利（添字</w:t>
            </w:r>
            <w:r>
              <w:rPr>
                <w:sz w:val="18"/>
              </w:rPr>
              <w:t xml:space="preserve"> PF は perfect foresight </w:t>
            </w:r>
            <w:r>
              <w:rPr>
                <w:rFonts w:hint="eastAsia"/>
                <w:sz w:val="18"/>
              </w:rPr>
              <w:t xml:space="preserve">の略で、記号の中だけで用いる）</w:t>
            </w:r>
          </w:p>
        </w:tc>
        <w:tc>
          <w:tcPr/>
          <w:p>
            <w:pPr>
              <w:pStyle w:val="Compact"/>
            </w:pPr>
            <w:r>
              <w:rPr>
                <w:rFonts w:hint="eastAsia"/>
                <w:sz w:val="18"/>
              </w:rPr>
              <w:t xml:space="preserve">円/kW-年</w:t>
            </w:r>
          </w:p>
        </w:tc>
        <w:tc>
          <w:tcPr/>
          <w:p>
            <w:pPr>
              <w:pStyle w:val="Compact"/>
            </w:pPr>
            <w:r>
              <w:rPr>
                <w:rFonts w:hint="eastAsia"/>
                <w:sz w:val="18"/>
              </w:rPr>
              <w:t xml:space="preserve">式(4.2)</w:t>
            </w:r>
          </w:p>
        </w:tc>
      </w:tr>
      <w:tr>
        <w:tc>
          <w:tcPr/>
          <w:p>
            <w:pPr>
              <w:pStyle w:val="Compact"/>
            </w:pPr>
            <m:oMath>
              <m:sSub>
                <m:e>
                  <m:r>
                    <m:t>π</m:t>
                  </m:r>
                </m:e>
                <m:sub>
                  <m:r>
                    <m:rPr>
                      <m:sty m:val="p"/>
                    </m:rPr>
                    <m:t>P</m:t>
                  </m:r>
                  <m:r>
                    <m:rPr>
                      <m:sty m:val="p"/>
                    </m:rPr>
                    <m:t>F</m:t>
                  </m:r>
                </m:sub>
              </m:sSub>
              <m:r>
                <m:rPr>
                  <m:sty m:val="p"/>
                </m:rPr>
                <m:t>(</m:t>
              </m:r>
              <m:r>
                <m:t>K</m:t>
              </m:r>
              <m:r>
                <m:rPr>
                  <m:sty m:val="p"/>
                </m:rPr>
                <m:t>)</m:t>
              </m:r>
            </m:oMath>
          </w:p>
        </w:tc>
        <w:tc>
          <w:tcPr/>
          <w:p>
            <w:pPr>
              <w:pStyle w:val="Compact"/>
            </w:pPr>
            <w:r>
              <w:rPr>
                <w:rFonts w:hint="eastAsia"/>
                <w:sz w:val="18"/>
              </w:rPr>
              <w:t xml:space="preserve">フリート容量</w:t>
            </w:r>
            <w:r>
              <w:rPr>
                <w:sz w:val="18"/>
              </w:rPr>
              <w:t xml:space="preserve"> </w:t>
            </w:r>
            <m:oMath>
              <m:r>
                <m:t>K</m:t>
              </m:r>
            </m:oMath>
            <w:r>
              <w:rPr>
                <w:sz w:val="18"/>
              </w:rPr>
              <w:t xml:space="preserve"> </w:t>
            </w:r>
            <w:r>
              <w:rPr>
                <w:rFonts w:hint="eastAsia"/>
                <w:sz w:val="18"/>
              </w:rPr>
              <w:t xml:space="preserve">の投入後のモデル価格の上での完全予見粗利</w:t>
            </w:r>
          </w:p>
        </w:tc>
        <w:tc>
          <w:tcPr/>
          <w:p>
            <w:pPr>
              <w:pStyle w:val="Compact"/>
            </w:pPr>
            <w:r>
              <w:rPr>
                <w:rFonts w:hint="eastAsia"/>
                <w:sz w:val="18"/>
              </w:rPr>
              <w:t xml:space="preserve">円/kW-年</w:t>
            </w:r>
          </w:p>
        </w:tc>
        <w:tc>
          <w:tcPr/>
          <w:p>
            <w:pPr>
              <w:pStyle w:val="Compact"/>
            </w:pPr>
            <w:r>
              <w:rPr>
                <w:rFonts w:hint="eastAsia"/>
                <w:sz w:val="18"/>
              </w:rPr>
              <w:t xml:space="preserve">4.2.1項</w:t>
            </w:r>
          </w:p>
        </w:tc>
      </w:tr>
      <w:tr>
        <w:tc>
          <w:tcPr/>
          <w:p>
            <w:pPr>
              <w:pStyle w:val="Compact"/>
            </w:pPr>
            <m:oMath>
              <m:r>
                <m:t>T</m:t>
              </m:r>
            </m:oMath>
            <w:r>
              <w:rPr>
                <w:sz w:val="18"/>
              </w:rPr>
              <w:t xml:space="preserve">,</w:t>
            </w:r>
            <w:r>
              <w:rPr>
                <w:sz w:val="18"/>
              </w:rPr>
              <w:t xml:space="preserve"> </w:t>
            </w:r>
            <m:oMath>
              <m:r>
                <m:t>B</m:t>
              </m:r>
            </m:oMath>
            <w:r>
              <w:rPr>
                <w:sz w:val="18"/>
              </w:rPr>
              <w:t xml:space="preserve">,</w:t>
            </w:r>
            <w:r>
              <w:rPr>
                <w:sz w:val="18"/>
              </w:rPr>
              <w:t xml:space="preserve"> </w:t>
            </w:r>
            <m:oMath>
              <m:r>
                <m:t>m</m:t>
              </m:r>
            </m:oMath>
          </w:p>
        </w:tc>
        <w:tc>
          <w:tcPr/>
          <w:p>
            <w:pPr>
              <w:pStyle w:val="Compact"/>
            </w:pPr>
            <w:r>
              <w:rPr>
                <w:rFonts w:hint="eastAsia"/>
                <w:sz w:val="18"/>
              </w:rPr>
              <w:t xml:space="preserve">日内の上位4時間の平均価格、下位4時間の平均価格、日平均価格</w:t>
            </w:r>
          </w:p>
        </w:tc>
        <w:tc>
          <w:tcPr/>
          <w:p>
            <w:pPr>
              <w:pStyle w:val="Compact"/>
            </w:pPr>
            <w:r>
              <w:rPr>
                <w:rFonts w:hint="eastAsia"/>
                <w:sz w:val="18"/>
              </w:rPr>
              <w:t xml:space="preserve">円/kWh</w:t>
            </w:r>
          </w:p>
        </w:tc>
        <w:tc>
          <w:tcPr/>
          <w:p>
            <w:pPr>
              <w:pStyle w:val="Compact"/>
            </w:pPr>
            <w:r>
              <w:rPr>
                <w:rFonts w:hint="eastAsia"/>
                <w:sz w:val="18"/>
              </w:rPr>
              <w:t xml:space="preserve">式(6.1)</w:t>
            </w:r>
          </w:p>
        </w:tc>
      </w:tr>
      <w:tr>
        <w:tc>
          <w:tcPr/>
          <w:p>
            <w:pPr>
              <w:pStyle w:val="Compact"/>
            </w:pPr>
            <m:oMath>
              <m:sSub>
                <m:e>
                  <m:r>
                    <m:t>u</m:t>
                  </m:r>
                </m:e>
                <m:sub>
                  <m:r>
                    <m:t>d</m:t>
                  </m:r>
                </m:sub>
              </m:sSub>
            </m:oMath>
          </w:p>
        </w:tc>
        <w:tc>
          <w:tcPr/>
          <w:p>
            <w:pPr>
              <w:pStyle w:val="Compact"/>
            </w:pPr>
            <w:r>
              <w:rPr>
                <w:rFonts w:hint="eastAsia"/>
                <w:sz w:val="18"/>
              </w:rPr>
              <w:t xml:space="preserve">日</w:t>
            </w:r>
            <w:r>
              <w:rPr>
                <w:sz w:val="18"/>
              </w:rPr>
              <w:t xml:space="preserve"> </w:t>
            </w:r>
            <m:oMath>
              <m:r>
                <m:t>d</m:t>
              </m:r>
            </m:oMath>
            <w:r>
              <w:rPr>
                <w:sz w:val="18"/>
              </w:rPr>
              <w:t xml:space="preserve"> </w:t>
            </w:r>
            <w:r>
              <w:rPr>
                <w:rFonts w:hint="eastAsia"/>
                <w:sz w:val="18"/>
              </w:rPr>
              <w:t xml:space="preserve">に全時刻へ同じ額を加える価格の変化</w:t>
            </w:r>
          </w:p>
        </w:tc>
        <w:tc>
          <w:tcPr/>
          <w:p>
            <w:pPr>
              <w:pStyle w:val="Compact"/>
            </w:pPr>
            <w:r>
              <w:rPr>
                <w:rFonts w:hint="eastAsia"/>
                <w:sz w:val="18"/>
              </w:rPr>
              <w:t xml:space="preserve">円/kWh</w:t>
            </w:r>
          </w:p>
        </w:tc>
        <w:tc>
          <w:tcPr/>
          <w:p>
            <w:pPr>
              <w:pStyle w:val="Compact"/>
            </w:pPr>
            <w:r>
              <w:rPr>
                <w:rFonts w:hint="eastAsia"/>
                <w:sz w:val="18"/>
              </w:rPr>
              <w:t xml:space="preserve">6.4.2項の脚注</w:t>
            </w:r>
          </w:p>
        </w:tc>
      </w:tr>
      <w:tr>
        <w:tc>
          <w:tcPr/>
          <w:p>
            <w:pPr>
              <w:pStyle w:val="Compact"/>
            </w:pPr>
            <m:oMath>
              <m:r>
                <m:rPr>
                  <m:sty m:val="p"/>
                </m:rPr>
                <m:t>Δ</m:t>
              </m:r>
              <m:r>
                <m:t>p</m:t>
              </m:r>
            </m:oMath>
          </w:p>
        </w:tc>
        <w:tc>
          <w:tcPr/>
          <w:p>
            <w:pPr>
              <w:pStyle w:val="Compact"/>
            </w:pPr>
            <w:r>
              <w:rPr>
                <w:rFonts w:hint="eastAsia"/>
                <w:sz w:val="18"/>
              </w:rPr>
              <w:t xml:space="preserve">実績価格の一様な引下げ幅</w:t>
            </w:r>
          </w:p>
        </w:tc>
        <w:tc>
          <w:tcPr/>
          <w:p>
            <w:pPr>
              <w:pStyle w:val="Compact"/>
            </w:pPr>
            <w:r>
              <w:rPr>
                <w:rFonts w:hint="eastAsia"/>
                <w:sz w:val="18"/>
              </w:rPr>
              <w:t xml:space="preserve">円/kWh</w:t>
            </w:r>
          </w:p>
        </w:tc>
        <w:tc>
          <w:tcPr/>
          <w:p>
            <w:pPr>
              <w:pStyle w:val="Compact"/>
            </w:pPr>
            <w:r>
              <w:rPr>
                <w:rFonts w:hint="eastAsia"/>
                <w:sz w:val="18"/>
              </w:rPr>
              <w:t xml:space="preserve">7.7節</w:t>
            </w:r>
          </w:p>
        </w:tc>
      </w:tr>
      <w:tr>
        <w:tc>
          <w:tcPr/>
          <w:p>
            <w:pPr>
              <w:pStyle w:val="Compact"/>
            </w:pPr>
            <m:oMath>
              <m:sSub>
                <m:e>
                  <m:r>
                    <m:t>T</m:t>
                  </m:r>
                </m:e>
                <m:sub>
                  <m:r>
                    <m:t>R</m:t>
                  </m:r>
                </m:sub>
              </m:sSub>
            </m:oMath>
            <w:r>
              <w:rPr>
                <w:sz w:val="18"/>
              </w:rPr>
              <w:t xml:space="preserve">,</w:t>
            </w:r>
            <w:r>
              <w:rPr>
                <w:sz w:val="18"/>
              </w:rPr>
              <w:t xml:space="preserve"> </w:t>
            </w:r>
            <m:oMath>
              <m:sSub>
                <m:e>
                  <m:r>
                    <m:t>T</m:t>
                  </m:r>
                </m:e>
                <m:sub>
                  <m:r>
                    <m:rPr>
                      <m:sty m:val="p"/>
                    </m:rPr>
                    <m:t>m</m:t>
                  </m:r>
                  <m:r>
                    <m:rPr>
                      <m:sty m:val="p"/>
                    </m:rPr>
                    <m:t>a</m:t>
                  </m:r>
                  <m:r>
                    <m:rPr>
                      <m:sty m:val="p"/>
                    </m:rPr>
                    <m:t>x</m:t>
                  </m:r>
                </m:sub>
              </m:sSub>
            </m:oMath>
          </w:p>
        </w:tc>
        <w:tc>
          <w:tcPr/>
          <w:p>
            <w:pPr>
              <w:pStyle w:val="Compact"/>
            </w:pPr>
            <w:r>
              <w:rPr>
                <w:rFonts w:hint="eastAsia"/>
                <w:sz w:val="18"/>
              </w:rPr>
              <w:t xml:space="preserve">モデル信頼集合（Hansen</w:t>
            </w:r>
            <w:r>
              <w:rPr>
                <w:sz w:val="18"/>
              </w:rPr>
              <w:t xml:space="preserve"> et al., </w:t>
            </w:r>
            <w:r>
              <w:rPr>
                <w:rFonts w:hint="eastAsia"/>
                <w:sz w:val="18"/>
              </w:rPr>
              <w:t xml:space="preserve">2011）の範囲統計量と最大統計量</w:t>
            </w:r>
          </w:p>
        </w:tc>
        <w:tc>
          <w:tcPr/>
          <w:p>
            <w:pPr>
              <w:pStyle w:val="Compact"/>
            </w:pPr>
            <w:r>
              <w:rPr>
                <w:sz w:val="18"/>
              </w:rPr>
              <w:t xml:space="preserve">—</w:t>
            </w:r>
          </w:p>
        </w:tc>
        <w:tc>
          <w:tcPr/>
          <w:p>
            <w:pPr>
              <w:pStyle w:val="Compact"/>
            </w:pPr>
            <w:r>
              <w:rPr>
                <w:rFonts w:hint="eastAsia"/>
                <w:sz w:val="18"/>
              </w:rPr>
              <w:t xml:space="preserve">6.7節</w:t>
            </w:r>
          </w:p>
        </w:tc>
      </w:tr>
      <w:tr>
        <w:tc>
          <w:tcPr/>
          <w:p>
            <w:pPr>
              <w:pStyle w:val="Compact"/>
            </w:pPr>
            <m:oMath>
              <m:r>
                <m:t>ϕ</m:t>
              </m:r>
            </m:oMath>
          </w:p>
        </w:tc>
        <w:tc>
          <w:tcPr/>
          <w:p>
            <w:pPr>
              <w:pStyle w:val="Compact"/>
            </w:pPr>
            <w:r>
              <w:rPr>
                <w:sz w:val="18"/>
              </w:rPr>
              <w:t xml:space="preserve">AR(1) </w:t>
            </w:r>
            <w:r>
              <w:rPr>
                <w:rFonts w:hint="eastAsia"/>
                <w:sz w:val="18"/>
              </w:rPr>
              <w:t xml:space="preserve">の持続性の係数。第6章では価格カーブの因子に、付録B</w:t>
            </w:r>
            <w:r>
              <w:rPr>
                <w:sz w:val="18"/>
              </w:rPr>
              <w:t xml:space="preserve"> </w:t>
            </w:r>
            <w:r>
              <w:rPr>
                <w:rFonts w:hint="eastAsia"/>
                <w:sz w:val="18"/>
              </w:rPr>
              <w:t xml:space="preserve">では価格水準の対数に当てる</w:t>
            </w:r>
          </w:p>
        </w:tc>
        <w:tc>
          <w:tcPr/>
          <w:p>
            <w:pPr>
              <w:pStyle w:val="Compact"/>
            </w:pPr>
            <w:r>
              <w:rPr>
                <w:sz w:val="18"/>
              </w:rPr>
              <w:t xml:space="preserve">—</w:t>
            </w:r>
          </w:p>
        </w:tc>
        <w:tc>
          <w:tcPr/>
          <w:p>
            <w:pPr>
              <w:pStyle w:val="Compact"/>
            </w:pPr>
            <w:r>
              <w:rPr>
                <w:rFonts w:hint="eastAsia"/>
                <w:sz w:val="18"/>
              </w:rPr>
              <w:t xml:space="preserve">6.7節</w:t>
            </w:r>
          </w:p>
        </w:tc>
      </w:tr>
      <w:tr>
        <w:tc>
          <w:tcPr/>
          <w:p>
            <w:pPr>
              <w:pStyle w:val="Compact"/>
            </w:pPr>
            <m:oMath>
              <m:r>
                <m:rPr>
                  <m:sty m:val="p"/>
                </m:rPr>
                <m:t>(</m:t>
              </m:r>
              <m:r>
                <m:t>x</m:t>
              </m:r>
              <m:sSup>
                <m:e>
                  <m:r>
                    <m:rPr>
                      <m:sty m:val="p"/>
                    </m:rPr>
                    <m:t>)</m:t>
                  </m:r>
                </m:e>
                <m:sup>
                  <m:r>
                    <m:rPr>
                      <m:sty m:val="p"/>
                    </m:rPr>
                    <m:t>+</m:t>
                  </m:r>
                </m:sup>
              </m:sSup>
            </m:oMath>
          </w:p>
        </w:tc>
        <w:tc>
          <w:tcPr/>
          <w:p>
            <w:pPr>
              <w:pStyle w:val="Compact"/>
            </w:pPr>
            <m:oMath>
              <m:r>
                <m:rPr>
                  <m:sty m:val="p"/>
                </m:rPr>
                <m:t>max</m:t>
              </m:r>
              <m:r>
                <m:rPr>
                  <m:sty m:val="p"/>
                </m:rPr>
                <m:t>{</m:t>
              </m:r>
              <m:r>
                <m:t>x</m:t>
              </m:r>
              <m:r>
                <m:rPr>
                  <m:sty m:val="p"/>
                </m:rPr>
                <m:t>,</m:t>
              </m:r>
              <m:r>
                <m:t>0</m:t>
              </m:r>
              <m:r>
                <m:rPr>
                  <m:sty m:val="p"/>
                </m:rPr>
                <m:t>}</m:t>
              </m:r>
            </m:oMath>
          </w:p>
        </w:tc>
        <w:tc>
          <w:tcPr/>
          <w:p>
            <w:pPr>
              <w:pStyle w:val="Compact"/>
            </w:pPr>
            <w:r>
              <w:rPr>
                <w:sz w:val="18"/>
              </w:rPr>
              <w:t xml:space="preserve">—</w:t>
            </w:r>
          </w:p>
        </w:tc>
        <w:tc>
          <w:tcPr/>
          <w:p>
            <w:pPr>
              <w:pStyle w:val="Compact"/>
            </w:pPr>
            <w:r>
              <w:rPr>
                <w:rFonts w:hint="eastAsia"/>
                <w:sz w:val="18"/>
              </w:rPr>
              <w:t xml:space="preserve">式(4.2)</w:t>
            </w:r>
          </w:p>
        </w:tc>
      </w:tr>
    </w:tbl>
    <w:p>
      <w:pPr>
        <w:pStyle w:val="BodyText"/>
      </w:pPr>
      <w:r>
        <w:rPr>
          <w:rFonts w:hint="eastAsia"/>
          <w:b/>
          <w:bCs/>
        </w:rPr>
        <w:t xml:space="preserve">価格の実証（第5章）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sSub>
                <m:e>
                  <m:r>
                    <m:t>y</m:t>
                  </m:r>
                </m:e>
                <m:sub>
                  <m:r>
                    <m:t>d</m:t>
                  </m:r>
                </m:sub>
              </m:sSub>
            </m:oMath>
          </w:p>
        </w:tc>
        <w:tc>
          <w:tcPr/>
          <w:p>
            <w:pPr>
              <w:pStyle w:val="Compact"/>
            </w:pPr>
            <w:r>
              <w:rPr>
                <w:rFonts w:hint="eastAsia"/>
                <w:sz w:val="18"/>
              </w:rPr>
              <w:t xml:space="preserve">日</w:t>
            </w:r>
            <w:r>
              <w:rPr>
                <w:sz w:val="18"/>
              </w:rPr>
              <w:t xml:space="preserve"> </w:t>
            </w:r>
            <m:oMath>
              <m:r>
                <m:t>d</m:t>
              </m:r>
            </m:oMath>
            <w:r>
              <w:rPr>
                <w:sz w:val="18"/>
              </w:rPr>
              <w:t xml:space="preserve"> </w:t>
            </w:r>
            <w:r>
              <w:rPr>
                <w:rFonts w:hint="eastAsia"/>
                <w:sz w:val="18"/>
              </w:rPr>
              <w:t xml:space="preserve">の被説明変数（日平均価格、TB4h、日内標準偏差）</w:t>
            </w:r>
          </w:p>
        </w:tc>
        <w:tc>
          <w:tcPr/>
          <w:p>
            <w:pPr>
              <w:pStyle w:val="Compact"/>
            </w:pPr>
            <w:r>
              <w:rPr>
                <w:rFonts w:hint="eastAsia"/>
                <w:sz w:val="18"/>
              </w:rPr>
              <w:t xml:space="preserve">円/kWh</w:t>
            </w:r>
          </w:p>
        </w:tc>
        <w:tc>
          <w:tcPr/>
          <w:p>
            <w:pPr>
              <w:pStyle w:val="Compact"/>
            </w:pPr>
            <w:r>
              <w:rPr>
                <w:rFonts w:hint="eastAsia"/>
                <w:sz w:val="18"/>
              </w:rPr>
              <w:t xml:space="preserve">式(5.2)</w:t>
            </w:r>
          </w:p>
        </w:tc>
      </w:tr>
      <w:tr>
        <w:tc>
          <w:tcPr/>
          <w:p>
            <w:pPr>
              <w:pStyle w:val="Compact"/>
            </w:pPr>
            <m:oMath>
              <m:sSub>
                <m:e>
                  <m:r>
                    <m:rPr>
                      <m:sty m:val="p"/>
                    </m:rPr>
                    <m:t>S</m:t>
                  </m:r>
                  <m:r>
                    <m:rPr>
                      <m:sty m:val="p"/>
                    </m:rPr>
                    <m:t>o</m:t>
                  </m:r>
                  <m:r>
                    <m:rPr>
                      <m:sty m:val="p"/>
                    </m:rPr>
                    <m:t>l</m:t>
                  </m:r>
                  <m:r>
                    <m:rPr>
                      <m:sty m:val="p"/>
                    </m:rPr>
                    <m:t>a</m:t>
                  </m:r>
                  <m:r>
                    <m:rPr>
                      <m:sty m:val="p"/>
                    </m:rPr>
                    <m:t>r</m:t>
                  </m:r>
                </m:e>
                <m:sub>
                  <m:r>
                    <m:t>d</m:t>
                  </m:r>
                </m:sub>
              </m:sSub>
            </m:oMath>
            <w:r>
              <w:rPr>
                <w:sz w:val="18"/>
              </w:rPr>
              <w:t xml:space="preserve">,</w:t>
            </w:r>
            <w:r>
              <w:rPr>
                <w:sz w:val="18"/>
              </w:rPr>
              <w:t xml:space="preserve"> </w:t>
            </w:r>
            <m:oMath>
              <m:sSub>
                <m:e>
                  <m:r>
                    <m:rPr>
                      <m:sty m:val="p"/>
                    </m:rPr>
                    <m:t>W</m:t>
                  </m:r>
                  <m:r>
                    <m:rPr>
                      <m:sty m:val="p"/>
                    </m:rPr>
                    <m:t>i</m:t>
                  </m:r>
                  <m:r>
                    <m:rPr>
                      <m:sty m:val="p"/>
                    </m:rPr>
                    <m:t>n</m:t>
                  </m:r>
                  <m:r>
                    <m:rPr>
                      <m:sty m:val="p"/>
                    </m:rPr>
                    <m:t>d</m:t>
                  </m:r>
                </m:e>
                <m:sub>
                  <m:r>
                    <m:t>d</m:t>
                  </m:r>
                </m:sub>
              </m:sSub>
            </m:oMath>
            <w:r>
              <w:rPr>
                <w:sz w:val="18"/>
              </w:rPr>
              <w:t xml:space="preserve">,</w:t>
            </w:r>
            <w:r>
              <w:rPr>
                <w:sz w:val="18"/>
              </w:rPr>
              <w:t xml:space="preserve"> </w:t>
            </w:r>
            <m:oMath>
              <m:sSub>
                <m:e>
                  <m:r>
                    <m:rPr>
                      <m:sty m:val="p"/>
                    </m:rPr>
                    <m:t>D</m:t>
                  </m:r>
                  <m:r>
                    <m:rPr>
                      <m:sty m:val="p"/>
                    </m:rPr>
                    <m:t>e</m:t>
                  </m:r>
                  <m:r>
                    <m:rPr>
                      <m:sty m:val="p"/>
                    </m:rPr>
                    <m:t>m</m:t>
                  </m:r>
                  <m:r>
                    <m:rPr>
                      <m:sty m:val="p"/>
                    </m:rPr>
                    <m:t>a</m:t>
                  </m:r>
                  <m:r>
                    <m:rPr>
                      <m:sty m:val="p"/>
                    </m:rPr>
                    <m:t>n</m:t>
                  </m:r>
                  <m:r>
                    <m:rPr>
                      <m:sty m:val="p"/>
                    </m:rPr>
                    <m:t>d</m:t>
                  </m:r>
                </m:e>
                <m:sub>
                  <m:r>
                    <m:t>d</m:t>
                  </m:r>
                </m:sub>
              </m:sSub>
            </m:oMath>
          </w:p>
        </w:tc>
        <w:tc>
          <w:tcPr/>
          <w:p>
            <w:pPr>
              <w:pStyle w:val="Compact"/>
            </w:pPr>
            <w:r>
              <w:rPr>
                <w:rFonts w:hint="eastAsia"/>
                <w:sz w:val="18"/>
              </w:rPr>
              <w:t xml:space="preserve">日</w:t>
            </w:r>
            <w:r>
              <w:rPr>
                <w:sz w:val="18"/>
              </w:rPr>
              <w:t xml:space="preserve"> </w:t>
            </w:r>
            <m:oMath>
              <m:r>
                <m:t>d</m:t>
              </m:r>
            </m:oMath>
            <w:r>
              <w:rPr>
                <w:sz w:val="18"/>
              </w:rPr>
              <w:t xml:space="preserve"> </w:t>
            </w:r>
            <w:r>
              <w:rPr>
                <w:rFonts w:hint="eastAsia"/>
                <w:sz w:val="18"/>
              </w:rPr>
              <w:t xml:space="preserve">の制御前の太陽光・風力の発電量と需要</w:t>
            </w:r>
          </w:p>
        </w:tc>
        <w:tc>
          <w:tcPr/>
          <w:p>
            <w:pPr>
              <w:pStyle w:val="Compact"/>
            </w:pPr>
            <w:r>
              <w:rPr>
                <w:rFonts w:hint="eastAsia"/>
                <w:sz w:val="18"/>
              </w:rPr>
              <w:t xml:space="preserve">GWh/日</w:t>
            </w:r>
          </w:p>
        </w:tc>
        <w:tc>
          <w:tcPr/>
          <w:p>
            <w:pPr>
              <w:pStyle w:val="Compact"/>
            </w:pPr>
            <w:r>
              <w:rPr>
                <w:rFonts w:hint="eastAsia"/>
                <w:sz w:val="18"/>
              </w:rPr>
              <w:t xml:space="preserve">式(5.2)</w:t>
            </w:r>
          </w:p>
        </w:tc>
      </w:tr>
      <w:tr>
        <w:tc>
          <w:tcPr/>
          <w:p>
            <w:pPr>
              <w:pStyle w:val="Compact"/>
            </w:pPr>
            <m:oMath>
              <m:sSubSup>
                <m:e>
                  <m:r>
                    <m:t>β</m:t>
                  </m:r>
                </m:e>
                <m:sub>
                  <m:r>
                    <m:t>s</m:t>
                  </m:r>
                </m:sub>
                <m:sup>
                  <m:r>
                    <m:rPr>
                      <m:sty m:val="p"/>
                    </m:rPr>
                    <m:t>s</m:t>
                  </m:r>
                  <m:r>
                    <m:rPr>
                      <m:sty m:val="p"/>
                    </m:rPr>
                    <m:t>o</m:t>
                  </m:r>
                  <m:r>
                    <m:rPr>
                      <m:sty m:val="p"/>
                    </m:rPr>
                    <m:t>l</m:t>
                  </m:r>
                  <m:r>
                    <m:rPr>
                      <m:sty m:val="p"/>
                    </m:rPr>
                    <m:t>a</m:t>
                  </m:r>
                  <m:r>
                    <m:rPr>
                      <m:sty m:val="p"/>
                    </m:rPr>
                    <m:t>r</m:t>
                  </m:r>
                </m:sup>
              </m:sSubSup>
            </m:oMath>
            <w:r>
              <w:rPr>
                <w:sz w:val="18"/>
              </w:rPr>
              <w:t xml:space="preserve">,</w:t>
            </w:r>
            <w:r>
              <w:rPr>
                <w:sz w:val="18"/>
              </w:rPr>
              <w:t xml:space="preserve"> </w:t>
            </w:r>
            <m:oMath>
              <m:sSubSup>
                <m:e>
                  <m:r>
                    <m:t>β</m:t>
                  </m:r>
                </m:e>
                <m:sub>
                  <m:r>
                    <m:t>s</m:t>
                  </m:r>
                </m:sub>
                <m:sup>
                  <m:r>
                    <m:rPr>
                      <m:sty m:val="p"/>
                    </m:rPr>
                    <m:t>w</m:t>
                  </m:r>
                  <m:r>
                    <m:rPr>
                      <m:sty m:val="p"/>
                    </m:rPr>
                    <m:t>i</m:t>
                  </m:r>
                  <m:r>
                    <m:rPr>
                      <m:sty m:val="p"/>
                    </m:rPr>
                    <m:t>n</m:t>
                  </m:r>
                  <m:r>
                    <m:rPr>
                      <m:sty m:val="p"/>
                    </m:rPr>
                    <m:t>d</m:t>
                  </m:r>
                </m:sup>
              </m:sSubSup>
            </m:oMath>
          </w:p>
        </w:tc>
        <w:tc>
          <w:tcPr/>
          <w:p>
            <w:pPr>
              <w:pStyle w:val="Compact"/>
            </w:pPr>
            <w:r>
              <w:rPr>
                <w:rFonts w:hint="eastAsia"/>
                <w:sz w:val="18"/>
              </w:rPr>
              <w:t xml:space="preserve">季節</w:t>
            </w:r>
            <w:r>
              <w:rPr>
                <w:sz w:val="18"/>
              </w:rPr>
              <w:t xml:space="preserve"> </w:t>
            </w:r>
            <m:oMath>
              <m:r>
                <m:t>s</m:t>
              </m:r>
            </m:oMath>
            <w:r>
              <w:rPr>
                <w:sz w:val="18"/>
              </w:rPr>
              <w:t xml:space="preserve"> </w:t>
            </w:r>
            <w:r>
              <w:rPr>
                <w:rFonts w:hint="eastAsia"/>
                <w:sz w:val="18"/>
              </w:rPr>
              <w:t xml:space="preserve">の太陽光・風力の係数</w:t>
            </w:r>
          </w:p>
        </w:tc>
        <w:tc>
          <w:tcPr/>
          <w:p>
            <w:pPr>
              <w:pStyle w:val="Compact"/>
            </w:pPr>
            <w:r>
              <w:rPr>
                <w:rFonts w:hint="eastAsia"/>
                <w:sz w:val="18"/>
              </w:rPr>
              <w:t xml:space="preserve">円/kWh</w:t>
            </w:r>
            <w:r>
              <w:rPr>
                <w:sz w:val="18"/>
              </w:rPr>
              <w:t xml:space="preserve"> per </w:t>
            </w:r>
            <w:r>
              <w:rPr>
                <w:rFonts w:hint="eastAsia"/>
                <w:sz w:val="18"/>
              </w:rPr>
              <w:t xml:space="preserve">GWh/日</w:t>
            </w:r>
          </w:p>
        </w:tc>
        <w:tc>
          <w:tcPr/>
          <w:p>
            <w:pPr>
              <w:pStyle w:val="Compact"/>
            </w:pPr>
            <w:r>
              <w:rPr>
                <w:rFonts w:hint="eastAsia"/>
                <w:sz w:val="18"/>
              </w:rPr>
              <w:t xml:space="preserve">式(5.2)</w:t>
            </w:r>
          </w:p>
        </w:tc>
      </w:tr>
      <w:tr>
        <w:tc>
          <w:tcPr/>
          <w:p>
            <w:pPr>
              <w:pStyle w:val="Compact"/>
            </w:pPr>
            <m:oMath>
              <m:r>
                <m:t>γ</m:t>
              </m:r>
            </m:oMath>
          </w:p>
        </w:tc>
        <w:tc>
          <w:tcPr/>
          <w:p>
            <w:pPr>
              <w:pStyle w:val="Compact"/>
            </w:pPr>
            <w:r>
              <w:rPr>
                <w:rFonts w:hint="eastAsia"/>
                <w:sz w:val="18"/>
              </w:rPr>
              <w:t xml:space="preserve">需要の係数</w:t>
            </w:r>
          </w:p>
        </w:tc>
        <w:tc>
          <w:tcPr/>
          <w:p>
            <w:pPr>
              <w:pStyle w:val="Compact"/>
            </w:pPr>
            <w:r>
              <w:rPr>
                <w:rFonts w:hint="eastAsia"/>
                <w:sz w:val="18"/>
              </w:rPr>
              <w:t xml:space="preserve">円/kWh</w:t>
            </w:r>
            <w:r>
              <w:rPr>
                <w:sz w:val="18"/>
              </w:rPr>
              <w:t xml:space="preserve"> per </w:t>
            </w:r>
            <w:r>
              <w:rPr>
                <w:rFonts w:hint="eastAsia"/>
                <w:sz w:val="18"/>
              </w:rPr>
              <w:t xml:space="preserve">GWh/日</w:t>
            </w:r>
          </w:p>
        </w:tc>
        <w:tc>
          <w:tcPr/>
          <w:p>
            <w:pPr>
              <w:pStyle w:val="Compact"/>
            </w:pPr>
            <w:r>
              <w:rPr>
                <w:rFonts w:hint="eastAsia"/>
                <w:sz w:val="18"/>
              </w:rPr>
              <w:t xml:space="preserve">式(5.2)</w:t>
            </w:r>
          </w:p>
        </w:tc>
      </w:tr>
      <w:tr>
        <w:tc>
          <w:tcPr/>
          <w:p>
            <w:pPr>
              <w:pStyle w:val="Compact"/>
            </w:pPr>
            <m:oMath>
              <m:sSub>
                <m:e>
                  <m:r>
                    <m:t>α</m:t>
                  </m:r>
                </m:e>
                <m:sub>
                  <m:r>
                    <m:rPr>
                      <m:sty m:val="p"/>
                    </m:rPr>
                    <m:t>F</m:t>
                  </m:r>
                  <m:r>
                    <m:rPr>
                      <m:sty m:val="p"/>
                    </m:rPr>
                    <m:t>Y</m:t>
                  </m:r>
                </m:sub>
              </m:sSub>
            </m:oMath>
            <w:r>
              <w:rPr>
                <w:sz w:val="18"/>
              </w:rPr>
              <w:t xml:space="preserve">,</w:t>
            </w:r>
            <w:r>
              <w:rPr>
                <w:sz w:val="18"/>
              </w:rPr>
              <w:t xml:space="preserve"> </w:t>
            </w:r>
            <m:oMath>
              <m:sSub>
                <m:e>
                  <m:r>
                    <m:t>α</m:t>
                  </m:r>
                </m:e>
                <m:sub>
                  <m:r>
                    <m:t>s</m:t>
                  </m:r>
                </m:sub>
              </m:sSub>
            </m:oMath>
          </w:p>
        </w:tc>
        <w:tc>
          <w:tcPr/>
          <w:p>
            <w:pPr>
              <w:pStyle w:val="Compact"/>
            </w:pPr>
            <w:r>
              <w:rPr>
                <w:rFonts w:hint="eastAsia"/>
                <w:sz w:val="18"/>
              </w:rPr>
              <w:t xml:space="preserve">年度固定効果、季節固定効果</w:t>
            </w:r>
          </w:p>
        </w:tc>
        <w:tc>
          <w:tcPr/>
          <w:p>
            <w:pPr>
              <w:pStyle w:val="Compact"/>
            </w:pPr>
            <w:r>
              <w:rPr>
                <w:sz w:val="18"/>
              </w:rPr>
              <w:t xml:space="preserve">—</w:t>
            </w:r>
          </w:p>
        </w:tc>
        <w:tc>
          <w:tcPr/>
          <w:p>
            <w:pPr>
              <w:pStyle w:val="Compact"/>
            </w:pPr>
            <w:r>
              <w:rPr>
                <w:rFonts w:hint="eastAsia"/>
                <w:sz w:val="18"/>
              </w:rPr>
              <w:t xml:space="preserve">式(5.2)</w:t>
            </w:r>
          </w:p>
        </w:tc>
      </w:tr>
      <w:tr>
        <w:tc>
          <w:tcPr/>
          <w:p>
            <w:pPr>
              <w:pStyle w:val="Compact"/>
            </w:pPr>
            <m:oMath>
              <m:sSub>
                <m:e>
                  <m:r>
                    <m:t>ε</m:t>
                  </m:r>
                </m:e>
                <m:sub>
                  <m:r>
                    <m:t>d</m:t>
                  </m:r>
                </m:sub>
              </m:sSub>
            </m:oMath>
          </w:p>
        </w:tc>
        <w:tc>
          <w:tcPr/>
          <w:p>
            <w:pPr>
              <w:pStyle w:val="Compact"/>
            </w:pPr>
            <w:r>
              <w:rPr>
                <w:rFonts w:hint="eastAsia"/>
                <w:sz w:val="18"/>
              </w:rPr>
              <w:t xml:space="preserve">誤差項</w:t>
            </w:r>
          </w:p>
        </w:tc>
        <w:tc>
          <w:tcPr/>
          <w:p>
            <w:pPr>
              <w:pStyle w:val="Compact"/>
            </w:pPr>
            <w:r>
              <w:rPr>
                <w:sz w:val="18"/>
              </w:rPr>
              <w:t xml:space="preserve">—</w:t>
            </w:r>
          </w:p>
        </w:tc>
        <w:tc>
          <w:tcPr/>
          <w:p>
            <w:pPr>
              <w:pStyle w:val="Compact"/>
            </w:pPr>
            <w:r>
              <w:rPr>
                <w:rFonts w:hint="eastAsia"/>
                <w:sz w:val="18"/>
              </w:rPr>
              <w:t xml:space="preserve">式(5.2)</w:t>
            </w:r>
          </w:p>
        </w:tc>
      </w:tr>
      <w:tr>
        <w:tc>
          <w:tcPr/>
          <w:p>
            <w:pPr>
              <w:pStyle w:val="Compact"/>
            </w:pPr>
            <m:oMath>
              <m:r>
                <m:t>s</m:t>
              </m:r>
            </m:oMath>
            <w:r>
              <w:rPr>
                <w:sz w:val="18"/>
              </w:rPr>
              <w:t xml:space="preserve">,</w:t>
            </w:r>
            <w:r>
              <w:rPr>
                <w:sz w:val="18"/>
              </w:rPr>
              <w:t xml:space="preserve"> </w:t>
            </w:r>
            <m:oMath>
              <m:sSub>
                <m:e>
                  <m:r>
                    <m:t>s</m:t>
                  </m:r>
                </m:e>
                <m:sub>
                  <m:r>
                    <m:t>d</m:t>
                  </m:r>
                </m:sub>
              </m:sSub>
            </m:oMath>
          </w:p>
        </w:tc>
        <w:tc>
          <w:tcPr/>
          <w:p>
            <w:pPr>
              <w:pStyle w:val="Compact"/>
            </w:pPr>
            <w:r>
              <w:rPr>
                <w:rFonts w:hint="eastAsia"/>
                <w:sz w:val="18"/>
              </w:rPr>
              <w:t xml:space="preserve">季節、日</w:t>
            </w:r>
            <w:r>
              <w:rPr>
                <w:sz w:val="18"/>
              </w:rPr>
              <w:t xml:space="preserve"> </w:t>
            </w:r>
            <m:oMath>
              <m:r>
                <m:t>d</m:t>
              </m:r>
            </m:oMath>
            <w:r>
              <w:rPr>
                <w:sz w:val="18"/>
              </w:rPr>
              <w:t xml:space="preserve"> </w:t>
            </w:r>
            <w:r>
              <w:rPr>
                <w:rFonts w:hint="eastAsia"/>
                <w:sz w:val="18"/>
              </w:rPr>
              <w:t xml:space="preserve">の季節</w:t>
            </w:r>
          </w:p>
        </w:tc>
        <w:tc>
          <w:tcPr/>
          <w:p>
            <w:pPr>
              <w:pStyle w:val="Compact"/>
            </w:pPr>
            <w:r>
              <w:rPr>
                <w:rFonts w:hint="eastAsia"/>
                <w:sz w:val="18"/>
              </w:rPr>
              <w:t xml:space="preserve">夏・冬・不需要期</w:t>
            </w:r>
          </w:p>
        </w:tc>
        <w:tc>
          <w:tcPr/>
          <w:p>
            <w:pPr>
              <w:pStyle w:val="Compact"/>
            </w:pPr>
            <w:r>
              <w:rPr>
                <w:rFonts w:hint="eastAsia"/>
                <w:sz w:val="18"/>
              </w:rPr>
              <w:t xml:space="preserve">式(5.2)</w:t>
            </w:r>
          </w:p>
        </w:tc>
      </w:tr>
      <w:tr>
        <w:tc>
          <w:tcPr/>
          <w:p>
            <w:pPr>
              <w:pStyle w:val="Compact"/>
            </w:pPr>
            <m:oMath>
              <m:r>
                <m:rPr>
                  <m:sty m:val="b"/>
                </m:rPr>
                <m:t>1</m:t>
              </m:r>
              <m:r>
                <m:rPr>
                  <m:sty m:val="p"/>
                </m:rPr>
                <m:t>{</m:t>
              </m:r>
              <m:r>
                <m:rPr>
                  <m:sty m:val="p"/>
                </m:rPr>
                <m:t>⋅</m:t>
              </m:r>
              <m:r>
                <m:rPr>
                  <m:sty m:val="p"/>
                </m:rPr>
                <m:t>}</m:t>
              </m:r>
            </m:oMath>
          </w:p>
        </w:tc>
        <w:tc>
          <w:tcPr/>
          <w:p>
            <w:pPr>
              <w:pStyle w:val="Compact"/>
            </w:pPr>
            <w:r>
              <w:rPr>
                <w:rFonts w:hint="eastAsia"/>
                <w:sz w:val="18"/>
              </w:rPr>
              <w:t xml:space="preserve">指示関数</w:t>
            </w:r>
          </w:p>
        </w:tc>
        <w:tc>
          <w:tcPr/>
          <w:p>
            <w:pPr>
              <w:pStyle w:val="Compact"/>
            </w:pPr>
            <w:r>
              <w:rPr>
                <w:sz w:val="18"/>
              </w:rPr>
              <w:t xml:space="preserve">—</w:t>
            </w:r>
          </w:p>
        </w:tc>
        <w:tc>
          <w:tcPr/>
          <w:p>
            <w:pPr>
              <w:pStyle w:val="Compact"/>
            </w:pPr>
            <w:r>
              <w:rPr>
                <w:rFonts w:hint="eastAsia"/>
                <w:sz w:val="18"/>
              </w:rPr>
              <w:t xml:space="preserve">式(5.2)</w:t>
            </w:r>
          </w:p>
        </w:tc>
      </w:tr>
      <w:tr>
        <w:tc>
          <w:tcPr/>
          <w:p>
            <w:pPr>
              <w:pStyle w:val="Compact"/>
            </w:pPr>
            <m:oMath>
              <m:r>
                <m:t>ν</m:t>
              </m:r>
            </m:oMath>
          </w:p>
        </w:tc>
        <w:tc>
          <w:tcPr/>
          <w:p>
            <w:pPr>
              <w:pStyle w:val="Compact"/>
            </w:pPr>
            <w:r>
              <w:rPr>
                <w:sz w:val="18"/>
              </w:rPr>
              <w:t xml:space="preserve">EWC </w:t>
            </w:r>
            <w:r>
              <w:rPr>
                <w:rFonts w:hint="eastAsia"/>
                <w:sz w:val="18"/>
              </w:rPr>
              <w:t xml:space="preserve">の自由度（余弦の本数）</w:t>
            </w:r>
          </w:p>
        </w:tc>
        <w:tc>
          <w:tcPr/>
          <w:p>
            <w:pPr>
              <w:pStyle w:val="Compact"/>
            </w:pPr>
            <w:r>
              <w:rPr>
                <w:rFonts w:hint="eastAsia"/>
                <w:sz w:val="18"/>
              </w:rPr>
              <w:t xml:space="preserve">94（FY2016〜25）、42（FY2023〜25）</w:t>
            </w:r>
          </w:p>
        </w:tc>
        <w:tc>
          <w:tcPr/>
          <w:p>
            <w:pPr>
              <w:pStyle w:val="Compact"/>
            </w:pPr>
            <w:r>
              <w:rPr>
                <w:rFonts w:hint="eastAsia"/>
                <w:sz w:val="18"/>
              </w:rPr>
              <w:t xml:space="preserve">5.1.2項</w:t>
            </w:r>
          </w:p>
        </w:tc>
      </w:tr>
      <w:tr>
        <w:tc>
          <w:tcPr/>
          <w:p>
            <w:pPr>
              <w:pStyle w:val="Compact"/>
            </w:pPr>
            <m:oMath>
              <m:r>
                <m:t>x</m:t>
              </m:r>
            </m:oMath>
            <w:r>
              <w:rPr>
                <w:sz w:val="18"/>
              </w:rPr>
              <w:t xml:space="preserve">,</w:t>
            </w:r>
            <w:r>
              <w:rPr>
                <w:sz w:val="18"/>
              </w:rPr>
              <w:t xml:space="preserve"> </w:t>
            </w:r>
            <m:oMath>
              <m:sSub>
                <m:e>
                  <m:r>
                    <m:rPr>
                      <m:sty m:val="p"/>
                    </m:rPr>
                    <m:t>M</m:t>
                  </m:r>
                  <m:r>
                    <m:rPr>
                      <m:sty m:val="p"/>
                    </m:rPr>
                    <m:t>A</m:t>
                  </m:r>
                </m:e>
                <m:sub>
                  <m:r>
                    <m:t>6</m:t>
                  </m:r>
                </m:sub>
              </m:sSub>
            </m:oMath>
            <w:r>
              <w:rPr>
                <w:sz w:val="18"/>
              </w:rPr>
              <w:t xml:space="preserve">,</w:t>
            </w:r>
            <w:r>
              <w:rPr>
                <w:sz w:val="18"/>
              </w:rPr>
              <w:t xml:space="preserve"> </w:t>
            </w:r>
            <m:oMath>
              <m:sSub>
                <m:e>
                  <m:r>
                    <m:rPr>
                      <m:sty m:val="p"/>
                    </m:rPr>
                    <m:t>M</m:t>
                  </m:r>
                  <m:r>
                    <m:rPr>
                      <m:sty m:val="p"/>
                    </m:rPr>
                    <m:t>A</m:t>
                  </m:r>
                </m:e>
                <m:sub>
                  <m:r>
                    <m:t>24</m:t>
                  </m:r>
                </m:sub>
              </m:sSub>
            </m:oMath>
            <w:r>
              <w:rPr>
                <w:sz w:val="18"/>
              </w:rPr>
              <w:t xml:space="preserve">,</w:t>
            </w:r>
            <w:r>
              <w:rPr>
                <w:sz w:val="18"/>
              </w:rPr>
              <w:t xml:space="preserve"> </w:t>
            </w:r>
            <m:oMath>
              <m:sSub>
                <m:e>
                  <m:r>
                    <m:rPr>
                      <m:sty m:val="p"/>
                    </m:rPr>
                    <m:t>M</m:t>
                  </m:r>
                  <m:r>
                    <m:rPr>
                      <m:sty m:val="p"/>
                    </m:rPr>
                    <m:t>A</m:t>
                  </m:r>
                </m:e>
                <m:sub>
                  <m:r>
                    <m:t>168</m:t>
                  </m:r>
                </m:sub>
              </m:sSub>
            </m:oMath>
          </w:p>
        </w:tc>
        <w:tc>
          <w:tcPr/>
          <w:p>
            <w:pPr>
              <w:pStyle w:val="Compact"/>
            </w:pPr>
            <w:r>
              <w:rPr>
                <w:rFonts w:hint="eastAsia"/>
                <w:sz w:val="18"/>
              </w:rPr>
              <w:t xml:space="preserve">設備利用率の系列と、6・24・168時間の中心化移動平均</w:t>
            </w:r>
          </w:p>
        </w:tc>
        <w:tc>
          <w:tcPr/>
          <w:p>
            <w:pPr>
              <w:pStyle w:val="Compact"/>
            </w:pPr>
            <w:r>
              <w:rPr>
                <w:sz w:val="18"/>
              </w:rPr>
              <w:t xml:space="preserve">—</w:t>
            </w:r>
          </w:p>
        </w:tc>
        <w:tc>
          <w:tcPr/>
          <w:p>
            <w:pPr>
              <w:pStyle w:val="Compact"/>
            </w:pPr>
            <w:r>
              <w:rPr>
                <w:rFonts w:hint="eastAsia"/>
                <w:sz w:val="18"/>
              </w:rPr>
              <w:t xml:space="preserve">式(5.1)</w:t>
            </w:r>
          </w:p>
        </w:tc>
      </w:tr>
      <w:tr>
        <w:tc>
          <w:tcPr/>
          <w:p>
            <w:pPr>
              <w:pStyle w:val="Compact"/>
            </w:pPr>
            <m:oMath>
              <m:sSub>
                <m:e>
                  <m:r>
                    <m:t>p</m:t>
                  </m:r>
                </m:e>
                <m:sub>
                  <m:r>
                    <m:t>d</m:t>
                  </m:r>
                </m:sub>
              </m:sSub>
            </m:oMath>
            <w:r>
              <w:rPr>
                <w:sz w:val="18"/>
              </w:rPr>
              <w:t xml:space="preserve">,</w:t>
            </w:r>
            <w:r>
              <w:rPr>
                <w:sz w:val="18"/>
              </w:rPr>
              <w:t xml:space="preserve"> </w:t>
            </w:r>
            <m:oMath>
              <m:sSub>
                <m:e>
                  <m:acc>
                    <m:accPr>
                      <m:chr m:val="‾"/>
                    </m:accPr>
                    <m:e>
                      <m:r>
                        <m:t>p</m:t>
                      </m:r>
                    </m:e>
                  </m:acc>
                </m:e>
                <m:sub>
                  <m:r>
                    <m:t>d</m:t>
                  </m:r>
                </m:sub>
              </m:sSub>
            </m:oMath>
          </w:p>
        </w:tc>
        <w:tc>
          <w:tcPr/>
          <w:p>
            <w:pPr>
              <w:pStyle w:val="Compact"/>
            </w:pPr>
            <w:r>
              <w:rPr>
                <w:rFonts w:hint="eastAsia"/>
                <w:sz w:val="18"/>
              </w:rPr>
              <w:t xml:space="preserve">日</w:t>
            </w:r>
            <w:r>
              <w:rPr>
                <w:sz w:val="18"/>
              </w:rPr>
              <w:t xml:space="preserve"> </w:t>
            </w:r>
            <m:oMath>
              <m:r>
                <m:t>d</m:t>
              </m:r>
            </m:oMath>
            <w:r>
              <w:rPr>
                <w:sz w:val="18"/>
              </w:rPr>
              <w:t xml:space="preserve"> </w:t>
            </w:r>
            <w:r>
              <w:rPr>
                <w:rFonts w:hint="eastAsia"/>
                <w:sz w:val="18"/>
              </w:rPr>
              <w:t xml:space="preserve">の24時間の価格ベクトルと、その年度×季節×時刻の平均</w:t>
            </w:r>
          </w:p>
        </w:tc>
        <w:tc>
          <w:tcPr/>
          <w:p>
            <w:pPr>
              <w:pStyle w:val="Compact"/>
            </w:pPr>
            <w:r>
              <w:rPr>
                <w:rFonts w:hint="eastAsia"/>
                <w:sz w:val="18"/>
              </w:rPr>
              <w:t xml:space="preserve">円/kWh</w:t>
            </w:r>
          </w:p>
        </w:tc>
        <w:tc>
          <w:tcPr/>
          <w:p>
            <w:pPr>
              <w:pStyle w:val="Compact"/>
            </w:pPr>
            <w:r>
              <w:rPr>
                <w:rFonts w:hint="eastAsia"/>
                <w:sz w:val="18"/>
              </w:rPr>
              <w:t xml:space="preserve">式(5.3)</w:t>
            </w:r>
          </w:p>
        </w:tc>
      </w:tr>
      <w:tr>
        <w:tc>
          <w:tcPr/>
          <w:p>
            <w:pPr>
              <w:pStyle w:val="Compact"/>
            </w:pPr>
            <m:oMath>
              <m:sSub>
                <m:e>
                  <m:r>
                    <m:t>v</m:t>
                  </m:r>
                </m:e>
                <m:sub>
                  <m:r>
                    <m:t>k</m:t>
                  </m:r>
                </m:sub>
              </m:sSub>
            </m:oMath>
            <w:r>
              <w:rPr>
                <w:sz w:val="18"/>
              </w:rPr>
              <w:t xml:space="preserve">,</w:t>
            </w:r>
            <w:r>
              <w:rPr>
                <w:sz w:val="18"/>
              </w:rPr>
              <w:t xml:space="preserve"> </w:t>
            </w:r>
            <m:oMath>
              <m:sSub>
                <m:e>
                  <m:r>
                    <m:t>f</m:t>
                  </m:r>
                </m:e>
                <m:sub>
                  <m:r>
                    <m:t>k</m:t>
                  </m:r>
                  <m:r>
                    <m:rPr>
                      <m:sty m:val="p"/>
                    </m:rPr>
                    <m:t>,</m:t>
                  </m:r>
                  <m:r>
                    <m:t>d</m:t>
                  </m:r>
                </m:sub>
              </m:sSub>
            </m:oMath>
          </w:p>
        </w:tc>
        <w:tc>
          <w:tcPr/>
          <w:p>
            <w:pPr>
              <w:pStyle w:val="Compact"/>
            </w:pPr>
            <w:r>
              <w:rPr>
                <w:rFonts w:hint="eastAsia"/>
                <w:sz w:val="18"/>
              </w:rPr>
              <w:t xml:space="preserve">第</w:t>
            </w:r>
            <w:r>
              <w:rPr>
                <w:sz w:val="18"/>
              </w:rPr>
              <w:t xml:space="preserve"> </w:t>
            </w:r>
            <m:oMath>
              <m:r>
                <m:t>k</m:t>
              </m:r>
            </m:oMath>
            <w:r>
              <w:rPr>
                <w:sz w:val="18"/>
              </w:rPr>
              <w:t xml:space="preserve"> </w:t>
            </w:r>
            <w:r>
              <w:rPr>
                <w:rFonts w:hint="eastAsia"/>
                <w:sz w:val="18"/>
              </w:rPr>
              <w:t xml:space="preserve">主成分の負荷と、日</w:t>
            </w:r>
            <w:r>
              <w:rPr>
                <w:sz w:val="18"/>
              </w:rPr>
              <w:t xml:space="preserve"> </w:t>
            </w:r>
            <m:oMath>
              <m:r>
                <m:t>d</m:t>
              </m:r>
            </m:oMath>
            <w:r>
              <w:rPr>
                <w:sz w:val="18"/>
              </w:rPr>
              <w:t xml:space="preserve"> </w:t>
            </w:r>
            <w:r>
              <w:rPr>
                <w:rFonts w:hint="eastAsia"/>
                <w:sz w:val="18"/>
              </w:rPr>
              <w:t xml:space="preserve">の因子スコア</w:t>
            </w:r>
          </w:p>
        </w:tc>
        <w:tc>
          <w:tcPr/>
          <w:p>
            <w:pPr>
              <w:pStyle w:val="Compact"/>
            </w:pPr>
            <w:r>
              <w:rPr>
                <w:sz w:val="18"/>
              </w:rPr>
              <w:t xml:space="preserve">—</w:t>
            </w:r>
          </w:p>
        </w:tc>
        <w:tc>
          <w:tcPr/>
          <w:p>
            <w:pPr>
              <w:pStyle w:val="Compact"/>
            </w:pPr>
            <w:r>
              <w:rPr>
                <w:rFonts w:hint="eastAsia"/>
                <w:sz w:val="18"/>
              </w:rPr>
              <w:t xml:space="preserve">式(5.3)</w:t>
            </w:r>
          </w:p>
        </w:tc>
      </w:tr>
      <w:tr>
        <w:tc>
          <w:tcPr/>
          <w:p>
            <w:pPr>
              <w:pStyle w:val="Compact"/>
            </w:pPr>
            <m:oMath>
              <m:r>
                <m:t>b</m:t>
              </m:r>
            </m:oMath>
          </w:p>
        </w:tc>
        <w:tc>
          <w:tcPr/>
          <w:p>
            <w:pPr>
              <w:pStyle w:val="Compact"/>
            </w:pPr>
            <w:r>
              <w:rPr>
                <w:rFonts w:hint="eastAsia"/>
                <w:sz w:val="18"/>
              </w:rPr>
              <w:t xml:space="preserve">24時刻の時刻別係数のベクトル</w:t>
            </w:r>
          </w:p>
        </w:tc>
        <w:tc>
          <w:tcPr/>
          <w:p>
            <w:pPr>
              <w:pStyle w:val="Compact"/>
            </w:pPr>
            <w:r>
              <w:rPr>
                <w:rFonts w:hint="eastAsia"/>
                <w:sz w:val="18"/>
              </w:rPr>
              <w:t xml:space="preserve">円/kWh</w:t>
            </w:r>
            <w:r>
              <w:rPr>
                <w:sz w:val="18"/>
              </w:rPr>
              <w:t xml:space="preserve"> per </w:t>
            </w:r>
            <w:r>
              <w:rPr>
                <w:rFonts w:hint="eastAsia"/>
                <w:sz w:val="18"/>
              </w:rPr>
              <w:t xml:space="preserve">GWh/日</w:t>
            </w:r>
          </w:p>
        </w:tc>
        <w:tc>
          <w:tcPr/>
          <w:p>
            <w:pPr>
              <w:pStyle w:val="Compact"/>
            </w:pPr>
            <w:r>
              <w:rPr>
                <w:rFonts w:hint="eastAsia"/>
                <w:sz w:val="18"/>
              </w:rPr>
              <w:t xml:space="preserve">5.1.5項</w:t>
            </w:r>
          </w:p>
        </w:tc>
      </w:tr>
    </w:tbl>
    <w:p>
      <w:pPr>
        <w:pStyle w:val="BodyText"/>
      </w:pPr>
      <w:r>
        <w:rPr>
          <w:rFonts w:hint="eastAsia"/>
          <w:b/>
          <w:bCs/>
        </w:rPr>
        <w:t xml:space="preserve">価格モデルとフリート（第4章・第7章）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sSub>
                <m:e>
                  <m:r>
                    <m:rPr>
                      <m:sty m:val="p"/>
                    </m:rPr>
                    <m:t>n</m:t>
                  </m:r>
                  <m:r>
                    <m:rPr>
                      <m:sty m:val="p"/>
                    </m:rPr>
                    <m:t>e</m:t>
                  </m:r>
                  <m:r>
                    <m:rPr>
                      <m:sty m:val="p"/>
                    </m:rPr>
                    <m:t>t</m:t>
                  </m:r>
                </m:e>
                <m:sub>
                  <m:r>
                    <m:t>t</m:t>
                  </m:r>
                </m:sub>
              </m:sSub>
            </m:oMath>
          </w:p>
        </w:tc>
        <w:tc>
          <w:tcPr/>
          <w:p>
            <w:pPr>
              <w:pStyle w:val="Compact"/>
            </w:pPr>
            <w:r>
              <w:rPr>
                <w:rFonts w:hint="eastAsia"/>
                <w:sz w:val="18"/>
              </w:rPr>
              <w:t xml:space="preserve">純需要（需要−制御前の太陽光−制御前の風力−原子力）</w:t>
            </w:r>
          </w:p>
        </w:tc>
        <w:tc>
          <w:tcPr/>
          <w:p>
            <w:pPr>
              <w:pStyle w:val="Compact"/>
            </w:pPr>
            <w:r>
              <w:rPr>
                <w:sz w:val="18"/>
              </w:rPr>
              <w:t xml:space="preserve">—</w:t>
            </w:r>
          </w:p>
        </w:tc>
        <w:tc>
          <w:tcPr/>
          <w:p>
            <w:pPr>
              <w:pStyle w:val="Compact"/>
            </w:pPr>
            <w:r>
              <w:rPr>
                <w:rFonts w:hint="eastAsia"/>
                <w:sz w:val="18"/>
              </w:rPr>
              <w:t xml:space="preserve">式(4.3)</w:t>
            </w:r>
          </w:p>
        </w:tc>
      </w:tr>
      <w:tr>
        <w:tc>
          <w:tcPr/>
          <w:p>
            <w:pPr>
              <w:pStyle w:val="Compact"/>
            </w:pPr>
            <m:oMath>
              <m:r>
                <m:t>g</m:t>
              </m:r>
              <m:r>
                <m:rPr>
                  <m:sty m:val="p"/>
                </m:rPr>
                <m:t>(</m:t>
              </m:r>
              <m:sSub>
                <m:e>
                  <m:r>
                    <m:rPr>
                      <m:sty m:val="p"/>
                    </m:rPr>
                    <m:t>n</m:t>
                  </m:r>
                  <m:r>
                    <m:rPr>
                      <m:sty m:val="p"/>
                    </m:rPr>
                    <m:t>e</m:t>
                  </m:r>
                  <m:r>
                    <m:rPr>
                      <m:sty m:val="p"/>
                    </m:rPr>
                    <m:t>t</m:t>
                  </m:r>
                </m:e>
                <m:sub>
                  <m:r>
                    <m:t>t</m:t>
                  </m:r>
                </m:sub>
              </m:sSub>
              <m:r>
                <m:rPr>
                  <m:sty m:val="p"/>
                </m:rPr>
                <m:t>;</m:t>
              </m:r>
              <m:r>
                <m:rPr>
                  <m:sty m:val="p"/>
                </m:rPr>
                <m:t>s</m:t>
              </m:r>
              <m:r>
                <m:rPr>
                  <m:sty m:val="p"/>
                </m:rPr>
                <m:t>e</m:t>
              </m:r>
              <m:r>
                <m:rPr>
                  <m:sty m:val="p"/>
                </m:rPr>
                <m:t>a</m:t>
              </m:r>
              <m:r>
                <m:rPr>
                  <m:sty m:val="p"/>
                </m:rPr>
                <m:t>s</m:t>
              </m:r>
              <m:r>
                <m:rPr>
                  <m:sty m:val="p"/>
                </m:rPr>
                <m:t>o</m:t>
              </m:r>
              <m:r>
                <m:rPr>
                  <m:sty m:val="p"/>
                </m:rPr>
                <m:t>n</m:t>
              </m:r>
              <m:r>
                <m:rPr>
                  <m:sty m:val="p"/>
                </m:rPr>
                <m:t>)</m:t>
              </m:r>
            </m:oMath>
          </w:p>
        </w:tc>
        <w:tc>
          <w:tcPr/>
          <w:p>
            <w:pPr>
              <w:pStyle w:val="Compact"/>
            </w:pPr>
            <w:r>
              <w:rPr>
                <w:rFonts w:hint="eastAsia"/>
                <w:sz w:val="18"/>
              </w:rPr>
              <w:t xml:space="preserve">季節別の局所供給曲線。季節は気象学的な4区分（凡例）</w:t>
            </w:r>
          </w:p>
        </w:tc>
        <w:tc>
          <w:tcPr/>
          <w:p>
            <w:pPr>
              <w:pStyle w:val="Compact"/>
            </w:pPr>
            <w:r>
              <w:rPr>
                <w:rFonts w:hint="eastAsia"/>
                <w:sz w:val="18"/>
              </w:rPr>
              <w:t xml:space="preserve">円/kWh</w:t>
            </w:r>
          </w:p>
        </w:tc>
        <w:tc>
          <w:tcPr/>
          <w:p>
            <w:pPr>
              <w:pStyle w:val="Compact"/>
            </w:pPr>
            <w:r>
              <w:rPr>
                <w:rFonts w:hint="eastAsia"/>
                <w:sz w:val="18"/>
              </w:rPr>
              <w:t xml:space="preserve">式(4.3)</w:t>
            </w:r>
          </w:p>
        </w:tc>
      </w:tr>
      <w:tr>
        <w:tc>
          <w:tcPr/>
          <w:p>
            <w:pPr>
              <w:pStyle w:val="Compact"/>
            </w:pPr>
            <m:oMath>
              <m:r>
                <m:t>μ</m:t>
              </m:r>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h</m:t>
              </m:r>
              <m:r>
                <m:rPr>
                  <m:sty m:val="p"/>
                </m:rPr>
                <m:t>o</m:t>
              </m:r>
              <m:r>
                <m:rPr>
                  <m:sty m:val="p"/>
                </m:rPr>
                <m:t>u</m:t>
              </m:r>
              <m:r>
                <m:rPr>
                  <m:sty m:val="p"/>
                </m:rPr>
                <m:t>r</m:t>
              </m:r>
              <m:r>
                <m:rPr>
                  <m:sty m:val="p"/>
                </m:rPr>
                <m:t>)</m:t>
              </m:r>
            </m:oMath>
          </w:p>
        </w:tc>
        <w:tc>
          <w:tcPr/>
          <w:p>
            <w:pPr>
              <w:pStyle w:val="Compact"/>
            </w:pPr>
            <w:r>
              <w:rPr>
                <w:rFonts w:hint="eastAsia"/>
                <w:sz w:val="18"/>
              </w:rPr>
              <w:t xml:space="preserve">季節×時刻のプレミアム（仕様A′</w:t>
            </w:r>
            <w:r>
              <w:rPr>
                <w:sz w:val="18"/>
              </w:rPr>
              <w:t xml:space="preserve"> </w:t>
            </w:r>
            <w:r>
              <w:rPr>
                <w:rFonts w:hint="eastAsia"/>
                <w:sz w:val="18"/>
              </w:rPr>
              <w:t xml:space="preserve">では日次の風力発電量の三分位にも依存させる）</w:t>
            </w:r>
          </w:p>
        </w:tc>
        <w:tc>
          <w:tcPr/>
          <w:p>
            <w:pPr>
              <w:pStyle w:val="Compact"/>
            </w:pPr>
            <w:r>
              <w:rPr>
                <w:rFonts w:hint="eastAsia"/>
                <w:sz w:val="18"/>
              </w:rPr>
              <w:t xml:space="preserve">円/kWh</w:t>
            </w:r>
          </w:p>
        </w:tc>
        <w:tc>
          <w:tcPr/>
          <w:p>
            <w:pPr>
              <w:pStyle w:val="Compact"/>
            </w:pPr>
            <w:r>
              <w:rPr>
                <w:rFonts w:hint="eastAsia"/>
                <w:sz w:val="18"/>
              </w:rPr>
              <w:t xml:space="preserve">式(4.3)、7.1.1項</w:t>
            </w:r>
          </w:p>
        </w:tc>
      </w:tr>
      <w:tr>
        <w:tc>
          <w:tcPr/>
          <w:p>
            <w:pPr>
              <w:pStyle w:val="Compact"/>
            </w:pPr>
            <m:oMath>
              <m:sSub>
                <m:e>
                  <m:r>
                    <m:t>θ</m:t>
                  </m:r>
                </m:e>
                <m:sub>
                  <m:r>
                    <m:rPr>
                      <m:sty m:val="p"/>
                    </m:rPr>
                    <m:t>F</m:t>
                  </m:r>
                  <m:r>
                    <m:rPr>
                      <m:sty m:val="p"/>
                    </m:rPr>
                    <m:t>Y</m:t>
                  </m:r>
                </m:sub>
              </m:sSub>
            </m:oMath>
            <w:r>
              <w:rPr>
                <w:sz w:val="18"/>
              </w:rPr>
              <w:t xml:space="preserve">,</w:t>
            </w:r>
            <w:r>
              <w:rPr>
                <w:sz w:val="18"/>
              </w:rPr>
              <w:t xml:space="preserve"> </w:t>
            </w:r>
            <m:oMath>
              <m:r>
                <m:t>θ</m:t>
              </m:r>
            </m:oMath>
            <w:r>
              <w:rPr>
                <w:sz w:val="18"/>
              </w:rPr>
              <w:t xml:space="preserve">,</w:t>
            </w:r>
            <w:r>
              <w:rPr>
                <w:sz w:val="18"/>
              </w:rPr>
              <w:t xml:space="preserve"> </w:t>
            </w:r>
            <m:oMath>
              <m:sSub>
                <m:e>
                  <m:r>
                    <m:t>θ</m:t>
                  </m:r>
                </m:e>
                <m:sub>
                  <m:r>
                    <m:t>t</m:t>
                  </m:r>
                </m:sub>
              </m:sSub>
            </m:oMath>
          </w:p>
        </w:tc>
        <w:tc>
          <w:tcPr/>
          <w:p>
            <w:pPr>
              <w:pStyle w:val="Compact"/>
            </w:pPr>
            <w:r>
              <w:rPr>
                <w:rFonts w:hint="eastAsia"/>
                <w:sz w:val="18"/>
              </w:rPr>
              <w:t xml:space="preserve">価格水準係数（下限価格より上の価格を同じ比率で伸縮させる乗法的な水準因子）。</w:t>
            </w:r>
            <m:oMath>
              <m:sSub>
                <m:e>
                  <m:r>
                    <m:t>θ</m:t>
                  </m:r>
                </m:e>
                <m:sub>
                  <m:r>
                    <m:t>t</m:t>
                  </m:r>
                </m:sub>
              </m:sSub>
            </m:oMath>
            <w:r>
              <w:rPr>
                <w:sz w:val="18"/>
              </w:rPr>
              <w:t xml:space="preserve"> </w:t>
            </w:r>
            <w:r>
              <w:rPr>
                <w:rFonts w:hint="eastAsia"/>
                <w:sz w:val="18"/>
              </w:rPr>
              <w:t xml:space="preserve">は年</w:t>
            </w:r>
            <w:r>
              <w:rPr>
                <w:sz w:val="18"/>
              </w:rPr>
              <w:t xml:space="preserve"> </w:t>
            </w:r>
            <m:oMath>
              <m:r>
                <m:t>t</m:t>
              </m:r>
            </m:oMath>
            <w:r>
              <w:rPr>
                <w:sz w:val="18"/>
              </w:rPr>
              <w:t xml:space="preserve"> </w:t>
            </w:r>
            <w:r>
              <w:rPr>
                <w:rFonts w:hint="eastAsia"/>
                <w:sz w:val="18"/>
              </w:rPr>
              <w:t xml:space="preserve">の値</w:t>
            </w:r>
          </w:p>
        </w:tc>
        <w:tc>
          <w:tcPr/>
          <w:p>
            <w:pPr>
              <w:pStyle w:val="Compact"/>
            </w:pPr>
            <w:r>
              <w:rPr>
                <w:sz w:val="18"/>
              </w:rPr>
              <w:t xml:space="preserve">FY2023〜25 </w:t>
            </w:r>
            <w:r>
              <w:rPr>
                <w:rFonts w:hint="eastAsia"/>
                <w:sz w:val="18"/>
              </w:rPr>
              <w:t xml:space="preserve">の時間加重平均＝1</w:t>
            </w:r>
          </w:p>
        </w:tc>
        <w:tc>
          <w:tcPr/>
          <w:p>
            <w:pPr>
              <w:pStyle w:val="Compact"/>
            </w:pPr>
            <w:r>
              <w:rPr>
                <w:rFonts w:hint="eastAsia"/>
                <w:sz w:val="18"/>
              </w:rPr>
              <w:t xml:space="preserve">式(4.3)、式(7.2)</w:t>
            </w:r>
          </w:p>
        </w:tc>
      </w:tr>
      <w:tr>
        <w:tc>
          <w:tcPr/>
          <w:p>
            <w:pPr>
              <w:pStyle w:val="Compact"/>
            </w:pPr>
            <m:oMath>
              <m:r>
                <m:t>K</m:t>
              </m:r>
            </m:oMath>
            <w:r>
              <w:rPr>
                <w:sz w:val="18"/>
              </w:rPr>
              <w:t xml:space="preserve">,</w:t>
            </w:r>
            <w:r>
              <w:rPr>
                <w:sz w:val="18"/>
              </w:rPr>
              <w:t xml:space="preserve"> </w:t>
            </w:r>
            <m:oMath>
              <m:sSub>
                <m:e>
                  <m:r>
                    <m:t>K</m:t>
                  </m:r>
                </m:e>
                <m:sub>
                  <m:r>
                    <m:t>t</m:t>
                  </m:r>
                </m:sub>
              </m:sSub>
            </m:oMath>
          </w:p>
        </w:tc>
        <w:tc>
          <w:tcPr/>
          <w:p>
            <w:pPr>
              <w:pStyle w:val="Compact"/>
            </w:pPr>
            <w:r>
              <w:rPr>
                <w:rFonts w:hint="eastAsia"/>
                <w:sz w:val="18"/>
              </w:rPr>
              <w:t xml:space="preserve">フリート容量（エリアの系統用蓄電池の総容量）。</w:t>
            </w:r>
            <m:oMath>
              <m:sSub>
                <m:e>
                  <m:r>
                    <m:t>K</m:t>
                  </m:r>
                </m:e>
                <m:sub>
                  <m:r>
                    <m:t>t</m:t>
                  </m:r>
                </m:sub>
              </m:sSub>
            </m:oMath>
            <w:r>
              <w:rPr>
                <w:sz w:val="18"/>
              </w:rPr>
              <w:t xml:space="preserve"> </w:t>
            </w:r>
            <w:r>
              <w:rPr>
                <w:rFonts w:hint="eastAsia"/>
                <w:sz w:val="18"/>
              </w:rPr>
              <w:t xml:space="preserve">は年</w:t>
            </w:r>
            <w:r>
              <w:rPr>
                <w:sz w:val="18"/>
              </w:rPr>
              <w:t xml:space="preserve"> </w:t>
            </w:r>
            <m:oMath>
              <m:r>
                <m:t>t</m:t>
              </m:r>
            </m:oMath>
            <w:r>
              <w:rPr>
                <w:sz w:val="18"/>
              </w:rPr>
              <w:t xml:space="preserve"> </w:t>
            </w:r>
            <w:r>
              <w:rPr>
                <w:rFonts w:hint="eastAsia"/>
                <w:sz w:val="18"/>
              </w:rPr>
              <w:t xml:space="preserve">の値</w:t>
            </w:r>
          </w:p>
        </w:tc>
        <w:tc>
          <w:tcPr/>
          <w:p>
            <w:pPr>
              <w:pStyle w:val="Compact"/>
            </w:pPr>
            <w:r>
              <w:rPr>
                <w:rFonts w:hint="eastAsia"/>
                <w:sz w:val="18"/>
              </w:rPr>
              <w:t xml:space="preserve">万kW（4時間換算）</w:t>
            </w:r>
          </w:p>
        </w:tc>
        <w:tc>
          <w:tcPr/>
          <w:p>
            <w:pPr>
              <w:pStyle w:val="Compact"/>
            </w:pPr>
            <w:r>
              <w:rPr>
                <w:rFonts w:hint="eastAsia"/>
                <w:sz w:val="18"/>
              </w:rPr>
              <w:t xml:space="preserve">4.2.4項、式(7.2)</w:t>
            </w:r>
          </w:p>
        </w:tc>
      </w:tr>
      <w:tr>
        <w:tc>
          <w:tcPr/>
          <w:p>
            <w:pPr>
              <w:pStyle w:val="Compact"/>
            </w:pPr>
            <m:oMath>
              <m:sSup>
                <m:e>
                  <m:r>
                    <m:t>K</m:t>
                  </m:r>
                </m:e>
                <m:sup>
                  <m:r>
                    <m:rPr>
                      <m:sty m:val="p"/>
                    </m:rPr>
                    <m:t>*</m:t>
                  </m:r>
                </m:sup>
              </m:sSup>
            </m:oMath>
          </w:p>
        </w:tc>
        <w:tc>
          <w:tcPr/>
          <w:p>
            <w:pPr>
              <w:pStyle w:val="Compact"/>
            </w:pPr>
            <w:r>
              <w:rPr>
                <w:rFonts w:hint="eastAsia"/>
                <w:sz w:val="18"/>
              </w:rPr>
              <w:t xml:space="preserve">自由参入の均衡容量（</w:t>
            </w:r>
            <m:oMath>
              <m:sSub>
                <m:e>
                  <m:r>
                    <m:t>K</m:t>
                  </m:r>
                </m:e>
                <m:sub>
                  <m:r>
                    <m:rPr>
                      <m:sty m:val="p"/>
                    </m:rPr>
                    <m:t>e</m:t>
                  </m:r>
                  <m:r>
                    <m:rPr>
                      <m:sty m:val="p"/>
                    </m:rPr>
                    <m:t>x</m:t>
                  </m:r>
                  <m:r>
                    <m:rPr>
                      <m:sty m:val="p"/>
                    </m:rPr>
                    <m:t>o</m:t>
                  </m:r>
                </m:sub>
              </m:sSub>
            </m:oMath>
            <w:r>
              <w:rPr>
                <w:sz w:val="18"/>
              </w:rPr>
              <w:t xml:space="preserve"> </w:t>
            </w:r>
            <w:r>
              <w:rPr>
                <w:rFonts w:hint="eastAsia"/>
                <w:sz w:val="18"/>
              </w:rPr>
              <w:t xml:space="preserve">を含む総容量）</w:t>
            </w:r>
          </w:p>
        </w:tc>
        <w:tc>
          <w:tcPr/>
          <w:p>
            <w:pPr>
              <w:pStyle w:val="Compact"/>
            </w:pPr>
            <w:r>
              <w:rPr>
                <w:rFonts w:hint="eastAsia"/>
                <w:sz w:val="18"/>
              </w:rPr>
              <w:t xml:space="preserve">万kW</w:t>
            </w:r>
          </w:p>
        </w:tc>
        <w:tc>
          <w:tcPr/>
          <w:p>
            <w:pPr>
              <w:pStyle w:val="Compact"/>
            </w:pPr>
            <w:r>
              <w:rPr>
                <w:rFonts w:hint="eastAsia"/>
                <w:sz w:val="18"/>
              </w:rPr>
              <w:t xml:space="preserve">4.2.5項</w:t>
            </w:r>
          </w:p>
        </w:tc>
      </w:tr>
      <w:tr>
        <w:tc>
          <w:tcPr/>
          <w:p>
            <w:pPr>
              <w:pStyle w:val="Compact"/>
            </w:pPr>
            <m:oMath>
              <m:sSub>
                <m:e>
                  <m:r>
                    <m:t>K</m:t>
                  </m:r>
                </m:e>
                <m:sub>
                  <m:r>
                    <m:rPr>
                      <m:sty m:val="p"/>
                    </m:rPr>
                    <m:t>e</m:t>
                  </m:r>
                  <m:r>
                    <m:rPr>
                      <m:sty m:val="p"/>
                    </m:rPr>
                    <m:t>x</m:t>
                  </m:r>
                  <m:r>
                    <m:rPr>
                      <m:sty m:val="p"/>
                    </m:rPr>
                    <m:t>o</m:t>
                  </m:r>
                </m:sub>
              </m:sSub>
            </m:oMath>
          </w:p>
        </w:tc>
        <w:tc>
          <w:tcPr/>
          <w:p>
            <w:pPr>
              <w:pStyle w:val="Compact"/>
            </w:pPr>
            <w:r>
              <w:rPr>
                <w:rFonts w:hint="eastAsia"/>
                <w:sz w:val="18"/>
              </w:rPr>
              <w:t xml:space="preserve">外生に置く契約型の容量</w:t>
            </w:r>
          </w:p>
        </w:tc>
        <w:tc>
          <w:tcPr/>
          <w:p>
            <w:pPr>
              <w:pStyle w:val="Compact"/>
            </w:pPr>
            <w:r>
              <w:rPr>
                <w:rFonts w:hint="eastAsia"/>
                <w:sz w:val="18"/>
              </w:rPr>
              <w:t xml:space="preserve">主は0</w:t>
            </w:r>
          </w:p>
        </w:tc>
        <w:tc>
          <w:tcPr/>
          <w:p>
            <w:pPr>
              <w:pStyle w:val="Compact"/>
            </w:pPr>
            <w:r>
              <w:rPr>
                <w:rFonts w:hint="eastAsia"/>
                <w:sz w:val="18"/>
              </w:rPr>
              <w:t xml:space="preserve">4.2.5項</w:t>
            </w:r>
          </w:p>
        </w:tc>
      </w:tr>
      <w:tr>
        <w:tc>
          <w:tcPr/>
          <w:p>
            <w:pPr>
              <w:pStyle w:val="Compact"/>
            </w:pP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p>
        </w:tc>
        <w:tc>
          <w:tcPr/>
          <w:p>
            <w:pPr>
              <w:pStyle w:val="Compact"/>
            </w:pPr>
            <w:r>
              <w:rPr>
                <w:rFonts w:hint="eastAsia"/>
                <w:sz w:val="18"/>
              </w:rPr>
              <w:t xml:space="preserve">フリート容量</w:t>
            </w:r>
            <w:r>
              <w:rPr>
                <w:sz w:val="18"/>
              </w:rPr>
              <w:t xml:space="preserve"> </w:t>
            </w:r>
            <m:oMath>
              <m:r>
                <m:t>K</m:t>
              </m:r>
            </m:oMath>
            <w:r>
              <w:rPr>
                <w:sz w:val="18"/>
              </w:rPr>
              <w:t xml:space="preserve"> </w:t>
            </w:r>
            <w:r>
              <w:rPr>
                <w:rFonts w:hint="eastAsia"/>
                <w:sz w:val="18"/>
              </w:rPr>
              <w:t xml:space="preserve">の投入後のモデル価格の上で戦略</w:t>
            </w:r>
            <w:r>
              <w:rPr>
                <w:sz w:val="18"/>
              </w:rPr>
              <w:t xml:space="preserve"> c </w:t>
            </w:r>
            <w:r>
              <w:rPr>
                <w:rFonts w:hint="eastAsia"/>
                <w:sz w:val="18"/>
              </w:rPr>
              <w:t xml:space="preserve">が得る粗利</w:t>
            </w:r>
          </w:p>
        </w:tc>
        <w:tc>
          <w:tcPr/>
          <w:p>
            <w:pPr>
              <w:pStyle w:val="Compact"/>
            </w:pPr>
            <m:oMath>
              <m:r>
                <m:t>K</m:t>
              </m:r>
              <m:r>
                <m:rPr>
                  <m:sty m:val="p"/>
                </m:rPr>
                <m:t>=</m:t>
              </m:r>
              <m:r>
                <m:t>0</m:t>
              </m:r>
            </m:oMath>
            <w:r>
              <w:rPr>
                <w:sz w:val="18"/>
              </w:rPr>
              <w:t xml:space="preserve">・</w:t>
            </w:r>
            <m:oMath>
              <m:r>
                <m:t>θ</m:t>
              </m:r>
              <m:r>
                <m:rPr>
                  <m:sty m:val="p"/>
                </m:rPr>
                <m:t>=</m:t>
              </m:r>
              <m:r>
                <m:t>1</m:t>
              </m:r>
            </m:oMath>
            <w:r>
              <w:rPr>
                <w:sz w:val="18"/>
              </w:rPr>
              <w:t xml:space="preserve"> </w:t>
            </w:r>
            <w:r>
              <w:rPr>
                <w:rFonts w:hint="eastAsia"/>
                <w:sz w:val="18"/>
              </w:rPr>
              <w:t xml:space="preserve">で7,602円/kW-年</w:t>
            </w:r>
          </w:p>
        </w:tc>
        <w:tc>
          <w:tcPr/>
          <w:p>
            <w:pPr>
              <w:pStyle w:val="Compact"/>
            </w:pPr>
            <w:r>
              <w:rPr>
                <w:rFonts w:hint="eastAsia"/>
                <w:sz w:val="18"/>
              </w:rPr>
              <w:t xml:space="preserve">4.2.4項</w:t>
            </w:r>
          </w:p>
        </w:tc>
      </w:tr>
      <w:tr>
        <w:tc>
          <w:tcPr/>
          <w:p>
            <w:pPr>
              <w:pStyle w:val="Compact"/>
            </w:pPr>
            <m:oMath>
              <m:r>
                <m:t>λ</m:t>
              </m:r>
            </m:oMath>
          </w:p>
        </w:tc>
        <w:tc>
          <w:tcPr/>
          <w:p>
            <w:pPr>
              <w:pStyle w:val="Compact"/>
            </w:pPr>
            <w:r>
              <w:rPr>
                <w:rFonts w:hint="eastAsia"/>
                <w:sz w:val="18"/>
              </w:rPr>
              <w:t xml:space="preserve">実績整合ケースの校正係数（実績の戦略</w:t>
            </w:r>
            <w:r>
              <w:rPr>
                <w:sz w:val="18"/>
              </w:rPr>
              <w:t xml:space="preserve"> </w:t>
            </w:r>
            <w:r>
              <w:rPr>
                <w:rFonts w:hint="eastAsia"/>
                <w:sz w:val="18"/>
              </w:rPr>
              <w:t xml:space="preserve">c÷モデル価格の上の戦略</w:t>
            </w:r>
            <w:r>
              <w:rPr>
                <w:sz w:val="18"/>
              </w:rPr>
              <w:t xml:space="preserve"> </w:t>
            </w:r>
            <w:r>
              <w:rPr>
                <w:rFonts w:hint="eastAsia"/>
                <w:sz w:val="18"/>
              </w:rPr>
              <w:t xml:space="preserve">c）</w:t>
            </w:r>
          </w:p>
        </w:tc>
        <w:tc>
          <w:tcPr/>
          <w:p>
            <w:pPr>
              <w:pStyle w:val="Compact"/>
            </w:pPr>
            <w:r>
              <w:rPr>
                <w:rFonts w:hint="eastAsia"/>
                <w:sz w:val="18"/>
              </w:rPr>
              <w:t xml:space="preserve">仕様A</w:t>
            </w:r>
            <w:r>
              <w:rPr>
                <w:sz w:val="18"/>
              </w:rPr>
              <w:t xml:space="preserve"> </w:t>
            </w:r>
            <w:r>
              <w:rPr>
                <w:rFonts w:hint="eastAsia"/>
                <w:sz w:val="18"/>
              </w:rPr>
              <w:t xml:space="preserve">で1.108、仕様A′</w:t>
            </w:r>
            <w:r>
              <w:rPr>
                <w:sz w:val="18"/>
              </w:rPr>
              <w:t xml:space="preserve"> で1.0015</w:t>
            </w:r>
          </w:p>
        </w:tc>
        <w:tc>
          <w:tcPr/>
          <w:p>
            <w:pPr>
              <w:pStyle w:val="Compact"/>
            </w:pPr>
            <w:r>
              <w:rPr>
                <w:rFonts w:hint="eastAsia"/>
                <w:sz w:val="18"/>
              </w:rPr>
              <w:t xml:space="preserve">4.2.4項</w:t>
            </w:r>
          </w:p>
        </w:tc>
      </w:tr>
      <w:tr>
        <w:tc>
          <w:tcPr/>
          <w:p>
            <w:pPr>
              <w:pStyle w:val="Compact"/>
            </w:pPr>
            <m:oMath>
              <m:sSub>
                <m:e>
                  <m:r>
                    <m:t>w</m:t>
                  </m:r>
                </m:e>
                <m:sub>
                  <m:r>
                    <m:rPr>
                      <m:sty m:val="p"/>
                    </m:rPr>
                    <m:t>c</m:t>
                  </m:r>
                  <m:r>
                    <m:rPr>
                      <m:sty m:val="p"/>
                    </m:rPr>
                    <m:t>h</m:t>
                  </m:r>
                  <m:r>
                    <m:rPr>
                      <m:sty m:val="p"/>
                    </m:rPr>
                    <m:t>g</m:t>
                  </m:r>
                </m:sub>
              </m:sSub>
            </m:oMath>
          </w:p>
        </w:tc>
        <w:tc>
          <w:tcPr/>
          <w:p>
            <w:pPr>
              <w:pStyle w:val="Compact"/>
            </w:pPr>
            <w:r>
              <w:rPr>
                <w:rFonts w:hint="eastAsia"/>
                <w:sz w:val="18"/>
              </w:rPr>
              <w:t xml:space="preserve">充電側の託送従量負担</w:t>
            </w:r>
          </w:p>
        </w:tc>
        <w:tc>
          <w:tcPr/>
          <w:p>
            <w:pPr>
              <w:pStyle w:val="Compact"/>
            </w:pPr>
            <w:r>
              <w:rPr>
                <w:rFonts w:hint="eastAsia"/>
                <w:sz w:val="18"/>
              </w:rPr>
              <w:t xml:space="preserve">1,752円/kW-年</w:t>
            </w:r>
          </w:p>
        </w:tc>
        <w:tc>
          <w:tcPr/>
          <w:p>
            <w:pPr>
              <w:pStyle w:val="Compact"/>
            </w:pPr>
            <w:r>
              <w:rPr>
                <w:rFonts w:hint="eastAsia"/>
                <w:sz w:val="18"/>
              </w:rPr>
              <w:t xml:space="preserve">4.2.4項</w:t>
            </w:r>
          </w:p>
        </w:tc>
      </w:tr>
      <w:tr>
        <w:tc>
          <w:tcPr/>
          <w:p>
            <w:pPr>
              <w:pStyle w:val="Compact"/>
            </w:pPr>
            <m:oMath>
              <m:r>
                <m:t>π</m:t>
              </m:r>
              <m:r>
                <m:rPr>
                  <m:sty m:val="p"/>
                </m:rPr>
                <m:t>(</m:t>
              </m:r>
              <m:r>
                <m:t>K</m:t>
              </m:r>
              <m:r>
                <m:rPr>
                  <m:sty m:val="p"/>
                </m:rPr>
                <m:t>)</m:t>
              </m:r>
            </m:oMath>
          </w:p>
        </w:tc>
        <w:tc>
          <w:tcPr/>
          <w:p>
            <w:pPr>
              <w:pStyle w:val="Compact"/>
            </w:pPr>
            <w:r>
              <w:rPr>
                <w:rFonts w:hint="eastAsia"/>
                <w:sz w:val="18"/>
              </w:rPr>
              <w:t xml:space="preserve">限界参入者の実現可能収益（実績整合ケース）</w:t>
            </w:r>
          </w:p>
        </w:tc>
        <w:tc>
          <w:tcPr/>
          <w:p>
            <w:pPr>
              <w:pStyle w:val="Compact"/>
            </w:pPr>
            <m:oMath>
              <m:r>
                <m:t>π</m:t>
              </m:r>
              <m:r>
                <m:rPr>
                  <m:sty m:val="p"/>
                </m:rPr>
                <m:t>(</m:t>
              </m:r>
              <m:r>
                <m:t>0</m:t>
              </m:r>
              <m:r>
                <m:rPr>
                  <m:sty m:val="p"/>
                </m:rPr>
                <m:t>)</m:t>
              </m:r>
              <m:r>
                <m:rPr>
                  <m:sty m:val="p"/>
                </m:rPr>
                <m:t>=</m:t>
              </m:r>
              <m:r>
                <m:t>6</m:t>
              </m:r>
              <m:r>
                <m:rPr>
                  <m:sty m:val="p"/>
                </m:rPr>
                <m:t>,</m:t>
              </m:r>
              <m:r>
                <m:t>675</m:t>
              </m:r>
            </m:oMath>
            <w:r>
              <w:rPr>
                <w:sz w:val="18"/>
              </w:rPr>
              <w:t xml:space="preserve"> </w:t>
            </w:r>
            <w:r>
              <w:rPr>
                <w:rFonts w:hint="eastAsia"/>
                <w:sz w:val="18"/>
              </w:rPr>
              <w:t xml:space="preserve">円/kW-年</w:t>
            </w:r>
          </w:p>
        </w:tc>
        <w:tc>
          <w:tcPr/>
          <w:p>
            <w:pPr>
              <w:pStyle w:val="Compact"/>
            </w:pPr>
            <w:r>
              <w:rPr>
                <w:rFonts w:hint="eastAsia"/>
                <w:sz w:val="18"/>
              </w:rPr>
              <w:t xml:space="preserve">式(4.4)</w:t>
            </w:r>
          </w:p>
        </w:tc>
      </w:tr>
      <w:tr>
        <w:tc>
          <w:tcPr/>
          <w:p>
            <w:pPr>
              <w:pStyle w:val="Compact"/>
            </w:pPr>
            <m:oMath>
              <m:r>
                <m:t>a</m:t>
              </m:r>
            </m:oMath>
            <w:r>
              <w:rPr>
                <w:sz w:val="18"/>
              </w:rPr>
              <w:t xml:space="preserve">,</w:t>
            </w:r>
            <w:r>
              <w:rPr>
                <w:sz w:val="18"/>
              </w:rPr>
              <w:t xml:space="preserve"> </w:t>
            </w:r>
            <m:oMath>
              <m:r>
                <m:t>a</m:t>
              </m:r>
              <m:r>
                <m:rPr>
                  <m:sty m:val="p"/>
                </m:rPr>
                <m:t>(</m:t>
              </m:r>
              <m:r>
                <m:t>K</m:t>
              </m:r>
              <m:r>
                <m:rPr>
                  <m:sty m:val="p"/>
                </m:rPr>
                <m:t>)</m:t>
              </m:r>
            </m:oMath>
          </w:p>
        </w:tc>
        <w:tc>
          <w:tcPr/>
          <w:p>
            <w:pPr>
              <w:pStyle w:val="Compact"/>
            </w:pPr>
            <w:r>
              <w:rPr>
                <w:rFonts w:hint="eastAsia"/>
                <w:sz w:val="18"/>
              </w:rPr>
              <w:t xml:space="preserve">限界参入者の粗収益</w:t>
            </w:r>
            <w:r>
              <w:rPr>
                <w:sz w:val="18"/>
              </w:rPr>
              <w:t xml:space="preserve"> </w:t>
            </w:r>
            <m:oMath>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rPr>
                <w:sz w:val="18"/>
              </w:rPr>
              <w:t xml:space="preserve">。</w:t>
            </w:r>
            <m:oMath>
              <m:r>
                <m:t>a</m:t>
              </m:r>
              <m:r>
                <m:rPr>
                  <m:sty m:val="p"/>
                </m:rPr>
                <m:t>=</m:t>
              </m:r>
              <m:r>
                <m:t>a</m:t>
              </m:r>
              <m:r>
                <m:rPr>
                  <m:sty m:val="p"/>
                </m:rPr>
                <m:t>(</m:t>
              </m:r>
              <m:r>
                <m:t>0</m:t>
              </m:r>
              <m:r>
                <m:rPr>
                  <m:sty m:val="p"/>
                </m:rPr>
                <m:t>)</m:t>
              </m:r>
            </m:oMath>
          </w:p>
        </w:tc>
        <w:tc>
          <w:tcPr/>
          <w:p>
            <w:pPr>
              <w:pStyle w:val="Compact"/>
            </w:pPr>
            <m:oMath>
              <m:r>
                <m:t>a</m:t>
              </m:r>
              <m:r>
                <m:rPr>
                  <m:sty m:val="p"/>
                </m:rPr>
                <m:t>=</m:t>
              </m:r>
              <m:r>
                <m:t>8</m:t>
              </m:r>
              <m:r>
                <m:rPr>
                  <m:sty m:val="p"/>
                </m:rPr>
                <m:t>,</m:t>
              </m:r>
              <m:r>
                <m:t>427</m:t>
              </m:r>
            </m:oMath>
            <w:r>
              <w:rPr>
                <w:sz w:val="18"/>
              </w:rPr>
              <w:t xml:space="preserve"> </w:t>
            </w:r>
            <w:r>
              <w:rPr>
                <w:rFonts w:hint="eastAsia"/>
                <w:sz w:val="18"/>
              </w:rPr>
              <w:t xml:space="preserve">円/kW-年</w:t>
            </w:r>
          </w:p>
        </w:tc>
        <w:tc>
          <w:tcPr/>
          <w:p>
            <w:pPr>
              <w:pStyle w:val="Compact"/>
            </w:pPr>
            <w:r>
              <w:rPr>
                <w:rFonts w:hint="eastAsia"/>
                <w:sz w:val="18"/>
              </w:rPr>
              <w:t xml:space="preserve">7.1.4項、式(4.8)</w:t>
            </w:r>
          </w:p>
        </w:tc>
      </w:tr>
      <w:tr>
        <w:tc>
          <w:tcPr/>
          <w:p>
            <w:pPr>
              <w:pStyle w:val="Compact"/>
            </w:pPr>
            <m:oMath>
              <m:r>
                <m:t>Q</m:t>
              </m:r>
            </m:oMath>
          </w:p>
        </w:tc>
        <w:tc>
          <w:tcPr/>
          <w:p>
            <w:pPr>
              <w:pStyle w:val="Compact"/>
            </w:pPr>
            <w:r>
              <w:rPr>
                <w:rFonts w:hint="eastAsia"/>
                <w:sz w:val="18"/>
              </w:rPr>
              <w:t xml:space="preserve">北海道の需給調整市場の調達量</w:t>
            </w:r>
          </w:p>
        </w:tc>
        <w:tc>
          <w:tcPr/>
          <w:p>
            <w:pPr>
              <w:pStyle w:val="Compact"/>
            </w:pPr>
            <w:r>
              <w:rPr>
                <w:rFonts w:hint="eastAsia"/>
                <w:sz w:val="18"/>
              </w:rPr>
              <w:t xml:space="preserve">万kW</w:t>
            </w:r>
          </w:p>
        </w:tc>
        <w:tc>
          <w:tcPr/>
          <w:p>
            <w:pPr>
              <w:pStyle w:val="Compact"/>
            </w:pPr>
            <w:r>
              <w:rPr>
                <w:rFonts w:hint="eastAsia"/>
                <w:sz w:val="18"/>
              </w:rPr>
              <w:t xml:space="preserve">7.6節</w:t>
            </w:r>
          </w:p>
        </w:tc>
      </w:tr>
      <w:tr>
        <w:tc>
          <w:tcPr/>
          <w:p>
            <w:pPr>
              <w:pStyle w:val="Compact"/>
            </w:pPr>
            <m:oMath>
              <m:sSub>
                <m:e>
                  <m:r>
                    <m:t>p</m:t>
                  </m:r>
                </m:e>
                <m:sub>
                  <m:r>
                    <m:rPr>
                      <m:sty m:val="p"/>
                    </m:rPr>
                    <m:t>Δ</m:t>
                  </m:r>
                </m:sub>
              </m:sSub>
            </m:oMath>
          </w:p>
        </w:tc>
        <w:tc>
          <w:tcPr/>
          <w:p>
            <w:pPr>
              <w:pStyle w:val="Compact"/>
            </w:pPr>
            <w:r>
              <w:rPr>
                <w:rFonts w:hint="eastAsia"/>
                <w:sz w:val="18"/>
              </w:rPr>
              <w:t xml:space="preserve">需給調整市場の</w:t>
            </w:r>
            <w:r>
              <w:rPr>
                <w:sz w:val="18"/>
              </w:rPr>
              <w:t xml:space="preserve"> ΔkW </w:t>
            </w:r>
            <w:r>
              <w:rPr>
                <w:rFonts w:hint="eastAsia"/>
                <w:sz w:val="18"/>
              </w:rPr>
              <w:t xml:space="preserve">価格</w:t>
            </w:r>
          </w:p>
        </w:tc>
        <w:tc>
          <w:tcPr/>
          <w:p>
            <w:pPr>
              <w:pStyle w:val="Compact"/>
            </w:pPr>
            <w:r>
              <w:rPr>
                <w:rFonts w:hint="eastAsia"/>
                <w:sz w:val="18"/>
              </w:rPr>
              <w:t xml:space="preserve">円/ΔkW・30分</w:t>
            </w:r>
          </w:p>
        </w:tc>
        <w:tc>
          <w:tcPr/>
          <w:p>
            <w:pPr>
              <w:pStyle w:val="Compact"/>
            </w:pPr>
            <w:r>
              <w:rPr>
                <w:rFonts w:hint="eastAsia"/>
                <w:sz w:val="18"/>
              </w:rPr>
              <w:t xml:space="preserve">7.6節</w:t>
            </w:r>
          </w:p>
        </w:tc>
      </w:tr>
    </w:tbl>
    <w:p>
      <w:pPr>
        <w:pStyle w:val="BodyText"/>
      </w:pPr>
      <w:r>
        <w:rPr>
          <w:rFonts w:hint="eastAsia"/>
          <w:b/>
          <w:bCs/>
        </w:rPr>
        <w:t xml:space="preserve">費用と均衡条件（第4章・第7章・第8章）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sSub>
                <m:e>
                  <m:r>
                    <m:t>P</m:t>
                  </m:r>
                </m:e>
                <m:sub>
                  <m:r>
                    <m:rPr>
                      <m:sty m:val="p"/>
                    </m:rPr>
                    <m:t>c</m:t>
                  </m:r>
                  <m:r>
                    <m:rPr>
                      <m:sty m:val="p"/>
                    </m:rPr>
                    <m:t>a</m:t>
                  </m:r>
                  <m:r>
                    <m:rPr>
                      <m:sty m:val="p"/>
                    </m:rPr>
                    <m:t>p</m:t>
                  </m:r>
                </m:sub>
              </m:sSub>
            </m:oMath>
          </w:p>
        </w:tc>
        <w:tc>
          <w:tcPr/>
          <w:p>
            <w:pPr>
              <w:pStyle w:val="Compact"/>
            </w:pPr>
            <w:r>
              <w:rPr>
                <w:rFonts w:hint="eastAsia"/>
                <w:sz w:val="18"/>
              </w:rPr>
              <w:t xml:space="preserve">容量市場の約定価格</w:t>
            </w:r>
          </w:p>
        </w:tc>
        <w:tc>
          <w:tcPr/>
          <w:p>
            <w:pPr>
              <w:pStyle w:val="Compact"/>
            </w:pPr>
            <w:r>
              <w:rPr>
                <w:rFonts w:hint="eastAsia"/>
                <w:sz w:val="18"/>
              </w:rPr>
              <w:t xml:space="preserve">2029年度向け北海道で14,972円/kW</w:t>
            </w:r>
          </w:p>
        </w:tc>
        <w:tc>
          <w:tcPr/>
          <w:p>
            <w:pPr>
              <w:pStyle w:val="Compact"/>
            </w:pPr>
            <w:r>
              <w:rPr>
                <w:rFonts w:hint="eastAsia"/>
                <w:sz w:val="18"/>
              </w:rPr>
              <w:t xml:space="preserve">4.2.5項</w:t>
            </w:r>
          </w:p>
        </w:tc>
      </w:tr>
      <w:tr>
        <w:tc>
          <w:tcPr/>
          <w:p>
            <w:pPr>
              <w:pStyle w:val="Compact"/>
            </w:pPr>
            <m:oMath>
              <m:r>
                <m:t>κ</m:t>
              </m:r>
            </m:oMath>
            <w:r>
              <w:rPr>
                <w:sz w:val="18"/>
              </w:rPr>
              <w:t xml:space="preserve">,</w:t>
            </w:r>
            <w:r>
              <w:rPr>
                <w:sz w:val="18"/>
              </w:rPr>
              <w:t xml:space="preserve"> </w:t>
            </w:r>
            <m:oMath>
              <m:r>
                <m:t>κ</m:t>
              </m:r>
              <m:r>
                <m:rPr>
                  <m:sty m:val="p"/>
                </m:rPr>
                <m:t>(</m:t>
              </m:r>
              <m:r>
                <m:t>h</m:t>
              </m:r>
              <m:r>
                <m:rPr>
                  <m:sty m:val="p"/>
                </m:rPr>
                <m:t>)</m:t>
              </m:r>
            </m:oMath>
          </w:p>
        </w:tc>
        <w:tc>
          <w:tcPr/>
          <w:p>
            <w:pPr>
              <w:pStyle w:val="Compact"/>
            </w:pPr>
            <w:r>
              <w:rPr>
                <w:rFonts w:hint="eastAsia"/>
                <w:sz w:val="18"/>
              </w:rPr>
              <w:t xml:space="preserve">容量市場の調整係数（設備容量から期待容量への換算）。</w:t>
            </w:r>
            <m:oMath>
              <m:r>
                <m:t>κ</m:t>
              </m:r>
              <m:r>
                <m:rPr>
                  <m:sty m:val="p"/>
                </m:rPr>
                <m:t>(</m:t>
              </m:r>
              <m:r>
                <m:t>h</m:t>
              </m:r>
              <m:r>
                <m:rPr>
                  <m:sty m:val="p"/>
                </m:rPr>
                <m:t>)</m:t>
              </m:r>
            </m:oMath>
            <w:r>
              <w:rPr>
                <w:sz w:val="18"/>
              </w:rPr>
              <w:t xml:space="preserve"> </w:t>
            </w:r>
            <w:r>
              <w:rPr>
                <w:rFonts w:hint="eastAsia"/>
                <w:sz w:val="18"/>
              </w:rPr>
              <w:t xml:space="preserve">は放電の持続時間</w:t>
            </w:r>
            <w:r>
              <w:rPr>
                <w:sz w:val="18"/>
              </w:rPr>
              <w:t xml:space="preserve"> </w:t>
            </w:r>
            <m:oMath>
              <m:r>
                <m:t>h</m:t>
              </m:r>
            </m:oMath>
            <w:r>
              <w:rPr>
                <w:sz w:val="18"/>
              </w:rPr>
              <w:t xml:space="preserve"> </w:t>
            </w:r>
            <w:r>
              <w:rPr>
                <w:rFonts w:hint="eastAsia"/>
                <w:sz w:val="18"/>
              </w:rPr>
              <w:t xml:space="preserve">時間の蓄電池の値</w:t>
            </w:r>
          </w:p>
        </w:tc>
        <w:tc>
          <w:tcPr/>
          <w:p>
            <w:pPr>
              <w:pStyle w:val="Compact"/>
            </w:pPr>
            <w:r>
              <w:rPr>
                <w:rFonts w:hint="eastAsia"/>
                <w:sz w:val="18"/>
              </w:rPr>
              <w:t xml:space="preserve">北海道・4時間で0.836</w:t>
            </w:r>
          </w:p>
        </w:tc>
        <w:tc>
          <w:tcPr/>
          <w:p>
            <w:pPr>
              <w:pStyle w:val="Compact"/>
            </w:pPr>
            <w:r>
              <w:rPr>
                <w:rFonts w:hint="eastAsia"/>
                <w:sz w:val="18"/>
              </w:rPr>
              <w:t xml:space="preserve">4.2.5項、第6章</w:t>
            </w:r>
          </w:p>
        </w:tc>
      </w:tr>
      <w:tr>
        <w:tc>
          <w:tcPr/>
          <w:p>
            <w:pPr>
              <w:pStyle w:val="Compact"/>
            </w:pPr>
            <m:oMath>
              <m:r>
                <m:t>κ</m:t>
              </m:r>
              <m:sSub>
                <m:e>
                  <m:r>
                    <m:t>P</m:t>
                  </m:r>
                </m:e>
                <m:sub>
                  <m:r>
                    <m:rPr>
                      <m:sty m:val="p"/>
                    </m:rPr>
                    <m:t>c</m:t>
                  </m:r>
                  <m:r>
                    <m:rPr>
                      <m:sty m:val="p"/>
                    </m:rPr>
                    <m:t>a</m:t>
                  </m:r>
                  <m:r>
                    <m:rPr>
                      <m:sty m:val="p"/>
                    </m:rPr>
                    <m:t>p</m:t>
                  </m:r>
                </m:sub>
              </m:sSub>
            </m:oMath>
          </w:p>
        </w:tc>
        <w:tc>
          <w:tcPr/>
          <w:p>
            <w:pPr>
              <w:pStyle w:val="Compact"/>
            </w:pPr>
            <w:r>
              <w:rPr>
                <w:rFonts w:hint="eastAsia"/>
                <w:sz w:val="18"/>
              </w:rPr>
              <w:t xml:space="preserve">実効容量収入</w:t>
            </w:r>
          </w:p>
        </w:tc>
        <w:tc>
          <w:tcPr/>
          <w:p>
            <w:pPr>
              <w:pStyle w:val="Compact"/>
            </w:pPr>
            <w:r>
              <w:rPr>
                <w:rFonts w:hint="eastAsia"/>
                <w:sz w:val="18"/>
              </w:rPr>
              <w:t xml:space="preserve">12,517円/kW-年（損益分岐の計算では1.25万円）</w:t>
            </w:r>
          </w:p>
        </w:tc>
        <w:tc>
          <w:tcPr/>
          <w:p>
            <w:pPr>
              <w:pStyle w:val="Compact"/>
            </w:pPr>
            <w:r>
              <w:rPr>
                <w:rFonts w:hint="eastAsia"/>
                <w:sz w:val="18"/>
              </w:rPr>
              <w:t xml:space="preserve">式(4.5)</w:t>
            </w:r>
          </w:p>
        </w:tc>
      </w:tr>
      <w:tr>
        <w:tc>
          <w:tcPr/>
          <w:p>
            <w:pPr>
              <w:pStyle w:val="Compact"/>
            </w:pPr>
            <m:oMath>
              <m:sSub>
                <m:e>
                  <m:r>
                    <m:t>c</m:t>
                  </m:r>
                </m:e>
                <m:sub>
                  <m:r>
                    <m:rPr>
                      <m:sty m:val="p"/>
                    </m:rPr>
                    <m:t>r</m:t>
                  </m:r>
                  <m:r>
                    <m:rPr>
                      <m:sty m:val="p"/>
                    </m:rPr>
                    <m:t>e</m:t>
                  </m:r>
                  <m:r>
                    <m:rPr>
                      <m:sty m:val="p"/>
                    </m:rPr>
                    <m:t>q</m:t>
                  </m:r>
                </m:sub>
              </m:sSub>
            </m:oMath>
          </w:p>
        </w:tc>
        <w:tc>
          <w:tcPr/>
          <w:p>
            <w:pPr>
              <w:pStyle w:val="Compact"/>
            </w:pPr>
            <w:r>
              <w:rPr>
                <w:rFonts w:hint="eastAsia"/>
                <w:sz w:val="18"/>
              </w:rPr>
              <w:t xml:space="preserve">参入必要収益</w:t>
            </w:r>
          </w:p>
        </w:tc>
        <w:tc>
          <w:tcPr/>
          <w:p>
            <w:pPr>
              <w:pStyle w:val="Compact"/>
            </w:pPr>
            <m:oMath>
              <m:r>
                <m:t>r</m:t>
              </m:r>
              <m:r>
                <m:rPr>
                  <m:sty m:val="p"/>
                </m:rPr>
                <m:t>=</m:t>
              </m:r>
              <m:r>
                <m:t>6</m:t>
              </m:r>
              <m:r>
                <m:rPr>
                  <m:sty m:val="p"/>
                </m:rPr>
                <m:t>%</m:t>
              </m:r>
            </m:oMath>
            <w:r>
              <w:rPr>
                <w:sz w:val="18"/>
              </w:rPr>
              <w:t xml:space="preserve"> </w:t>
            </w:r>
            <w:r>
              <w:rPr>
                <w:rFonts w:hint="eastAsia"/>
                <w:sz w:val="18"/>
              </w:rPr>
              <w:t xml:space="preserve">で3.59万円/kW-年</w:t>
            </w:r>
          </w:p>
        </w:tc>
        <w:tc>
          <w:tcPr/>
          <w:p>
            <w:pPr>
              <w:pStyle w:val="Compact"/>
            </w:pPr>
            <w:r>
              <w:rPr>
                <w:rFonts w:hint="eastAsia"/>
                <w:sz w:val="18"/>
              </w:rPr>
              <w:t xml:space="preserve">式(4.6)</w:t>
            </w:r>
          </w:p>
        </w:tc>
      </w:tr>
      <w:tr>
        <w:tc>
          <w:tcPr/>
          <w:p>
            <w:pPr>
              <w:pStyle w:val="Compact"/>
            </w:pPr>
            <m:oMath>
              <m:sSub>
                <m:e>
                  <m:r>
                    <m:t>c</m:t>
                  </m:r>
                </m:e>
                <m:sub>
                  <m:r>
                    <m:rPr>
                      <m:sty m:val="p"/>
                    </m:rPr>
                    <m:t>f</m:t>
                  </m:r>
                  <m:r>
                    <m:rPr>
                      <m:sty m:val="p"/>
                    </m:rPr>
                    <m:t>i</m:t>
                  </m:r>
                  <m:r>
                    <m:rPr>
                      <m:sty m:val="p"/>
                    </m:rPr>
                    <m:t>x</m:t>
                  </m:r>
                </m:sub>
              </m:sSub>
            </m:oMath>
          </w:p>
        </w:tc>
        <w:tc>
          <w:tcPr/>
          <w:p>
            <w:pPr>
              <w:pStyle w:val="Compact"/>
            </w:pPr>
            <w:r>
              <w:rPr>
                <w:rFonts w:hint="eastAsia"/>
                <w:sz w:val="18"/>
              </w:rPr>
              <w:t xml:space="preserve">年々の固定費（運転維持・廃止と託送等の固定費）</w:t>
            </w:r>
          </w:p>
        </w:tc>
        <w:tc>
          <w:tcPr/>
          <w:p>
            <w:pPr>
              <w:pStyle w:val="Compact"/>
            </w:pPr>
            <w:r>
              <w:rPr>
                <w:rFonts w:hint="eastAsia"/>
                <w:sz w:val="18"/>
              </w:rPr>
              <w:t xml:space="preserve">1.22万円/kW-年</w:t>
            </w:r>
          </w:p>
        </w:tc>
        <w:tc>
          <w:tcPr/>
          <w:p>
            <w:pPr>
              <w:pStyle w:val="Compact"/>
            </w:pPr>
            <w:r>
              <w:rPr>
                <w:rFonts w:hint="eastAsia"/>
                <w:sz w:val="18"/>
              </w:rPr>
              <w:t xml:space="preserve">式(4.6)</w:t>
            </w:r>
          </w:p>
        </w:tc>
      </w:tr>
      <w:tr>
        <w:tc>
          <w:tcPr/>
          <w:p>
            <w:pPr>
              <w:pStyle w:val="Compact"/>
            </w:pPr>
            <m:oMath>
              <m:r>
                <m:t>I</m:t>
              </m:r>
            </m:oMath>
          </w:p>
        </w:tc>
        <w:tc>
          <w:tcPr/>
          <w:p>
            <w:pPr>
              <w:pStyle w:val="Compact"/>
            </w:pPr>
            <w:r>
              <w:rPr>
                <w:rFonts w:hint="eastAsia"/>
                <w:sz w:val="18"/>
              </w:rPr>
              <w:t xml:space="preserve">4時間分の資本費</w:t>
            </w:r>
          </w:p>
        </w:tc>
        <w:tc>
          <w:tcPr/>
          <w:p>
            <w:pPr>
              <w:pStyle w:val="Compact"/>
            </w:pPr>
            <w:r>
              <w:rPr>
                <w:rFonts w:hint="eastAsia"/>
                <w:sz w:val="18"/>
              </w:rPr>
              <w:t xml:space="preserve">27.2万円/kW（6.8万円/kWh×4）</w:t>
            </w:r>
          </w:p>
        </w:tc>
        <w:tc>
          <w:tcPr/>
          <w:p>
            <w:pPr>
              <w:pStyle w:val="Compact"/>
            </w:pPr>
            <w:r>
              <w:rPr>
                <w:rFonts w:hint="eastAsia"/>
                <w:sz w:val="18"/>
              </w:rPr>
              <w:t xml:space="preserve">式(4.6)</w:t>
            </w:r>
          </w:p>
        </w:tc>
      </w:tr>
      <w:tr>
        <w:tc>
          <w:tcPr/>
          <w:p>
            <w:pPr>
              <w:pStyle w:val="Compact"/>
            </w:pPr>
            <m:oMath>
              <m:r>
                <m:t>r</m:t>
              </m:r>
            </m:oMath>
          </w:p>
        </w:tc>
        <w:tc>
          <w:tcPr/>
          <w:p>
            <w:pPr>
              <w:pStyle w:val="Compact"/>
            </w:pPr>
            <w:r>
              <w:rPr>
                <w:rFonts w:hint="eastAsia"/>
                <w:sz w:val="18"/>
              </w:rPr>
              <w:t xml:space="preserve">割引率（加重平均資本コスト）</w:t>
            </w:r>
          </w:p>
        </w:tc>
        <w:tc>
          <w:tcPr/>
          <w:p>
            <w:pPr>
              <w:pStyle w:val="Compact"/>
            </w:pPr>
            <w:r>
              <w:rPr>
                <w:rFonts w:hint="eastAsia"/>
                <w:sz w:val="18"/>
              </w:rPr>
              <w:t xml:space="preserve">主は6%</w:t>
            </w:r>
          </w:p>
        </w:tc>
        <w:tc>
          <w:tcPr/>
          <w:p>
            <w:pPr>
              <w:pStyle w:val="Compact"/>
            </w:pPr>
            <w:r>
              <w:rPr>
                <w:rFonts w:hint="eastAsia"/>
                <w:sz w:val="18"/>
              </w:rPr>
              <w:t xml:space="preserve">式(4.6)</w:t>
            </w:r>
          </w:p>
        </w:tc>
      </w:tr>
      <w:tr>
        <w:tc>
          <w:tcPr/>
          <w:p>
            <w:pPr>
              <w:pStyle w:val="Compact"/>
            </w:pPr>
            <m:oMath>
              <m:r>
                <m:rPr>
                  <m:sty m:val="p"/>
                </m:rPr>
                <m:t>C</m:t>
              </m:r>
              <m:r>
                <m:rPr>
                  <m:sty m:val="p"/>
                </m:rPr>
                <m:t>R</m:t>
              </m:r>
              <m:r>
                <m:rPr>
                  <m:sty m:val="p"/>
                </m:rPr>
                <m:t>F</m:t>
              </m:r>
              <m:r>
                <m:rPr>
                  <m:sty m:val="p"/>
                </m:rPr>
                <m:t>(</m:t>
              </m:r>
              <m:r>
                <m:t>r</m:t>
              </m:r>
              <m:r>
                <m:rPr>
                  <m:sty m:val="p"/>
                </m:rPr>
                <m:t>,</m:t>
              </m:r>
              <m:r>
                <m:t>20</m:t>
              </m:r>
              <m:r>
                <m:rPr>
                  <m:sty m:val="p"/>
                </m:rPr>
                <m:t>)</m:t>
              </m:r>
            </m:oMath>
          </w:p>
        </w:tc>
        <w:tc>
          <w:tcPr/>
          <w:p>
            <w:pPr>
              <w:pStyle w:val="Compact"/>
            </w:pPr>
            <w:r>
              <w:rPr>
                <w:rFonts w:hint="eastAsia"/>
                <w:sz w:val="18"/>
              </w:rPr>
              <w:t xml:space="preserve">割引率</w:t>
            </w:r>
            <w:r>
              <w:rPr>
                <w:sz w:val="18"/>
              </w:rPr>
              <w:t xml:space="preserve"> </w:t>
            </w:r>
            <m:oMath>
              <m:r>
                <m:t>r</m:t>
              </m:r>
            </m:oMath>
            <w:r>
              <w:rPr>
                <w:rFonts w:hint="eastAsia"/>
                <w:sz w:val="18"/>
              </w:rPr>
              <w:t xml:space="preserve">・寿命20年の資本回収係数</w:t>
            </w:r>
            <w:r>
              <w:rPr>
                <w:sz w:val="18"/>
              </w:rPr>
              <w:t xml:space="preserve"> </w:t>
            </w:r>
            <m:oMath>
              <m:r>
                <m:t>r</m:t>
              </m:r>
              <m:r>
                <m:rPr>
                  <m:sty m:val="p"/>
                </m:rPr>
                <m:t>/</m:t>
              </m:r>
              <m:r>
                <m:rPr>
                  <m:sty m:val="p"/>
                </m:rPr>
                <m:t>[</m:t>
              </m:r>
              <m:r>
                <m:t>1</m:t>
              </m:r>
              <m:r>
                <m:rPr>
                  <m:sty m:val="p"/>
                </m:rPr>
                <m:t>−</m:t>
              </m:r>
              <m:r>
                <m:rPr>
                  <m:sty m:val="p"/>
                </m:rPr>
                <m:t>(</m:t>
              </m:r>
              <m:r>
                <m:t>1</m:t>
              </m:r>
              <m:r>
                <m:rPr>
                  <m:sty m:val="p"/>
                </m:rPr>
                <m:t>+</m:t>
              </m:r>
              <m:r>
                <m:t>r</m:t>
              </m:r>
              <m:sSup>
                <m:e>
                  <m:r>
                    <m:rPr>
                      <m:sty m:val="p"/>
                    </m:rPr>
                    <m:t>)</m:t>
                  </m:r>
                </m:e>
                <m:sup>
                  <m:r>
                    <m:rPr>
                      <m:sty m:val="p"/>
                    </m:rPr>
                    <m:t>−</m:t>
                  </m:r>
                  <m:r>
                    <m:t>20</m:t>
                  </m:r>
                </m:sup>
              </m:sSup>
              <m:r>
                <m:rPr>
                  <m:sty m:val="p"/>
                </m:rPr>
                <m:t>]</m:t>
              </m:r>
            </m:oMath>
          </w:p>
        </w:tc>
        <w:tc>
          <w:tcPr/>
          <w:p>
            <w:pPr>
              <w:pStyle w:val="Compact"/>
            </w:pPr>
            <w:r>
              <w:rPr>
                <w:sz w:val="18"/>
              </w:rPr>
              <w:t xml:space="preserve">—</w:t>
            </w:r>
          </w:p>
        </w:tc>
        <w:tc>
          <w:tcPr/>
          <w:p>
            <w:pPr>
              <w:pStyle w:val="Compact"/>
            </w:pPr>
            <w:r>
              <w:rPr>
                <w:rFonts w:hint="eastAsia"/>
                <w:sz w:val="18"/>
              </w:rPr>
              <w:t xml:space="preserve">式(4.6)</w:t>
            </w:r>
          </w:p>
        </w:tc>
      </w:tr>
      <w:tr>
        <w:tc>
          <w:tcPr/>
          <w:p>
            <w:pPr>
              <w:pStyle w:val="Compact"/>
            </w:pPr>
            <m:oMath>
              <m:sSup>
                <m:e>
                  <m:r>
                    <m:t>θ</m:t>
                  </m:r>
                </m:e>
                <m:sup>
                  <m:r>
                    <m:rPr>
                      <m:sty m:val="p"/>
                    </m:rPr>
                    <m:t>*</m:t>
                  </m:r>
                </m:sup>
              </m:sSup>
            </m:oMath>
          </w:p>
        </w:tc>
        <w:tc>
          <w:tcPr/>
          <w:p>
            <w:pPr>
              <w:pStyle w:val="Compact"/>
            </w:pPr>
            <m:oMath>
              <m:r>
                <m:t>K</m:t>
              </m:r>
              <m:r>
                <m:rPr>
                  <m:sty m:val="p"/>
                </m:rPr>
                <m:t>=</m:t>
              </m:r>
              <m:r>
                <m:t>0</m:t>
              </m:r>
            </m:oMath>
            <w:r>
              <w:rPr>
                <w:sz w:val="18"/>
              </w:rPr>
              <w:t xml:space="preserve"> </w:t>
            </w:r>
            <w:r>
              <w:rPr>
                <w:rFonts w:hint="eastAsia"/>
                <w:sz w:val="18"/>
              </w:rPr>
              <w:t xml:space="preserve">で限界参入者の</w:t>
            </w:r>
            <w:r>
              <w:rPr>
                <w:sz w:val="18"/>
              </w:rPr>
              <w:t xml:space="preserve"> NPV </w:t>
            </w:r>
            <w:r>
              <w:rPr>
                <w:rFonts w:hint="eastAsia"/>
                <w:sz w:val="18"/>
              </w:rPr>
              <w:t xml:space="preserve">を0にする損益分岐の価格水準係数</w:t>
            </w:r>
          </w:p>
        </w:tc>
        <w:tc>
          <w:tcPr/>
          <w:p>
            <w:pPr>
              <w:pStyle w:val="Compact"/>
            </w:pPr>
            <w:r>
              <w:rPr>
                <w:sz w:val="18"/>
              </w:rPr>
              <w:t xml:space="preserve">WACC 6% で2.99</w:t>
            </w:r>
          </w:p>
        </w:tc>
        <w:tc>
          <w:tcPr/>
          <w:p>
            <w:pPr>
              <w:pStyle w:val="Compact"/>
            </w:pPr>
            <w:r>
              <w:rPr>
                <w:rFonts w:hint="eastAsia"/>
                <w:sz w:val="18"/>
              </w:rPr>
              <w:t xml:space="preserve">式(4.8)</w:t>
            </w:r>
          </w:p>
        </w:tc>
      </w:tr>
      <w:tr>
        <w:tc>
          <w:tcPr/>
          <w:p>
            <w:pPr>
              <w:pStyle w:val="Compact"/>
            </w:pPr>
            <m:oMath>
              <m:r>
                <m:t>F</m:t>
              </m:r>
            </m:oMath>
          </w:p>
        </w:tc>
        <w:tc>
          <w:tcPr/>
          <w:p>
            <w:pPr>
              <w:pStyle w:val="Compact"/>
            </w:pPr>
            <w:r>
              <w:rPr>
                <w:rFonts w:hint="eastAsia"/>
                <w:sz w:val="18"/>
              </w:rPr>
              <w:t xml:space="preserve">純固定費</w:t>
            </w:r>
            <w:r>
              <w:rPr>
                <w:sz w:val="18"/>
              </w:rPr>
              <w:t xml:space="preserve"> </w:t>
            </w:r>
            <m:oMath>
              <m:sSub>
                <m:e>
                  <m:r>
                    <m:t>c</m:t>
                  </m:r>
                </m:e>
                <m:sub>
                  <m:r>
                    <m:rPr>
                      <m:sty m:val="p"/>
                    </m:rPr>
                    <m:t>f</m:t>
                  </m:r>
                  <m:r>
                    <m:rPr>
                      <m:sty m:val="p"/>
                    </m:rPr>
                    <m:t>i</m:t>
                  </m:r>
                  <m:r>
                    <m:rPr>
                      <m:sty m:val="p"/>
                    </m:rPr>
                    <m:t>x</m:t>
                  </m:r>
                </m:sub>
              </m:sSub>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oMath>
          </w:p>
        </w:tc>
        <w:tc>
          <w:tcPr/>
          <w:p>
            <w:pPr>
              <w:pStyle w:val="Compact"/>
            </w:pPr>
            <w:r>
              <w:rPr>
                <w:rFonts w:hint="eastAsia"/>
                <w:sz w:val="18"/>
              </w:rPr>
              <w:t xml:space="preserve">1,452円/kW-年</w:t>
            </w:r>
          </w:p>
        </w:tc>
        <w:tc>
          <w:tcPr/>
          <w:p>
            <w:pPr>
              <w:pStyle w:val="Compact"/>
            </w:pPr>
            <w:r>
              <w:rPr>
                <w:rFonts w:hint="eastAsia"/>
                <w:sz w:val="18"/>
              </w:rPr>
              <w:t xml:space="preserve">7.1.4項</w:t>
            </w:r>
          </w:p>
        </w:tc>
      </w:tr>
      <w:tr>
        <w:tc>
          <w:tcPr/>
          <w:p>
            <w:pPr>
              <w:pStyle w:val="Compact"/>
            </w:pPr>
            <m:oMath>
              <m:sSub>
                <m:e>
                  <m:r>
                    <m:rPr>
                      <m:sty m:val="p"/>
                    </m:rPr>
                    <m:t>C</m:t>
                  </m:r>
                  <m:r>
                    <m:rPr>
                      <m:sty m:val="p"/>
                    </m:rPr>
                    <m:t>F</m:t>
                  </m:r>
                </m:e>
                <m:sub>
                  <m:r>
                    <m:t>t</m:t>
                  </m:r>
                </m:sub>
              </m:sSub>
            </m:oMath>
          </w:p>
        </w:tc>
        <w:tc>
          <w:tcPr/>
          <w:p>
            <w:pPr>
              <w:pStyle w:val="Compact"/>
            </w:pPr>
            <w:r>
              <w:rPr>
                <w:rFonts w:hint="eastAsia"/>
                <w:sz w:val="18"/>
              </w:rPr>
              <w:t xml:space="preserve">年</w:t>
            </w:r>
            <w:r>
              <w:rPr>
                <w:sz w:val="18"/>
              </w:rPr>
              <w:t xml:space="preserve"> </w:t>
            </w:r>
            <m:oMath>
              <m:r>
                <m:t>t</m:t>
              </m:r>
            </m:oMath>
            <w:r>
              <w:rPr>
                <w:sz w:val="18"/>
              </w:rPr>
              <w:t xml:space="preserve"> </w:t>
            </w:r>
            <w:r>
              <w:rPr>
                <w:sz w:val="18"/>
              </w:rPr>
              <w:t xml:space="preserve">のキャッシュフロー</w:t>
            </w:r>
          </w:p>
        </w:tc>
        <w:tc>
          <w:tcPr/>
          <w:p>
            <w:pPr>
              <w:pStyle w:val="Compact"/>
            </w:pPr>
            <w:r>
              <w:rPr>
                <w:rFonts w:hint="eastAsia"/>
                <w:sz w:val="18"/>
              </w:rPr>
              <w:t xml:space="preserve">円/kW-年</w:t>
            </w:r>
          </w:p>
        </w:tc>
        <w:tc>
          <w:tcPr/>
          <w:p>
            <w:pPr>
              <w:pStyle w:val="Compact"/>
            </w:pPr>
            <w:r>
              <w:rPr>
                <w:rFonts w:hint="eastAsia"/>
                <w:sz w:val="18"/>
              </w:rPr>
              <w:t xml:space="preserve">式(7.2)</w:t>
            </w:r>
          </w:p>
        </w:tc>
      </w:tr>
      <w:tr>
        <w:tc>
          <w:tcPr/>
          <w:p>
            <w:pPr>
              <w:pStyle w:val="Compact"/>
            </w:pPr>
            <m:oMath>
              <m:sSub>
                <m:e>
                  <m:r>
                    <m:t>π</m:t>
                  </m:r>
                </m:e>
                <m:sub>
                  <m:r>
                    <m:rPr>
                      <m:sty m:val="p"/>
                    </m:rPr>
                    <m:t>s</m:t>
                  </m:r>
                  <m:r>
                    <m:rPr>
                      <m:sty m:val="p"/>
                    </m:rPr>
                    <m:t>p</m:t>
                  </m:r>
                  <m:r>
                    <m:rPr>
                      <m:sty m:val="p"/>
                    </m:rPr>
                    <m:t>o</m:t>
                  </m:r>
                  <m:r>
                    <m:rPr>
                      <m:sty m:val="p"/>
                    </m:rPr>
                    <m:t>t</m:t>
                  </m:r>
                </m:sub>
              </m:sSub>
            </m:oMath>
            <w:r>
              <w:rPr>
                <w:sz w:val="18"/>
              </w:rPr>
              <w:t xml:space="preserve">,</w:t>
            </w:r>
            <w:r>
              <w:rPr>
                <w:sz w:val="18"/>
              </w:rPr>
              <w:t xml:space="preserve"> </w:t>
            </w:r>
            <m:oMath>
              <m:sSubSup>
                <m:e>
                  <m:r>
                    <m:t>π</m:t>
                  </m:r>
                </m:e>
                <m:sub>
                  <m:r>
                    <m:rPr>
                      <m:sty m:val="p"/>
                    </m:rPr>
                    <m:t>s</m:t>
                  </m:r>
                  <m:r>
                    <m:rPr>
                      <m:sty m:val="p"/>
                    </m:rPr>
                    <m:t>p</m:t>
                  </m:r>
                  <m:r>
                    <m:rPr>
                      <m:sty m:val="p"/>
                    </m:rPr>
                    <m:t>o</m:t>
                  </m:r>
                  <m:r>
                    <m:rPr>
                      <m:sty m:val="p"/>
                    </m:rPr>
                    <m:t>t</m:t>
                  </m:r>
                </m:sub>
                <m:sup>
                  <m:r>
                    <m:rPr>
                      <m:sty m:val="p"/>
                    </m:rPr>
                    <m:t>′</m:t>
                  </m:r>
                </m:sup>
              </m:sSubSup>
            </m:oMath>
          </w:p>
        </w:tc>
        <w:tc>
          <w:tcPr/>
          <w:p>
            <w:pPr>
              <w:pStyle w:val="Compact"/>
            </w:pPr>
            <w:r>
              <w:rPr>
                <w:rFonts w:hint="eastAsia"/>
                <w:sz w:val="18"/>
              </w:rPr>
              <w:t xml:space="preserve">エリア価格でのスポット裁定の収益（系統用、併設）</w:t>
            </w:r>
          </w:p>
        </w:tc>
        <w:tc>
          <w:tcPr/>
          <w:p>
            <w:pPr>
              <w:pStyle w:val="Compact"/>
            </w:pPr>
            <w:r>
              <w:rPr>
                <w:rFonts w:hint="eastAsia"/>
                <w:sz w:val="18"/>
              </w:rPr>
              <w:t xml:space="preserve">円/kW-年</w:t>
            </w:r>
          </w:p>
        </w:tc>
        <w:tc>
          <w:tcPr/>
          <w:p>
            <w:pPr>
              <w:pStyle w:val="Compact"/>
            </w:pPr>
            <w:r>
              <w:rPr>
                <w:rFonts w:hint="eastAsia"/>
                <w:sz w:val="18"/>
              </w:rPr>
              <w:t xml:space="preserve">8.1.2項</w:t>
            </w:r>
          </w:p>
        </w:tc>
      </w:tr>
      <w:tr>
        <w:tc>
          <w:tcPr/>
          <w:p>
            <w:pPr>
              <w:pStyle w:val="Compact"/>
            </w:pPr>
            <m:oMath>
              <m:sSub>
                <m:e>
                  <m:r>
                    <m:t>π</m:t>
                  </m:r>
                </m:e>
                <m:sub>
                  <m:r>
                    <m:rPr>
                      <m:sty m:val="p"/>
                    </m:rPr>
                    <m:t>l</m:t>
                  </m:r>
                  <m:r>
                    <m:rPr>
                      <m:sty m:val="p"/>
                    </m:rPr>
                    <m:t>o</m:t>
                  </m:r>
                  <m:r>
                    <m:rPr>
                      <m:sty m:val="p"/>
                    </m:rPr>
                    <m:t>c</m:t>
                  </m:r>
                  <m:r>
                    <m:rPr>
                      <m:sty m:val="p"/>
                    </m:rPr>
                    <m:t>a</m:t>
                  </m:r>
                  <m:r>
                    <m:rPr>
                      <m:sty m:val="p"/>
                    </m:rPr>
                    <m:t>l</m:t>
                  </m:r>
                </m:sub>
              </m:sSub>
            </m:oMath>
          </w:p>
        </w:tc>
        <w:tc>
          <w:tcPr/>
          <w:p>
            <w:pPr>
              <w:pStyle w:val="Compact"/>
            </w:pPr>
            <w:r>
              <w:rPr>
                <w:rFonts w:hint="eastAsia"/>
                <w:sz w:val="18"/>
              </w:rPr>
              <w:t xml:space="preserve">併設蓄電池の抑制回避の価値（系統から充電する場合に比べた増分）</w:t>
            </w:r>
          </w:p>
        </w:tc>
        <w:tc>
          <w:tcPr/>
          <w:p>
            <w:pPr>
              <w:pStyle w:val="Compact"/>
            </w:pPr>
            <w:r>
              <w:rPr>
                <w:rFonts w:hint="eastAsia"/>
                <w:sz w:val="18"/>
              </w:rPr>
              <w:t xml:space="preserve">円/kW-年</w:t>
            </w:r>
          </w:p>
        </w:tc>
        <w:tc>
          <w:tcPr/>
          <w:p>
            <w:pPr>
              <w:pStyle w:val="Compact"/>
            </w:pPr>
            <w:r>
              <w:rPr>
                <w:rFonts w:hint="eastAsia"/>
                <w:sz w:val="18"/>
              </w:rPr>
              <w:t xml:space="preserve">8.1.2項</w:t>
            </w:r>
          </w:p>
        </w:tc>
      </w:tr>
      <w:tr>
        <w:tc>
          <w:tcPr/>
          <w:p>
            <w:pPr>
              <w:pStyle w:val="Compact"/>
            </w:pPr>
            <m:oMath>
              <m:sSubSup>
                <m:e>
                  <m:r>
                    <m:t>c</m:t>
                  </m:r>
                </m:e>
                <m:sub>
                  <m:r>
                    <m:rPr>
                      <m:sty m:val="p"/>
                    </m:rPr>
                    <m:t>r</m:t>
                  </m:r>
                  <m:r>
                    <m:rPr>
                      <m:sty m:val="p"/>
                    </m:rPr>
                    <m:t>e</m:t>
                  </m:r>
                  <m:r>
                    <m:rPr>
                      <m:sty m:val="p"/>
                    </m:rPr>
                    <m:t>q</m:t>
                  </m:r>
                </m:sub>
                <m:sup>
                  <m:r>
                    <m:rPr>
                      <m:sty m:val="p"/>
                    </m:rPr>
                    <m:t>c</m:t>
                  </m:r>
                  <m:r>
                    <m:rPr>
                      <m:sty m:val="p"/>
                    </m:rPr>
                    <m:t>o</m:t>
                  </m:r>
                </m:sup>
              </m:sSubSup>
            </m:oMath>
          </w:p>
        </w:tc>
        <w:tc>
          <w:tcPr/>
          <w:p>
            <w:pPr>
              <w:pStyle w:val="Compact"/>
            </w:pPr>
            <w:r>
              <w:rPr>
                <w:rFonts w:hint="eastAsia"/>
                <w:sz w:val="18"/>
              </w:rPr>
              <w:t xml:space="preserve">併設蓄電池の参入必要収益</w:t>
            </w:r>
          </w:p>
        </w:tc>
        <w:tc>
          <w:tcPr/>
          <w:p>
            <w:pPr>
              <w:pStyle w:val="Compact"/>
            </w:pPr>
            <w:r>
              <w:rPr>
                <w:rFonts w:hint="eastAsia"/>
                <w:sz w:val="18"/>
              </w:rPr>
              <w:t xml:space="preserve">円/kW-年</w:t>
            </w:r>
          </w:p>
        </w:tc>
        <w:tc>
          <w:tcPr/>
          <w:p>
            <w:pPr>
              <w:pStyle w:val="Compact"/>
            </w:pPr>
            <w:r>
              <w:rPr>
                <w:rFonts w:hint="eastAsia"/>
                <w:sz w:val="18"/>
              </w:rPr>
              <w:t xml:space="preserve">8.1.2項</w:t>
            </w:r>
          </w:p>
        </w:tc>
      </w:tr>
    </w:tbl>
    <w:p>
      <w:pPr>
        <w:pStyle w:val="BodyText"/>
      </w:pPr>
      <w:r>
        <w:rPr>
          <w:rFonts w:hint="eastAsia"/>
          <w:b/>
          <w:bCs/>
        </w:rPr>
        <w:t xml:space="preserve">不確実性と参入閾値（第7章）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r>
                <m:t>ξ</m:t>
              </m:r>
            </m:oMath>
            <w:r>
              <w:rPr>
                <w:sz w:val="18"/>
              </w:rPr>
              <w:t xml:space="preserve">,</w:t>
            </w:r>
            <w:r>
              <w:rPr>
                <w:sz w:val="18"/>
              </w:rPr>
              <w:t xml:space="preserve"> </w:t>
            </w:r>
            <m:oMath>
              <m:r>
                <m:t>χ</m:t>
              </m:r>
            </m:oMath>
          </w:p>
        </w:tc>
        <w:tc>
          <w:tcPr/>
          <w:p>
            <w:pPr>
              <w:pStyle w:val="Compact"/>
            </w:pPr>
            <w:r>
              <w:rPr>
                <w:rFonts w:hint="eastAsia"/>
                <w:sz w:val="18"/>
              </w:rPr>
              <w:t xml:space="preserve">価格水準の恒久成分（ランダムウォーク）と一時成分（AR(1)）</w:t>
            </w:r>
          </w:p>
        </w:tc>
        <w:tc>
          <w:tcPr/>
          <w:p>
            <w:pPr>
              <w:pStyle w:val="Compact"/>
            </w:pPr>
            <w:r>
              <w:rPr>
                <w:rFonts w:hint="eastAsia"/>
                <w:sz w:val="18"/>
              </w:rPr>
              <w:t xml:space="preserve">恒久成分の推定値は1.22（2026年6月）</w:t>
            </w:r>
          </w:p>
        </w:tc>
        <w:tc>
          <w:tcPr/>
          <w:p>
            <w:pPr>
              <w:pStyle w:val="Compact"/>
            </w:pPr>
            <w:r>
              <w:rPr>
                <w:rFonts w:hint="eastAsia"/>
                <w:sz w:val="18"/>
              </w:rPr>
              <w:t xml:space="preserve">7.1.5項</w:t>
            </w:r>
          </w:p>
        </w:tc>
      </w:tr>
      <w:tr>
        <w:tc>
          <w:tcPr/>
          <w:p>
            <w:pPr>
              <w:pStyle w:val="Compact"/>
            </w:pPr>
            <m:oMath>
              <m:sSub>
                <m:e>
                  <m:r>
                    <m:t>σ</m:t>
                  </m:r>
                </m:e>
                <m:sub>
                  <m:r>
                    <m:t>ξ</m:t>
                  </m:r>
                </m:sub>
              </m:sSub>
            </m:oMath>
          </w:p>
        </w:tc>
        <w:tc>
          <w:tcPr/>
          <w:p>
            <w:pPr>
              <w:pStyle w:val="Compact"/>
            </w:pPr>
            <w:r>
              <w:rPr>
                <w:rFonts w:hint="eastAsia"/>
                <w:sz w:val="18"/>
              </w:rPr>
              <w:t xml:space="preserve">恒久成分の革新の標準偏差（年率のボラティリティ）</w:t>
            </w:r>
          </w:p>
        </w:tc>
        <w:tc>
          <w:tcPr/>
          <w:p>
            <w:pPr>
              <w:pStyle w:val="Compact"/>
            </w:pPr>
            <w:r>
              <w:rPr>
                <w:rFonts w:hint="eastAsia"/>
                <w:sz w:val="18"/>
              </w:rPr>
              <w:t xml:space="preserve">推定値は全期間で0.30</w:t>
            </w:r>
          </w:p>
        </w:tc>
        <w:tc>
          <w:tcPr/>
          <w:p>
            <w:pPr>
              <w:pStyle w:val="Compact"/>
            </w:pPr>
            <w:r>
              <w:rPr>
                <w:rFonts w:hint="eastAsia"/>
                <w:sz w:val="18"/>
              </w:rPr>
              <w:t xml:space="preserve">7.8.1項</w:t>
            </w:r>
          </w:p>
        </w:tc>
      </w:tr>
      <w:tr>
        <w:tc>
          <w:tcPr/>
          <w:p>
            <w:pPr>
              <w:pStyle w:val="Compact"/>
            </w:pPr>
            <m:oMath>
              <m:r>
                <m:t>σ</m:t>
              </m:r>
            </m:oMath>
          </w:p>
        </w:tc>
        <w:tc>
          <w:tcPr/>
          <w:p>
            <w:pPr>
              <w:pStyle w:val="Compact"/>
            </w:pPr>
            <w:r>
              <w:rPr>
                <w:rFonts w:hint="eastAsia"/>
                <w:sz w:val="18"/>
              </w:rPr>
              <w:t xml:space="preserve">参入閾値と接続枠の待機価値の計算で</w:t>
            </w:r>
            <w:r>
              <w:rPr>
                <w:sz w:val="18"/>
              </w:rPr>
              <w:t xml:space="preserve"> </w:t>
            </w:r>
            <m:oMath>
              <m:sSub>
                <m:e>
                  <m:r>
                    <m:t>σ</m:t>
                  </m:r>
                </m:e>
                <m:sub>
                  <m:r>
                    <m:t>ξ</m:t>
                  </m:r>
                </m:sub>
              </m:sSub>
            </m:oMath>
            <w:r>
              <w:rPr>
                <w:sz w:val="18"/>
              </w:rPr>
              <w:t xml:space="preserve"> </w:t>
            </w:r>
            <w:r>
              <w:rPr>
                <w:rFonts w:hint="eastAsia"/>
                <w:sz w:val="18"/>
              </w:rPr>
              <w:t xml:space="preserve">に与える値</w:t>
            </w:r>
          </w:p>
        </w:tc>
        <w:tc>
          <w:tcPr/>
          <w:p>
            <w:pPr>
              <w:pStyle w:val="Compact"/>
            </w:pPr>
            <w:r>
              <w:rPr>
                <w:sz w:val="18"/>
              </w:rPr>
              <w:t xml:space="preserve">0.10〜0.30</w:t>
            </w:r>
          </w:p>
        </w:tc>
        <w:tc>
          <w:tcPr/>
          <w:p>
            <w:pPr>
              <w:pStyle w:val="Compact"/>
            </w:pPr>
            <w:r>
              <w:rPr>
                <w:rFonts w:hint="eastAsia"/>
                <w:sz w:val="18"/>
              </w:rPr>
              <w:t xml:space="preserve">7.8.1項、8.4.2項</w:t>
            </w:r>
          </w:p>
        </w:tc>
      </w:tr>
      <w:tr>
        <w:tc>
          <w:tcPr/>
          <w:p>
            <w:pPr>
              <w:pStyle w:val="Compact"/>
            </w:pPr>
            <m:oMath>
              <m:r>
                <m:t>α</m:t>
              </m:r>
            </m:oMath>
          </w:p>
        </w:tc>
        <w:tc>
          <w:tcPr/>
          <w:p>
            <w:pPr>
              <w:pStyle w:val="Compact"/>
            </w:pPr>
            <w:r>
              <w:rPr>
                <w:rFonts w:hint="eastAsia"/>
                <w:sz w:val="18"/>
              </w:rPr>
              <w:t xml:space="preserve">価格水準の恒久成分の期待成長率</w:t>
            </w:r>
          </w:p>
        </w:tc>
        <w:tc>
          <w:tcPr/>
          <w:p>
            <w:pPr>
              <w:pStyle w:val="Compact"/>
            </w:pPr>
            <w:r>
              <w:rPr>
                <w:rFonts w:hint="eastAsia"/>
                <w:sz w:val="18"/>
              </w:rPr>
              <w:t xml:space="preserve">主は0</w:t>
            </w:r>
          </w:p>
        </w:tc>
        <w:tc>
          <w:tcPr/>
          <w:p>
            <w:pPr>
              <w:pStyle w:val="Compact"/>
            </w:pPr>
            <w:r>
              <w:rPr>
                <w:rFonts w:hint="eastAsia"/>
                <w:sz w:val="18"/>
              </w:rPr>
              <w:t xml:space="preserve">7.1.5項</w:t>
            </w:r>
          </w:p>
        </w:tc>
      </w:tr>
      <w:tr>
        <w:tc>
          <w:tcPr/>
          <w:p>
            <w:pPr>
              <w:pStyle w:val="Compact"/>
            </w:pPr>
            <m:oMath>
              <m:acc>
                <m:accPr>
                  <m:chr m:val="‾"/>
                </m:accPr>
                <m:e>
                  <m:r>
                    <m:t>θ</m:t>
                  </m:r>
                </m:e>
              </m:acc>
            </m:oMath>
          </w:p>
        </w:tc>
        <w:tc>
          <w:tcPr/>
          <w:p>
            <w:pPr>
              <w:pStyle w:val="Compact"/>
            </w:pPr>
            <w:r>
              <w:rPr>
                <w:rFonts w:hint="eastAsia"/>
                <w:sz w:val="18"/>
              </w:rPr>
              <w:t xml:space="preserve">排他的な参入の権利を持つ単独企業の最適行使閾値</w:t>
            </w:r>
          </w:p>
        </w:tc>
        <w:tc>
          <w:tcPr/>
          <w:p>
            <w:pPr>
              <w:pStyle w:val="Compact"/>
            </w:pPr>
            <w:r>
              <w:rPr>
                <w:sz w:val="18"/>
              </w:rPr>
              <w:t xml:space="preserve">—</w:t>
            </w:r>
          </w:p>
        </w:tc>
        <w:tc>
          <w:tcPr/>
          <w:p>
            <w:pPr>
              <w:pStyle w:val="Compact"/>
            </w:pPr>
            <w:r>
              <w:rPr>
                <w:rFonts w:hint="eastAsia"/>
                <w:sz w:val="18"/>
              </w:rPr>
              <w:t xml:space="preserve">7.1.5項</w:t>
            </w:r>
          </w:p>
        </w:tc>
      </w:tr>
      <w:tr>
        <w:tc>
          <w:tcPr/>
          <w:p>
            <w:pPr>
              <w:pStyle w:val="Compact"/>
            </w:pPr>
            <m:oMath>
              <m:sSub>
                <m:e>
                  <m:r>
                    <m:t>θ</m:t>
                  </m:r>
                </m:e>
                <m:sub>
                  <m:r>
                    <m:t>c</m:t>
                  </m:r>
                </m:sub>
              </m:sSub>
            </m:oMath>
          </w:p>
        </w:tc>
        <w:tc>
          <w:tcPr/>
          <w:p>
            <w:pPr>
              <w:pStyle w:val="Compact"/>
            </w:pPr>
            <w:r>
              <w:rPr>
                <w:rFonts w:hint="eastAsia"/>
                <w:sz w:val="18"/>
              </w:rPr>
              <w:t xml:space="preserve">自由参入の競争均衡の参入閾値</w:t>
            </w:r>
          </w:p>
        </w:tc>
        <w:tc>
          <w:tcPr/>
          <w:p>
            <w:pPr>
              <w:pStyle w:val="Compact"/>
            </w:pPr>
            <m:oMath>
              <m:r>
                <m:t>σ</m:t>
              </m:r>
            </m:oMath>
            <w:r>
              <w:rPr>
                <w:rFonts w:hint="eastAsia"/>
                <w:sz w:val="18"/>
              </w:rPr>
              <w:t xml:space="preserve">=0.10〜0.30・資本費一定で静学の</w:t>
            </w:r>
            <w:r>
              <w:rPr>
                <w:sz w:val="18"/>
              </w:rPr>
              <w:t xml:space="preserve"> </w:t>
            </w:r>
            <m:oMath>
              <m:sSup>
                <m:e>
                  <m:r>
                    <m:t>θ</m:t>
                  </m:r>
                </m:e>
                <m:sup>
                  <m:r>
                    <m:rPr>
                      <m:sty m:val="p"/>
                    </m:rPr>
                    <m:t>*</m:t>
                  </m:r>
                </m:sup>
              </m:sSup>
            </m:oMath>
            <w:r>
              <w:rPr>
                <w:sz w:val="18"/>
              </w:rPr>
              <w:t xml:space="preserve"> </w:t>
            </w:r>
            <w:r>
              <w:rPr>
                <w:rFonts w:hint="eastAsia"/>
                <w:sz w:val="18"/>
              </w:rPr>
              <w:t xml:space="preserve">の1.17〜1.59倍</w:t>
            </w:r>
          </w:p>
        </w:tc>
        <w:tc>
          <w:tcPr/>
          <w:p>
            <w:pPr>
              <w:pStyle w:val="Compact"/>
            </w:pPr>
            <w:r>
              <w:rPr>
                <w:rFonts w:hint="eastAsia"/>
                <w:sz w:val="18"/>
              </w:rPr>
              <w:t xml:space="preserve">7.1.5項</w:t>
            </w:r>
          </w:p>
        </w:tc>
      </w:tr>
      <w:tr>
        <w:tc>
          <w:tcPr/>
          <w:p>
            <w:pPr>
              <w:pStyle w:val="Compact"/>
            </w:pPr>
            <m:oMath>
              <m:sSub>
                <m:e>
                  <m:r>
                    <m:t>g</m:t>
                  </m:r>
                </m:e>
                <m:sub>
                  <m:r>
                    <m:t>I</m:t>
                  </m:r>
                </m:sub>
              </m:sSub>
            </m:oMath>
          </w:p>
        </w:tc>
        <w:tc>
          <w:tcPr/>
          <w:p>
            <w:pPr>
              <w:pStyle w:val="Compact"/>
            </w:pPr>
            <w:r>
              <w:rPr>
                <w:rFonts w:hint="eastAsia"/>
                <w:sz w:val="18"/>
              </w:rPr>
              <w:t xml:space="preserve">資本費の年率の低下率</w:t>
            </w:r>
          </w:p>
        </w:tc>
        <w:tc>
          <w:tcPr/>
          <w:p>
            <w:pPr>
              <w:pStyle w:val="Compact"/>
            </w:pPr>
            <w:r>
              <w:rPr>
                <w:sz w:val="18"/>
              </w:rPr>
              <w:t xml:space="preserve">0〜8%</w:t>
            </w:r>
          </w:p>
        </w:tc>
        <w:tc>
          <w:tcPr/>
          <w:p>
            <w:pPr>
              <w:pStyle w:val="Compact"/>
            </w:pPr>
            <w:r>
              <w:rPr>
                <w:rFonts w:hint="eastAsia"/>
                <w:sz w:val="18"/>
              </w:rPr>
              <w:t xml:space="preserve">7.1.5項</w:t>
            </w:r>
          </w:p>
        </w:tc>
      </w:tr>
      <w:tr>
        <w:tc>
          <w:tcPr/>
          <w:p>
            <w:pPr>
              <w:pStyle w:val="Compact"/>
            </w:pPr>
            <m:oMath>
              <m:r>
                <m:t>E</m:t>
              </m:r>
              <m:r>
                <m:rPr>
                  <m:sty m:val="p"/>
                </m:rPr>
                <m:t>[</m:t>
              </m:r>
              <m:r>
                <m:t>K</m:t>
              </m:r>
              <m:sSub>
                <m:e>
                  <m:r>
                    <m:rPr>
                      <m:sty m:val="p"/>
                    </m:rPr>
                    <m:t>]</m:t>
                  </m:r>
                </m:e>
                <m:sub>
                  <m:r>
                    <m:t>2040</m:t>
                  </m:r>
                </m:sub>
              </m:sSub>
            </m:oMath>
          </w:p>
        </w:tc>
        <w:tc>
          <w:tcPr/>
          <w:p>
            <w:pPr>
              <w:pStyle w:val="Compact"/>
            </w:pPr>
            <w:r>
              <w:rPr>
                <w:rFonts w:hint="eastAsia"/>
                <w:sz w:val="18"/>
              </w:rPr>
              <w:t xml:space="preserve">2040年度のフリート容量の期待値</w:t>
            </w:r>
          </w:p>
        </w:tc>
        <w:tc>
          <w:tcPr/>
          <w:p>
            <w:pPr>
              <w:pStyle w:val="Compact"/>
            </w:pPr>
            <w:r>
              <w:rPr>
                <w:rFonts w:hint="eastAsia"/>
                <w:sz w:val="18"/>
              </w:rPr>
              <w:t xml:space="preserve">万kW</w:t>
            </w:r>
          </w:p>
        </w:tc>
        <w:tc>
          <w:tcPr/>
          <w:p>
            <w:pPr>
              <w:pStyle w:val="Compact"/>
            </w:pPr>
            <w:r>
              <w:rPr>
                <w:rFonts w:hint="eastAsia"/>
                <w:sz w:val="18"/>
              </w:rPr>
              <w:t xml:space="preserve">7.8.3項</w:t>
            </w:r>
          </w:p>
        </w:tc>
      </w:tr>
      <w:tr>
        <w:tc>
          <w:tcPr/>
          <w:p>
            <w:pPr>
              <w:pStyle w:val="Compact"/>
            </w:pPr>
            <m:oMath>
              <m:sSub>
                <m:e>
                  <m:r>
                    <m:t>W</m:t>
                  </m:r>
                </m:e>
                <m:sub>
                  <m:r>
                    <m:t>0</m:t>
                  </m:r>
                </m:sub>
              </m:sSub>
            </m:oMath>
          </w:p>
        </w:tc>
        <w:tc>
          <w:tcPr/>
          <w:p>
            <w:pPr>
              <w:pStyle w:val="Compact"/>
            </w:pPr>
            <w:r>
              <w:rPr>
                <w:rFonts w:hint="eastAsia"/>
                <w:sz w:val="18"/>
              </w:rPr>
              <w:t xml:space="preserve">接続枠（契約申込）の待機価値</w:t>
            </w:r>
          </w:p>
        </w:tc>
        <w:tc>
          <w:tcPr/>
          <w:p>
            <w:pPr>
              <w:pStyle w:val="Compact"/>
            </w:pPr>
            <w:r>
              <w:rPr>
                <w:rFonts w:hint="eastAsia"/>
                <w:sz w:val="18"/>
              </w:rPr>
              <w:t xml:space="preserve">円/kW</w:t>
            </w:r>
          </w:p>
        </w:tc>
        <w:tc>
          <w:tcPr/>
          <w:p>
            <w:pPr>
              <w:pStyle w:val="Compact"/>
            </w:pPr>
            <w:r>
              <w:rPr>
                <w:rFonts w:hint="eastAsia"/>
                <w:sz w:val="18"/>
              </w:rPr>
              <w:t xml:space="preserve">8.4.2項</w:t>
            </w:r>
          </w:p>
        </w:tc>
      </w:tr>
    </w:tbl>
    <w:p>
      <w:pPr>
        <w:pStyle w:val="BodyText"/>
      </w:pPr>
      <w:r>
        <w:rPr>
          <w:rFonts w:hint="eastAsia"/>
          <w:b/>
          <w:bCs/>
        </w:rPr>
        <w:t xml:space="preserve">契約とリスクの評価（第8章）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sSubSup>
                <m:e>
                  <m:r>
                    <m:t>r</m:t>
                  </m:r>
                </m:e>
                <m:sub>
                  <m:r>
                    <m:t>A</m:t>
                  </m:r>
                </m:sub>
                <m:sup>
                  <m:r>
                    <m:t>M</m:t>
                  </m:r>
                </m:sup>
              </m:sSubSup>
            </m:oMath>
            <w:r>
              <w:rPr>
                <w:sz w:val="18"/>
              </w:rPr>
              <w:t xml:space="preserve">,</w:t>
            </w:r>
            <w:r>
              <w:rPr>
                <w:sz w:val="18"/>
              </w:rPr>
              <w:t xml:space="preserve"> </w:t>
            </w:r>
            <m:oMath>
              <m:sSub>
                <m:e>
                  <m:r>
                    <m:t>r</m:t>
                  </m:r>
                </m:e>
                <m:sub>
                  <m:r>
                    <m:t>C</m:t>
                  </m:r>
                </m:sub>
              </m:sSub>
            </m:oMath>
          </w:p>
        </w:tc>
        <w:tc>
          <w:tcPr/>
          <w:p>
            <w:pPr>
              <w:pStyle w:val="Compact"/>
            </w:pPr>
            <w:r>
              <w:rPr>
                <w:rFonts w:hint="eastAsia"/>
                <w:sz w:val="18"/>
              </w:rPr>
              <w:t xml:space="preserve">マーチャントの資産の資本コスト、契約型の資本コスト</w:t>
            </w:r>
          </w:p>
        </w:tc>
        <w:tc>
          <w:tcPr/>
          <w:p>
            <w:pPr>
              <w:pStyle w:val="Compact"/>
            </w:pPr>
            <m:oMath>
              <m:sSubSup>
                <m:e>
                  <m:r>
                    <m:t>r</m:t>
                  </m:r>
                </m:e>
                <m:sub>
                  <m:r>
                    <m:t>A</m:t>
                  </m:r>
                </m:sub>
                <m:sup>
                  <m:r>
                    <m:t>M</m:t>
                  </m:r>
                </m:sup>
              </m:sSubSup>
            </m:oMath>
            <w:r>
              <w:rPr>
                <w:sz w:val="18"/>
              </w:rPr>
              <w:t xml:space="preserve"> </w:t>
            </w:r>
            <w:r>
              <w:rPr>
                <w:rFonts w:hint="eastAsia"/>
                <w:sz w:val="18"/>
              </w:rPr>
              <w:t xml:space="preserve">は8〜9%（APV</w:t>
            </w:r>
            <w:r>
              <w:rPr>
                <w:sz w:val="18"/>
              </w:rPr>
              <w:t xml:space="preserve"> </w:t>
            </w:r>
            <w:r>
              <w:rPr>
                <w:rFonts w:hint="eastAsia"/>
                <w:sz w:val="18"/>
              </w:rPr>
              <w:t xml:space="preserve">では9%）、</w:t>
            </w:r>
            <m:oMath>
              <m:sSub>
                <m:e>
                  <m:r>
                    <m:t>r</m:t>
                  </m:r>
                </m:e>
                <m:sub>
                  <m:r>
                    <m:t>C</m:t>
                  </m:r>
                </m:sub>
              </m:sSub>
            </m:oMath>
            <w:r>
              <w:rPr>
                <w:sz w:val="18"/>
              </w:rPr>
              <w:t xml:space="preserve"> </w:t>
            </w:r>
            <w:r>
              <w:rPr>
                <w:rFonts w:hint="eastAsia"/>
                <w:sz w:val="18"/>
              </w:rPr>
              <w:t xml:space="preserve">は4〜6%（APV</w:t>
            </w:r>
            <w:r>
              <w:rPr>
                <w:sz w:val="18"/>
              </w:rPr>
              <w:t xml:space="preserve"> </w:t>
            </w:r>
            <w:r>
              <w:rPr>
                <w:rFonts w:hint="eastAsia"/>
                <w:sz w:val="18"/>
              </w:rPr>
              <w:t xml:space="preserve">では5%）</w:t>
            </w:r>
          </w:p>
        </w:tc>
        <w:tc>
          <w:tcPr/>
          <w:p>
            <w:pPr>
              <w:pStyle w:val="Compact"/>
            </w:pPr>
            <w:r>
              <w:rPr>
                <w:rFonts w:hint="eastAsia"/>
                <w:sz w:val="18"/>
              </w:rPr>
              <w:t xml:space="preserve">8.1.3項</w:t>
            </w:r>
          </w:p>
        </w:tc>
      </w:tr>
      <w:tr>
        <w:tc>
          <w:tcPr/>
          <w:p>
            <w:pPr>
              <w:pStyle w:val="Compact"/>
            </w:pPr>
            <m:oMath>
              <m:r>
                <m:t>q</m:t>
              </m:r>
            </m:oMath>
            <w:r>
              <w:rPr>
                <w:sz w:val="18"/>
              </w:rPr>
              <w:t xml:space="preserve">,</w:t>
            </w:r>
            <w:r>
              <w:rPr>
                <w:sz w:val="18"/>
              </w:rPr>
              <w:t xml:space="preserve"> </w:t>
            </w:r>
            <m:oMath>
              <m:r>
                <m:t>z</m:t>
              </m:r>
            </m:oMath>
          </w:p>
        </w:tc>
        <w:tc>
          <w:tcPr/>
          <w:p>
            <w:pPr>
              <w:pStyle w:val="Compact"/>
            </w:pPr>
            <w:r>
              <w:rPr>
                <w:sz w:val="18"/>
              </w:rPr>
              <w:t xml:space="preserve">LTDA </w:t>
            </w:r>
            <w:r>
              <w:rPr>
                <w:rFonts w:hint="eastAsia"/>
                <w:sz w:val="18"/>
              </w:rPr>
              <w:t xml:space="preserve">の固定収入、LTDA</w:t>
            </w:r>
            <w:r>
              <w:rPr>
                <w:sz w:val="18"/>
              </w:rPr>
              <w:t xml:space="preserve"> </w:t>
            </w:r>
            <w:r>
              <w:rPr>
                <w:rFonts w:hint="eastAsia"/>
                <w:sz w:val="18"/>
              </w:rPr>
              <w:t xml:space="preserve">の落札者が手放す収入（他市場収益の約9割と容量収入）</w:t>
            </w:r>
          </w:p>
        </w:tc>
        <w:tc>
          <w:tcPr/>
          <w:p>
            <w:pPr>
              <w:pStyle w:val="Compact"/>
            </w:pPr>
            <w:r>
              <w:rPr>
                <w:rFonts w:hint="eastAsia"/>
                <w:sz w:val="18"/>
              </w:rPr>
              <w:t xml:space="preserve">円/kW-年</w:t>
            </w:r>
          </w:p>
        </w:tc>
        <w:tc>
          <w:tcPr/>
          <w:p>
            <w:pPr>
              <w:pStyle w:val="Compact"/>
            </w:pPr>
            <w:r>
              <w:rPr>
                <w:rFonts w:hint="eastAsia"/>
                <w:sz w:val="18"/>
              </w:rPr>
              <w:t xml:space="preserve">式(8.1)</w:t>
            </w:r>
          </w:p>
        </w:tc>
      </w:tr>
      <w:tr>
        <w:tc>
          <w:tcPr/>
          <w:p>
            <w:pPr>
              <w:pStyle w:val="Compact"/>
            </w:pPr>
            <m:oMath>
              <m:r>
                <m:rPr>
                  <m:sty m:val="p"/>
                </m:rPr>
                <m:t>P</m:t>
              </m:r>
              <m:r>
                <m:rPr>
                  <m:sty m:val="p"/>
                </m:rPr>
                <m:t>V</m:t>
              </m:r>
              <m:r>
                <m:rPr>
                  <m:sty m:val="p"/>
                </m:rPr>
                <m:t>(</m:t>
              </m:r>
              <m:r>
                <m:t>x</m:t>
              </m:r>
              <m:r>
                <m:rPr>
                  <m:sty m:val="p"/>
                </m:rPr>
                <m:t>;</m:t>
              </m:r>
              <m:r>
                <m:t>r</m:t>
              </m:r>
              <m:r>
                <m:rPr>
                  <m:sty m:val="p"/>
                </m:rPr>
                <m:t>)</m:t>
              </m:r>
            </m:oMath>
          </w:p>
        </w:tc>
        <w:tc>
          <w:tcPr/>
          <w:p>
            <w:pPr>
              <w:pStyle w:val="Compact"/>
            </w:pPr>
            <w:r>
              <w:rPr>
                <w:sz w:val="18"/>
              </w:rPr>
              <w:t xml:space="preserve">キャッシュフロー</w:t>
            </w:r>
            <w:r>
              <w:rPr>
                <w:sz w:val="18"/>
              </w:rPr>
              <w:t xml:space="preserve"> </w:t>
            </w:r>
            <m:oMath>
              <m:r>
                <m:t>x</m:t>
              </m:r>
            </m:oMath>
            <w:r>
              <w:rPr>
                <w:sz w:val="18"/>
              </w:rPr>
              <w:t xml:space="preserve"> </w:t>
            </w:r>
            <w:r>
              <w:rPr>
                <w:rFonts w:hint="eastAsia"/>
                <w:sz w:val="18"/>
              </w:rPr>
              <w:t xml:space="preserve">の割引率</w:t>
            </w:r>
            <w:r>
              <w:rPr>
                <w:sz w:val="18"/>
              </w:rPr>
              <w:t xml:space="preserve"> </w:t>
            </w:r>
            <m:oMath>
              <m:r>
                <m:t>r</m:t>
              </m:r>
            </m:oMath>
            <w:r>
              <w:rPr>
                <w:sz w:val="18"/>
              </w:rPr>
              <w:t xml:space="preserve"> </w:t>
            </w:r>
            <w:r>
              <w:rPr>
                <w:rFonts w:hint="eastAsia"/>
                <w:sz w:val="18"/>
              </w:rPr>
              <w:t xml:space="preserve">での現在価値</w:t>
            </w:r>
          </w:p>
        </w:tc>
        <w:tc>
          <w:tcPr/>
          <w:p>
            <w:pPr>
              <w:pStyle w:val="Compact"/>
            </w:pPr>
            <w:r>
              <w:rPr>
                <w:rFonts w:hint="eastAsia"/>
                <w:sz w:val="18"/>
              </w:rPr>
              <w:t xml:space="preserve">円/kW</w:t>
            </w:r>
          </w:p>
        </w:tc>
        <w:tc>
          <w:tcPr/>
          <w:p>
            <w:pPr>
              <w:pStyle w:val="Compact"/>
            </w:pPr>
            <w:r>
              <w:rPr>
                <w:rFonts w:hint="eastAsia"/>
                <w:sz w:val="18"/>
              </w:rPr>
              <w:t xml:space="preserve">式(8.1)</w:t>
            </w:r>
          </w:p>
        </w:tc>
      </w:tr>
      <w:tr>
        <w:tc>
          <w:tcPr/>
          <w:p>
            <w:pPr>
              <w:pStyle w:val="Compact"/>
            </w:pPr>
            <m:oMath>
              <m:sSup>
                <m:e>
                  <m:r>
                    <m:t>V</m:t>
                  </m:r>
                </m:e>
                <m:sup>
                  <m:r>
                    <m:rPr>
                      <m:sty m:val="p"/>
                    </m:rPr>
                    <m:t>s</m:t>
                  </m:r>
                  <m:r>
                    <m:rPr>
                      <m:sty m:val="p"/>
                    </m:rPr>
                    <m:t>w</m:t>
                  </m:r>
                  <m:r>
                    <m:rPr>
                      <m:sty m:val="p"/>
                    </m:rPr>
                    <m:t>a</m:t>
                  </m:r>
                  <m:r>
                    <m:rPr>
                      <m:sty m:val="p"/>
                    </m:rPr>
                    <m:t>p</m:t>
                  </m:r>
                </m:sup>
              </m:sSup>
            </m:oMath>
          </w:p>
        </w:tc>
        <w:tc>
          <w:tcPr/>
          <w:p>
            <w:pPr>
              <w:pStyle w:val="Compact"/>
            </w:pPr>
            <w:r>
              <w:rPr>
                <w:sz w:val="18"/>
              </w:rPr>
              <w:t xml:space="preserve">レベニュースワップとしての LTDA </w:t>
            </w:r>
            <w:r>
              <w:rPr>
                <w:rFonts w:hint="eastAsia"/>
                <w:sz w:val="18"/>
              </w:rPr>
              <w:t xml:space="preserve">の価値</w:t>
            </w:r>
          </w:p>
        </w:tc>
        <w:tc>
          <w:tcPr/>
          <w:p>
            <w:pPr>
              <w:pStyle w:val="Compact"/>
            </w:pPr>
            <w:r>
              <w:rPr>
                <w:rFonts w:hint="eastAsia"/>
                <w:sz w:val="18"/>
              </w:rPr>
              <w:t xml:space="preserve">円/kW</w:t>
            </w:r>
          </w:p>
        </w:tc>
        <w:tc>
          <w:tcPr/>
          <w:p>
            <w:pPr>
              <w:pStyle w:val="Compact"/>
            </w:pPr>
            <w:r>
              <w:rPr>
                <w:rFonts w:hint="eastAsia"/>
                <w:sz w:val="18"/>
              </w:rPr>
              <w:t xml:space="preserve">式(8.1)</w:t>
            </w:r>
          </w:p>
        </w:tc>
      </w:tr>
      <w:tr>
        <w:tc>
          <w:tcPr/>
          <w:p>
            <w:pPr>
              <w:pStyle w:val="Compact"/>
            </w:pPr>
            <m:oMath>
              <m:r>
                <m:rPr>
                  <m:sty m:val="p"/>
                </m:rPr>
                <m:t>Λ</m:t>
              </m:r>
            </m:oMath>
          </w:p>
        </w:tc>
        <w:tc>
          <w:tcPr/>
          <w:p>
            <w:pPr>
              <w:pStyle w:val="Compact"/>
            </w:pPr>
            <w:r>
              <w:rPr>
                <w:rFonts w:hint="eastAsia"/>
                <w:sz w:val="18"/>
              </w:rPr>
              <w:t xml:space="preserve">リスクの価格（市場ポートフォリオのシャープ・レシオと市場収益率との相関の積）</w:t>
            </w:r>
          </w:p>
        </w:tc>
        <w:tc>
          <w:tcPr/>
          <w:p>
            <w:pPr>
              <w:pStyle w:val="Compact"/>
            </w:pPr>
            <w:r>
              <w:rPr>
                <w:sz w:val="18"/>
              </w:rPr>
              <w:t xml:space="preserve">0.06〜0.4</w:t>
            </w:r>
          </w:p>
        </w:tc>
        <w:tc>
          <w:tcPr/>
          <w:p>
            <w:pPr>
              <w:pStyle w:val="Compact"/>
            </w:pPr>
            <w:r>
              <w:rPr>
                <w:rFonts w:hint="eastAsia"/>
                <w:sz w:val="18"/>
              </w:rPr>
              <w:t xml:space="preserve">8.1.3項</w:t>
            </w:r>
          </w:p>
        </w:tc>
      </w:tr>
      <w:tr>
        <w:tc>
          <w:tcPr/>
          <w:p>
            <w:pPr>
              <w:pStyle w:val="Compact"/>
            </w:pPr>
            <m:oMath>
              <m:r>
                <m:t>R</m:t>
              </m:r>
            </m:oMath>
            <w:r>
              <w:rPr>
                <w:sz w:val="18"/>
              </w:rPr>
              <w:t xml:space="preserve">,</w:t>
            </w:r>
            <w:r>
              <w:rPr>
                <w:sz w:val="18"/>
              </w:rPr>
              <w:t xml:space="preserve"> </w:t>
            </w:r>
            <m:oMath>
              <m:sSub>
                <m:e>
                  <m:r>
                    <m:t>R</m:t>
                  </m:r>
                </m:e>
                <m:sub>
                  <m:r>
                    <m:rPr>
                      <m:sty m:val="p"/>
                    </m:rPr>
                    <m:t>r</m:t>
                  </m:r>
                  <m:r>
                    <m:rPr>
                      <m:sty m:val="p"/>
                    </m:rPr>
                    <m:t>e</m:t>
                  </m:r>
                  <m:r>
                    <m:rPr>
                      <m:sty m:val="p"/>
                    </m:rPr>
                    <m:t>f</m:t>
                  </m:r>
                </m:sub>
              </m:sSub>
            </m:oMath>
          </w:p>
        </w:tc>
        <w:tc>
          <w:tcPr/>
          <w:p>
            <w:pPr>
              <w:pStyle w:val="Compact"/>
            </w:pPr>
            <w:r>
              <w:rPr>
                <w:rFonts w:hint="eastAsia"/>
                <w:sz w:val="18"/>
              </w:rPr>
              <w:t xml:space="preserve">マーチャント4時間蓄電池の年間市場収入、その基準値</w:t>
            </w:r>
          </w:p>
        </w:tc>
        <w:tc>
          <w:tcPr/>
          <w:p>
            <w:pPr>
              <w:pStyle w:val="Compact"/>
            </w:pPr>
            <m:oMath>
              <m:sSub>
                <m:e>
                  <m:r>
                    <m:t>R</m:t>
                  </m:r>
                </m:e>
                <m:sub>
                  <m:r>
                    <m:rPr>
                      <m:sty m:val="p"/>
                    </m:rPr>
                    <m:t>r</m:t>
                  </m:r>
                  <m:r>
                    <m:rPr>
                      <m:sty m:val="p"/>
                    </m:rPr>
                    <m:t>e</m:t>
                  </m:r>
                  <m:r>
                    <m:rPr>
                      <m:sty m:val="p"/>
                    </m:rPr>
                    <m:t>f</m:t>
                  </m:r>
                </m:sub>
              </m:sSub>
              <m:r>
                <m:rPr>
                  <m:sty m:val="p"/>
                </m:rPr>
                <m:t>=</m:t>
              </m:r>
              <m:r>
                <m:t>19</m:t>
              </m:r>
              <m:r>
                <m:rPr>
                  <m:sty m:val="p"/>
                </m:rPr>
                <m:t>,</m:t>
              </m:r>
              <m:r>
                <m:t>192</m:t>
              </m:r>
            </m:oMath>
            <w:r>
              <w:rPr>
                <w:sz w:val="18"/>
              </w:rPr>
              <w:t xml:space="preserve"> </w:t>
            </w:r>
            <w:r>
              <w:rPr>
                <w:rFonts w:hint="eastAsia"/>
                <w:sz w:val="18"/>
              </w:rPr>
              <w:t xml:space="preserve">円/kW-年</w:t>
            </w:r>
          </w:p>
        </w:tc>
        <w:tc>
          <w:tcPr/>
          <w:p>
            <w:pPr>
              <w:pStyle w:val="Compact"/>
            </w:pPr>
            <w:r>
              <w:rPr>
                <w:rFonts w:hint="eastAsia"/>
                <w:sz w:val="18"/>
              </w:rPr>
              <w:t xml:space="preserve">式(8.2)、8.7.5項</w:t>
            </w:r>
          </w:p>
        </w:tc>
      </w:tr>
      <w:tr>
        <w:tc>
          <w:tcPr/>
          <w:p>
            <w:pPr>
              <w:pStyle w:val="Compact"/>
            </w:pPr>
            <m:oMath>
              <m:r>
                <m:t>S</m:t>
              </m:r>
            </m:oMath>
            <w:r>
              <w:rPr>
                <w:sz w:val="18"/>
              </w:rPr>
              <w:t xml:space="preserve">,</w:t>
            </w:r>
            <w:r>
              <w:rPr>
                <w:sz w:val="18"/>
              </w:rPr>
              <w:t xml:space="preserve"> </w:t>
            </w:r>
            <m:oMath>
              <m:r>
                <m:t>ω</m:t>
              </m:r>
            </m:oMath>
            <w:r>
              <w:rPr>
                <w:sz w:val="18"/>
              </w:rPr>
              <w:t xml:space="preserve">,</w:t>
            </w:r>
            <w:r>
              <w:rPr>
                <w:sz w:val="18"/>
              </w:rPr>
              <w:t xml:space="preserve"> </w:t>
            </w:r>
            <m:oMath>
              <m:r>
                <m:t>L</m:t>
              </m:r>
            </m:oMath>
          </w:p>
        </w:tc>
        <w:tc>
          <w:tcPr/>
          <w:p>
            <w:pPr>
              <w:pStyle w:val="Compact"/>
            </w:pPr>
            <w:r>
              <w:rPr>
                <w:sz w:val="18"/>
              </w:rPr>
              <w:t xml:space="preserve">CFaR </w:t>
            </w:r>
            <w:r>
              <w:rPr>
                <w:rFonts w:hint="eastAsia"/>
                <w:sz w:val="18"/>
              </w:rPr>
              <w:t xml:space="preserve">の因子：年度単位の形状、日々の天候、容量価格の約定水準</w:t>
            </w:r>
          </w:p>
        </w:tc>
        <w:tc>
          <w:tcPr/>
          <w:p>
            <w:pPr>
              <w:pStyle w:val="Compact"/>
            </w:pPr>
            <w:r>
              <w:rPr>
                <w:sz w:val="18"/>
              </w:rPr>
              <w:t xml:space="preserve">—</w:t>
            </w:r>
          </w:p>
        </w:tc>
        <w:tc>
          <w:tcPr/>
          <w:p>
            <w:pPr>
              <w:pStyle w:val="Compact"/>
            </w:pPr>
            <w:r>
              <w:rPr>
                <w:rFonts w:hint="eastAsia"/>
                <w:sz w:val="18"/>
              </w:rPr>
              <w:t xml:space="preserve">式(8.2)</w:t>
            </w:r>
          </w:p>
        </w:tc>
      </w:tr>
      <w:tr>
        <w:tc>
          <w:tcPr/>
          <w:p>
            <w:pPr>
              <w:pStyle w:val="Compact"/>
            </w:pPr>
            <m:oMath>
              <m:r>
                <m:t>G</m:t>
              </m:r>
            </m:oMath>
          </w:p>
        </w:tc>
        <w:tc>
          <w:tcPr/>
          <w:p>
            <w:pPr>
              <w:pStyle w:val="Compact"/>
            </w:pPr>
            <w:r>
              <w:rPr>
                <w:rFonts w:hint="eastAsia"/>
                <w:sz w:val="18"/>
              </w:rPr>
              <w:t xml:space="preserve">北海道の月間の完全予見粗利</w:t>
            </w:r>
          </w:p>
        </w:tc>
        <w:tc>
          <w:tcPr/>
          <w:p>
            <w:pPr>
              <w:pStyle w:val="Compact"/>
            </w:pPr>
            <w:r>
              <w:rPr>
                <w:rFonts w:hint="eastAsia"/>
                <w:sz w:val="18"/>
              </w:rPr>
              <w:t xml:space="preserve">円/kW-月</w:t>
            </w:r>
          </w:p>
        </w:tc>
        <w:tc>
          <w:tcPr/>
          <w:p>
            <w:pPr>
              <w:pStyle w:val="Compact"/>
            </w:pPr>
            <w:r>
              <w:rPr>
                <w:rFonts w:hint="eastAsia"/>
                <w:sz w:val="18"/>
              </w:rPr>
              <w:t xml:space="preserve">式(8.3)</w:t>
            </w:r>
          </w:p>
        </w:tc>
      </w:tr>
      <w:tr>
        <w:tc>
          <w:tcPr/>
          <w:p>
            <w:pPr>
              <w:pStyle w:val="Compact"/>
            </w:pPr>
            <m:oMath>
              <m:sSup>
                <m:e>
                  <m:r>
                    <m:t>P</m:t>
                  </m:r>
                </m:e>
                <m:sup>
                  <m:r>
                    <m:rPr>
                      <m:sty m:val="p"/>
                    </m:rPr>
                    <m:t>f</m:t>
                  </m:r>
                  <m:r>
                    <m:rPr>
                      <m:sty m:val="p"/>
                    </m:rPr>
                    <m:t>u</m:t>
                  </m:r>
                  <m:r>
                    <m:rPr>
                      <m:sty m:val="p"/>
                    </m:rPr>
                    <m:t>t</m:t>
                  </m:r>
                </m:sup>
              </m:sSup>
            </m:oMath>
          </w:p>
        </w:tc>
        <w:tc>
          <w:tcPr/>
          <w:p>
            <w:pPr>
              <w:pStyle w:val="Compact"/>
            </w:pPr>
            <w:r>
              <w:rPr>
                <w:rFonts w:hint="eastAsia"/>
                <w:sz w:val="18"/>
              </w:rPr>
              <w:t xml:space="preserve">東京エリアの月平均価格（上場先物の最終決済価格の代理）</w:t>
            </w:r>
          </w:p>
        </w:tc>
        <w:tc>
          <w:tcPr/>
          <w:p>
            <w:pPr>
              <w:pStyle w:val="Compact"/>
            </w:pPr>
            <w:r>
              <w:rPr>
                <w:rFonts w:hint="eastAsia"/>
                <w:sz w:val="18"/>
              </w:rPr>
              <w:t xml:space="preserve">円/kWh</w:t>
            </w:r>
          </w:p>
        </w:tc>
        <w:tc>
          <w:tcPr/>
          <w:p>
            <w:pPr>
              <w:pStyle w:val="Compact"/>
            </w:pPr>
            <w:r>
              <w:rPr>
                <w:rFonts w:hint="eastAsia"/>
                <w:sz w:val="18"/>
              </w:rPr>
              <w:t xml:space="preserve">式(8.3)</w:t>
            </w:r>
          </w:p>
        </w:tc>
      </w:tr>
      <w:tr>
        <w:tc>
          <w:tcPr/>
          <w:p>
            <w:pPr>
              <w:pStyle w:val="Compact"/>
            </w:pPr>
            <m:oMath>
              <m:sSup>
                <m:e>
                  <m:r>
                    <m:t>h</m:t>
                  </m:r>
                </m:e>
                <m:sup>
                  <m:r>
                    <m:rPr>
                      <m:sty m:val="p"/>
                    </m:rPr>
                    <m:t>*</m:t>
                  </m:r>
                </m:sup>
              </m:sSup>
            </m:oMath>
          </w:p>
        </w:tc>
        <w:tc>
          <w:tcPr/>
          <w:p>
            <w:pPr>
              <w:pStyle w:val="Compact"/>
            </w:pPr>
            <w:r>
              <w:rPr>
                <w:rFonts w:hint="eastAsia"/>
                <w:sz w:val="18"/>
              </w:rPr>
              <w:t xml:space="preserve">最小分散ヘッジ比率</w:t>
            </w:r>
          </w:p>
        </w:tc>
        <w:tc>
          <w:tcPr/>
          <w:p>
            <w:pPr>
              <w:pStyle w:val="Compact"/>
            </w:pPr>
            <w:r>
              <w:rPr>
                <w:sz w:val="18"/>
              </w:rPr>
              <w:t xml:space="preserve">—</w:t>
            </w:r>
          </w:p>
        </w:tc>
        <w:tc>
          <w:tcPr/>
          <w:p>
            <w:pPr>
              <w:pStyle w:val="Compact"/>
            </w:pPr>
            <w:r>
              <w:rPr>
                <w:rFonts w:hint="eastAsia"/>
                <w:sz w:val="18"/>
              </w:rPr>
              <w:t xml:space="preserve">式(8.3)</w:t>
            </w:r>
          </w:p>
        </w:tc>
      </w:tr>
      <w:tr>
        <w:tc>
          <w:tcPr/>
          <w:p>
            <w:pPr>
              <w:pStyle w:val="Compact"/>
            </w:pPr>
            <m:oMath>
              <m:r>
                <m:rPr>
                  <m:sty m:val="p"/>
                </m:rPr>
                <m:t>H</m:t>
              </m:r>
              <m:r>
                <m:rPr>
                  <m:sty m:val="p"/>
                </m:rPr>
                <m:t>E</m:t>
              </m:r>
            </m:oMath>
          </w:p>
        </w:tc>
        <w:tc>
          <w:tcPr/>
          <w:p>
            <w:pPr>
              <w:pStyle w:val="Compact"/>
            </w:pPr>
            <w:r>
              <w:rPr>
                <w:rFonts w:hint="eastAsia"/>
                <w:sz w:val="18"/>
              </w:rPr>
              <w:t xml:space="preserve">ヘッジ有効性</w:t>
            </w:r>
          </w:p>
        </w:tc>
        <w:tc>
          <w:tcPr/>
          <w:p>
            <w:pPr>
              <w:pStyle w:val="Compact"/>
            </w:pPr>
            <w:r>
              <w:rPr>
                <w:sz w:val="18"/>
              </w:rPr>
              <w:t xml:space="preserve">—</w:t>
            </w:r>
          </w:p>
        </w:tc>
        <w:tc>
          <w:tcPr/>
          <w:p>
            <w:pPr>
              <w:pStyle w:val="Compact"/>
            </w:pPr>
            <w:r>
              <w:rPr>
                <w:rFonts w:hint="eastAsia"/>
                <w:sz w:val="18"/>
              </w:rPr>
              <w:t xml:space="preserve">式(8.3)</w:t>
            </w:r>
          </w:p>
        </w:tc>
      </w:tr>
    </w:tbl>
    <w:p>
      <w:pPr>
        <w:pStyle w:val="BodyText"/>
      </w:pPr>
      <w:r>
        <w:rPr>
          <w:rFonts w:hint="eastAsia"/>
          <w:b/>
          <w:bCs/>
        </w:rPr>
        <w:t xml:space="preserve">下限価格と負の価格（第9章）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記号</w:t>
            </w:r>
          </w:p>
        </w:tc>
        <w:tc>
          <w:tcPr>
            <w:tcBorders>
              <w:bottom w:val="single" w:sz="6" w:color="000000"/>
            </w:tcBorders>
          </w:tcPr>
          <w:p>
            <w:pPr>
              <w:pStyle w:val="Compact"/>
            </w:pPr>
            <w:r>
              <w:rPr>
                <w:rFonts w:hint="eastAsia"/>
                <w:sz w:val="18"/>
              </w:rPr>
              <w:t xml:space="preserve">意味</w:t>
            </w:r>
          </w:p>
        </w:tc>
        <w:tc>
          <w:tcPr>
            <w:tcBorders>
              <w:bottom w:val="single" w:sz="6" w:color="000000"/>
            </w:tcBorders>
          </w:tcPr>
          <w:p>
            <w:pPr>
              <w:pStyle w:val="Compact"/>
            </w:pPr>
            <w:r>
              <w:rPr>
                <w:rFonts w:hint="eastAsia"/>
                <w:sz w:val="18"/>
              </w:rPr>
              <w:t xml:space="preserve">単位・主な値</w:t>
            </w:r>
          </w:p>
        </w:tc>
        <w:tc>
          <w:tcPr>
            <w:tcBorders>
              <w:bottom w:val="single" w:sz="6" w:color="000000"/>
            </w:tcBorders>
          </w:tcPr>
          <w:p>
            <w:pPr>
              <w:pStyle w:val="Compact"/>
            </w:pPr>
            <w:r>
              <w:rPr>
                <w:rFonts w:hint="eastAsia"/>
                <w:sz w:val="18"/>
              </w:rPr>
              <w:t xml:space="preserve">定義</w:t>
            </w:r>
          </w:p>
        </w:tc>
      </w:tr>
      <w:tr>
        <w:tc>
          <w:tcPr/>
          <w:p>
            <w:pPr>
              <w:pStyle w:val="Compact"/>
            </w:pPr>
            <m:oMath>
              <m:r>
                <m:rPr>
                  <m:scr m:val="script"/>
                  <m:sty m:val="p"/>
                </m:rPr>
                <m:t>F</m:t>
              </m:r>
            </m:oMath>
          </w:p>
        </w:tc>
        <w:tc>
          <w:tcPr/>
          <w:p>
            <w:pPr>
              <w:pStyle w:val="Compact"/>
            </w:pPr>
            <w:r>
              <w:rPr>
                <w:rFonts w:hint="eastAsia"/>
                <w:sz w:val="18"/>
              </w:rPr>
              <w:t xml:space="preserve">モデル価格が下限価格0.01円/kWh</w:t>
            </w:r>
            <w:r>
              <w:rPr>
                <w:sz w:val="18"/>
              </w:rPr>
              <w:t xml:space="preserve"> </w:t>
            </w:r>
            <w:r>
              <w:rPr>
                <w:rFonts w:hint="eastAsia"/>
                <w:sz w:val="18"/>
              </w:rPr>
              <w:t xml:space="preserve">に張り付く時間の集合</w:t>
            </w:r>
          </w:p>
        </w:tc>
        <w:tc>
          <w:tcPr/>
          <w:p>
            <w:pPr>
              <w:pStyle w:val="Compact"/>
            </w:pPr>
            <w:r>
              <w:rPr>
                <w:sz w:val="18"/>
              </w:rPr>
              <w:t xml:space="preserve">—</w:t>
            </w:r>
          </w:p>
        </w:tc>
        <w:tc>
          <w:tcPr/>
          <w:p>
            <w:pPr>
              <w:pStyle w:val="Compact"/>
            </w:pPr>
            <w:r>
              <w:rPr>
                <w:rFonts w:hint="eastAsia"/>
                <w:sz w:val="18"/>
              </w:rPr>
              <w:t xml:space="preserve">式(9.1)</w:t>
            </w:r>
          </w:p>
        </w:tc>
      </w:tr>
      <w:tr>
        <w:tc>
          <w:tcPr/>
          <w:p>
            <w:pPr>
              <w:pStyle w:val="Compact"/>
            </w:pPr>
            <m:oMath>
              <m:r>
                <m:t>δ</m:t>
              </m:r>
            </m:oMath>
          </w:p>
        </w:tc>
        <w:tc>
          <w:tcPr/>
          <w:p>
            <w:pPr>
              <w:pStyle w:val="Compact"/>
            </w:pPr>
            <w:r>
              <w:rPr>
                <w:rFonts w:hint="eastAsia"/>
                <w:sz w:val="18"/>
              </w:rPr>
              <w:t xml:space="preserve">負の価格の深さ（下限張り付きの時間の価格を</w:t>
            </w:r>
            <w:r>
              <w:rPr>
                <w:sz w:val="18"/>
              </w:rPr>
              <w:t xml:space="preserve"> </w:t>
            </w:r>
            <m:oMath>
              <m:r>
                <m:rPr>
                  <m:sty m:val="p"/>
                </m:rPr>
                <m:t>−</m:t>
              </m:r>
              <m:r>
                <m:t>δ</m:t>
              </m:r>
            </m:oMath>
            <w:r>
              <w:rPr>
                <w:sz w:val="18"/>
              </w:rPr>
              <w:t xml:space="preserve"> </w:t>
            </w:r>
            <w:r>
              <w:rPr>
                <w:rFonts w:hint="eastAsia"/>
                <w:sz w:val="18"/>
              </w:rPr>
              <w:t xml:space="preserve">に置く）</w:t>
            </w:r>
          </w:p>
        </w:tc>
        <w:tc>
          <w:tcPr/>
          <w:p>
            <w:pPr>
              <w:pStyle w:val="Compact"/>
            </w:pPr>
            <w:r>
              <w:rPr>
                <w:rFonts w:hint="eastAsia"/>
                <w:sz w:val="18"/>
              </w:rPr>
              <w:t xml:space="preserve">0・5・10円/kWh</w:t>
            </w:r>
          </w:p>
        </w:tc>
        <w:tc>
          <w:tcPr/>
          <w:p>
            <w:pPr>
              <w:pStyle w:val="Compact"/>
            </w:pPr>
            <w:r>
              <w:rPr>
                <w:rFonts w:hint="eastAsia"/>
                <w:sz w:val="18"/>
              </w:rPr>
              <w:t xml:space="preserve">式(9.1)</w:t>
            </w:r>
          </w:p>
        </w:tc>
      </w:tr>
      <w:tr>
        <w:tc>
          <w:tcPr/>
          <w:p>
            <w:pPr>
              <w:pStyle w:val="Compact"/>
            </w:pPr>
            <m:oMath>
              <m:sSubSup>
                <m:e>
                  <m:r>
                    <m:t>p</m:t>
                  </m:r>
                </m:e>
                <m:sub>
                  <m:r>
                    <m:t>t</m:t>
                  </m:r>
                </m:sub>
                <m:sup>
                  <m:r>
                    <m:rPr>
                      <m:sty m:val="p"/>
                    </m:rPr>
                    <m:t>(</m:t>
                  </m:r>
                  <m:r>
                    <m:t>δ</m:t>
                  </m:r>
                  <m:r>
                    <m:rPr>
                      <m:sty m:val="p"/>
                    </m:rPr>
                    <m:t>)</m:t>
                  </m:r>
                </m:sup>
              </m:sSubSup>
            </m:oMath>
          </w:p>
        </w:tc>
        <w:tc>
          <w:tcPr/>
          <w:p>
            <w:pPr>
              <w:pStyle w:val="Compact"/>
            </w:pPr>
            <w:r>
              <w:rPr>
                <w:rFonts w:hint="eastAsia"/>
                <w:sz w:val="18"/>
              </w:rPr>
              <w:t xml:space="preserve">段差モデルの価格</w:t>
            </w:r>
          </w:p>
        </w:tc>
        <w:tc>
          <w:tcPr/>
          <w:p>
            <w:pPr>
              <w:pStyle w:val="Compact"/>
            </w:pPr>
            <w:r>
              <w:rPr>
                <w:rFonts w:hint="eastAsia"/>
                <w:sz w:val="18"/>
              </w:rPr>
              <w:t xml:space="preserve">円/kWh</w:t>
            </w:r>
          </w:p>
        </w:tc>
        <w:tc>
          <w:tcPr/>
          <w:p>
            <w:pPr>
              <w:pStyle w:val="Compact"/>
            </w:pPr>
            <w:r>
              <w:rPr>
                <w:rFonts w:hint="eastAsia"/>
                <w:sz w:val="18"/>
              </w:rPr>
              <w:t xml:space="preserve">式(9.1)</w:t>
            </w:r>
          </w:p>
        </w:tc>
      </w:tr>
      <w:tr>
        <w:tc>
          <w:tcPr/>
          <w:p>
            <w:pPr>
              <w:pStyle w:val="Compact"/>
            </w:pPr>
            <m:oMath>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θ</m:t>
              </m:r>
              <m:r>
                <m:rPr>
                  <m:sty m:val="p"/>
                </m:rPr>
                <m:t>,</m:t>
              </m:r>
              <m:r>
                <m:t>δ</m:t>
              </m:r>
              <m:r>
                <m:rPr>
                  <m:sty m:val="p"/>
                </m:rPr>
                <m:t>)</m:t>
              </m:r>
            </m:oMath>
          </w:p>
        </w:tc>
        <w:tc>
          <w:tcPr/>
          <w:p>
            <w:pPr>
              <w:pStyle w:val="Compact"/>
            </w:pPr>
            <w:r>
              <w:rPr>
                <w:rFonts w:hint="eastAsia"/>
                <w:sz w:val="18"/>
              </w:rPr>
              <w:t xml:space="preserve">水準係数</w:t>
            </w:r>
            <w:r>
              <w:rPr>
                <w:sz w:val="18"/>
              </w:rPr>
              <w:t xml:space="preserve"> </w:t>
            </w:r>
            <m:oMath>
              <m:r>
                <m:t>θ</m:t>
              </m:r>
            </m:oMath>
            <w:r>
              <w:rPr>
                <w:rFonts w:hint="eastAsia"/>
                <w:sz w:val="18"/>
              </w:rPr>
              <w:t xml:space="preserve">・深さ</w:t>
            </w:r>
            <w:r>
              <w:rPr>
                <w:sz w:val="18"/>
              </w:rPr>
              <w:t xml:space="preserve"> </w:t>
            </w:r>
            <m:oMath>
              <m:r>
                <m:t>δ</m:t>
              </m:r>
            </m:oMath>
            <w:r>
              <w:rPr>
                <w:sz w:val="18"/>
              </w:rPr>
              <w:t xml:space="preserve"> </w:t>
            </w:r>
            <w:r>
              <w:rPr>
                <w:rFonts w:hint="eastAsia"/>
                <w:sz w:val="18"/>
              </w:rPr>
              <w:t xml:space="preserve">のモデル価格の上で戦略</w:t>
            </w:r>
            <w:r>
              <w:rPr>
                <w:sz w:val="18"/>
              </w:rPr>
              <w:t xml:space="preserve"> c </w:t>
            </w:r>
            <w:r>
              <w:rPr>
                <w:rFonts w:hint="eastAsia"/>
                <w:sz w:val="18"/>
              </w:rPr>
              <w:t xml:space="preserve">が得る粗利（</w:t>
            </w:r>
            <m:oMath>
              <m:r>
                <m:t>K</m:t>
              </m:r>
              <m:r>
                <m:rPr>
                  <m:sty m:val="p"/>
                </m:rPr>
                <m:t>=</m:t>
              </m:r>
              <m:r>
                <m:t>0</m:t>
              </m:r>
            </m:oMath>
            <w:r>
              <w:rPr>
                <w:rFonts w:hint="eastAsia"/>
                <w:sz w:val="18"/>
              </w:rPr>
              <w:t xml:space="preserve">）</w:t>
            </w:r>
          </w:p>
        </w:tc>
        <w:tc>
          <w:tcPr/>
          <w:p>
            <w:pPr>
              <w:pStyle w:val="Compact"/>
            </w:pPr>
            <w:r>
              <w:rPr>
                <w:rFonts w:hint="eastAsia"/>
                <w:sz w:val="18"/>
              </w:rPr>
              <w:t xml:space="preserve">円/kW-年</w:t>
            </w:r>
          </w:p>
        </w:tc>
        <w:tc>
          <w:tcPr/>
          <w:p>
            <w:pPr>
              <w:pStyle w:val="Compact"/>
            </w:pPr>
            <w:r>
              <w:rPr>
                <w:rFonts w:hint="eastAsia"/>
                <w:sz w:val="18"/>
              </w:rPr>
              <w:t xml:space="preserve">式(9.2)</w:t>
            </w:r>
          </w:p>
        </w:tc>
      </w:tr>
    </w:tbl>
    <w:p>
      <w:pPr>
        <w:pStyle w:val="TableNote"/>
      </w:pPr>
      <w:r>
        <w:rPr>
          <w:rFonts w:hint="eastAsia"/>
        </w:rPr>
        <w:t xml:space="preserve">注）添字</w:t>
      </w:r>
      <w:r>
        <w:t xml:space="preserve"> </w:t>
      </w:r>
      <m:oMath>
        <m:r>
          <m:t>t</m:t>
        </m:r>
      </m:oMath>
      <w:r>
        <w:t xml:space="preserve"> </w:t>
      </w:r>
      <w:r>
        <w:rPr>
          <w:rFonts w:hint="eastAsia"/>
        </w:rPr>
        <w:t xml:space="preserve">は、式(4.1)・(4.2)・(6.2)では日、式(4.3)・(9.1)・(9.3)では時間、式(4.7)・(7.2)では年を表す。第5章では日を</w:t>
      </w:r>
      <w:r>
        <w:t xml:space="preserve"> </w:t>
      </w:r>
      <m:oMath>
        <m:r>
          <m:t>d</m:t>
        </m:r>
      </m:oMath>
      <w:r>
        <w:t xml:space="preserve"> </w:t>
      </w:r>
      <w:r>
        <w:rPr>
          <w:rFonts w:hint="eastAsia"/>
        </w:rPr>
        <w:t xml:space="preserve">で表す。添字</w:t>
      </w:r>
      <w:r>
        <w:t xml:space="preserve"> </w:t>
      </w:r>
      <m:oMath>
        <m:r>
          <m:t>h</m:t>
        </m:r>
      </m:oMath>
      <w:r>
        <w:t xml:space="preserve"> </w:t>
      </w:r>
      <w:r>
        <w:rPr>
          <w:rFonts w:hint="eastAsia"/>
        </w:rPr>
        <w:t xml:space="preserve">は時刻を表し、</w:t>
      </w:r>
      <m:oMath>
        <m:r>
          <m:t>κ</m:t>
        </m:r>
        <m:r>
          <m:rPr>
            <m:sty m:val="p"/>
          </m:rPr>
          <m:t>(</m:t>
        </m:r>
        <m:r>
          <m:t>h</m:t>
        </m:r>
        <m:r>
          <m:rPr>
            <m:sty m:val="p"/>
          </m:rPr>
          <m:t>)</m:t>
        </m:r>
      </m:oMath>
      <w:r>
        <w:t xml:space="preserve"> </w:t>
      </w:r>
      <w:r>
        <w:rPr>
          <w:rFonts w:hint="eastAsia"/>
        </w:rPr>
        <w:t xml:space="preserve">に限って放電の持続時間を表す。</w:t>
      </w:r>
      <m:oMath>
        <m:sSup>
          <m:e>
            <m:r>
              <m:t>h</m:t>
            </m:r>
          </m:e>
          <m:sup>
            <m:r>
              <m:rPr>
                <m:sty m:val="p"/>
              </m:rPr>
              <m:t>*</m:t>
            </m:r>
          </m:sup>
        </m:sSup>
      </m:oMath>
      <w:r>
        <w:t xml:space="preserve"> </w:t>
      </w:r>
      <w:r>
        <w:rPr>
          <w:rFonts w:hint="eastAsia"/>
        </w:rPr>
        <w:t xml:space="preserve">は最小分散ヘッジ比率であり、時刻の</w:t>
      </w:r>
      <w:r>
        <w:t xml:space="preserve"> </w:t>
      </w:r>
      <m:oMath>
        <m:r>
          <m:t>h</m:t>
        </m:r>
      </m:oMath>
      <w:r>
        <w:t xml:space="preserve"> </w:t>
      </w:r>
      <w:r>
        <w:rPr>
          <w:rFonts w:hint="eastAsia"/>
        </w:rPr>
        <w:t xml:space="preserve">とは別の記号である。戦略</w:t>
      </w:r>
      <w:r>
        <w:t xml:space="preserve"> a・b・c の a・b・c </w:t>
      </w:r>
      <w:r>
        <w:rPr>
          <w:rFonts w:hint="eastAsia"/>
        </w:rPr>
        <w:t xml:space="preserve">は戦略の名前（立体）であり、粗収益の</w:t>
      </w:r>
      <w:r>
        <w:t xml:space="preserve"> </w:t>
      </w:r>
      <m:oMath>
        <m:r>
          <m:t>a</m:t>
        </m:r>
      </m:oMath>
      <w:r>
        <w:t xml:space="preserve"> </w:t>
      </w:r>
      <w:r>
        <w:rPr>
          <w:rFonts w:hint="eastAsia"/>
        </w:rPr>
        <w:t xml:space="preserve">とは別である。凡例の</w:t>
      </w:r>
      <w:r>
        <w:t xml:space="preserve"> </w:t>
      </w:r>
      <w:r>
        <w:rPr>
          <w:rFonts w:hint="eastAsia"/>
        </w:rPr>
        <w:t xml:space="preserve">D（受渡日）も、放電する時間の集合</w:t>
      </w:r>
      <w:r>
        <w:t xml:space="preserve"> </w:t>
      </w:r>
      <m:oMath>
        <m:r>
          <m:t>D</m:t>
        </m:r>
      </m:oMath>
      <w:r>
        <w:t xml:space="preserve"> </w:t>
      </w:r>
      <w:r>
        <w:rPr>
          <w:rFonts w:hint="eastAsia"/>
        </w:rPr>
        <w:t xml:space="preserve">とは別である。</w:t>
      </w:r>
      <m:oMath>
        <m:sSub>
          <m:e>
            <m:r>
              <m:t>θ</m:t>
            </m:r>
          </m:e>
          <m:sub>
            <m:r>
              <m:t>m</m:t>
            </m:r>
          </m:sub>
        </m:sSub>
      </m:oMath>
      <w:r>
        <w:t xml:space="preserve"> </w:t>
      </w:r>
      <w:r>
        <w:rPr>
          <w:rFonts w:hint="eastAsia"/>
        </w:rPr>
        <w:t xml:space="preserve">などの添字</w:t>
      </w:r>
      <w:r>
        <w:t xml:space="preserve"> </w:t>
      </w:r>
      <m:oMath>
        <m:r>
          <m:t>m</m:t>
        </m:r>
      </m:oMath>
      <w:r>
        <w:t xml:space="preserve"> </w:t>
      </w:r>
      <w:r>
        <w:rPr>
          <w:rFonts w:hint="eastAsia"/>
        </w:rPr>
        <w:t xml:space="preserve">は月を表し、日平均価格の</w:t>
      </w:r>
      <w:r>
        <w:t xml:space="preserve"> </w:t>
      </w:r>
      <m:oMath>
        <m:r>
          <m:t>m</m:t>
        </m:r>
      </m:oMath>
      <w:r>
        <w:t xml:space="preserve"> </w:t>
      </w:r>
      <w:r>
        <w:rPr>
          <w:rFonts w:hint="eastAsia"/>
        </w:rPr>
        <w:t xml:space="preserve">とは別である。</w:t>
      </w:r>
    </w:p>
    <w:p>
      <w:pPr>
        <w:pStyle w:val="FrontHeading"/>
        <w:pageBreakBefore/>
      </w:pPr>
      <w:r>
        <w:rPr>
          <w:rFonts w:hint="eastAsia"/>
        </w:rPr>
        <w:t xml:space="preserve">凡例</w:t>
      </w:r>
    </w:p>
    <w:p>
      <w:pPr>
        <w:pStyle w:val="BodyText"/>
      </w:pPr>
      <w:r>
        <w:rPr>
          <w:rFonts w:hint="eastAsia"/>
          <w:b/>
          <w:bCs/>
        </w:rPr>
        <w:t xml:space="preserve">単位</w:t>
      </w:r>
      <w:r>
        <w:t xml:space="preserve">　</w:t>
      </w:r>
      <w:r>
        <w:rPr>
          <w:rFonts w:hint="eastAsia"/>
        </w:rPr>
        <w:t xml:space="preserve">価格は円/kWh、日次の裁定の粗利は円/kW-日、年間の収益と費用は出力1kWあたりの年額（円/kW-年）で表す。資本費は蓄電容量1kWhあたり（万円/kWh）か出力1kWあたり（万円/kW）で示す。容量は万kW</w:t>
      </w:r>
      <w:r>
        <w:t xml:space="preserve"> </w:t>
      </w:r>
      <w:r>
        <w:rPr>
          <w:rFonts w:hint="eastAsia"/>
        </w:rPr>
        <w:t xml:space="preserve">で表し、蓄電池のフリート容量は4時間の蓄電池に換算した値とする。日次の発電量と需要は</w:t>
      </w:r>
      <w:r>
        <w:t xml:space="preserve"> </w:t>
      </w:r>
      <w:r>
        <w:rPr>
          <w:rFonts w:hint="eastAsia"/>
        </w:rPr>
        <w:t xml:space="preserve">GWh/日</w:t>
      </w:r>
      <w:r>
        <w:t xml:space="preserve"> </w:t>
      </w:r>
      <w:r>
        <w:rPr>
          <w:rFonts w:hint="eastAsia"/>
        </w:rPr>
        <w:t xml:space="preserve">で表す。</w:t>
      </w:r>
    </w:p>
    <w:p>
      <w:pPr>
        <w:pStyle w:val="BodyText"/>
      </w:pPr>
      <w:r>
        <w:rPr>
          <w:rFonts w:hint="eastAsia"/>
          <w:b/>
          <w:bCs/>
        </w:rPr>
        <w:t xml:space="preserve">年度</w:t>
      </w:r>
      <w:r>
        <w:t xml:space="preserve">　</w:t>
      </w:r>
      <w:r>
        <w:rPr>
          <w:rFonts w:hint="eastAsia"/>
        </w:rPr>
        <w:t xml:space="preserve">年度は4月から翌年3月までとし、FY2016</w:t>
      </w:r>
      <w:r>
        <w:t xml:space="preserve"> </w:t>
      </w:r>
      <w:r>
        <w:rPr>
          <w:rFonts w:hint="eastAsia"/>
        </w:rPr>
        <w:t xml:space="preserve">のように表す。FY2023〜25</w:t>
      </w:r>
      <w:r>
        <w:t xml:space="preserve"> </w:t>
      </w:r>
      <w:r>
        <w:rPr>
          <w:rFonts w:hint="eastAsia"/>
        </w:rPr>
        <w:t xml:space="preserve">は2023〜2025年度を指し、分析の中心とする</w:t>
      </w:r>
      <w:r>
        <w:t xml:space="preserve"> FY2023〜25 </w:t>
      </w:r>
      <w:r>
        <w:rPr>
          <w:rFonts w:hint="eastAsia"/>
        </w:rPr>
        <w:t xml:space="preserve">の価格構造を「現行の構造」と呼ぶ。容量市場と需給調整市場の受渡の年度は「2029年度向け」のように書く。</w:t>
      </w:r>
    </w:p>
    <w:p>
      <w:pPr>
        <w:pStyle w:val="BodyText"/>
      </w:pPr>
      <w:r>
        <w:rPr>
          <w:rFonts w:hint="eastAsia"/>
          <w:b/>
          <w:bCs/>
        </w:rPr>
        <w:t xml:space="preserve">季節と時間帯</w:t>
      </w:r>
      <w:r>
        <w:t xml:space="preserve">　</w:t>
      </w:r>
      <w:r>
        <w:rPr>
          <w:rFonts w:hint="eastAsia"/>
        </w:rPr>
        <w:t xml:space="preserve">第5章・第6章の報告用の季節区分は、夏（7〜9月）、冬（12〜2月）、不需要期（3〜6月と10〜11月）の3区分である。不需要期を暦月の春（3〜6月）と秋（10〜11月）に分けて示す場合がある。第7章の価格モデルの季節は、これとは別の気象学的な4区分（12〜2月、3〜5月、6〜8月、9〜11月）である。時刻は0〜23時の60分値で、30分値は2コマの平均をとる。時間帯は、昼を11〜13時、夕方を17〜19時、夜を0〜5時とする。D</w:t>
      </w:r>
      <w:r>
        <w:t xml:space="preserve"> </w:t>
      </w:r>
      <w:r>
        <w:rPr>
          <w:rFonts w:hint="eastAsia"/>
        </w:rPr>
        <w:t xml:space="preserve">は受渡日を、D−1・D−2</w:t>
      </w:r>
      <w:r>
        <w:t xml:space="preserve"> </w:t>
      </w:r>
      <w:r>
        <w:rPr>
          <w:rFonts w:hint="eastAsia"/>
        </w:rPr>
        <w:t xml:space="preserve">はその前日・前々日を表す。</w:t>
      </w:r>
    </w:p>
    <w:p>
      <w:pPr>
        <w:pStyle w:val="BodyText"/>
      </w:pPr>
      <w:r>
        <w:rPr>
          <w:rFonts w:hint="eastAsia"/>
          <w:b/>
          <w:bCs/>
        </w:rPr>
        <w:t xml:space="preserve">データの期間と基準日</w:t>
      </w:r>
      <w:r>
        <w:t xml:space="preserve">　</w:t>
      </w:r>
      <w:r>
        <w:rPr>
          <w:rFonts w:hint="eastAsia"/>
        </w:rPr>
        <w:t xml:space="preserve">需給実績と価格の時間パネルは、2016年4月1日から2026年6月30日まで（九州は2026年7月26日まで）である。制度、市場の約定結果、蓄電池の導入状況などの公表情報は、2026年9月末時点で固定する。それ以後に公表された情報は、主分析の前提に含めない。</w:t>
      </w:r>
    </w:p>
    <w:p>
      <w:pPr>
        <w:pStyle w:val="BodyText"/>
      </w:pPr>
      <w:r>
        <w:rPr>
          <w:rFonts w:hint="eastAsia"/>
          <w:b/>
          <w:bCs/>
        </w:rPr>
        <w:t xml:space="preserve">数値と記号</w:t>
      </w:r>
      <w:r>
        <w:t xml:space="preserve">　</w:t>
      </w:r>
      <w:r>
        <w:rPr>
          <w:rFonts w:hint="eastAsia"/>
        </w:rPr>
        <w:t xml:space="preserve">負号は「−」、範囲は「〜」で表し、数字は3桁ごとにカンマで区切る。回帰表の</w:t>
      </w:r>
      <w:r>
        <w:t xml:space="preserve"> ***、**、* </w:t>
      </w:r>
      <w:r>
        <w:rPr>
          <w:rFonts w:hint="eastAsia"/>
        </w:rPr>
        <w:t xml:space="preserve">は、それぞれ1%、5%、10%水準で有意であることを示し、†</w:t>
      </w:r>
      <w:r>
        <w:t xml:space="preserve"> </w:t>
      </w:r>
      <w:r>
        <w:rPr>
          <w:rFonts w:hint="eastAsia"/>
        </w:rPr>
        <w:t xml:space="preserve">は、ふるいブートストラップで補正した</w:t>
      </w:r>
      <w:r>
        <w:t xml:space="preserve"> p </w:t>
      </w:r>
      <w:r>
        <w:rPr>
          <w:rFonts w:hint="eastAsia"/>
        </w:rPr>
        <w:t xml:space="preserve">値で有意水準が1段以上下がる係数を示す。図・表・式の番号は章ごとに付け、付録では表A.1・式(B.1)のように付ける。文献の引用は</w:t>
      </w:r>
      <w:r>
        <w:t xml:space="preserve"> APA </w:t>
      </w:r>
      <w:r>
        <w:rPr>
          <w:rFonts w:hint="eastAsia"/>
        </w:rPr>
        <w:t xml:space="preserve">第7版の著者・年方式による。</w:t>
      </w:r>
    </w:p>
    <w:p>
      <w:pPr>
        <w:pStyle w:val="BodyText"/>
      </w:pPr>
      <w:r>
        <w:rPr>
          <w:rFonts w:hint="eastAsia"/>
          <w:b/>
          <w:bCs/>
        </w:rPr>
        <w:t xml:space="preserve">主な用語</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Pr>
      <w:tblGrid>
        <w:gridCol w:w="3960"/>
        <w:gridCol w:w="3960"/>
      </w:tblGrid>
      <w:tr>
        <w:trPr>
          <w:tblHeader w:val="on"/>
        </w:trPr>
        <w:tc>
          <w:tcPr>
            <w:tcBorders>
              <w:bottom w:val="single" w:sz="6" w:color="000000"/>
            </w:tcBorders>
          </w:tcPr>
          <w:p>
            <w:pPr>
              <w:pStyle w:val="Compact"/>
            </w:pPr>
            <w:r>
              <w:rPr>
                <w:rFonts w:hint="eastAsia"/>
                <w:sz w:val="18"/>
              </w:rPr>
              <w:t xml:space="preserve">用語</w:t>
            </w:r>
          </w:p>
        </w:tc>
        <w:tc>
          <w:tcPr>
            <w:tcBorders>
              <w:bottom w:val="single" w:sz="6" w:color="000000"/>
            </w:tcBorders>
          </w:tcPr>
          <w:p>
            <w:pPr>
              <w:pStyle w:val="Compact"/>
            </w:pPr>
            <w:r>
              <w:rPr>
                <w:rFonts w:hint="eastAsia"/>
                <w:sz w:val="18"/>
              </w:rPr>
              <w:t xml:space="preserve">意味</w:t>
            </w:r>
          </w:p>
        </w:tc>
      </w:tr>
      <w:tr>
        <w:tc>
          <w:tcPr/>
          <w:p>
            <w:pPr>
              <w:pStyle w:val="Compact"/>
            </w:pPr>
            <w:r>
              <w:rPr>
                <w:sz w:val="18"/>
              </w:rPr>
              <w:t xml:space="preserve">マーチャント</w:t>
            </w:r>
          </w:p>
        </w:tc>
        <w:tc>
          <w:tcPr/>
          <w:p>
            <w:pPr>
              <w:pStyle w:val="Compact"/>
            </w:pPr>
            <w:r>
              <w:rPr>
                <w:rFonts w:hint="eastAsia"/>
                <w:sz w:val="18"/>
              </w:rPr>
              <w:t xml:space="preserve">長期の固定収入契約や補助金に頼らず、スポット市場や容量市場などの市場収入だけで運営する蓄電池。均衡の判定（第7章）では、スポット裁定と容量収入だけを見込み、需給調整市場のレントを0と置く</w:t>
            </w:r>
          </w:p>
        </w:tc>
      </w:tr>
      <w:tr>
        <w:tc>
          <w:tcPr/>
          <w:p>
            <w:pPr>
              <w:pStyle w:val="Compact"/>
            </w:pPr>
            <w:r>
              <w:rPr>
                <w:rFonts w:hint="eastAsia"/>
                <w:sz w:val="18"/>
              </w:rPr>
              <w:t xml:space="preserve">契約型</w:t>
            </w:r>
          </w:p>
        </w:tc>
        <w:tc>
          <w:tcPr/>
          <w:p>
            <w:pPr>
              <w:pStyle w:val="Compact"/>
            </w:pPr>
            <w:r>
              <w:rPr>
                <w:sz w:val="18"/>
              </w:rPr>
              <w:t xml:space="preserve">LTDA </w:t>
            </w:r>
            <w:r>
              <w:rPr>
                <w:rFonts w:hint="eastAsia"/>
                <w:sz w:val="18"/>
              </w:rPr>
              <w:t xml:space="preserve">や補助金などの契約で収入を固定する蓄電池</w:t>
            </w:r>
          </w:p>
        </w:tc>
      </w:tr>
      <w:tr>
        <w:tc>
          <w:tcPr/>
          <w:p>
            <w:pPr>
              <w:pStyle w:val="Compact"/>
            </w:pPr>
            <w:r>
              <w:rPr>
                <w:sz w:val="18"/>
              </w:rPr>
              <w:t xml:space="preserve">フリート</w:t>
            </w:r>
          </w:p>
        </w:tc>
        <w:tc>
          <w:tcPr/>
          <w:p>
            <w:pPr>
              <w:pStyle w:val="Compact"/>
            </w:pPr>
            <w:r>
              <w:rPr>
                <w:rFonts w:hint="eastAsia"/>
                <w:sz w:val="18"/>
              </w:rPr>
              <w:t xml:space="preserve">エリアの系統用蓄電池の全体。その総容量を</w:t>
            </w:r>
            <w:r>
              <w:rPr>
                <w:sz w:val="18"/>
              </w:rPr>
              <w:t xml:space="preserve"> </w:t>
            </w:r>
            <m:oMath>
              <m:r>
                <m:t>K</m:t>
              </m:r>
            </m:oMath>
            <w:r>
              <w:rPr>
                <w:sz w:val="18"/>
              </w:rPr>
              <w:t xml:space="preserve"> </w:t>
            </w:r>
            <w:r>
              <w:rPr>
                <w:rFonts w:hint="eastAsia"/>
                <w:sz w:val="18"/>
              </w:rPr>
              <w:t xml:space="preserve">で表す</w:t>
            </w:r>
          </w:p>
        </w:tc>
      </w:tr>
      <w:tr>
        <w:tc>
          <w:tcPr/>
          <w:p>
            <w:pPr>
              <w:pStyle w:val="Compact"/>
            </w:pPr>
            <w:r>
              <w:rPr>
                <w:rFonts w:hint="eastAsia"/>
                <w:sz w:val="18"/>
              </w:rPr>
              <w:t xml:space="preserve">限界参入者</w:t>
            </w:r>
          </w:p>
        </w:tc>
        <w:tc>
          <w:tcPr/>
          <w:p>
            <w:pPr>
              <w:pStyle w:val="Compact"/>
            </w:pPr>
            <w:r>
              <w:rPr>
                <w:rFonts w:hint="eastAsia"/>
                <w:sz w:val="18"/>
              </w:rPr>
              <w:t xml:space="preserve">フリート容量</w:t>
            </w:r>
            <w:r>
              <w:rPr>
                <w:sz w:val="18"/>
              </w:rPr>
              <w:t xml:space="preserve"> </w:t>
            </w:r>
            <m:oMath>
              <m:r>
                <m:t>K</m:t>
              </m:r>
            </m:oMath>
            <w:r>
              <w:rPr>
                <w:sz w:val="18"/>
              </w:rPr>
              <w:t xml:space="preserve"> </w:t>
            </w:r>
            <w:r>
              <w:rPr>
                <w:rFonts w:hint="eastAsia"/>
                <w:sz w:val="18"/>
              </w:rPr>
              <w:t xml:space="preserve">の投入後の価格の上で、新たに参入を検討する価格テイカー</w:t>
            </w:r>
          </w:p>
        </w:tc>
      </w:tr>
      <w:tr>
        <w:tc>
          <w:tcPr/>
          <w:p>
            <w:pPr>
              <w:pStyle w:val="Compact"/>
            </w:pPr>
            <w:r>
              <w:rPr>
                <w:rFonts w:hint="eastAsia"/>
                <w:sz w:val="18"/>
              </w:rPr>
              <w:t xml:space="preserve">完全予見粗利</w:t>
            </w:r>
          </w:p>
        </w:tc>
        <w:tc>
          <w:tcPr/>
          <w:p>
            <w:pPr>
              <w:pStyle w:val="Compact"/>
            </w:pPr>
            <w:r>
              <w:rPr>
                <w:rFonts w:hint="eastAsia"/>
                <w:sz w:val="18"/>
              </w:rPr>
              <w:t xml:space="preserve">当日の実現価格を知って最安の4時間に充電し最高の4時間に放電し、粗利が負の日は休止したときの年間の裁定粗利。前日スポット市場・1日1サイクルの設定での上界</w:t>
            </w:r>
          </w:p>
        </w:tc>
      </w:tr>
      <w:tr>
        <w:tc>
          <w:tcPr/>
          <w:p>
            <w:pPr>
              <w:pStyle w:val="Compact"/>
            </w:pPr>
            <w:r>
              <w:rPr>
                <w:rFonts w:hint="eastAsia"/>
                <w:sz w:val="18"/>
              </w:rPr>
              <w:t xml:space="preserve">実行可能戦略</w:t>
            </w:r>
          </w:p>
        </w:tc>
        <w:tc>
          <w:tcPr/>
          <w:p>
            <w:pPr>
              <w:pStyle w:val="Compact"/>
            </w:pPr>
            <w:r>
              <w:rPr>
                <w:rFonts w:hint="eastAsia"/>
                <w:sz w:val="18"/>
              </w:rPr>
              <w:t xml:space="preserve">先読みのない取引戦略。戦略</w:t>
            </w:r>
            <w:r>
              <w:rPr>
                <w:sz w:val="18"/>
              </w:rPr>
              <w:t xml:space="preserve"> a </w:t>
            </w:r>
            <w:r>
              <w:rPr>
                <w:rFonts w:hint="eastAsia"/>
                <w:sz w:val="18"/>
              </w:rPr>
              <w:t xml:space="preserve">は前日の実現価格の順位、戦略</w:t>
            </w:r>
            <w:r>
              <w:rPr>
                <w:sz w:val="18"/>
              </w:rPr>
              <w:t xml:space="preserve"> b は D−2 </w:t>
            </w:r>
            <w:r>
              <w:rPr>
                <w:rFonts w:hint="eastAsia"/>
                <w:sz w:val="18"/>
              </w:rPr>
              <w:t xml:space="preserve">までの実績から予測した残余需要の順位、戦略</w:t>
            </w:r>
            <w:r>
              <w:rPr>
                <w:sz w:val="18"/>
              </w:rPr>
              <w:t xml:space="preserve"> c </w:t>
            </w:r>
            <w:r>
              <w:rPr>
                <w:rFonts w:hint="eastAsia"/>
                <w:sz w:val="18"/>
              </w:rPr>
              <w:t xml:space="preserve">は過去28日・同じ曜日区分の平均価格カーブの順位を使う</w:t>
            </w:r>
          </w:p>
        </w:tc>
      </w:tr>
      <w:tr>
        <w:tc>
          <w:tcPr/>
          <w:p>
            <w:pPr>
              <w:pStyle w:val="Compact"/>
            </w:pPr>
            <w:r>
              <w:rPr>
                <w:rFonts w:hint="eastAsia"/>
                <w:sz w:val="18"/>
              </w:rPr>
              <w:t xml:space="preserve">本源的方策</w:t>
            </w:r>
          </w:p>
        </w:tc>
        <w:tc>
          <w:tcPr/>
          <w:p>
            <w:pPr>
              <w:pStyle w:val="Compact"/>
            </w:pPr>
            <w:r>
              <w:rPr>
                <w:rFonts w:hint="eastAsia"/>
                <w:sz w:val="18"/>
              </w:rPr>
              <w:t xml:space="preserve">戦略</w:t>
            </w:r>
            <w:r>
              <w:rPr>
                <w:sz w:val="18"/>
              </w:rPr>
              <w:t xml:space="preserve"> c </w:t>
            </w:r>
            <w:r>
              <w:rPr>
                <w:rFonts w:hint="eastAsia"/>
                <w:sz w:val="18"/>
              </w:rPr>
              <w:t xml:space="preserve">のように、平均価格カーブに対して前日に充放電の窓を固定する方策</w:t>
            </w:r>
          </w:p>
        </w:tc>
      </w:tr>
      <w:tr>
        <w:tc>
          <w:tcPr/>
          <w:p>
            <w:pPr>
              <w:pStyle w:val="Compact"/>
            </w:pPr>
            <w:r>
              <w:rPr>
                <w:rFonts w:hint="eastAsia"/>
                <w:sz w:val="18"/>
              </w:rPr>
              <w:t xml:space="preserve">実現率（capture</w:t>
            </w:r>
            <w:r>
              <w:rPr>
                <w:sz w:val="18"/>
              </w:rPr>
              <w:t xml:space="preserve"> </w:t>
            </w:r>
            <w:r>
              <w:rPr>
                <w:rFonts w:hint="eastAsia"/>
                <w:sz w:val="18"/>
              </w:rPr>
              <w:t xml:space="preserve">rate）</w:t>
            </w:r>
          </w:p>
        </w:tc>
        <w:tc>
          <w:tcPr/>
          <w:p>
            <w:pPr>
              <w:pStyle w:val="Compact"/>
            </w:pPr>
            <w:r>
              <w:rPr>
                <w:rFonts w:hint="eastAsia"/>
                <w:sz w:val="18"/>
              </w:rPr>
              <w:t xml:space="preserve">実行可能戦略の実現粗利の、完全予見粗利に対する比率</w:t>
            </w:r>
          </w:p>
        </w:tc>
      </w:tr>
      <w:tr>
        <w:tc>
          <w:tcPr/>
          <w:p>
            <w:pPr>
              <w:pStyle w:val="Compact"/>
            </w:pPr>
            <w:r>
              <w:rPr>
                <w:rFonts w:hint="eastAsia"/>
                <w:sz w:val="18"/>
              </w:rPr>
              <w:t xml:space="preserve">実績整合ケース</w:t>
            </w:r>
          </w:p>
        </w:tc>
        <w:tc>
          <w:tcPr/>
          <w:p>
            <w:pPr>
              <w:pStyle w:val="Compact"/>
            </w:pPr>
            <w:r>
              <w:rPr>
                <w:rFonts w:hint="eastAsia"/>
                <w:sz w:val="18"/>
              </w:rPr>
              <w:t xml:space="preserve">モデル価格の上で戦略</w:t>
            </w:r>
            <w:r>
              <w:rPr>
                <w:sz w:val="18"/>
              </w:rPr>
              <w:t xml:space="preserve"> c </w:t>
            </w:r>
            <w:r>
              <w:rPr>
                <w:rFonts w:hint="eastAsia"/>
                <w:sz w:val="18"/>
              </w:rPr>
              <w:t xml:space="preserve">を動かした粗利を、</w:t>
            </w:r>
            <m:oMath>
              <m:r>
                <m:t>K</m:t>
              </m:r>
              <m:r>
                <m:rPr>
                  <m:sty m:val="p"/>
                </m:rPr>
                <m:t>=</m:t>
              </m:r>
              <m:r>
                <m:t>0</m:t>
              </m:r>
            </m:oMath>
            <w:r>
              <w:rPr>
                <w:sz w:val="18"/>
              </w:rPr>
              <w:t xml:space="preserve">・</w:t>
            </w:r>
            <m:oMath>
              <m:r>
                <m:t>θ</m:t>
              </m:r>
              <m:r>
                <m:rPr>
                  <m:sty m:val="p"/>
                </m:rPr>
                <m:t>=</m:t>
              </m:r>
              <m:r>
                <m:t>1</m:t>
              </m:r>
            </m:oMath>
            <w:r>
              <w:rPr>
                <w:sz w:val="18"/>
              </w:rPr>
              <w:t xml:space="preserve"> </w:t>
            </w:r>
            <w:r>
              <w:rPr>
                <w:rFonts w:hint="eastAsia"/>
                <w:sz w:val="18"/>
              </w:rPr>
              <w:t xml:space="preserve">で実績の戦略</w:t>
            </w:r>
            <w:r>
              <w:rPr>
                <w:sz w:val="18"/>
              </w:rPr>
              <w:t xml:space="preserve"> c </w:t>
            </w:r>
            <w:r>
              <w:rPr>
                <w:rFonts w:hint="eastAsia"/>
                <w:sz w:val="18"/>
              </w:rPr>
              <w:t xml:space="preserve">に一致させ、充電従量負担を差し引いた限界参入者の収益の基準</w:t>
            </w:r>
          </w:p>
        </w:tc>
      </w:tr>
      <w:tr>
        <w:tc>
          <w:tcPr/>
          <w:p>
            <w:pPr>
              <w:pStyle w:val="Compact"/>
            </w:pPr>
            <w:r>
              <w:rPr>
                <w:rFonts w:hint="eastAsia"/>
                <w:sz w:val="18"/>
              </w:rPr>
              <w:t xml:space="preserve">モデル直値</w:t>
            </w:r>
          </w:p>
        </w:tc>
        <w:tc>
          <w:tcPr/>
          <w:p>
            <w:pPr>
              <w:pStyle w:val="Compact"/>
            </w:pPr>
            <w:r>
              <w:rPr>
                <w:rFonts w:hint="eastAsia"/>
                <w:sz w:val="18"/>
              </w:rPr>
              <w:t xml:space="preserve">校正係数を</w:t>
            </w:r>
            <w:r>
              <w:rPr>
                <w:sz w:val="18"/>
              </w:rPr>
              <w:t xml:space="preserve"> </w:t>
            </w:r>
            <m:oMath>
              <m:r>
                <m:t>λ</m:t>
              </m:r>
              <m:r>
                <m:rPr>
                  <m:sty m:val="p"/>
                </m:rPr>
                <m:t>=</m:t>
              </m:r>
              <m:r>
                <m:t>1</m:t>
              </m:r>
            </m:oMath>
            <w:r>
              <w:rPr>
                <w:sz w:val="18"/>
              </w:rPr>
              <w:t xml:space="preserve"> </w:t>
            </w:r>
            <w:r>
              <w:rPr>
                <w:rFonts w:hint="eastAsia"/>
                <w:sz w:val="18"/>
              </w:rPr>
              <w:t xml:space="preserve">とした値</w:t>
            </w:r>
          </w:p>
        </w:tc>
      </w:tr>
      <w:tr>
        <w:tc>
          <w:tcPr/>
          <w:p>
            <w:pPr>
              <w:pStyle w:val="Compact"/>
            </w:pPr>
            <w:r>
              <w:rPr>
                <w:rFonts w:hint="eastAsia"/>
                <w:sz w:val="18"/>
              </w:rPr>
              <w:t xml:space="preserve">仕様A・仕様A′</w:t>
            </w:r>
          </w:p>
        </w:tc>
        <w:tc>
          <w:tcPr/>
          <w:p>
            <w:pPr>
              <w:pStyle w:val="Compact"/>
            </w:pPr>
            <w:r>
              <w:rPr>
                <w:rFonts w:hint="eastAsia"/>
                <w:sz w:val="18"/>
              </w:rPr>
              <w:t xml:space="preserve">仕様A</w:t>
            </w:r>
            <w:r>
              <w:rPr>
                <w:sz w:val="18"/>
              </w:rPr>
              <w:t xml:space="preserve"> </w:t>
            </w:r>
            <w:r>
              <w:rPr>
                <w:rFonts w:hint="eastAsia"/>
                <w:sz w:val="18"/>
              </w:rPr>
              <w:t xml:space="preserve">は純需要の供給曲線と季節×時刻のプレミアムだけからなる単一曲線の価格モデル。仕様A′</w:t>
            </w:r>
            <w:r>
              <w:rPr>
                <w:sz w:val="18"/>
              </w:rPr>
              <w:t xml:space="preserve"> </w:t>
            </w:r>
            <w:r>
              <w:rPr>
                <w:rFonts w:hint="eastAsia"/>
                <w:sz w:val="18"/>
              </w:rPr>
              <w:t xml:space="preserve">はプレミアムを日次の風力発電量の三分位にも依存させた修正版</w:t>
            </w:r>
          </w:p>
        </w:tc>
      </w:tr>
      <w:tr>
        <w:tc>
          <w:tcPr/>
          <w:p>
            <w:pPr>
              <w:pStyle w:val="Compact"/>
            </w:pPr>
            <w:r>
              <w:rPr>
                <w:rFonts w:hint="eastAsia"/>
                <w:sz w:val="18"/>
              </w:rPr>
              <w:t xml:space="preserve">下限価格・下限張り付き</w:t>
            </w:r>
          </w:p>
        </w:tc>
        <w:tc>
          <w:tcPr/>
          <w:p>
            <w:pPr>
              <w:pStyle w:val="Compact"/>
            </w:pPr>
            <w:r>
              <w:rPr>
                <w:rFonts w:hint="eastAsia"/>
                <w:sz w:val="18"/>
              </w:rPr>
              <w:t xml:space="preserve">下限価格は</w:t>
            </w:r>
            <w:r>
              <w:rPr>
                <w:sz w:val="18"/>
              </w:rPr>
              <w:t xml:space="preserve"> JEPX </w:t>
            </w:r>
            <w:r>
              <w:rPr>
                <w:rFonts w:hint="eastAsia"/>
                <w:sz w:val="18"/>
              </w:rPr>
              <w:t xml:space="preserve">スポットの約定価格の下限（0.01円/kWh）。下限張り付きは約定価格が下限価格に張り付いた時間・コマ</w:t>
            </w:r>
          </w:p>
        </w:tc>
      </w:tr>
      <w:tr>
        <w:tc>
          <w:tcPr/>
          <w:p>
            <w:pPr>
              <w:pStyle w:val="Compact"/>
            </w:pPr>
            <w:r>
              <w:rPr>
                <w:rFonts w:hint="eastAsia"/>
                <w:sz w:val="18"/>
              </w:rPr>
              <w:t xml:space="preserve">負の価格</w:t>
            </w:r>
          </w:p>
        </w:tc>
        <w:tc>
          <w:tcPr/>
          <w:p>
            <w:pPr>
              <w:pStyle w:val="Compact"/>
            </w:pPr>
            <w:r>
              <w:rPr>
                <w:rFonts w:hint="eastAsia"/>
                <w:sz w:val="18"/>
              </w:rPr>
              <w:t xml:space="preserve">下限価格を0.01円/kWh</w:t>
            </w:r>
            <w:r>
              <w:rPr>
                <w:sz w:val="18"/>
              </w:rPr>
              <w:t xml:space="preserve"> </w:t>
            </w:r>
            <w:r>
              <w:rPr>
                <w:rFonts w:hint="eastAsia"/>
                <w:sz w:val="18"/>
              </w:rPr>
              <w:t xml:space="preserve">より低い水準に置き換える反実仮想の価格</w:t>
            </w:r>
          </w:p>
        </w:tc>
      </w:tr>
      <w:tr>
        <w:tc>
          <w:tcPr/>
          <w:p>
            <w:pPr>
              <w:pStyle w:val="Compact"/>
            </w:pPr>
            <w:r>
              <w:rPr>
                <w:rFonts w:hint="eastAsia"/>
                <w:sz w:val="18"/>
              </w:rPr>
              <w:t xml:space="preserve">実効容量収入</w:t>
            </w:r>
          </w:p>
        </w:tc>
        <w:tc>
          <w:tcPr/>
          <w:p>
            <w:pPr>
              <w:pStyle w:val="Compact"/>
            </w:pPr>
            <w:r>
              <w:rPr>
                <w:rFonts w:hint="eastAsia"/>
                <w:sz w:val="18"/>
              </w:rPr>
              <w:t xml:space="preserve">容量市場の約定価格に調整係数を掛けた、蓄電池1kW</w:t>
            </w:r>
            <w:r>
              <w:rPr>
                <w:sz w:val="18"/>
              </w:rPr>
              <w:t xml:space="preserve"> </w:t>
            </w:r>
            <w:r>
              <w:rPr>
                <w:rFonts w:hint="eastAsia"/>
                <w:sz w:val="18"/>
              </w:rPr>
              <w:t xml:space="preserve">あたりの容量収入</w:t>
            </w:r>
          </w:p>
        </w:tc>
      </w:tr>
      <w:tr>
        <w:tc>
          <w:tcPr/>
          <w:p>
            <w:pPr>
              <w:pStyle w:val="Compact"/>
            </w:pPr>
            <w:r>
              <w:rPr>
                <w:rFonts w:hint="eastAsia"/>
                <w:sz w:val="18"/>
              </w:rPr>
              <w:t xml:space="preserve">参入必要収益</w:t>
            </w:r>
          </w:p>
        </w:tc>
        <w:tc>
          <w:tcPr/>
          <w:p>
            <w:pPr>
              <w:pStyle w:val="Compact"/>
            </w:pPr>
            <w:r>
              <w:rPr>
                <w:rFonts w:hint="eastAsia"/>
                <w:sz w:val="18"/>
              </w:rPr>
              <w:t xml:space="preserve">資本費の等価年額に年々の固定費を加えた、参入に必要な年間収益</w:t>
            </w:r>
          </w:p>
        </w:tc>
      </w:tr>
    </w:tbl>
    <w:p>
      <w:pPr>
        <w:pStyle w:val="BodyText"/>
        <w:sectPr>
          <w:footerReference w:type="default" r:id="rId10"/>
          <w:footnotePr>
            <w:numRestart w:val="eachSect"/>
          </w:footnotePr>
          <w:pgSz w:h="16838" w:w="11906"/>
          <w:pgMar w:bottom="1417" w:left="1701" w:right="1417" w:top="1701"/>
          <w:pgNumType w:fmt="lowerRoman" w:start="1"/>
        </w:sectPr>
      </w:pPr>
    </w:p>
    <w:bookmarkStart w:id="23" w:name="第1章-序論"/>
    <w:p>
      <w:pPr>
        <w:pStyle w:val="Heading1"/>
      </w:pPr>
      <w:r>
        <w:rPr>
          <w:rFonts w:hint="eastAsia"/>
        </w:rPr>
        <w:t xml:space="preserve">第1章</w:t>
      </w:r>
      <w:r>
        <w:t xml:space="preserve">　</w:t>
      </w:r>
      <w:r>
        <w:rPr>
          <w:rFonts w:hint="eastAsia"/>
        </w:rPr>
        <w:t xml:space="preserve">序論</w:t>
      </w:r>
    </w:p>
    <w:p>
      <w:pPr>
        <w:pStyle w:val="FirstParagraph"/>
      </w:pPr>
      <w:r>
        <w:rPr>
          <w:rFonts w:hint="eastAsia"/>
        </w:rPr>
        <w:t xml:space="preserve">本章は、本研究が取り組む問題の背景と研究課題を示す。まず、系統用蓄電池への参入をめぐる通説と北海道エリアで観察される参入の謎を述べ（1.1節）、研究課題を定めて（1.2節）、分析の方法を概観する（1.3節）。続いて主要な結果を予告し（1.4節）、貢献を述べ（1.5節）、分析の範囲と前提を確認して（1.6節）、本論文の構成を示す（1.7節）。</w:t>
      </w:r>
    </w:p>
    <w:bookmarkStart w:id="13" w:name="研究の背景と問題意識"/>
    <w:p>
      <w:pPr>
        <w:pStyle w:val="Heading2"/>
      </w:pPr>
      <w:r>
        <w:t xml:space="preserve">1.1　</w:t>
      </w:r>
      <w:r>
        <w:rPr>
          <w:rFonts w:hint="eastAsia"/>
        </w:rPr>
        <w:t xml:space="preserve">研究の背景と問題意識</w:t>
      </w:r>
    </w:p>
    <w:bookmarkStart w:id="9" w:name="系統用蓄電池への参入と通説"/>
    <w:p>
      <w:pPr>
        <w:pStyle w:val="Heading3"/>
      </w:pPr>
      <w:r>
        <w:t xml:space="preserve">1.1.1　</w:t>
      </w:r>
      <w:r>
        <w:rPr>
          <w:rFonts w:hint="eastAsia"/>
        </w:rPr>
        <w:t xml:space="preserve">系統用蓄電池への参入と通説</w:t>
      </w:r>
    </w:p>
    <w:p>
      <w:pPr>
        <w:pStyle w:val="FirstParagraph"/>
      </w:pPr>
      <w:r>
        <w:rPr>
          <w:rFonts w:hint="eastAsia"/>
        </w:rPr>
        <w:t xml:space="preserve">脱炭素化に向けて変動性の再生可能エネルギー（以下、再エネ）の導入が進むにつれ、電力の需給を時間の間で調整する柔軟性の価値が注目されている。その担い手として期待されるのが、送配電網に直接接続し、卸電力市場などで充放電する系統用蓄電池である。国内の系統用蓄電池の契約申込は、資源エネルギー庁（2025a）によれば2024年9月末に約620万kWであったが、2025年12月には約2,869万kWと1年余りで4倍以上に増え、接続検討の申込は1億7,000万kWを超えた（3.5.2項）。</w:t>
      </w:r>
    </w:p>
    <w:p>
      <w:pPr>
        <w:pStyle w:val="BodyText"/>
      </w:pPr>
      <w:r>
        <w:rPr>
          <w:rFonts w:hint="eastAsia"/>
        </w:rPr>
        <w:t xml:space="preserve">この参入の背後には、再エネの増加が卸電力価格の変動性を高め、それが蓄電池の裁定価値を高めるという通説がある。しかし先行研究は、再エネと価格の変動性の関係の符号が、市場や電源種によって異なることを報告している（Rintamäki</w:t>
      </w:r>
      <w:r>
        <w:t xml:space="preserve"> et al., 2017; Schöniger &amp; Morawetz, </w:t>
      </w:r>
      <w:r>
        <w:rPr>
          <w:rFonts w:hint="eastAsia"/>
        </w:rPr>
        <w:t xml:space="preserve">2022）。昼に集中して発電する太陽光は日内の価格差を広げうるが、風力には決まった日内の位相がなく、その変動の多くは1日を超える周期の気象の変化による。通説は、電源種の違いも、価格の水準・日内の形状・多日の変動という時間スケールの違いも区別していない。さらに、蓄電池の参入そのものが価格差を縮め、後から参入する蓄電池の収益を削る（Butters</w:t>
      </w:r>
      <w:r>
        <w:t xml:space="preserve"> et al., </w:t>
      </w:r>
      <w:r>
        <w:rPr>
          <w:rFonts w:hint="eastAsia"/>
        </w:rPr>
        <w:t xml:space="preserve">2025）。蓄電池の価値は、再エネの量だけでなく、蓄電池自身の量と市場の制度にも依存するはずである。</w:t>
      </w:r>
    </w:p>
    <w:p>
      <w:pPr>
        <w:pStyle w:val="BodyText"/>
      </w:pPr>
      <w:r>
        <w:rPr>
          <w:rFonts w:hint="eastAsia"/>
        </w:rPr>
        <w:t xml:space="preserve">本研究の実務上の動機は、筆者がプライベート・エクイティ・ファンドの投資担当として、太陽光発電と蓄電池の</w:t>
      </w:r>
      <w:r>
        <w:t xml:space="preserve"> </w:t>
      </w:r>
      <w:r>
        <w:rPr>
          <w:rFonts w:hint="eastAsia"/>
        </w:rPr>
        <w:t xml:space="preserve">EPC（設計・調達・建設）事業への投資を検討した経験にある。蓄電池の主要な収益源とされる日本卸電力取引所（JEPX）のスポット市場での裁定収益を、公表された価格の実績から計算すると、資本費を回収するには明らかに薄かった。それでも事業者は参入を続け、案件のパイプラインは膨らみ続けていた。市場は何を織り込んでいるのか。この問いは、投資判断の実務にとって切実であると同時に、電力市場の均衡という経済学の問題であり、資産と契約の評価というファイナンスの問題でもある。</w:t>
      </w:r>
    </w:p>
    <w:bookmarkEnd w:id="9"/>
    <w:bookmarkStart w:id="10" w:name="風力主導市場としての北海道"/>
    <w:p>
      <w:pPr>
        <w:pStyle w:val="Heading3"/>
      </w:pPr>
      <w:r>
        <w:t xml:space="preserve">1.1.2　</w:t>
      </w:r>
      <w:r>
        <w:rPr>
          <w:rFonts w:hint="eastAsia"/>
        </w:rPr>
        <w:t xml:space="preserve">風力主導市場としての北海道</w:t>
      </w:r>
    </w:p>
    <w:p>
      <w:pPr>
        <w:pStyle w:val="FirstParagraph"/>
      </w:pPr>
      <w:r>
        <w:rPr>
          <w:rFonts w:hint="eastAsia"/>
        </w:rPr>
        <w:t xml:space="preserve">本研究は、この問いを北海道エリアで検証する。北海道は風力の導入量が都道府県別で全国最大（2024年末で約130万kW、直近2年で倍増。エリア別では東北に次ぐ）で、風力の電力量シェアは実測で10%を超え、洋上風力の促進区域が5海域控える、風力主導の市場である。本州とは北本連系線でのみつながり、その容量は小さい。一方で、系統用蓄電池の契約申込は2025年12月末にエリアの最大需要の約35%に達し、太陽光の導入が先行した九州（約37.5%）に近い（3.5.2項）。北海道は、風力と蓄電池と連系線の制約が最も鋭く交錯する市場であり、太陽光主導の市場で得られた知見がそのまま当てはまる保証はない。本研究は、太陽光の浸透が最も進んだ九州エリアを比較の対象に用いる。</w:t>
      </w:r>
    </w:p>
    <w:bookmarkEnd w:id="10"/>
    <w:bookmarkStart w:id="12" w:name="観察された謎"/>
    <w:p>
      <w:pPr>
        <w:pStyle w:val="Heading3"/>
      </w:pPr>
      <w:r>
        <w:t xml:space="preserve">1.1.3　</w:t>
      </w:r>
      <w:r>
        <w:rPr>
          <w:rFonts w:hint="eastAsia"/>
        </w:rPr>
        <w:t xml:space="preserve">観察された謎</w:t>
      </w:r>
    </w:p>
    <w:p>
      <w:pPr>
        <w:pStyle w:val="FirstParagraph"/>
      </w:pPr>
      <w:r>
        <w:rPr>
          <w:rFonts w:hint="eastAsia"/>
        </w:rPr>
        <w:t xml:space="preserve">北海道エリアで系統に接続済みの系統用蓄電池は、2026年5月末時点で約20万kWである</w:t>
      </w:r>
      <w:r>
        <w:rPr>
          <w:rStyle w:val="FootnoteReference"/>
        </w:rPr>
        <w:footnoteReference w:id="11"/>
      </w:r>
      <w:r>
        <w:rPr>
          <w:rFonts w:hint="eastAsia"/>
        </w:rPr>
        <w:t xml:space="preserve">。これに対し、契約申込は約234万kW、接続検討は約823万kWに達する（北海道電力ネットワーク，2026。3.5.2項）。ところが本研究の分析（第7章）によれば、長期の固定収入契約や補助金に頼らず、市場収入だけで運営する蓄電池（以下、マーチャント）の均衡容量は、スポット市場の裁定と容量市場の収入だけを見込み、需給調整市場のレントを0と置く限り、現行の資本費と価格構造の下でゼロである。系統用蓄電池が1基もない状態で評価しても、参入が採算に乗るには2023〜2025年度（以下、FY2023〜25</w:t>
      </w:r>
      <w:r>
        <w:t xml:space="preserve"> </w:t>
      </w:r>
      <w:r>
        <w:rPr>
          <w:rFonts w:hint="eastAsia"/>
        </w:rPr>
        <w:t xml:space="preserve">のように略記する）の2倍強から約3倍の価格水準が要る。それでも参入は続いている。市場収益では説明できないこの参入が、本研究の解き明かそうとする謎である。</w:t>
      </w:r>
    </w:p>
    <w:bookmarkEnd w:id="12"/>
    <w:bookmarkEnd w:id="13"/>
    <w:bookmarkStart w:id="14" w:name="研究課題"/>
    <w:p>
      <w:pPr>
        <w:pStyle w:val="Heading2"/>
      </w:pPr>
      <w:r>
        <w:t xml:space="preserve">1.2　</w:t>
      </w:r>
      <w:r>
        <w:rPr>
          <w:rFonts w:hint="eastAsia"/>
        </w:rPr>
        <w:t xml:space="preserve">研究課題</w:t>
      </w:r>
    </w:p>
    <w:p>
      <w:pPr>
        <w:pStyle w:val="FirstParagraph"/>
      </w:pPr>
      <w:r>
        <w:rPr>
          <w:rFonts w:hint="eastAsia"/>
        </w:rPr>
        <w:t xml:space="preserve">本研究の主たる研究課題（research</w:t>
      </w:r>
      <w:r>
        <w:t xml:space="preserve"> </w:t>
      </w:r>
      <w:r>
        <w:rPr>
          <w:rFonts w:hint="eastAsia"/>
        </w:rPr>
        <w:t xml:space="preserve">question。以下、主RQ）は次のとおりである。</w:t>
      </w:r>
    </w:p>
    <w:p>
      <w:pPr>
        <w:pStyle w:val="BlockText"/>
      </w:pPr>
      <w:r>
        <w:rPr>
          <w:rFonts w:hint="eastAsia"/>
          <w:b/>
          <w:bCs/>
        </w:rPr>
        <w:t xml:space="preserve">主RQ</w:t>
      </w:r>
      <w:r>
        <w:t xml:space="preserve">　</w:t>
      </w:r>
      <w:r>
        <w:rPr>
          <w:rFonts w:hint="eastAsia"/>
        </w:rPr>
        <w:t xml:space="preserve">北海道の市場構造と制度を所与としたとき、系統用蓄電池の均衡導入量</w:t>
      </w:r>
      <w:r>
        <w:t xml:space="preserve"> </w:t>
      </w:r>
      <m:oMath>
        <m:sSup>
          <m:e>
            <m:r>
              <m:t>K</m:t>
            </m:r>
          </m:e>
          <m:sup>
            <m:r>
              <m:rPr>
                <m:sty m:val="p"/>
              </m:rPr>
              <m:t>*</m:t>
            </m:r>
          </m:sup>
        </m:sSup>
      </m:oMath>
      <w:r>
        <w:t xml:space="preserve"> </w:t>
      </w:r>
      <w:r>
        <w:rPr>
          <w:rFonts w:hint="eastAsia"/>
        </w:rPr>
        <w:t xml:space="preserve">はどこにあり、現実の参入との乖離は何によって、いくらで説明されるのか。</w:t>
      </w:r>
    </w:p>
    <w:p>
      <w:pPr>
        <w:pStyle w:val="FirstParagraph"/>
      </w:pPr>
      <w:r>
        <w:t xml:space="preserve">ここで</w:t>
      </w:r>
      <w:r>
        <w:t xml:space="preserve"> </w:t>
      </w:r>
      <m:oMath>
        <m:r>
          <m:t>K</m:t>
        </m:r>
      </m:oMath>
      <w:r>
        <w:t xml:space="preserve"> </w:t>
      </w:r>
      <w:r>
        <w:rPr>
          <w:rFonts w:hint="eastAsia"/>
        </w:rPr>
        <w:t xml:space="preserve">はエリアの系統用蓄電池の総容量（以下、フリートの容量）であり、</w:t>
      </w:r>
      <m:oMath>
        <m:sSup>
          <m:e>
            <m:r>
              <m:t>K</m:t>
            </m:r>
          </m:e>
          <m:sup>
            <m:r>
              <m:rPr>
                <m:sty m:val="p"/>
              </m:rPr>
              <m:t>*</m:t>
            </m:r>
          </m:sup>
        </m:sSup>
      </m:oMath>
      <w:r>
        <w:t xml:space="preserve"> </w:t>
      </w:r>
      <w:r>
        <w:rPr>
          <w:rFonts w:hint="eastAsia"/>
        </w:rPr>
        <w:t xml:space="preserve">は自由参入の下で限界参入者の正味現在価値（NPV）がゼロになる容量である。主RQ</w:t>
      </w:r>
      <w:r>
        <w:t xml:space="preserve"> </w:t>
      </w:r>
      <w:r>
        <w:rPr>
          <w:rFonts w:hint="eastAsia"/>
        </w:rPr>
        <w:t xml:space="preserve">を、価格形成から均衡、乖離、制度の反実仮想へと進む六つの下位の課題に分ける。</w:t>
      </w:r>
    </w:p>
    <w:p>
      <w:pPr>
        <w:pStyle w:val="Compact"/>
        <w:numPr>
          <w:ilvl w:val="0"/>
          <w:numId w:val="1001"/>
        </w:numPr>
      </w:pPr>
      <w:r>
        <w:rPr>
          <w:rFonts w:hint="eastAsia"/>
          <w:b/>
          <w:bCs/>
        </w:rPr>
        <w:t xml:space="preserve">RQ1（価格形成）</w:t>
      </w:r>
      <w:r>
        <w:t xml:space="preserve">　</w:t>
      </w:r>
      <w:r>
        <w:rPr>
          <w:rFonts w:hint="eastAsia"/>
        </w:rPr>
        <w:t xml:space="preserve">風力の増加は、卸電力価格の水準・日内の形状・多日の変動をどう変えるか。太陽光と何が違うか。</w:t>
      </w:r>
    </w:p>
    <w:p>
      <w:pPr>
        <w:pStyle w:val="Compact"/>
        <w:numPr>
          <w:ilvl w:val="0"/>
          <w:numId w:val="1001"/>
        </w:numPr>
      </w:pPr>
      <w:r>
        <w:rPr>
          <w:rFonts w:hint="eastAsia"/>
          <w:b/>
          <w:bCs/>
        </w:rPr>
        <w:t xml:space="preserve">RQ2（系統用蓄電池の価値）</w:t>
      </w:r>
      <w:r>
        <w:t xml:space="preserve">　</w:t>
      </w:r>
      <w:r>
        <w:rPr>
          <w:rFonts w:hint="eastAsia"/>
        </w:rPr>
        <w:t xml:space="preserve">風力主導市場において、蓄電池のスポット裁定価値はどう決まり、フリートの拡大とともにどう減衰するか。</w:t>
      </w:r>
    </w:p>
    <w:p>
      <w:pPr>
        <w:pStyle w:val="Compact"/>
        <w:numPr>
          <w:ilvl w:val="0"/>
          <w:numId w:val="1001"/>
        </w:numPr>
      </w:pPr>
      <w:r>
        <w:rPr>
          <w:rFonts w:hint="eastAsia"/>
          <w:b/>
          <w:bCs/>
        </w:rPr>
        <w:t xml:space="preserve">RQ3（均衡と均衡からの乖離）</w:t>
      </w:r>
      <w:r>
        <w:t xml:space="preserve">　</w:t>
      </w:r>
      <w:r>
        <w:rPr>
          <w:rFonts w:hint="eastAsia"/>
        </w:rPr>
        <w:t xml:space="preserve">スポット市場・容量市場・長期脱炭素電源オークション（LTDA）を通じた自由参入均衡</w:t>
      </w:r>
      <w:r>
        <w:t xml:space="preserve"> </w:t>
      </w:r>
      <m:oMath>
        <m:sSup>
          <m:e>
            <m:r>
              <m:t>K</m:t>
            </m:r>
          </m:e>
          <m:sup>
            <m:r>
              <m:rPr>
                <m:sty m:val="p"/>
              </m:rPr>
              <m:t>*</m:t>
            </m:r>
          </m:sup>
        </m:sSup>
      </m:oMath>
      <w:r>
        <w:t xml:space="preserve"> </w:t>
      </w:r>
      <w:r>
        <w:t xml:space="preserve">はどこにあるか。マーチャントの</w:t>
      </w:r>
      <w:r>
        <w:t xml:space="preserve"> </w:t>
      </w:r>
      <m:oMath>
        <m:sSup>
          <m:e>
            <m:r>
              <m:t>K</m:t>
            </m:r>
          </m:e>
          <m:sup>
            <m:r>
              <m:rPr>
                <m:sty m:val="p"/>
              </m:rPr>
              <m:t>*</m:t>
            </m:r>
          </m:sup>
        </m:sSup>
      </m:oMath>
      <w:r>
        <w:t xml:space="preserve"> </w:t>
      </w:r>
      <w:r>
        <w:rPr>
          <w:rFonts w:hint="eastAsia"/>
        </w:rPr>
        <w:t xml:space="preserve">と現実のパイプラインとの乖離は、kW</w:t>
      </w:r>
      <w:r>
        <w:t xml:space="preserve"> </w:t>
      </w:r>
      <w:r>
        <w:rPr>
          <w:rFonts w:hint="eastAsia"/>
        </w:rPr>
        <w:t xml:space="preserve">と1kWあたりの現在価値でいくらであり、何に帰属するか。</w:t>
      </w:r>
    </w:p>
    <w:p>
      <w:pPr>
        <w:pStyle w:val="Compact"/>
        <w:numPr>
          <w:ilvl w:val="0"/>
          <w:numId w:val="1001"/>
        </w:numPr>
      </w:pPr>
      <w:r>
        <w:rPr>
          <w:rFonts w:hint="eastAsia"/>
          <w:b/>
          <w:bCs/>
        </w:rPr>
        <w:t xml:space="preserve">RQ4（併設蓄電池の価値）</w:t>
      </w:r>
      <w:r>
        <w:t xml:space="preserve">　</w:t>
      </w:r>
      <w:r>
        <w:rPr>
          <w:rFonts w:hint="eastAsia"/>
        </w:rPr>
        <w:t xml:space="preserve">エリア価格に映らない出力制御（下限価格での打ち切りとローカル系統の制約）の下で、再エネ発電所に併設する蓄電池の抑制回避の価値はどれだけあり、どの条件で内生的な参入が立つか。</w:t>
      </w:r>
    </w:p>
    <w:p>
      <w:pPr>
        <w:pStyle w:val="Compact"/>
        <w:numPr>
          <w:ilvl w:val="0"/>
          <w:numId w:val="1001"/>
        </w:numPr>
      </w:pPr>
      <w:r>
        <w:rPr>
          <w:rFonts w:hint="eastAsia"/>
          <w:b/>
          <w:bCs/>
        </w:rPr>
        <w:t xml:space="preserve">RQ5（反転条件）</w:t>
      </w:r>
      <w:r>
        <w:t xml:space="preserve">　</w:t>
      </w:r>
      <w:r>
        <w:rPr>
          <w:rFonts w:hint="eastAsia"/>
        </w:rPr>
        <w:t xml:space="preserve">資本費・容量市場の価格・価格水準のどのような組合せで</w:t>
      </w:r>
      <w:r>
        <w:t xml:space="preserve"> </w:t>
      </w:r>
      <m:oMath>
        <m:sSup>
          <m:e>
            <m:r>
              <m:t>K</m:t>
            </m:r>
          </m:e>
          <m:sup>
            <m:r>
              <m:rPr>
                <m:sty m:val="p"/>
              </m:rPr>
              <m:t>*</m:t>
            </m:r>
          </m:sup>
        </m:sSup>
        <m:r>
          <m:rPr>
            <m:sty m:val="p"/>
          </m:rPr>
          <m:t>&gt;</m:t>
        </m:r>
        <m:r>
          <m:t>0</m:t>
        </m:r>
      </m:oMath>
      <w:r>
        <w:t xml:space="preserve"> </w:t>
      </w:r>
      <w:r>
        <w:rPr>
          <w:rFonts w:hint="eastAsia"/>
        </w:rPr>
        <w:t xml:space="preserve">に転じるか。</w:t>
      </w:r>
    </w:p>
    <w:p>
      <w:pPr>
        <w:pStyle w:val="Compact"/>
        <w:numPr>
          <w:ilvl w:val="0"/>
          <w:numId w:val="1001"/>
        </w:numPr>
      </w:pPr>
      <w:r>
        <w:rPr>
          <w:rFonts w:hint="eastAsia"/>
          <w:b/>
          <w:bCs/>
        </w:rPr>
        <w:t xml:space="preserve">RQ6（下限価格）</w:t>
      </w:r>
      <w:r>
        <w:t xml:space="preserve">　</w:t>
      </w:r>
      <w:r>
        <w:rPr>
          <w:rFonts w:hint="eastAsia"/>
        </w:rPr>
        <w:t xml:space="preserve">スポット価格の下限（0.01円/kWh）は、蓄電池の価値と均衡容量をどう歪めるか。負の価格を導入すると、裁定価値・均衡容量・再エネ側の収入はどれだけ変わるか。</w:t>
      </w:r>
    </w:p>
    <w:p>
      <w:pPr>
        <w:pStyle w:val="FirstParagraph"/>
      </w:pPr>
      <w:r>
        <w:t xml:space="preserve">RQ1 と RQ2 </w:t>
      </w:r>
      <w:r>
        <w:rPr>
          <w:rFonts w:hint="eastAsia"/>
        </w:rPr>
        <w:t xml:space="preserve">は均衡分析の部品となる価格と価値を測り、RQ3</w:t>
      </w:r>
      <w:r>
        <w:t xml:space="preserve"> </w:t>
      </w:r>
      <w:r>
        <w:rPr>
          <w:rFonts w:hint="eastAsia"/>
        </w:rPr>
        <w:t xml:space="preserve">は主RQ</w:t>
      </w:r>
      <w:r>
        <w:t xml:space="preserve"> </w:t>
      </w:r>
      <w:r>
        <w:rPr>
          <w:rFonts w:hint="eastAsia"/>
        </w:rPr>
        <w:t xml:space="preserve">の中心に答え、RQ4〜RQ6</w:t>
      </w:r>
      <w:r>
        <w:t xml:space="preserve"> </w:t>
      </w:r>
      <w:r>
        <w:rPr>
          <w:rFonts w:hint="eastAsia"/>
        </w:rPr>
        <w:t xml:space="preserve">は乖離の候補と均衡を動かす条件を検討する。主RQ</w:t>
      </w:r>
      <w:r>
        <w:t xml:space="preserve"> と RQ3 </w:t>
      </w:r>
      <w:r>
        <w:rPr>
          <w:rFonts w:hint="eastAsia"/>
        </w:rPr>
        <w:t xml:space="preserve">の「いくらで」には、接続済みと契約申込の</w:t>
      </w:r>
      <w:r>
        <w:t xml:space="preserve"> kW </w:t>
      </w:r>
      <w:r>
        <w:rPr>
          <w:rFonts w:hint="eastAsia"/>
        </w:rPr>
        <w:t xml:space="preserve">を案件の属性別に勘定し、それぞれに1kWあたりの調整現在価値（APV）を対応させた乖離の勘定表（表8.1）で答える。RQ1</w:t>
      </w:r>
      <w:r>
        <w:t xml:space="preserve"> </w:t>
      </w:r>
      <w:r>
        <w:rPr>
          <w:rFonts w:hint="eastAsia"/>
        </w:rPr>
        <w:t xml:space="preserve">は第5章、RQ2</w:t>
      </w:r>
      <w:r>
        <w:t xml:space="preserve"> </w:t>
      </w:r>
      <w:r>
        <w:rPr>
          <w:rFonts w:hint="eastAsia"/>
        </w:rPr>
        <w:t xml:space="preserve">は第6章と第7章、RQ3</w:t>
      </w:r>
      <w:r>
        <w:t xml:space="preserve"> </w:t>
      </w:r>
      <w:r>
        <w:rPr>
          <w:rFonts w:hint="eastAsia"/>
        </w:rPr>
        <w:t xml:space="preserve">は第7章と第8章、RQ4</w:t>
      </w:r>
      <w:r>
        <w:t xml:space="preserve"> </w:t>
      </w:r>
      <w:r>
        <w:rPr>
          <w:rFonts w:hint="eastAsia"/>
        </w:rPr>
        <w:t xml:space="preserve">は第8章、RQ5</w:t>
      </w:r>
      <w:r>
        <w:t xml:space="preserve"> </w:t>
      </w:r>
      <w:r>
        <w:rPr>
          <w:rFonts w:hint="eastAsia"/>
        </w:rPr>
        <w:t xml:space="preserve">は主に第8章（一部は第7章と第9章）、RQ6</w:t>
      </w:r>
      <w:r>
        <w:t xml:space="preserve"> </w:t>
      </w:r>
      <w:r>
        <w:rPr>
          <w:rFonts w:hint="eastAsia"/>
        </w:rPr>
        <w:t xml:space="preserve">は第7章と第9章で扱い、第11章で課題ごとに答えをまとめる。</w:t>
      </w:r>
    </w:p>
    <w:bookmarkEnd w:id="14"/>
    <w:bookmarkStart w:id="15" w:name="分析の方法の概要"/>
    <w:p>
      <w:pPr>
        <w:pStyle w:val="Heading2"/>
      </w:pPr>
      <w:r>
        <w:t xml:space="preserve">1.3　</w:t>
      </w:r>
      <w:r>
        <w:rPr>
          <w:rFonts w:hint="eastAsia"/>
        </w:rPr>
        <w:t xml:space="preserve">分析の方法の概要</w:t>
      </w:r>
    </w:p>
    <w:p>
      <w:pPr>
        <w:pStyle w:val="FirstParagraph"/>
      </w:pPr>
      <w:r>
        <w:rPr>
          <w:rFonts w:hint="eastAsia"/>
        </w:rPr>
        <w:t xml:space="preserve">分析の基盤は、北海道電力ネットワークが公表する需給実績と</w:t>
      </w:r>
      <w:r>
        <w:t xml:space="preserve"> JEPX </w:t>
      </w:r>
      <w:r>
        <w:rPr>
          <w:rFonts w:hint="eastAsia"/>
        </w:rPr>
        <w:t xml:space="preserve">のエリアプライスを結合した、2016年4月から2026年6月までの時間単位のパネル（約9万時間）である。九州と東北の同じパネルを比較と検証に用い、容量市場と</w:t>
      </w:r>
      <w:r>
        <w:t xml:space="preserve"> LTDA </w:t>
      </w:r>
      <w:r>
        <w:rPr>
          <w:rFonts w:hint="eastAsia"/>
        </w:rPr>
        <w:t xml:space="preserve">の約定結果、補助金の交付、系統接続の申込状況などの公表資料を加える（第3章）。</w:t>
      </w:r>
    </w:p>
    <w:p>
      <w:pPr>
        <w:pStyle w:val="BodyText"/>
      </w:pPr>
      <w:r>
        <w:rPr>
          <w:rFonts w:hint="eastAsia"/>
        </w:rPr>
        <w:t xml:space="preserve">分析は五つの段階で進む。第一の段階では、気象で決まる再エネの発電量を外生的なショックとみなし、価格の水準と日内の価格差（価格の高い4時間と低い4時間の平均価格の差）を日次で回帰する。日次の残差には強い系列相関があるので、系列相関に頑健な推論と、同じ月の中の変動による識別で結果を確かめる。あわせて、発電量の変動を時間スケールの帯域に分け、24時間の価格カーブを主成分に分解する。第二の段階では、前日スポット市場で1日1サイクルを回す4時間蓄電池について、完全予見の下での裁定粗利（以下、完全予見粗利）を測る。そのうえで、前日に実行可能な戦略が完全予見粗利のうち取れる割合、すなわち実現率（capture</w:t>
      </w:r>
      <w:r>
        <w:t xml:space="preserve"> </w:t>
      </w:r>
      <w:r>
        <w:rPr>
          <w:rFonts w:hint="eastAsia"/>
        </w:rPr>
        <w:t xml:space="preserve">rate）を測り、戦略の優劣を検定する。</w:t>
      </w:r>
    </w:p>
    <w:p>
      <w:pPr>
        <w:pStyle w:val="BodyText"/>
      </w:pPr>
      <w:r>
        <w:rPr>
          <w:rFonts w:hint="eastAsia"/>
        </w:rPr>
        <w:t xml:space="preserve">第三の段階では、純需要を供給曲線に当てて価格を導く構造型の電力価格モデルを推定し、蓄電池の参入が価格を動かす効果を内生化する。限界参入者の収益</w:t>
      </w:r>
      <w:r>
        <w:t xml:space="preserve"> </w:t>
      </w:r>
      <m:oMath>
        <m:r>
          <m:t>π</m:t>
        </m:r>
        <m:r>
          <m:rPr>
            <m:sty m:val="p"/>
          </m:rPr>
          <m:t>(</m:t>
        </m:r>
        <m:r>
          <m:t>K</m:t>
        </m:r>
        <m:r>
          <m:rPr>
            <m:sty m:val="p"/>
          </m:rPr>
          <m:t>)</m:t>
        </m:r>
      </m:oMath>
      <w:r>
        <w:t xml:space="preserve"> </w:t>
      </w:r>
      <w:r>
        <w:rPr>
          <w:rFonts w:hint="eastAsia"/>
        </w:rPr>
        <w:t xml:space="preserve">は、モデル価格の上で前日に実行可能な戦略の粗利を直接計算し、</w:t>
      </w:r>
      <m:oMath>
        <m:r>
          <m:t>K</m:t>
        </m:r>
        <m:r>
          <m:rPr>
            <m:sty m:val="p"/>
          </m:rPr>
          <m:t>=</m:t>
        </m:r>
        <m:r>
          <m:t>0</m:t>
        </m:r>
      </m:oMath>
      <w:r>
        <w:t xml:space="preserve"> </w:t>
      </w:r>
      <w:r>
        <w:rPr>
          <w:rFonts w:hint="eastAsia"/>
        </w:rPr>
        <w:t xml:space="preserve">で実績の額に一致するよう校正したうえで、充電にかかる従量の負担を差し引いた値（以下、実績整合ケース）とする。限界参入者の</w:t>
      </w:r>
      <w:r>
        <w:t xml:space="preserve"> NPV </w:t>
      </w:r>
      <w:r>
        <w:rPr>
          <w:rFonts w:hint="eastAsia"/>
        </w:rPr>
        <w:t xml:space="preserve">がゼロになる条件から、均衡容量</w:t>
      </w:r>
      <w:r>
        <w:t xml:space="preserve"> </w:t>
      </w:r>
      <m:oMath>
        <m:sSup>
          <m:e>
            <m:r>
              <m:t>K</m:t>
            </m:r>
          </m:e>
          <m:sup>
            <m:r>
              <m:rPr>
                <m:sty m:val="p"/>
              </m:rPr>
              <m:t>*</m:t>
            </m:r>
          </m:sup>
        </m:sSup>
      </m:oMath>
      <w:r>
        <w:t xml:space="preserve"> </w:t>
      </w:r>
      <w:r>
        <w:t xml:space="preserve">と、</w:t>
      </w:r>
      <m:oMath>
        <m:r>
          <m:t>K</m:t>
        </m:r>
        <m:r>
          <m:rPr>
            <m:sty m:val="p"/>
          </m:rPr>
          <m:t>=</m:t>
        </m:r>
        <m:r>
          <m:t>0</m:t>
        </m:r>
      </m:oMath>
      <w:r>
        <w:t xml:space="preserve"> </w:t>
      </w:r>
      <w:r>
        <w:rPr>
          <w:rFonts w:hint="eastAsia"/>
        </w:rPr>
        <w:t xml:space="preserve">で参入が開くのに必要な価格水準の係数</w:t>
      </w:r>
      <w:r>
        <w:t xml:space="preserve"> </w:t>
      </w:r>
      <m:oMath>
        <m:sSup>
          <m:e>
            <m:r>
              <m:t>θ</m:t>
            </m:r>
          </m:e>
          <m:sup>
            <m:r>
              <m:rPr>
                <m:sty m:val="p"/>
              </m:rPr>
              <m:t>*</m:t>
            </m:r>
          </m:sup>
        </m:sSup>
      </m:oMath>
      <w:r>
        <w:rPr>
          <w:rFonts w:hint="eastAsia"/>
        </w:rPr>
        <w:t xml:space="preserve">（FY2023〜25</w:t>
      </w:r>
      <w:r>
        <w:t xml:space="preserve"> </w:t>
      </w:r>
      <w:r>
        <w:rPr>
          <w:rFonts w:hint="eastAsia"/>
        </w:rPr>
        <w:t xml:space="preserve">の価格水準を1とする倍率）を求める。さらに、価格水準の不確実性の下での参入閾値を実物オプションとして解く。第四の段階では、乖離を勘定し、併設蓄電池の価値と参入の条件を評価したうえで、契約で収入を固定する蓄電池（契約型）とマーチャントを同じ物差しで比べる。第五の段階では、下限価格を負の価格に置き換える反実仮想を行う。</w:t>
      </w:r>
    </w:p>
    <w:p>
      <w:pPr>
        <w:pStyle w:val="BodyText"/>
      </w:pPr>
      <w:r>
        <w:rPr>
          <w:rFonts w:hint="eastAsia"/>
        </w:rPr>
        <w:t xml:space="preserve">これらの手法の多くは、資産評価・金融計量・企業金融の標準的な手法にあたる（1.5.2項）。各分析とファイナンスの手法との対応は、第4章の表4.2</w:t>
      </w:r>
      <w:r>
        <w:t xml:space="preserve"> </w:t>
      </w:r>
      <w:r>
        <w:rPr>
          <w:rFonts w:hint="eastAsia"/>
        </w:rPr>
        <w:t xml:space="preserve">で一覧にする。</w:t>
      </w:r>
    </w:p>
    <w:bookmarkEnd w:id="15"/>
    <w:bookmarkStart w:id="16" w:name="主要な結果"/>
    <w:p>
      <w:pPr>
        <w:pStyle w:val="Heading2"/>
      </w:pPr>
      <w:r>
        <w:t xml:space="preserve">1.4　</w:t>
      </w:r>
      <w:r>
        <w:rPr>
          <w:rFonts w:hint="eastAsia"/>
        </w:rPr>
        <w:t xml:space="preserve">主要な結果</w:t>
      </w:r>
    </w:p>
    <w:p>
      <w:pPr>
        <w:pStyle w:val="FirstParagraph"/>
      </w:pPr>
      <w:r>
        <w:rPr>
          <w:rFonts w:hint="eastAsia"/>
        </w:rPr>
        <w:t xml:space="preserve">主要な結果は次の4点にまとめられる。</w:t>
      </w:r>
    </w:p>
    <w:p>
      <w:pPr>
        <w:pStyle w:val="BodyText"/>
      </w:pPr>
      <w:r>
        <w:rPr>
          <w:rFonts w:hint="eastAsia"/>
        </w:rPr>
        <w:t xml:space="preserve">第一に、風力と太陽光は価格に異なる形で効く。太陽光が不需要期を中心に日内の価格差を広げるのに対し、風力は一日の価格をほぼ一様に引き下げ、日内の価格差を広げるという頑健な証拠はない。価格カーブの主成分でみると、風力は主に水準の因子に負荷するが、現行の構造の蓄電池は形状の因子に対するロング・ポジションである。そのため、価格モデルの上で風力の導入容量を大きく増やしても、前日に実行可能な戦略の粗利は増えない。</w:t>
      </w:r>
    </w:p>
    <w:p>
      <w:pPr>
        <w:pStyle w:val="BodyText"/>
      </w:pPr>
      <w:r>
        <w:rPr>
          <w:rFonts w:hint="eastAsia"/>
        </w:rPr>
        <w:t xml:space="preserve">第二に、スポット裁定と容量収入だけを見込み、需給調整市場のレントを0と置く限り、マーチャントの均衡容量はゼロである。過去28日の平均価格カーブで前日に充放電の窓を固定する単純な方策（以下、本源的方策）は完全予見粗利の大半を取るが、その収益はフリートの拡大に対して速く減衰する。系統用蓄電池が1基もない状態でも、参入が開くには、収益の基準の置き方によって</w:t>
      </w:r>
      <w:r>
        <w:t xml:space="preserve"> FY2023〜25 </w:t>
      </w:r>
      <w:r>
        <w:rPr>
          <w:rFonts w:hint="eastAsia"/>
        </w:rPr>
        <w:t xml:space="preserve">の2倍強から約3倍の価格水準が要り、これは燃料危機期の</w:t>
      </w:r>
      <w:r>
        <w:t xml:space="preserve"> FY2022 </w:t>
      </w:r>
      <w:r>
        <w:rPr>
          <w:rFonts w:hint="eastAsia"/>
        </w:rPr>
        <w:t xml:space="preserve">の水準（1.72倍）をも上回る。FY2022</w:t>
      </w:r>
      <w:r>
        <w:t xml:space="preserve"> </w:t>
      </w:r>
      <w:r>
        <w:rPr>
          <w:rFonts w:hint="eastAsia"/>
        </w:rPr>
        <w:t xml:space="preserve">の実績価格そのものでも、得られる収益は参入に必要なスポット収益の82〜99%にとどまる。需給調整市場のレントは、フリートが小さいうちは不足を埋めうるが、蓄電池どうしの競争の下では、支えうる容量は調達量の程度で頭打ちになる。価格水準の不確実性の下では、待機の価値のために参入閾値はさらに高くなり、補助金のないマーチャントの参入が2040年度までに開く確率は低い。</w:t>
      </w:r>
    </w:p>
    <w:p>
      <w:pPr>
        <w:pStyle w:val="BodyText"/>
      </w:pPr>
      <w:r>
        <w:rPr>
          <w:rFonts w:hint="eastAsia"/>
        </w:rPr>
        <w:t xml:space="preserve">第三に、現実の参入と均衡との乖離は、市場外収入によって一部しか説明されない。接続済みと契約申込の容量のうち、市場外収入によって</w:t>
      </w:r>
      <w:r>
        <w:t xml:space="preserve"> APV </w:t>
      </w:r>
      <w:r>
        <w:rPr>
          <w:rFonts w:hint="eastAsia"/>
        </w:rPr>
        <w:t xml:space="preserve">が正になるのは</w:t>
      </w:r>
      <w:r>
        <w:t xml:space="preserve"> LTDA </w:t>
      </w:r>
      <w:r>
        <w:rPr>
          <w:rFonts w:hint="eastAsia"/>
        </w:rPr>
        <w:t xml:space="preserve">の落札分（2〜3割）にとどまり、補助金を受けた案件などは本研究の資本コスト（9%）で評価した</w:t>
      </w:r>
      <w:r>
        <w:t xml:space="preserve"> APV </w:t>
      </w:r>
      <w:r>
        <w:rPr>
          <w:rFonts w:hint="eastAsia"/>
        </w:rPr>
        <w:t xml:space="preserve">が負のまま参入を決め、残りの多くは属性が特定できない。LTDA</w:t>
      </w:r>
      <w:r>
        <w:t xml:space="preserve"> </w:t>
      </w:r>
      <w:r>
        <w:rPr>
          <w:rFonts w:hint="eastAsia"/>
        </w:rPr>
        <w:t xml:space="preserve">は、落札者が他市場の収益の大半を還付する代わりに固定収入を受け取るレベニュースワップであり、同じ6時間蓄電池の事業の内部収益率（IRR）は、LTDA</w:t>
      </w:r>
      <w:r>
        <w:t xml:space="preserve"> </w:t>
      </w:r>
      <w:r>
        <w:rPr>
          <w:rFonts w:hint="eastAsia"/>
        </w:rPr>
        <w:t xml:space="preserve">の上限価格の下では正、マーチャントでは負になる。IRR</w:t>
      </w:r>
      <w:r>
        <w:t xml:space="preserve"> </w:t>
      </w:r>
      <w:r>
        <w:rPr>
          <w:rFonts w:hint="eastAsia"/>
        </w:rPr>
        <w:t xml:space="preserve">の符号を分けているのは収入の契約形態であるが、その差は主に期待値の移転から生じる。スワップの価値のうちリスクの移転は約1割にすぎず、大半は需要家からの期待値の移転である。契約申込の多くは、保証金を価格とする接続枠という待機オプションの保有として読むのが整合的である（ただし、工事費負担金の小さい地点に限られる）。</w:t>
      </w:r>
    </w:p>
    <w:p>
      <w:pPr>
        <w:pStyle w:val="BodyText"/>
      </w:pPr>
      <w:r>
        <w:rPr>
          <w:rFonts w:hint="eastAsia"/>
        </w:rPr>
        <w:t xml:space="preserve">第四に、下限価格と出力制御は、現状では均衡の判定を覆さない。下限価格は、充電する蓄電池からみると行使価格0.01円のプットの売りにあたり、裁定価値を削る。しかし下限を負の価格に置き換えても、現行の資本費と容量収入の下では、どのシナリオでも参入に必要な価格水準は</w:t>
      </w:r>
      <w:r>
        <w:t xml:space="preserve"> FY2023〜25 </w:t>
      </w:r>
      <w:r>
        <w:rPr>
          <w:rFonts w:hint="eastAsia"/>
        </w:rPr>
        <w:t xml:space="preserve">の水準を上回る。他方で、負の価格に伴う再エネ側からの移転額は出力制御の価値を大きく上回る。併設蓄電池の抑制回避の価値も小さく、抑制率が2035年度の見通しまで上がっても、現行の資本費では併設の内生的な参入は立たない。</w:t>
      </w:r>
    </w:p>
    <w:bookmarkEnd w:id="16"/>
    <w:bookmarkStart w:id="20" w:name="本研究の貢献"/>
    <w:p>
      <w:pPr>
        <w:pStyle w:val="Heading2"/>
      </w:pPr>
      <w:r>
        <w:t xml:space="preserve">1.5　</w:t>
      </w:r>
      <w:r>
        <w:rPr>
          <w:rFonts w:hint="eastAsia"/>
        </w:rPr>
        <w:t xml:space="preserve">本研究の貢献</w:t>
      </w:r>
    </w:p>
    <w:bookmarkStart w:id="17" w:name="学術的貢献"/>
    <w:p>
      <w:pPr>
        <w:pStyle w:val="Heading3"/>
      </w:pPr>
      <w:r>
        <w:t xml:space="preserve">1.5.1　</w:t>
      </w:r>
      <w:r>
        <w:rPr>
          <w:rFonts w:hint="eastAsia"/>
        </w:rPr>
        <w:t xml:space="preserve">学術的貢献</w:t>
      </w:r>
    </w:p>
    <w:p>
      <w:pPr>
        <w:pStyle w:val="FirstParagraph"/>
      </w:pPr>
      <w:r>
        <w:rPr>
          <w:rFonts w:hint="eastAsia"/>
        </w:rPr>
        <w:t xml:space="preserve">第一に、「再エネの増加は価格の変動性を高める」という通説を、電源種と時間スケールに分解して検証する。風力主導の市場でこの関係を日本のデータで体系的に扱った研究はない。国内で最も近い</w:t>
      </w:r>
      <w:r>
        <w:t xml:space="preserve"> Fuke and </w:t>
      </w:r>
      <w:r>
        <w:rPr>
          <w:rFonts w:hint="eastAsia"/>
        </w:rPr>
        <w:t xml:space="preserve">Ohashi（2025）は日次の集計で太陽光の効果を分析し、時間値による日内変動の分析を今後の課題としており、日次の集計が再エネの効果を過小評価することも示されている（Tselika,</w:t>
      </w:r>
      <w:r>
        <w:t xml:space="preserve"> </w:t>
      </w:r>
      <w:r>
        <w:rPr>
          <w:rFonts w:hint="eastAsia"/>
        </w:rPr>
        <w:t xml:space="preserve">2022）。本研究は北海道の時間値のデータを用い、日次の残差の強い系列相関を考慮した推論（Lazarus</w:t>
      </w:r>
      <w:r>
        <w:t xml:space="preserve"> et al., </w:t>
      </w:r>
      <w:r>
        <w:rPr>
          <w:rFonts w:hint="eastAsia"/>
        </w:rPr>
        <w:t xml:space="preserve">2018）で結果を確かめ、有意でない効果を95%信頼区間の上限で限ることで、「頑健な証拠がない」という結論に大きさの裏付けを与える。</w:t>
      </w:r>
    </w:p>
    <w:p>
      <w:pPr>
        <w:pStyle w:val="BodyText"/>
      </w:pPr>
      <w:r>
        <w:rPr>
          <w:rFonts w:hint="eastAsia"/>
        </w:rPr>
        <w:t xml:space="preserve">第二に、蓄電池投資を内生化した自由参入均衡の枠組み（Butters</w:t>
      </w:r>
      <w:r>
        <w:t xml:space="preserve"> et al., </w:t>
      </w:r>
      <w:r>
        <w:rPr>
          <w:rFonts w:hint="eastAsia"/>
        </w:rPr>
        <w:t xml:space="preserve">2025）を、同研究が限界として挙げた条件が一次的に重要となる市場に適用する。その条件とは、出力制御、放電の持続時間（duration）、連系線の制約、下限価格、複数の市場である。その際、反実仮想で動かす風力への価格の条件付き応答を、同じ標本でモデルと実績の差として検証し、風力のシナリオがどこまで信頼できるかを明示する。</w:t>
      </w:r>
    </w:p>
    <w:p>
      <w:pPr>
        <w:pStyle w:val="BodyText"/>
      </w:pPr>
      <w:r>
        <w:rPr>
          <w:rFonts w:hint="eastAsia"/>
        </w:rPr>
        <w:t xml:space="preserve">第三に、市場が正当化する容量と現実の参入との差を均衡からの乖離として定義し、その内訳を案件の属性別の</w:t>
      </w:r>
      <w:r>
        <w:t xml:space="preserve"> kW </w:t>
      </w:r>
      <w:r>
        <w:rPr>
          <w:rFonts w:hint="eastAsia"/>
        </w:rPr>
        <w:t xml:space="preserve">と1kWあたりの現在価値で勘定するという問いを定式化する。これにより、説明できない残差は、測れないものではなく、勘定表の属性不明の</w:t>
      </w:r>
      <w:r>
        <w:t xml:space="preserve"> kW </w:t>
      </w:r>
      <w:r>
        <w:rPr>
          <w:rFonts w:hint="eastAsia"/>
        </w:rPr>
        <w:t xml:space="preserve">と円で定義される量になる。</w:t>
      </w:r>
    </w:p>
    <w:bookmarkEnd w:id="17"/>
    <w:bookmarkStart w:id="18" w:name="ファイナンスの手法による貢献"/>
    <w:p>
      <w:pPr>
        <w:pStyle w:val="Heading3"/>
      </w:pPr>
      <w:r>
        <w:t xml:space="preserve">1.5.2　</w:t>
      </w:r>
      <w:r>
        <w:rPr>
          <w:rFonts w:hint="eastAsia"/>
        </w:rPr>
        <w:t xml:space="preserve">ファイナンスの手法による貢献</w:t>
      </w:r>
    </w:p>
    <w:p>
      <w:pPr>
        <w:pStyle w:val="FirstParagraph"/>
      </w:pPr>
      <w:r>
        <w:rPr>
          <w:rFonts w:hint="eastAsia"/>
        </w:rPr>
        <w:t xml:space="preserve">本研究は、ファイナンスと金融工学の手法を、風力主導市場の蓄電池の評価と参入の判定に体系的に当てはめる。その貢献は四つの場面に分かれる。</w:t>
      </w:r>
    </w:p>
    <w:p>
      <w:pPr>
        <w:pStyle w:val="BodyText"/>
      </w:pPr>
      <w:r>
        <w:rPr>
          <w:rFonts w:hint="eastAsia"/>
        </w:rPr>
        <w:t xml:space="preserve">第一は資産の評価である。前日スポットで1日1サイクルを回す蓄電池を、日次のスプレッド（交換）オプションの束として定義する（Deng</w:t>
      </w:r>
      <w:r>
        <w:t xml:space="preserve"> et al., 2001; Margrabe, </w:t>
      </w:r>
      <w:r>
        <w:rPr>
          <w:rFonts w:hint="eastAsia"/>
        </w:rPr>
        <w:t xml:space="preserve">1978）。そのうえで完全予見粗利をペナルティのない情報緩和による上界（D.</w:t>
      </w:r>
      <w:r>
        <w:t xml:space="preserve"> B. Brown et al., </w:t>
      </w:r>
      <w:r>
        <w:rPr>
          <w:rFonts w:hint="eastAsia"/>
        </w:rPr>
        <w:t xml:space="preserve">2010）とみなし、本源的方策の価値、休止の価値、窓の選び直しの価値に分け、本源的方策の優位を、データ・スヌーピングを補正した検定（Hansen,</w:t>
      </w:r>
      <w:r>
        <w:t xml:space="preserve"> </w:t>
      </w:r>
      <w:r>
        <w:rPr>
          <w:rFonts w:hint="eastAsia"/>
        </w:rPr>
        <w:t xml:space="preserve">2005）で確かめる（試した戦略の中に、本源的方策を有意に上回るものはない）。この分解は、均衡分析で限界参入者の収益を実績に校正する基準にもなる。</w:t>
      </w:r>
    </w:p>
    <w:p>
      <w:pPr>
        <w:pStyle w:val="BodyText"/>
      </w:pPr>
      <w:r>
        <w:rPr>
          <w:rFonts w:hint="eastAsia"/>
        </w:rPr>
        <w:t xml:space="preserve">第二は価格の因子と構造の評価である。24時間の価格カーブを主成分に分ける方法は、債券の期間構造の因子分解（Litterman</w:t>
      </w:r>
      <w:r>
        <w:t xml:space="preserve"> &amp; Scheinkman, </w:t>
      </w:r>
      <w:r>
        <w:rPr>
          <w:rFonts w:hint="eastAsia"/>
        </w:rPr>
        <w:t xml:space="preserve">1991）の類比であり、蓄電池のペイオフを価格の因子へのエクスポージャーとして読むことを可能にする。また、構造型電力価格モデルの系譜（Barlow,</w:t>
      </w:r>
      <w:r>
        <w:t xml:space="preserve"> 2002; Carmona et al., 2013; Kanamura &amp; Ohashi, </w:t>
      </w:r>
      <w:r>
        <w:rPr>
          <w:rFonts w:hint="eastAsia"/>
        </w:rPr>
        <w:t xml:space="preserve">2007）が主に扱ってきたのは供給曲線の上端である。本研究は、Wozabal</w:t>
      </w:r>
      <w:r>
        <w:t xml:space="preserve"> et </w:t>
      </w:r>
      <w:r>
        <w:rPr>
          <w:rFonts w:hint="eastAsia"/>
        </w:rPr>
        <w:t xml:space="preserve">al.（2016）の逆S字の供給曲線でいえば下側にあたる下端と下限価格を、それぞれ蓄電池の充電脚とプットとして評価し、下限での打ち切りが充電脚のプットの売りとして価値を削ることを、オプションのペイオフの恒等式で示す。</w:t>
      </w:r>
    </w:p>
    <w:p>
      <w:pPr>
        <w:pStyle w:val="BodyText"/>
      </w:pPr>
      <w:r>
        <w:rPr>
          <w:rFonts w:hint="eastAsia"/>
        </w:rPr>
        <w:t xml:space="preserve">第三は参入の判断である。競争産業均衡の実物オプション（Dixit</w:t>
      </w:r>
      <w:r>
        <w:t xml:space="preserve"> &amp; Pindyck, 1994; Leahy, </w:t>
      </w:r>
      <w:r>
        <w:rPr>
          <w:rFonts w:hint="eastAsia"/>
        </w:rPr>
        <w:t xml:space="preserve">1993）を、短期・長期の2因子の価格過程（Schwartz</w:t>
      </w:r>
      <w:r>
        <w:t xml:space="preserve"> &amp; Smith, </w:t>
      </w:r>
      <w:r>
        <w:rPr>
          <w:rFonts w:hint="eastAsia"/>
        </w:rPr>
        <w:t xml:space="preserve">2000）を推定した有限寿命の蓄電池フリートに当てはめ、静学のゼロレント条件（NPV=0）による判定を、待機の価値を含む動学的な参入閾値で補う。</w:t>
      </w:r>
    </w:p>
    <w:p>
      <w:pPr>
        <w:pStyle w:val="BodyText"/>
      </w:pPr>
      <w:r>
        <w:rPr>
          <w:rFonts w:hint="eastAsia"/>
        </w:rPr>
        <w:t xml:space="preserve">第四は企業金融による契約の評価である。事業</w:t>
      </w:r>
      <w:r>
        <w:t xml:space="preserve"> </w:t>
      </w:r>
      <w:r>
        <w:rPr>
          <w:rFonts w:hint="eastAsia"/>
        </w:rPr>
        <w:t xml:space="preserve">IRR、資産の資本コスト、APV（Myers,</w:t>
      </w:r>
      <w:r>
        <w:t xml:space="preserve"> </w:t>
      </w:r>
      <w:r>
        <w:rPr>
          <w:rFonts w:hint="eastAsia"/>
        </w:rPr>
        <w:t xml:space="preserve">1974）、確実性等価（Fama,</w:t>
      </w:r>
      <w:r>
        <w:t xml:space="preserve"> </w:t>
      </w:r>
      <w:r>
        <w:rPr>
          <w:rFonts w:hint="eastAsia"/>
        </w:rPr>
        <w:t xml:space="preserve">1977）、多因子の</w:t>
      </w:r>
      <w:r>
        <w:t xml:space="preserve"> </w:t>
      </w:r>
      <w:r>
        <w:rPr>
          <w:rFonts w:hint="eastAsia"/>
        </w:rPr>
        <w:t xml:space="preserve">Cash-Flow-at-Risk（CFaR;</w:t>
      </w:r>
      <w:r>
        <w:t xml:space="preserve"> Andrén et al., </w:t>
      </w:r>
      <w:r>
        <w:rPr>
          <w:rFonts w:hint="eastAsia"/>
        </w:rPr>
        <w:t xml:space="preserve">2005）、ヘッジ有効性（Ederington,</w:t>
      </w:r>
      <w:r>
        <w:t xml:space="preserve"> </w:t>
      </w:r>
      <w:r>
        <w:rPr>
          <w:rFonts w:hint="eastAsia"/>
        </w:rPr>
        <w:t xml:space="preserve">1979）を組み合わせ、契約型とマーチャントを同じ物差しで比べる。LTDA</w:t>
      </w:r>
      <w:r>
        <w:t xml:space="preserve"> </w:t>
      </w:r>
      <w:r>
        <w:rPr>
          <w:rFonts w:hint="eastAsia"/>
        </w:rPr>
        <w:t xml:space="preserve">を固定・変動のレベニュースワップとみなしてその価値をリスクの移転と期待値の移転に分け、上場先物のない北海道で収入のリスクがどこまでヘッジできるかを測る。</w:t>
      </w:r>
    </w:p>
    <w:bookmarkEnd w:id="18"/>
    <w:bookmarkStart w:id="19" w:name="実務的政策的貢献"/>
    <w:p>
      <w:pPr>
        <w:pStyle w:val="Heading3"/>
      </w:pPr>
      <w:r>
        <w:t xml:space="preserve">1.5.3　</w:t>
      </w:r>
      <w:r>
        <w:rPr>
          <w:rFonts w:hint="eastAsia"/>
        </w:rPr>
        <w:t xml:space="preserve">実務的・政策的貢献</w:t>
      </w:r>
    </w:p>
    <w:p>
      <w:pPr>
        <w:pStyle w:val="FirstParagraph"/>
      </w:pPr>
      <w:r>
        <w:rPr>
          <w:rFonts w:hint="eastAsia"/>
        </w:rPr>
        <w:t xml:space="preserve">実務の面では、スポット裁定、容量市場、LTDA、需給調整市場、併設による抑制回避という蓄電池の収益源ごとに、その大きさと、参入の進展に伴う減衰の速さを測る枠組みを提供する。さらに、その価値を事業</w:t>
      </w:r>
      <w:r>
        <w:t xml:space="preserve"> </w:t>
      </w:r>
      <w:r>
        <w:rPr>
          <w:rFonts w:hint="eastAsia"/>
        </w:rPr>
        <w:t xml:space="preserve">IRR、資産の資本コスト、CFaR</w:t>
      </w:r>
      <w:r>
        <w:t xml:space="preserve"> </w:t>
      </w:r>
      <w:r>
        <w:rPr>
          <w:rFonts w:hint="eastAsia"/>
        </w:rPr>
        <w:t xml:space="preserve">という投資実務の物差しで示し、割引率の選び方と</w:t>
      </w:r>
      <w:r>
        <w:t xml:space="preserve"> LTDA </w:t>
      </w:r>
      <w:r>
        <w:rPr>
          <w:rFonts w:hint="eastAsia"/>
        </w:rPr>
        <w:t xml:space="preserve">の価値の源泉という投資の審査に直接かかわる論点を整理する。</w:t>
      </w:r>
    </w:p>
    <w:p>
      <w:pPr>
        <w:pStyle w:val="BodyText"/>
      </w:pPr>
      <w:r>
        <w:rPr>
          <w:rFonts w:hint="eastAsia"/>
        </w:rPr>
        <w:t xml:space="preserve">政策の面では、政府の2030年度の導入見通し（系統用蓄電池14.1〜23.8GWh）は、接続申込のうち運転開始に至る割合を外挿したものであり、市場均衡の概念に基づいていない。本研究は、導入の目標や支援策と市場均衡との距離を、市場外収入で説明できる容量とできない容量に分けて</w:t>
      </w:r>
      <w:r>
        <w:t xml:space="preserve"> kW </w:t>
      </w:r>
      <w:r>
        <w:rPr>
          <w:rFonts w:hint="eastAsia"/>
        </w:rPr>
        <w:t xml:space="preserve">と円で示す。あわせて、LTDA</w:t>
      </w:r>
      <w:r>
        <w:t xml:space="preserve"> </w:t>
      </w:r>
      <w:r>
        <w:rPr>
          <w:rFonts w:hint="eastAsia"/>
        </w:rPr>
        <w:t xml:space="preserve">の上限価格が、落札者が手放す収入と等価な公正な固定価格の何倍にあたり、固定収入のうちどれだけが容量拠出金を通じた需要家からの移転にあたるかを示す。</w:t>
      </w:r>
    </w:p>
    <w:bookmarkEnd w:id="19"/>
    <w:bookmarkEnd w:id="20"/>
    <w:bookmarkStart w:id="21" w:name="分析の範囲と前提"/>
    <w:p>
      <w:pPr>
        <w:pStyle w:val="Heading2"/>
      </w:pPr>
      <w:r>
        <w:t xml:space="preserve">1.6　</w:t>
      </w:r>
      <w:r>
        <w:rPr>
          <w:rFonts w:hint="eastAsia"/>
        </w:rPr>
        <w:t xml:space="preserve">分析の範囲と前提</w:t>
      </w:r>
    </w:p>
    <w:p>
      <w:pPr>
        <w:pStyle w:val="FirstParagraph"/>
      </w:pPr>
      <w:r>
        <w:rPr>
          <w:rFonts w:hint="eastAsia"/>
        </w:rPr>
        <w:t xml:space="preserve">本研究は、系統用蓄電池が何</w:t>
      </w:r>
      <w:r>
        <w:t xml:space="preserve"> GW </w:t>
      </w:r>
      <w:r>
        <w:rPr>
          <w:rFonts w:hint="eastAsia"/>
        </w:rPr>
        <w:t xml:space="preserve">まで増えるかという予測を目的としない。均衡容量</w:t>
      </w:r>
      <w:r>
        <w:t xml:space="preserve"> </w:t>
      </w:r>
      <m:oMath>
        <m:sSup>
          <m:e>
            <m:r>
              <m:t>K</m:t>
            </m:r>
          </m:e>
          <m:sup>
            <m:r>
              <m:rPr>
                <m:sty m:val="p"/>
              </m:rPr>
              <m:t>*</m:t>
            </m:r>
          </m:sup>
        </m:sSup>
      </m:oMath>
      <w:r>
        <w:t xml:space="preserve"> </w:t>
      </w:r>
      <w:r>
        <w:rPr>
          <w:rFonts w:hint="eastAsia"/>
        </w:rPr>
        <w:t xml:space="preserve">は、それ以上入ると新規の参入が市場収益では正当化されなくなる水準であって、実際に到達する水準ではない。主張はすべて、現行の市場制度（優先給電、0.01円/kWh</w:t>
      </w:r>
      <w:r>
        <w:t xml:space="preserve"> </w:t>
      </w:r>
      <w:r>
        <w:rPr>
          <w:rFonts w:hint="eastAsia"/>
        </w:rPr>
        <w:t xml:space="preserve">の下限価格、容量市場の需要曲線など）と公表済みの構造イベントを所与とする条件の下に置く。分析は私的な均衡の実証に限り、厚生の分析は扱わない。価値の評価は実物確率の下で加重平均資本コスト（WACC）を割引率として行い、リスク中立化はしない。北海道エリアには価格水準を複製できる先物がなく、市場のリスクの価格をデータから校正できないためである。</w:t>
      </w:r>
    </w:p>
    <w:p>
      <w:pPr>
        <w:pStyle w:val="BodyText"/>
      </w:pPr>
      <w:r>
        <w:rPr>
          <w:rFonts w:hint="eastAsia"/>
        </w:rPr>
        <w:t xml:space="preserve">均衡分析の数値は、主に四つの前提に依存する。第一に、限界参入者の収益は実績整合ケースを主とし、その校正は推定期間の中で行う。価格条件付きの入札による上積みは見込まない。第二に、</w:t>
      </w:r>
      <m:oMath>
        <m:r>
          <m:t>π</m:t>
        </m:r>
        <m:r>
          <m:rPr>
            <m:sty m:val="p"/>
          </m:rPr>
          <m:t>(</m:t>
        </m:r>
        <m:r>
          <m:t>K</m:t>
        </m:r>
        <m:r>
          <m:rPr>
            <m:sty m:val="p"/>
          </m:rPr>
          <m:t>)</m:t>
        </m:r>
      </m:oMath>
      <w:r>
        <w:t xml:space="preserve"> </w:t>
      </w:r>
      <w:r>
        <w:t xml:space="preserve">と</w:t>
      </w:r>
      <w:r>
        <w:t xml:space="preserve"> </w:t>
      </w:r>
      <m:oMath>
        <m:sSup>
          <m:e>
            <m:r>
              <m:t>θ</m:t>
            </m:r>
          </m:e>
          <m:sup>
            <m:r>
              <m:rPr>
                <m:sty m:val="p"/>
              </m:rPr>
              <m:t>*</m:t>
            </m:r>
          </m:sup>
        </m:sSup>
      </m:oMath>
      <w:r>
        <w:t xml:space="preserve"> </w:t>
      </w:r>
      <w:r>
        <w:rPr>
          <w:rFonts w:hint="eastAsia"/>
        </w:rPr>
        <w:t xml:space="preserve">は単一曲線の価格モデル（仕様A）で計算し、風力を動かすシナリオは、風力への応答を標本内で検証して修正した仕様（仕様A′）で計算する。第三に、主結果は既設・契約型の蓄電池がない</w:t>
      </w:r>
      <w:r>
        <w:t xml:space="preserve"> </w:t>
      </w:r>
      <m:oMath>
        <m:r>
          <m:t>K</m:t>
        </m:r>
        <m:r>
          <m:rPr>
            <m:sty m:val="p"/>
          </m:rPr>
          <m:t>=</m:t>
        </m:r>
        <m:r>
          <m:t>0</m:t>
        </m:r>
      </m:oMath>
      <w:r>
        <w:t xml:space="preserve"> </w:t>
      </w:r>
      <w:r>
        <w:rPr>
          <w:rFonts w:hint="eastAsia"/>
        </w:rPr>
        <w:t xml:space="preserve">の市場で評価した、参入に有利な側の値であり、既設の容量を入れれば必要な価格水準はさらに上がる（7.6節）。第四に、収益源はスポット裁定と容量収入に限り、需給調整市場のレントは0と置く。これは参入に不利な側の置き方であり、その影響は7.6節で別に評価する。</w:t>
      </w:r>
    </w:p>
    <w:p>
      <w:pPr>
        <w:pStyle w:val="BodyText"/>
      </w:pPr>
      <w:r>
        <w:rPr>
          <w:rFonts w:hint="eastAsia"/>
        </w:rPr>
        <w:t xml:space="preserve">分析の前提は、2026年6月末までのデータと、同年9月末時点の公表情報で固定する。それ以後に公表される泊3号機の再稼働の時期、混雑管理システムの運開、第4回</w:t>
      </w:r>
      <w:r>
        <w:t xml:space="preserve"> LTDA </w:t>
      </w:r>
      <w:r>
        <w:rPr>
          <w:rFonts w:hint="eastAsia"/>
        </w:rPr>
        <w:t xml:space="preserve">の結果などは、主分析の前提に含めない。主要な前提と捨象が結論に与える影響は、第10章でまとめて検討する（表10.1）。反証条件は10.6節で示す。</w:t>
      </w:r>
    </w:p>
    <w:bookmarkEnd w:id="21"/>
    <w:bookmarkStart w:id="22" w:name="本論文の構成"/>
    <w:p>
      <w:pPr>
        <w:pStyle w:val="Heading2"/>
      </w:pPr>
      <w:r>
        <w:t xml:space="preserve">1.7　</w:t>
      </w:r>
      <w:r>
        <w:rPr>
          <w:rFonts w:hint="eastAsia"/>
        </w:rPr>
        <w:t xml:space="preserve">本論文の構成</w:t>
      </w:r>
    </w:p>
    <w:p>
      <w:pPr>
        <w:pStyle w:val="FirstParagraph"/>
      </w:pPr>
      <w:r>
        <w:rPr>
          <w:rFonts w:hint="eastAsia"/>
        </w:rPr>
        <w:t xml:space="preserve">本論文は11章と付録からなる。第2章では先行研究を整理し、本研究の位置づけと検証する仮説を示す。第3章では、分析の前提となる電力市場の制度と北海道の系統、分析に用いるデータを説明する。第4章では、分析の全体の構成と共通の定義を示し、各分析とファイナンスの手法との対応を整理する。</w:t>
      </w:r>
    </w:p>
    <w:p>
      <w:pPr>
        <w:pStyle w:val="BodyText"/>
      </w:pPr>
      <w:r>
        <w:rPr>
          <w:rFonts w:hint="eastAsia"/>
        </w:rPr>
        <w:t xml:space="preserve">第5章から第9章は分析の章であり、1.2節の研究課題に順に答える。各章は分析の方法の節で始まり、小括で終わる。第5章は再エネと価格形成、第6章は蓄電池のスポット裁定価値、第7章は構造型の価格モデルと自由参入均衡、第8章は均衡からの乖離と契約の評価、第9章は下限価格と負の価格を扱う。第10章では結果を統合的に考察し、限界を論じる。第11章では</w:t>
      </w:r>
      <w:r>
        <w:t xml:space="preserve"> RQ </w:t>
      </w:r>
      <w:r>
        <w:rPr>
          <w:rFonts w:hint="eastAsia"/>
        </w:rPr>
        <w:t xml:space="preserve">ごとの答え、実務と政策への含意、今後の課題を述べる。付録A〜E</w:t>
      </w:r>
      <w:r>
        <w:t xml:space="preserve"> </w:t>
      </w:r>
      <w:r>
        <w:rPr>
          <w:rFonts w:hint="eastAsia"/>
        </w:rPr>
        <w:t xml:space="preserve">には、データの構築、推定と導出の詳細、頑健性の追加結果、追加の表、再現のための資料を収める。</w:t>
      </w:r>
    </w:p>
    <w:bookmarkEnd w:id="22"/>
    <w:bookmarkEnd w:id="23"/>
    <w:bookmarkStart w:id="45" w:name="第2章-先行研究と本研究の位置づけ"/>
    <w:p>
      <w:pPr>
        <w:pStyle w:val="Heading1"/>
        <w:pageBreakBefore/>
      </w:pPr>
      <w:r>
        <w:rPr>
          <w:rFonts w:hint="eastAsia"/>
        </w:rPr>
        <w:t xml:space="preserve">第2章</w:t>
      </w:r>
      <w:r>
        <w:t xml:space="preserve">　</w:t>
      </w:r>
      <w:r>
        <w:rPr>
          <w:rFonts w:hint="eastAsia"/>
        </w:rPr>
        <w:t xml:space="preserve">先行研究と本研究の位置づけ</w:t>
      </w:r>
    </w:p>
    <w:p>
      <w:pPr>
        <w:pStyle w:val="FirstParagraph"/>
      </w:pPr>
      <w:r>
        <w:rPr>
          <w:rFonts w:hint="eastAsia"/>
        </w:rPr>
        <w:t xml:space="preserve">本章は、北海道の系統用蓄電池の均衡容量と現実の参入との乖離という本研究の問いにかかわる先行研究を、再生可能エネルギーと電力価格（2.1節）、蓄電池の価値と市場均衡（2.2節）、日本の電力市場（2.3節）、風力の時間構造（2.4節）、ファイナンスと金融工学の手法（2.5節）の順に整理する。整理の物差しは、価格の変動を水準、日内の形状、日をまたぐ変動の三つに分ける見方であり、先行研究の結論が割れる主な理由がこの物差しの違いにあることを本章を通じて示す。2.6節では、先行研究の空白と本研究の位置づけを述べ、第1章の研究課題（RQ1〜RQ6）に対応して第5章以降で検証する仮説を示す。</w:t>
      </w:r>
    </w:p>
    <w:bookmarkStart w:id="26" w:name="再生可能エネルギーと電力価格"/>
    <w:p>
      <w:pPr>
        <w:pStyle w:val="Heading2"/>
      </w:pPr>
      <w:r>
        <w:t xml:space="preserve">2.1　</w:t>
      </w:r>
      <w:r>
        <w:rPr>
          <w:rFonts w:hint="eastAsia"/>
        </w:rPr>
        <w:t xml:space="preserve">再生可能エネルギーと電力価格</w:t>
      </w:r>
    </w:p>
    <w:bookmarkStart w:id="24" w:name="メリットオーダー効果と市場価値"/>
    <w:p>
      <w:pPr>
        <w:pStyle w:val="Heading3"/>
      </w:pPr>
      <w:r>
        <w:t xml:space="preserve">2.1.1　</w:t>
      </w:r>
      <w:r>
        <w:rPr>
          <w:rFonts w:hint="eastAsia"/>
        </w:rPr>
        <w:t xml:space="preserve">メリットオーダー効果と市場価値</w:t>
      </w:r>
    </w:p>
    <w:p>
      <w:pPr>
        <w:pStyle w:val="FirstParagraph"/>
      </w:pPr>
      <w:r>
        <w:rPr>
          <w:rFonts w:hint="eastAsia"/>
        </w:rPr>
        <w:t xml:space="preserve">限界費用がほぼゼロの再生可能エネルギー（以下、再エネ）は、供給曲線の左端に入って火力を押し出し、卸価格を下げる。この効果はメリットオーダー効果（merit-order</w:t>
      </w:r>
      <w:r>
        <w:t xml:space="preserve"> effect, </w:t>
      </w:r>
      <w:r>
        <w:rPr>
          <w:rFonts w:hint="eastAsia"/>
        </w:rPr>
        <w:t xml:space="preserve">MOE）と呼ばれ、Sensfuß</w:t>
      </w:r>
      <w:r>
        <w:t xml:space="preserve"> et </w:t>
      </w:r>
      <w:r>
        <w:rPr>
          <w:rFonts w:hint="eastAsia"/>
        </w:rPr>
        <w:t xml:space="preserve">al.（2008）がドイツで定量化して以来、市場を問わず確認されてきた。効果の大きさは市場構造と手法に依存し（Würzburg</w:t>
      </w:r>
      <w:r>
        <w:t xml:space="preserve"> et al., </w:t>
      </w:r>
      <w:r>
        <w:rPr>
          <w:rFonts w:hint="eastAsia"/>
        </w:rPr>
        <w:t xml:space="preserve">2013）、時間とともに縮小するという報告もある（Ketterer,</w:t>
      </w:r>
      <w:r>
        <w:t xml:space="preserve"> </w:t>
      </w:r>
      <w:r>
        <w:rPr>
          <w:rFonts w:hint="eastAsia"/>
        </w:rPr>
        <w:t xml:space="preserve">2014）。テキサス州の卸電力市場（ERCOT）では、風力の立地するゾーンで効果が最も大きい（Woo</w:t>
      </w:r>
      <w:r>
        <w:t xml:space="preserve"> et al., </w:t>
      </w:r>
      <w:r>
        <w:rPr>
          <w:rFonts w:hint="eastAsia"/>
        </w:rPr>
        <w:t xml:space="preserve">2011）。Paraschiv</w:t>
      </w:r>
      <w:r>
        <w:t xml:space="preserve"> et </w:t>
      </w:r>
      <w:r>
        <w:rPr>
          <w:rFonts w:hint="eastAsia"/>
        </w:rPr>
        <w:t xml:space="preserve">al.（2014）は、太陽光の効果が正午に集中し、風力の効果が夜間から夕方に現れることを示した。</w:t>
      </w:r>
    </w:p>
    <w:p>
      <w:pPr>
        <w:pStyle w:val="BodyText"/>
      </w:pPr>
      <w:r>
        <w:t xml:space="preserve">MOE </w:t>
      </w:r>
      <w:r>
        <w:rPr>
          <w:rFonts w:hint="eastAsia"/>
        </w:rPr>
        <w:t xml:space="preserve">を再エネの側から見た指標が市場価値（value</w:t>
      </w:r>
      <w:r>
        <w:t xml:space="preserve"> </w:t>
      </w:r>
      <w:r>
        <w:rPr>
          <w:rFonts w:hint="eastAsia"/>
        </w:rPr>
        <w:t xml:space="preserve">factor）である。Hirth（2013）は、風力の市場価値がシェア0%から30%への上昇で平均価格の110%から50〜80%へ下がり、太陽光はシェア15%で同じ水準に下がることを示した。本研究にとって重要なのは、揚水（6〜8時間で満水になる短時間の貯蔵）を2倍にしても風力の市場価値はほとんど改善しないという報告と、その理由を風力の変動が主に日内より長い時間スケールで起こることに求めた点である。</w:t>
      </w:r>
    </w:p>
    <w:bookmarkEnd w:id="24"/>
    <w:bookmarkStart w:id="25" w:name="価格変動性への影響と時間スケール"/>
    <w:p>
      <w:pPr>
        <w:pStyle w:val="Heading3"/>
      </w:pPr>
      <w:r>
        <w:t xml:space="preserve">2.1.2　</w:t>
      </w:r>
      <w:r>
        <w:rPr>
          <w:rFonts w:hint="eastAsia"/>
        </w:rPr>
        <w:t xml:space="preserve">価格変動性への影響と時間スケール</w:t>
      </w:r>
    </w:p>
    <w:p>
      <w:pPr>
        <w:pStyle w:val="FirstParagraph"/>
      </w:pPr>
      <w:r>
        <w:rPr>
          <w:rFonts w:hint="eastAsia"/>
        </w:rPr>
        <w:t xml:space="preserve">再エネが価格の変動性に与える影響については一致した結論がない。しかし変動性の定義を突き合わせると、不一致の相当部分は、どの時間スケールの変動を測っているかの違いに帰着する。ただし時間スケールだけですべてが説明されるわけではない。同じ日内の分散でも、Wozabal</w:t>
      </w:r>
      <w:r>
        <w:t xml:space="preserve"> et </w:t>
      </w:r>
      <w:r>
        <w:rPr>
          <w:rFonts w:hint="eastAsia"/>
        </w:rPr>
        <w:t xml:space="preserve">al.（2016）では再エネが分散を下げ、Schöniger</w:t>
      </w:r>
      <w:r>
        <w:t xml:space="preserve"> and </w:t>
      </w:r>
      <w:r>
        <w:rPr>
          <w:rFonts w:hint="eastAsia"/>
        </w:rPr>
        <w:t xml:space="preserve">Morawetz（2022）では上げており、これは残余需要が日内分散のU字のどちら側にあるかの違いとして解釈できる。表2.1</w:t>
      </w:r>
      <w:r>
        <w:t xml:space="preserve"> </w:t>
      </w:r>
      <w:r>
        <w:rPr>
          <w:rFonts w:hint="eastAsia"/>
        </w:rPr>
        <w:t xml:space="preserve">は、主な研究を時間スケール別に並べたものである。</w:t>
      </w:r>
    </w:p>
    <w:p>
      <w:pPr>
        <w:pStyle w:val="TableCaption"/>
      </w:pPr>
      <w:r>
        <w:rPr>
          <w:rFonts w:hint="eastAsia"/>
        </w:rPr>
        <w:t xml:space="preserve">表2.1</w:t>
      </w:r>
      <w:r>
        <w:t xml:space="preserve">　</w:t>
      </w:r>
      <w:r>
        <w:rPr>
          <w:rFonts w:hint="eastAsia"/>
        </w:rPr>
        <w:t xml:space="preserve">価格変動性に関する先行研究の指標と結果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2.1　価格変動性に関する先行研究の指標と結果"/>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研究</w:t>
            </w:r>
          </w:p>
        </w:tc>
        <w:tc>
          <w:tcPr>
            <w:tcBorders>
              <w:bottom w:val="single" w:sz="6" w:color="000000"/>
            </w:tcBorders>
          </w:tcPr>
          <w:p>
            <w:pPr>
              <w:pStyle w:val="Compact"/>
            </w:pPr>
            <w:r>
              <w:rPr>
                <w:rFonts w:hint="eastAsia"/>
                <w:sz w:val="18"/>
              </w:rPr>
              <w:t xml:space="preserve">市場</w:t>
            </w:r>
          </w:p>
        </w:tc>
        <w:tc>
          <w:tcPr>
            <w:tcBorders>
              <w:bottom w:val="single" w:sz="6" w:color="000000"/>
            </w:tcBorders>
          </w:tcPr>
          <w:p>
            <w:pPr>
              <w:pStyle w:val="Compact"/>
            </w:pPr>
            <w:r>
              <w:rPr>
                <w:rFonts w:hint="eastAsia"/>
                <w:sz w:val="18"/>
              </w:rPr>
              <w:t xml:space="preserve">変動性の指標（時間スケール）</w:t>
            </w:r>
          </w:p>
        </w:tc>
        <w:tc>
          <w:tcPr>
            <w:tcBorders>
              <w:bottom w:val="single" w:sz="6" w:color="000000"/>
            </w:tcBorders>
          </w:tcPr>
          <w:p>
            <w:pPr>
              <w:pStyle w:val="Compact"/>
            </w:pPr>
            <w:r>
              <w:rPr>
                <w:rFonts w:hint="eastAsia"/>
                <w:sz w:val="18"/>
              </w:rPr>
              <w:t xml:space="preserve">風力の効果</w:t>
            </w:r>
          </w:p>
        </w:tc>
        <w:tc>
          <w:tcPr>
            <w:tcBorders>
              <w:bottom w:val="single" w:sz="6" w:color="000000"/>
            </w:tcBorders>
          </w:tcPr>
          <w:p>
            <w:pPr>
              <w:pStyle w:val="Compact"/>
            </w:pPr>
            <w:r>
              <w:rPr>
                <w:rFonts w:hint="eastAsia"/>
                <w:sz w:val="18"/>
              </w:rPr>
              <w:t xml:space="preserve">太陽光の効果</w:t>
            </w:r>
          </w:p>
        </w:tc>
      </w:tr>
      <w:tr>
        <w:tc>
          <w:tcPr/>
          <w:p>
            <w:pPr>
              <w:pStyle w:val="Compact"/>
            </w:pPr>
            <w:r>
              <w:rPr>
                <w:rFonts w:hint="eastAsia"/>
                <w:sz w:val="18"/>
              </w:rPr>
              <w:t xml:space="preserve">Ketterer（2014）</w:t>
            </w:r>
          </w:p>
        </w:tc>
        <w:tc>
          <w:tcPr/>
          <w:p>
            <w:pPr>
              <w:pStyle w:val="Compact"/>
            </w:pPr>
            <w:r>
              <w:rPr>
                <w:sz w:val="18"/>
              </w:rPr>
              <w:t xml:space="preserve">ドイツ</w:t>
            </w:r>
          </w:p>
        </w:tc>
        <w:tc>
          <w:tcPr/>
          <w:p>
            <w:pPr>
              <w:pStyle w:val="Compact"/>
            </w:pPr>
            <w:r>
              <w:rPr>
                <w:sz w:val="18"/>
              </w:rPr>
              <w:t xml:space="preserve">GARCH </w:t>
            </w:r>
            <w:r>
              <w:rPr>
                <w:rFonts w:hint="eastAsia"/>
                <w:sz w:val="18"/>
              </w:rPr>
              <w:t xml:space="preserve">の条件付き分散（日間）</w:t>
            </w:r>
          </w:p>
        </w:tc>
        <w:tc>
          <w:tcPr/>
          <w:p>
            <w:pPr>
              <w:pStyle w:val="Compact"/>
            </w:pPr>
            <w:r>
              <w:rPr>
                <w:rFonts w:hint="eastAsia"/>
                <w:sz w:val="18"/>
              </w:rPr>
              <w:t xml:space="preserve">上げる（+0.002）</w:t>
            </w:r>
          </w:p>
        </w:tc>
        <w:tc>
          <w:tcPr/>
          <w:p>
            <w:pPr>
              <w:pStyle w:val="Compact"/>
            </w:pPr>
            <w:r>
              <w:rPr>
                <w:sz w:val="18"/>
              </w:rPr>
              <w:t xml:space="preserve">—</w:t>
            </w:r>
          </w:p>
        </w:tc>
      </w:tr>
      <w:tr>
        <w:tc>
          <w:tcPr/>
          <w:p>
            <w:pPr>
              <w:pStyle w:val="Compact"/>
            </w:pPr>
            <w:r>
              <w:rPr>
                <w:sz w:val="18"/>
              </w:rPr>
              <w:t xml:space="preserve">Kyritsis et </w:t>
            </w:r>
            <w:r>
              <w:rPr>
                <w:rFonts w:hint="eastAsia"/>
                <w:sz w:val="18"/>
              </w:rPr>
              <w:t xml:space="preserve">al.（2017）</w:t>
            </w:r>
          </w:p>
        </w:tc>
        <w:tc>
          <w:tcPr/>
          <w:p>
            <w:pPr>
              <w:pStyle w:val="Compact"/>
            </w:pPr>
            <w:r>
              <w:rPr>
                <w:sz w:val="18"/>
              </w:rPr>
              <w:t xml:space="preserve">ドイツ</w:t>
            </w:r>
          </w:p>
        </w:tc>
        <w:tc>
          <w:tcPr/>
          <w:p>
            <w:pPr>
              <w:pStyle w:val="Compact"/>
            </w:pPr>
            <w:r>
              <w:rPr>
                <w:sz w:val="18"/>
              </w:rPr>
              <w:t xml:space="preserve">GARCH-M </w:t>
            </w:r>
            <w:r>
              <w:rPr>
                <w:rFonts w:hint="eastAsia"/>
                <w:sz w:val="18"/>
              </w:rPr>
              <w:t xml:space="preserve">の条件付き分散（日間）</w:t>
            </w:r>
          </w:p>
        </w:tc>
        <w:tc>
          <w:tcPr/>
          <w:p>
            <w:pPr>
              <w:pStyle w:val="Compact"/>
            </w:pPr>
            <w:r>
              <w:rPr>
                <w:rFonts w:hint="eastAsia"/>
                <w:sz w:val="18"/>
              </w:rPr>
              <w:t xml:space="preserve">上げる（+1.39×10⁻⁵）</w:t>
            </w:r>
          </w:p>
        </w:tc>
        <w:tc>
          <w:tcPr/>
          <w:p>
            <w:pPr>
              <w:pStyle w:val="Compact"/>
            </w:pPr>
            <w:r>
              <w:rPr>
                <w:rFonts w:hint="eastAsia"/>
                <w:sz w:val="18"/>
              </w:rPr>
              <w:t xml:space="preserve">下げる（−1.48×10⁻⁵）</w:t>
            </w:r>
          </w:p>
        </w:tc>
      </w:tr>
      <w:tr>
        <w:tc>
          <w:tcPr/>
          <w:p>
            <w:pPr>
              <w:pStyle w:val="Compact"/>
            </w:pPr>
            <w:r>
              <w:rPr>
                <w:sz w:val="18"/>
              </w:rPr>
              <w:t xml:space="preserve">Woo et </w:t>
            </w:r>
            <w:r>
              <w:rPr>
                <w:rFonts w:hint="eastAsia"/>
                <w:sz w:val="18"/>
              </w:rPr>
              <w:t xml:space="preserve">al.（2011）</w:t>
            </w:r>
          </w:p>
        </w:tc>
        <w:tc>
          <w:tcPr/>
          <w:p>
            <w:pPr>
              <w:pStyle w:val="Compact"/>
            </w:pPr>
            <w:r>
              <w:rPr>
                <w:sz w:val="18"/>
              </w:rPr>
              <w:t xml:space="preserve">ERCOT</w:t>
            </w:r>
          </w:p>
        </w:tc>
        <w:tc>
          <w:tcPr/>
          <w:p>
            <w:pPr>
              <w:pStyle w:val="Compact"/>
            </w:pPr>
            <w:r>
              <w:rPr>
                <w:rFonts w:hint="eastAsia"/>
                <w:sz w:val="18"/>
              </w:rPr>
              <w:t xml:space="preserve">15分値の無条件分散</w:t>
            </w:r>
          </w:p>
        </w:tc>
        <w:tc>
          <w:tcPr/>
          <w:p>
            <w:pPr>
              <w:pStyle w:val="Compact"/>
            </w:pPr>
            <w:r>
              <w:rPr>
                <w:rFonts w:hint="eastAsia"/>
                <w:sz w:val="18"/>
              </w:rPr>
              <w:t xml:space="preserve">立地ゾーンで+5.4%、他は+0.07〜0.57%（設備10%増の投影）</w:t>
            </w:r>
          </w:p>
        </w:tc>
        <w:tc>
          <w:tcPr/>
          <w:p>
            <w:pPr>
              <w:pStyle w:val="Compact"/>
            </w:pPr>
            <w:r>
              <w:rPr>
                <w:sz w:val="18"/>
              </w:rPr>
              <w:t xml:space="preserve">—</w:t>
            </w:r>
          </w:p>
        </w:tc>
      </w:tr>
      <w:tr>
        <w:tc>
          <w:tcPr/>
          <w:p>
            <w:pPr>
              <w:pStyle w:val="Compact"/>
            </w:pPr>
            <w:r>
              <w:rPr>
                <w:sz w:val="18"/>
              </w:rPr>
              <w:t xml:space="preserve">Mwampashi et </w:t>
            </w:r>
            <w:r>
              <w:rPr>
                <w:rFonts w:hint="eastAsia"/>
                <w:sz w:val="18"/>
              </w:rPr>
              <w:t xml:space="preserve">al.（2021）</w:t>
            </w:r>
          </w:p>
        </w:tc>
        <w:tc>
          <w:tcPr/>
          <w:p>
            <w:pPr>
              <w:pStyle w:val="Compact"/>
            </w:pPr>
            <w:r>
              <w:rPr>
                <w:sz w:val="18"/>
              </w:rPr>
              <w:t xml:space="preserve">NEM</w:t>
            </w:r>
          </w:p>
        </w:tc>
        <w:tc>
          <w:tcPr/>
          <w:p>
            <w:pPr>
              <w:pStyle w:val="Compact"/>
            </w:pPr>
            <w:r>
              <w:rPr>
                <w:rFonts w:hint="eastAsia"/>
                <w:sz w:val="18"/>
              </w:rPr>
              <w:t xml:space="preserve">日次</w:t>
            </w:r>
            <w:r>
              <w:rPr>
                <w:sz w:val="18"/>
              </w:rPr>
              <w:t xml:space="preserve"> eGARCH </w:t>
            </w:r>
            <w:r>
              <w:rPr>
                <w:rFonts w:hint="eastAsia"/>
                <w:sz w:val="18"/>
              </w:rPr>
              <w:t xml:space="preserve">の分散（日間）</w:t>
            </w:r>
          </w:p>
        </w:tc>
        <w:tc>
          <w:tcPr/>
          <w:p>
            <w:pPr>
              <w:pStyle w:val="Compact"/>
            </w:pPr>
            <w:r>
              <w:rPr>
                <w:rFonts w:hint="eastAsia"/>
                <w:sz w:val="18"/>
              </w:rPr>
              <w:t xml:space="preserve">南豪州で+2%、タスマニアで−3%（1GWh</w:t>
            </w:r>
            <w:r>
              <w:rPr>
                <w:sz w:val="18"/>
              </w:rPr>
              <w:t xml:space="preserve"> </w:t>
            </w:r>
            <w:r>
              <w:rPr>
                <w:rFonts w:hint="eastAsia"/>
                <w:sz w:val="18"/>
              </w:rPr>
              <w:t xml:space="preserve">あたり）</w:t>
            </w:r>
          </w:p>
        </w:tc>
        <w:tc>
          <w:tcPr/>
          <w:p>
            <w:pPr>
              <w:pStyle w:val="Compact"/>
            </w:pPr>
            <w:r>
              <w:rPr>
                <w:sz w:val="18"/>
              </w:rPr>
              <w:t xml:space="preserve">—</w:t>
            </w:r>
          </w:p>
        </w:tc>
      </w:tr>
      <w:tr>
        <w:tc>
          <w:tcPr/>
          <w:p>
            <w:pPr>
              <w:pStyle w:val="Compact"/>
            </w:pPr>
            <w:r>
              <w:rPr>
                <w:rFonts w:hint="eastAsia"/>
                <w:sz w:val="18"/>
              </w:rPr>
              <w:t xml:space="preserve">Maciejowska（2020）</w:t>
            </w:r>
          </w:p>
        </w:tc>
        <w:tc>
          <w:tcPr/>
          <w:p>
            <w:pPr>
              <w:pStyle w:val="Compact"/>
            </w:pPr>
            <w:r>
              <w:rPr>
                <w:sz w:val="18"/>
              </w:rPr>
              <w:t xml:space="preserve">ドイツ</w:t>
            </w:r>
          </w:p>
        </w:tc>
        <w:tc>
          <w:tcPr/>
          <w:p>
            <w:pPr>
              <w:pStyle w:val="Compact"/>
            </w:pPr>
            <w:r>
              <w:rPr>
                <w:rFonts w:hint="eastAsia"/>
                <w:sz w:val="18"/>
              </w:rPr>
              <w:t xml:space="preserve">日次指数の</w:t>
            </w:r>
            <w:r>
              <w:rPr>
                <w:sz w:val="18"/>
              </w:rPr>
              <w:t xml:space="preserve"> </w:t>
            </w:r>
            <w:r>
              <w:rPr>
                <w:rFonts w:hint="eastAsia"/>
                <w:sz w:val="18"/>
              </w:rPr>
              <w:t xml:space="preserve">IQR（日間）</w:t>
            </w:r>
          </w:p>
        </w:tc>
        <w:tc>
          <w:tcPr/>
          <w:p>
            <w:pPr>
              <w:pStyle w:val="Compact"/>
            </w:pPr>
            <w:r>
              <w:rPr>
                <w:rFonts w:hint="eastAsia"/>
                <w:sz w:val="18"/>
              </w:rPr>
              <w:t xml:space="preserve">低需要時+0.179、高需要時−0.184</w:t>
            </w:r>
          </w:p>
        </w:tc>
        <w:tc>
          <w:tcPr/>
          <w:p>
            <w:pPr>
              <w:pStyle w:val="Compact"/>
            </w:pPr>
            <w:r>
              <w:rPr>
                <w:rFonts w:hint="eastAsia"/>
                <w:sz w:val="18"/>
              </w:rPr>
              <w:t xml:space="preserve">中需要時−0.181</w:t>
            </w:r>
          </w:p>
        </w:tc>
      </w:tr>
      <w:tr>
        <w:tc>
          <w:tcPr/>
          <w:p>
            <w:pPr>
              <w:pStyle w:val="Compact"/>
            </w:pPr>
            <w:r>
              <w:rPr>
                <w:sz w:val="18"/>
              </w:rPr>
              <w:t xml:space="preserve">Fuke and </w:t>
            </w:r>
            <w:r>
              <w:rPr>
                <w:rFonts w:hint="eastAsia"/>
                <w:sz w:val="18"/>
              </w:rPr>
              <w:t xml:space="preserve">Ohashi（2025）</w:t>
            </w:r>
          </w:p>
        </w:tc>
        <w:tc>
          <w:tcPr/>
          <w:p>
            <w:pPr>
              <w:pStyle w:val="Compact"/>
            </w:pPr>
            <w:r>
              <w:rPr>
                <w:rFonts w:hint="eastAsia"/>
                <w:sz w:val="18"/>
              </w:rPr>
              <w:t xml:space="preserve">九州</w:t>
            </w:r>
          </w:p>
        </w:tc>
        <w:tc>
          <w:tcPr/>
          <w:p>
            <w:pPr>
              <w:pStyle w:val="Compact"/>
            </w:pPr>
            <w:r>
              <w:rPr>
                <w:rFonts w:hint="eastAsia"/>
                <w:sz w:val="18"/>
              </w:rPr>
              <w:t xml:space="preserve">昼間平均価格の</w:t>
            </w:r>
            <w:r>
              <w:rPr>
                <w:sz w:val="18"/>
              </w:rPr>
              <w:t xml:space="preserve"> </w:t>
            </w:r>
            <w:r>
              <w:rPr>
                <w:rFonts w:hint="eastAsia"/>
                <w:sz w:val="18"/>
              </w:rPr>
              <w:t xml:space="preserve">IQR（日間）</w:t>
            </w:r>
          </w:p>
        </w:tc>
        <w:tc>
          <w:tcPr/>
          <w:p>
            <w:pPr>
              <w:pStyle w:val="Compact"/>
            </w:pPr>
            <w:r>
              <w:rPr>
                <w:sz w:val="18"/>
              </w:rPr>
              <w:t xml:space="preserve">—</w:t>
            </w:r>
          </w:p>
        </w:tc>
        <w:tc>
          <w:tcPr/>
          <w:p>
            <w:pPr>
              <w:pStyle w:val="Compact"/>
            </w:pPr>
            <w:r>
              <w:rPr>
                <w:rFonts w:hint="eastAsia"/>
                <w:sz w:val="18"/>
              </w:rPr>
              <w:t xml:space="preserve">春・夏に下げ、秋・冬は下げない</w:t>
            </w:r>
          </w:p>
        </w:tc>
      </w:tr>
      <w:tr>
        <w:tc>
          <w:tcPr/>
          <w:p>
            <w:pPr>
              <w:pStyle w:val="Compact"/>
            </w:pPr>
            <w:r>
              <w:rPr>
                <w:sz w:val="18"/>
              </w:rPr>
              <w:t xml:space="preserve">Wozabal et </w:t>
            </w:r>
            <w:r>
              <w:rPr>
                <w:rFonts w:hint="eastAsia"/>
                <w:sz w:val="18"/>
              </w:rPr>
              <w:t xml:space="preserve">al.（2016）</w:t>
            </w:r>
          </w:p>
        </w:tc>
        <w:tc>
          <w:tcPr/>
          <w:p>
            <w:pPr>
              <w:pStyle w:val="Compact"/>
            </w:pPr>
            <w:r>
              <w:rPr>
                <w:sz w:val="18"/>
              </w:rPr>
              <w:t xml:space="preserve">ドイツ</w:t>
            </w:r>
          </w:p>
        </w:tc>
        <w:tc>
          <w:tcPr/>
          <w:p>
            <w:pPr>
              <w:pStyle w:val="Compact"/>
            </w:pPr>
            <w:r>
              <w:rPr>
                <w:rFonts w:hint="eastAsia"/>
                <w:sz w:val="18"/>
              </w:rPr>
              <w:t xml:space="preserve">24時間値の分散（日内）</w:t>
            </w:r>
          </w:p>
        </w:tc>
        <w:tc>
          <w:tcPr/>
          <w:p>
            <w:pPr>
              <w:pStyle w:val="Compact"/>
            </w:pPr>
            <w:r>
              <w:rPr>
                <w:sz w:val="18"/>
              </w:rPr>
              <w:t xml:space="preserve">−7</w:t>
            </w:r>
          </w:p>
        </w:tc>
        <w:tc>
          <w:tcPr/>
          <w:p>
            <w:pPr>
              <w:pStyle w:val="Compact"/>
            </w:pPr>
            <w:r>
              <w:rPr>
                <w:sz w:val="18"/>
              </w:rPr>
              <w:t xml:space="preserve">−83</w:t>
            </w:r>
          </w:p>
        </w:tc>
      </w:tr>
      <w:tr>
        <w:tc>
          <w:tcPr/>
          <w:p>
            <w:pPr>
              <w:pStyle w:val="Compact"/>
            </w:pPr>
            <w:r>
              <w:rPr>
                <w:sz w:val="18"/>
              </w:rPr>
              <w:t xml:space="preserve">Schöniger and </w:t>
            </w:r>
            <w:r>
              <w:rPr>
                <w:rFonts w:hint="eastAsia"/>
                <w:sz w:val="18"/>
              </w:rPr>
              <w:t xml:space="preserve">Morawetz（2022）</w:t>
            </w:r>
          </w:p>
        </w:tc>
        <w:tc>
          <w:tcPr/>
          <w:p>
            <w:pPr>
              <w:pStyle w:val="Compact"/>
            </w:pPr>
            <w:r>
              <w:rPr>
                <w:rFonts w:hint="eastAsia"/>
                <w:sz w:val="18"/>
              </w:rPr>
              <w:t xml:space="preserve">欧州9か国</w:t>
            </w:r>
          </w:p>
        </w:tc>
        <w:tc>
          <w:tcPr/>
          <w:p>
            <w:pPr>
              <w:pStyle w:val="Compact"/>
            </w:pPr>
            <w:r>
              <w:rPr>
                <w:rFonts w:hint="eastAsia"/>
                <w:sz w:val="18"/>
              </w:rPr>
              <w:t xml:space="preserve">24時間値の分散（日内）</w:t>
            </w:r>
          </w:p>
        </w:tc>
        <w:tc>
          <w:tcPr/>
          <w:p>
            <w:pPr>
              <w:pStyle w:val="Compact"/>
            </w:pPr>
            <w:r>
              <w:rPr>
                <w:rFonts w:hint="eastAsia"/>
                <w:sz w:val="18"/>
              </w:rPr>
              <w:t xml:space="preserve">線形項9.69</w:t>
            </w:r>
          </w:p>
        </w:tc>
        <w:tc>
          <w:tcPr/>
          <w:p>
            <w:pPr>
              <w:pStyle w:val="Compact"/>
            </w:pPr>
            <w:r>
              <w:rPr>
                <w:rFonts w:hint="eastAsia"/>
                <w:sz w:val="18"/>
              </w:rPr>
              <w:t xml:space="preserve">線形項32.55</w:t>
            </w:r>
          </w:p>
        </w:tc>
      </w:tr>
      <w:tr>
        <w:tc>
          <w:tcPr/>
          <w:p>
            <w:pPr>
              <w:pStyle w:val="Compact"/>
            </w:pPr>
            <w:r>
              <w:rPr>
                <w:sz w:val="18"/>
              </w:rPr>
              <w:t xml:space="preserve">Rintamäki et </w:t>
            </w:r>
            <w:r>
              <w:rPr>
                <w:rFonts w:hint="eastAsia"/>
                <w:sz w:val="18"/>
              </w:rPr>
              <w:t xml:space="preserve">al.（2017）</w:t>
            </w:r>
          </w:p>
        </w:tc>
        <w:tc>
          <w:tcPr/>
          <w:p>
            <w:pPr>
              <w:pStyle w:val="Compact"/>
            </w:pPr>
            <w:r>
              <w:rPr>
                <w:sz w:val="18"/>
              </w:rPr>
              <w:t xml:space="preserve">デンマーク、ドイツ</w:t>
            </w:r>
          </w:p>
        </w:tc>
        <w:tc>
          <w:tcPr/>
          <w:p>
            <w:pPr>
              <w:pStyle w:val="Compact"/>
            </w:pPr>
            <w:r>
              <w:rPr>
                <w:rFonts w:hint="eastAsia"/>
                <w:sz w:val="18"/>
              </w:rPr>
              <w:t xml:space="preserve">日内分散と週内分散</w:t>
            </w:r>
          </w:p>
        </w:tc>
        <w:tc>
          <w:tcPr/>
          <w:p>
            <w:pPr>
              <w:pStyle w:val="Compact"/>
            </w:pPr>
            <w:r>
              <w:rPr>
                <w:rFonts w:hint="eastAsia"/>
                <w:sz w:val="18"/>
              </w:rPr>
              <w:t xml:space="preserve">日内はデンマークで下げドイツで上げる。週内は両国で上げる</w:t>
            </w:r>
          </w:p>
        </w:tc>
        <w:tc>
          <w:tcPr/>
          <w:p>
            <w:pPr>
              <w:pStyle w:val="Compact"/>
            </w:pPr>
            <w:r>
              <w:rPr>
                <w:sz w:val="18"/>
              </w:rPr>
              <w:t xml:space="preserve">—</w:t>
            </w:r>
          </w:p>
        </w:tc>
      </w:tr>
      <w:tr>
        <w:tc>
          <w:tcPr/>
          <w:p>
            <w:pPr>
              <w:pStyle w:val="Compact"/>
            </w:pPr>
            <w:r>
              <w:rPr>
                <w:rFonts w:hint="eastAsia"/>
                <w:sz w:val="18"/>
              </w:rPr>
              <w:t xml:space="preserve">Tselika（2022）</w:t>
            </w:r>
          </w:p>
        </w:tc>
        <w:tc>
          <w:tcPr/>
          <w:p>
            <w:pPr>
              <w:pStyle w:val="Compact"/>
            </w:pPr>
            <w:r>
              <w:rPr>
                <w:sz w:val="18"/>
              </w:rPr>
              <w:t xml:space="preserve">デンマーク、ドイツ</w:t>
            </w:r>
          </w:p>
        </w:tc>
        <w:tc>
          <w:tcPr/>
          <w:p>
            <w:pPr>
              <w:pStyle w:val="Compact"/>
            </w:pPr>
            <w:r>
              <w:rPr>
                <w:rFonts w:hint="eastAsia"/>
                <w:sz w:val="18"/>
              </w:rPr>
              <w:t xml:space="preserve">時間値の条件付き分布の尺度</w:t>
            </w:r>
          </w:p>
        </w:tc>
        <w:tc>
          <w:tcPr/>
          <w:p>
            <w:pPr>
              <w:pStyle w:val="Compact"/>
            </w:pPr>
            <w:r>
              <w:rPr>
                <w:rFonts w:hint="eastAsia"/>
                <w:sz w:val="18"/>
              </w:rPr>
              <w:t xml:space="preserve">上げる（デンマークで+0.429）</w:t>
            </w:r>
          </w:p>
        </w:tc>
        <w:tc>
          <w:tcPr/>
          <w:p>
            <w:pPr>
              <w:pStyle w:val="Compact"/>
            </w:pPr>
            <w:r>
              <w:rPr>
                <w:rFonts w:hint="eastAsia"/>
                <w:sz w:val="18"/>
              </w:rPr>
              <w:t xml:space="preserve">上側の裾にやや強く効く（ドイツ）</w:t>
            </w:r>
          </w:p>
        </w:tc>
      </w:tr>
    </w:tbl>
    <w:p>
      <w:pPr>
        <w:pStyle w:val="TableNote"/>
      </w:pPr>
      <w:r>
        <w:rPr>
          <w:rFonts w:hint="eastAsia"/>
        </w:rPr>
        <w:t xml:space="preserve">注）係数の単位と定義は各研究による。（日間）は日をまたぐ散らばり、（日内）は1日の中の散らばり、—は対象外か本章で取り上げないことを示す。GARCH</w:t>
      </w:r>
      <w:r>
        <w:t xml:space="preserve"> </w:t>
      </w:r>
      <w:r>
        <w:rPr>
          <w:rFonts w:hint="eastAsia"/>
        </w:rPr>
        <w:t xml:space="preserve">は一般化自己回帰条件付き分散不均一モデル、IQR</w:t>
      </w:r>
      <w:r>
        <w:t xml:space="preserve"> </w:t>
      </w:r>
      <w:r>
        <w:rPr>
          <w:rFonts w:hint="eastAsia"/>
        </w:rPr>
        <w:t xml:space="preserve">は条件付き分布の0.9分位と0.1分位の差、NEM</w:t>
      </w:r>
      <w:r>
        <w:t xml:space="preserve"> </w:t>
      </w:r>
      <w:r>
        <w:rPr>
          <w:rFonts w:hint="eastAsia"/>
        </w:rPr>
        <w:t xml:space="preserve">は豪州の全国電力市場。</w:t>
      </w:r>
    </w:p>
    <w:p>
      <w:pPr>
        <w:pStyle w:val="TableNote"/>
      </w:pPr>
      <w:r>
        <w:rPr>
          <w:rFonts w:hint="eastAsia"/>
        </w:rPr>
        <w:t xml:space="preserve">出所）各文献より筆者作成。</w:t>
      </w:r>
    </w:p>
    <w:p>
      <w:pPr>
        <w:pStyle w:val="BodyText"/>
      </w:pPr>
      <w:r>
        <w:rPr>
          <w:rFonts w:hint="eastAsia"/>
        </w:rPr>
        <w:t xml:space="preserve">第一の研究群は、GARCH</w:t>
      </w:r>
      <w:r>
        <w:t xml:space="preserve"> </w:t>
      </w:r>
      <w:r>
        <w:rPr>
          <w:rFonts w:hint="eastAsia"/>
        </w:rPr>
        <w:t xml:space="preserve">型の条件付き分散や分位点回帰の</w:t>
      </w:r>
      <w:r>
        <w:t xml:space="preserve"> IQR </w:t>
      </w:r>
      <w:r>
        <w:rPr>
          <w:rFonts w:hint="eastAsia"/>
        </w:rPr>
        <w:t xml:space="preserve">で、日次に集計した価格の日をまたぐ散らばりを測る。風力が変動性を高めるという結果が多いが、地域や需要の水準で符号が変わる例もあり、Maciejowska（2020）は風力が下側の裾に、太陽光が上側の裾に効くという非対称を示した。ただしピークとオフピークの差、すなわち日内の形状は被説明変数になっていない。</w:t>
      </w:r>
    </w:p>
    <w:p>
      <w:pPr>
        <w:pStyle w:val="BodyText"/>
      </w:pPr>
      <w:r>
        <w:rPr>
          <w:rFonts w:hint="eastAsia"/>
        </w:rPr>
        <w:t xml:space="preserve">第二の研究群は、24時間の価格の分散で日内の形状を測る。Wozabal</w:t>
      </w:r>
      <w:r>
        <w:t xml:space="preserve"> et </w:t>
      </w:r>
      <w:r>
        <w:rPr>
          <w:rFonts w:hint="eastAsia"/>
        </w:rPr>
        <w:t xml:space="preserve">al.（2016）は、逆S字の供給曲線の下で日内の分散が残余需要に対してU字を描くことを理論化し、太陽光の効果が風力より大きいことを示した。Schöniger</w:t>
      </w:r>
      <w:r>
        <w:t xml:space="preserve"> and </w:t>
      </w:r>
      <w:r>
        <w:rPr>
          <w:rFonts w:hint="eastAsia"/>
        </w:rPr>
        <w:t xml:space="preserve">Morawetz（2022）は7か国でU字を確認し、連系と柔軟な電源の方が再エネの量より変動性を規定することを示した。日内と週内の分散を分けて推定した点で、Rintamäki</w:t>
      </w:r>
      <w:r>
        <w:t xml:space="preserve"> et </w:t>
      </w:r>
      <w:r>
        <w:rPr>
          <w:rFonts w:hint="eastAsia"/>
        </w:rPr>
        <w:t xml:space="preserve">al.（2017）は本研究に最も近い。彼らは、デンマークでは風が終日ほぼ一様に吹き、水力を持つ北欧との連系が太いのでピークとオフピークの価格が同じだけ下がるのに対し、ドイツでは風力が夜間に偏り連系が細いので両者が乖離すると説明する。ドイツの負の価格の約65%は風力の多い低需要の夜間に生じており（Hagfors</w:t>
      </w:r>
      <w:r>
        <w:t xml:space="preserve"> et al., </w:t>
      </w:r>
      <w:r>
        <w:rPr>
          <w:rFonts w:hint="eastAsia"/>
        </w:rPr>
        <w:t xml:space="preserve">2016）、風力は分布の下側の裾を通じて価格に効く。</w:t>
      </w:r>
    </w:p>
    <w:p>
      <w:pPr>
        <w:pStyle w:val="BodyText"/>
      </w:pPr>
      <w:r>
        <w:rPr>
          <w:rFonts w:hint="eastAsia"/>
        </w:rPr>
        <w:t xml:space="preserve">同じ国・同じ電源でも、指標が変われば符号が変わる。Tselika（2022）は、時間値を24時間の個体とみなすパネル分位点回帰で、風力がデンマークでも変動性を高めるという、Rintamäki</w:t>
      </w:r>
      <w:r>
        <w:t xml:space="preserve"> et </w:t>
      </w:r>
      <w:r>
        <w:rPr>
          <w:rFonts w:hint="eastAsia"/>
        </w:rPr>
        <w:t xml:space="preserve">al.（2017）の日内分散とは逆の結果を得た。日次の集計が再エネの効果を過小に評価することも、彼女は示している。</w:t>
      </w:r>
    </w:p>
    <w:p>
      <w:pPr>
        <w:pStyle w:val="BodyText"/>
      </w:pPr>
      <w:r>
        <w:rPr>
          <w:rFonts w:hint="eastAsia"/>
        </w:rPr>
        <w:t xml:space="preserve">これに対し長い時間スケールでは、再エネはむしろ安定化の要因になる。Navia</w:t>
      </w:r>
      <w:r>
        <w:t xml:space="preserve"> Simon and Diaz </w:t>
      </w:r>
      <w:r>
        <w:rPr>
          <w:rFonts w:hint="eastAsia"/>
        </w:rPr>
        <w:t xml:space="preserve">Anadon（2025）は、欧州の2030年の計画で電力価格のガス価格への感応度が1.4から1.0へ下がることを示し、これを市場が内部化しない「保険価値」と呼んだ。ただし、追加の導入は市場価値の自己侵食（カニバリゼーション）を招き、市場収入だけで運営する事業（マーチャント）としての採算は疑わしいと留保している。</w:t>
      </w:r>
    </w:p>
    <w:p>
      <w:pPr>
        <w:pStyle w:val="BodyText"/>
      </w:pPr>
      <w:r>
        <w:rPr>
          <w:rFonts w:hint="eastAsia"/>
        </w:rPr>
        <w:t xml:space="preserve">以上の整理から、次の四点が導かれる。第一に、「再エネは価格の変動性を高める」という一般化は、時間スケールを指定しなければ判定できない。第二に、太陽光は日内の形状（正午の谷）に、風力は水準と下側の裾に効くという電源による非対称は頑健である。第三に、柔軟性資源と連系の強さが再エネの量よりも変動性を規定する。第四に、風力が日内の変動性を上げるか下げるかは、日内の出力の偏り（ドイツ型の夜間の偏りか、デンマーク型の一様性か）と連系、さらに残余需要が日内分散のU字のどちら側にあるか（Wozabal</w:t>
      </w:r>
      <w:r>
        <w:t xml:space="preserve"> et al., </w:t>
      </w:r>
      <w:r>
        <w:rPr>
          <w:rFonts w:hint="eastAsia"/>
        </w:rPr>
        <w:t xml:space="preserve">2016）に依存する。北海道がどちらの型に属するかは、第5章の問いそのものである。</w:t>
      </w:r>
    </w:p>
    <w:bookmarkEnd w:id="25"/>
    <w:bookmarkEnd w:id="26"/>
    <w:bookmarkStart w:id="30" w:name="蓄電池の価値と市場均衡"/>
    <w:p>
      <w:pPr>
        <w:pStyle w:val="Heading2"/>
      </w:pPr>
      <w:r>
        <w:t xml:space="preserve">2.2　</w:t>
      </w:r>
      <w:r>
        <w:rPr>
          <w:rFonts w:hint="eastAsia"/>
        </w:rPr>
        <w:t xml:space="preserve">蓄電池の価値と市場均衡</w:t>
      </w:r>
    </w:p>
    <w:bookmarkStart w:id="27" w:name="裁定価値の推定とカニバリゼーション"/>
    <w:p>
      <w:pPr>
        <w:pStyle w:val="Heading3"/>
      </w:pPr>
      <w:r>
        <w:t xml:space="preserve">2.2.1　</w:t>
      </w:r>
      <w:r>
        <w:rPr>
          <w:rFonts w:hint="eastAsia"/>
        </w:rPr>
        <w:t xml:space="preserve">裁定価値の推定とカニバリゼーション</w:t>
      </w:r>
    </w:p>
    <w:p>
      <w:pPr>
        <w:pStyle w:val="FirstParagraph"/>
      </w:pPr>
      <w:r>
        <w:rPr>
          <w:rFonts w:hint="eastAsia"/>
        </w:rPr>
        <w:t xml:space="preserve">蓄電池（電力貯蔵）の裁定価値の推定では、米国東部の卸電力市場（PJM）を対象とした</w:t>
      </w:r>
      <w:r>
        <w:t xml:space="preserve"> Sioshansi et </w:t>
      </w:r>
      <w:r>
        <w:rPr>
          <w:rFonts w:hint="eastAsia"/>
        </w:rPr>
        <w:t xml:space="preserve">al.（2009）が古典である。彼らは価格テイカーの完全予見の線形計画で、12時間の貯蔵の価値の半分超が最初の4時間分で得られること、直前2週間の価格で最適化した運用（バックキャスト）でも完全予見の85%以上を取れること、1GW</w:t>
      </w:r>
      <w:r>
        <w:t xml:space="preserve"> </w:t>
      </w:r>
      <w:r>
        <w:rPr>
          <w:rFonts w:hint="eastAsia"/>
        </w:rPr>
        <w:t xml:space="preserve">の貯蔵が自らの価値を1〜2割超侵食することを示した（所有構造による運用の歪みは</w:t>
      </w:r>
      <w:r>
        <w:t xml:space="preserve"> Sioshansi, </w:t>
      </w:r>
      <w:r>
        <w:rPr>
          <w:rFonts w:hint="eastAsia"/>
        </w:rPr>
        <w:t xml:space="preserve">2010）。Lamont（2013）は、浸透とともに貯蔵の限界価値が下がり、貯蔵がオンピークの価格を下げる一方でオフピークの価格をほとんど上げないことを示した。下限価格に張り付く時間には充電を増やしても価格は上がらないので、この非対称は北海道でいっそう強く現れうる。欧州の全入札ゾーンを対象とした</w:t>
      </w:r>
      <w:r>
        <w:t xml:space="preserve"> Mercier et </w:t>
      </w:r>
      <w:r>
        <w:rPr>
          <w:rFonts w:hint="eastAsia"/>
        </w:rPr>
        <w:t xml:space="preserve">al.（2023）は、価値を決めるのは価格の水準ではなく年次のボラティリティであり、放電の持続時間（duration）の限界価値は4〜6時間を超えると非常に小さく、系統利用料が価値を20〜50%削ることを示した。風力との関係では、Dunbar（2016）が英国で、風の強い日には供給の過剰がピークの価格を押し下げて1日の価格差が縮むので、貯蔵の系統上の価値は高まるのに裁定の機会はかえって減ることを示した。</w:t>
      </w:r>
    </w:p>
    <w:p>
      <w:pPr>
        <w:pStyle w:val="BodyText"/>
      </w:pPr>
      <w:r>
        <w:t xml:space="preserve">カニバリゼーションは、Lamp and </w:t>
      </w:r>
      <w:r>
        <w:rPr>
          <w:rFonts w:hint="eastAsia"/>
        </w:rPr>
        <w:t xml:space="preserve">Samano（2022）がカリフォルニア州の卸電力市場（CAISO）で、新規の蓄電池がリアルタイム市場のスプレッドと最高価格を数週間にわたって圧縮し、現行の条件では採算に乗らないことを示したことで、観察された事実になった。Emmanuel</w:t>
      </w:r>
      <w:r>
        <w:t xml:space="preserve"> and </w:t>
      </w:r>
      <w:r>
        <w:rPr>
          <w:rFonts w:hint="eastAsia"/>
        </w:rPr>
        <w:t xml:space="preserve">Denholm（2022）は貯蔵を段階的に追加しながら価格への影響を回帰で反映させる枠組みで、裁定価値が導入とともに単調に下がることを示した。Karaduman（2023）は南豪州の入札データで供給関数均衡を解き、価格への影響を無視すると単一の蓄電池でも収益性を約2倍に過大評価することを示した。風力シェア約35%で連系線が1本の南豪州は、北海道に最も近い市場条件である。彼はさらに、風力の倍増で生じる抑制電力を蓄電池が吸収することを示し、私的には不採算でも消費者余剰の増分が費用を上回るとして、容量市場による補償を提案している。</w:t>
      </w:r>
    </w:p>
    <w:p>
      <w:pPr>
        <w:pStyle w:val="BodyText"/>
      </w:pPr>
      <w:r>
        <w:rPr>
          <w:rFonts w:hint="eastAsia"/>
        </w:rPr>
        <w:t xml:space="preserve">市場の実績も、導入とともに蓄電池の収益が急速に下がりうることを示している。ERCOT</w:t>
      </w:r>
      <w:r>
        <w:t xml:space="preserve"> </w:t>
      </w:r>
      <w:r>
        <w:rPr>
          <w:rFonts w:hint="eastAsia"/>
        </w:rPr>
        <w:t xml:space="preserve">では、蓄電池の導入量が2020年から約70倍に増える中で、蓄電池の年間収益が2023年の約193ドル/kW</w:t>
      </w:r>
      <w:r>
        <w:t xml:space="preserve"> </w:t>
      </w:r>
      <w:r>
        <w:rPr>
          <w:rFonts w:hint="eastAsia"/>
        </w:rPr>
        <w:t xml:space="preserve">から2025年の約29ドル/kW（推計値）へ、2年で約6分の1に下がった（Modo</w:t>
      </w:r>
      <w:r>
        <w:t xml:space="preserve"> Energy, </w:t>
      </w:r>
      <w:r>
        <w:rPr>
          <w:rFonts w:hint="eastAsia"/>
        </w:rPr>
        <w:t xml:space="preserve">2026）。ただしこの低下には、容量の急増でアンシラリーサービス市場が飽和したことによる収益の減少が含まれ、スポット裁定の価値の低下だけを示すものではない（10.2.3項）。</w:t>
      </w:r>
    </w:p>
    <w:bookmarkEnd w:id="27"/>
    <w:bookmarkStart w:id="28" w:name="蓄電池投資を内生化した均衡分析"/>
    <w:p>
      <w:pPr>
        <w:pStyle w:val="Heading3"/>
      </w:pPr>
      <w:r>
        <w:t xml:space="preserve">2.2.2　</w:t>
      </w:r>
      <w:r>
        <w:rPr>
          <w:rFonts w:hint="eastAsia"/>
        </w:rPr>
        <w:t xml:space="preserve">蓄電池投資を内生化した均衡分析</w:t>
      </w:r>
    </w:p>
    <w:p>
      <w:pPr>
        <w:pStyle w:val="FirstParagraph"/>
      </w:pPr>
      <w:r>
        <w:rPr>
          <w:rFonts w:hint="eastAsia"/>
        </w:rPr>
        <w:t xml:space="preserve">研究の焦点は、蓄電池への投資を内生化した均衡分析へ移っている。Butters</w:t>
      </w:r>
      <w:r>
        <w:t xml:space="preserve"> et </w:t>
      </w:r>
      <w:r>
        <w:rPr>
          <w:rFonts w:hint="eastAsia"/>
        </w:rPr>
        <w:t xml:space="preserve">al.（2025）は</w:t>
      </w:r>
      <w:r>
        <w:t xml:space="preserve"> CAISO </w:t>
      </w:r>
      <w:r>
        <w:rPr>
          <w:rFonts w:hint="eastAsia"/>
        </w:rPr>
        <w:t xml:space="preserve">の5分値で運用モデルと動学的な競争均衡の参入モデルを推定し、蓄電池が卸価格を下げる効果と単位あたりの価値が導入とともに逓減すること、補助も義務もなければ参入はわずかだが資本費の30%の補助で大量の参入が起きること、価格の不確実性の下で実行可能な戦略が完全予見の約70%を達成することを示した。彼らの設定は、火力の容量と退出を固定し、出力制御を明示的に扱わず、duration</w:t>
      </w:r>
      <w:r>
        <w:t xml:space="preserve"> </w:t>
      </w:r>
      <w:r>
        <w:rPr>
          <w:rFonts w:hint="eastAsia"/>
        </w:rPr>
        <w:t xml:space="preserve">を4時間に固定し、アンシラリーサービス市場と容量市場を対象外とし、連系線の制約と下限価格に言及していない。北海道でとくに重要になる条件の多くは、これらの仮定によって捨象されている。</w:t>
      </w:r>
    </w:p>
    <w:p>
      <w:pPr>
        <w:pStyle w:val="BodyText"/>
      </w:pPr>
      <w:r>
        <w:t xml:space="preserve">Zhao et </w:t>
      </w:r>
      <w:r>
        <w:rPr>
          <w:rFonts w:hint="eastAsia"/>
        </w:rPr>
        <w:t xml:space="preserve">al.（2022）は</w:t>
      </w:r>
      <w:r>
        <w:t xml:space="preserve"> CAISO </w:t>
      </w:r>
      <w:r>
        <w:rPr>
          <w:rFonts w:hint="eastAsia"/>
        </w:rPr>
        <w:t xml:space="preserve">で線形の価格インパクト関数を推定し、複数の投資家のクールノー・ナッシュ均衡を解いた。投資家が増えるほど総容量は増え、極限で独占の2倍に収束する。裁定価値は純需要に対する価格の傾きに反比例し、太陽光の増加は昼を下げてスプレッドを広げるが、風力の増加は夜をやや大きく下げるのでスプレッドをまず縮め、その後に広げる。この非単調性は、第5章と第7章が検討する問いに直接対応する。</w:t>
      </w:r>
    </w:p>
    <w:p>
      <w:pPr>
        <w:pStyle w:val="BodyText"/>
      </w:pPr>
      <w:r>
        <w:rPr>
          <w:rFonts w:hint="eastAsia"/>
        </w:rPr>
        <w:t xml:space="preserve">理論の面では、Schmalensee（2022）が、価格に上限がなければ競争的な貯蔵のゼロ利潤均衡が期待システム費用を最小化するが、上限があれば貯蔵の投資誘因も不足し、容量メカニズムが必要になりうることを示した。Andrés-Cerezo</w:t>
      </w:r>
      <w:r>
        <w:t xml:space="preserve"> and </w:t>
      </w:r>
      <w:r>
        <w:rPr>
          <w:rFonts w:hint="eastAsia"/>
        </w:rPr>
        <w:t xml:space="preserve">Fabra（2023）は貯蔵の自由参入条件を「平均投資費用＝裁定スプレッド」と定式化し、市場支配力の所在によって過剰投資にも過少投資にもなることを示した。T.</w:t>
      </w:r>
      <w:r>
        <w:t xml:space="preserve"> Brown and </w:t>
      </w:r>
      <w:r>
        <w:rPr>
          <w:rFonts w:hint="eastAsia"/>
        </w:rPr>
        <w:t xml:space="preserve">Reichenberg（2021）は、長期均衡では再エネの市場価値が均等化発電原価（LCOE）から等価な支援額を差し引いた値に等しくなることを示した。本研究の均衡からの乖離は、この市場外収入の枠組みを蓄電池に当てはめたものにあたる。ほかに、再エネと貯蔵の補完と代替の整理（López</w:t>
      </w:r>
      <w:r>
        <w:t xml:space="preserve"> Prol &amp; Schill, </w:t>
      </w:r>
      <w:r>
        <w:rPr>
          <w:rFonts w:hint="eastAsia"/>
        </w:rPr>
        <w:t xml:space="preserve">2021）や、duration</w:t>
      </w:r>
      <w:r>
        <w:t xml:space="preserve"> </w:t>
      </w:r>
      <w:r>
        <w:rPr>
          <w:rFonts w:hint="eastAsia"/>
        </w:rPr>
        <w:t xml:space="preserve">に制約のある貯蔵の固定費の回収の導出（Shen</w:t>
      </w:r>
      <w:r>
        <w:t xml:space="preserve"> et al., </w:t>
      </w:r>
      <w:r>
        <w:rPr>
          <w:rFonts w:hint="eastAsia"/>
        </w:rPr>
        <w:t xml:space="preserve">2026）がある。</w:t>
      </w:r>
    </w:p>
    <w:p>
      <w:pPr>
        <w:pStyle w:val="BodyText"/>
      </w:pPr>
      <w:r>
        <w:rPr>
          <w:rFonts w:hint="eastAsia"/>
        </w:rPr>
        <w:t xml:space="preserve">これらの研究は、価格テイカーの評価は過大であり、競争的な参入は総容量を増やして利潤を消し、マーチャントでは社会的に望ましい容量に届かないという結論を共有するが、対象は太陽光主導の海外市場か理論モデルである。風力主導の市場で、蓄電池のフリート容量</w:t>
      </w:r>
      <w:r>
        <w:t xml:space="preserve"> </w:t>
      </w:r>
      <m:oMath>
        <m:r>
          <m:t>K</m:t>
        </m:r>
      </m:oMath>
      <w:r>
        <w:t xml:space="preserve"> </w:t>
      </w:r>
      <w:r>
        <w:rPr>
          <w:rFonts w:hint="eastAsia"/>
        </w:rPr>
        <w:t xml:space="preserve">に対する限界参入者の収益</w:t>
      </w:r>
      <w:r>
        <w:t xml:space="preserve"> </w:t>
      </w:r>
      <m:oMath>
        <m:r>
          <m:t>π</m:t>
        </m:r>
        <m:r>
          <m:rPr>
            <m:sty m:val="p"/>
          </m:rPr>
          <m:t>(</m:t>
        </m:r>
        <m:r>
          <m:t>K</m:t>
        </m:r>
        <m:r>
          <m:rPr>
            <m:sty m:val="p"/>
          </m:rPr>
          <m:t>)</m:t>
        </m:r>
      </m:oMath>
      <w:r>
        <w:t xml:space="preserve"> </w:t>
      </w:r>
      <w:r>
        <w:rPr>
          <w:rFonts w:hint="eastAsia"/>
        </w:rPr>
        <w:t xml:space="preserve">と均衡容量</w:t>
      </w:r>
      <w:r>
        <w:t xml:space="preserve"> </w:t>
      </w:r>
      <m:oMath>
        <m:sSup>
          <m:e>
            <m:r>
              <m:t>K</m:t>
            </m:r>
          </m:e>
          <m:sup>
            <m:r>
              <m:rPr>
                <m:sty m:val="p"/>
              </m:rPr>
              <m:t>*</m:t>
            </m:r>
          </m:sup>
        </m:sSup>
      </m:oMath>
      <w:r>
        <w:t xml:space="preserve"> </w:t>
      </w:r>
      <w:r>
        <w:rPr>
          <w:rFonts w:hint="eastAsia"/>
        </w:rPr>
        <w:t xml:space="preserve">を実データから推計し、容量市場・長期脱炭素電源オークション（LTDA）・補助金という市場外収入を参入条件に明示的に並べた研究は見当たらない。</w:t>
      </w:r>
    </w:p>
    <w:bookmarkEnd w:id="28"/>
    <w:bookmarkStart w:id="29" w:name="再エネとの併設と出力制御の回避"/>
    <w:p>
      <w:pPr>
        <w:pStyle w:val="Heading3"/>
      </w:pPr>
      <w:r>
        <w:t xml:space="preserve">2.2.3　</w:t>
      </w:r>
      <w:r>
        <w:rPr>
          <w:rFonts w:hint="eastAsia"/>
        </w:rPr>
        <w:t xml:space="preserve">再エネとの併設と出力制御の回避</w:t>
      </w:r>
    </w:p>
    <w:p>
      <w:pPr>
        <w:pStyle w:val="FirstParagraph"/>
      </w:pPr>
      <w:r>
        <w:rPr>
          <w:rFonts w:hint="eastAsia"/>
        </w:rPr>
        <w:t xml:space="preserve">併設の研究では、併設による上積みは小さく、収益の主因も抑制の回避ではなく価格の裁定であるという結果が多い。英国の47の風力サイトでは、抑制の削減が裁定の損失を上回るのは3サイトにすぎない（Atherton</w:t>
      </w:r>
      <w:r>
        <w:t xml:space="preserve"> et al., </w:t>
      </w:r>
      <w:r>
        <w:rPr>
          <w:rFonts w:hint="eastAsia"/>
        </w:rPr>
        <w:t xml:space="preserve">2023）。英国の陸上風力では蓄電池の追加が年収益を4〜14%増やすにすぎず（Loukatou</w:t>
      </w:r>
      <w:r>
        <w:t xml:space="preserve"> et al., </w:t>
      </w:r>
      <w:r>
        <w:rPr>
          <w:rFonts w:hint="eastAsia"/>
        </w:rPr>
        <w:t xml:space="preserve">2021）、イタリアの風力サイトでも最適な容量は風力1kW</w:t>
      </w:r>
      <w:r>
        <w:t xml:space="preserve"> あたり0.1kWh </w:t>
      </w:r>
      <w:r>
        <w:rPr>
          <w:rFonts w:hint="eastAsia"/>
        </w:rPr>
        <w:t xml:space="preserve">程度と小さい（Grimaldi</w:t>
      </w:r>
      <w:r>
        <w:t xml:space="preserve"> et al., </w:t>
      </w:r>
      <w:r>
        <w:rPr>
          <w:rFonts w:hint="eastAsia"/>
        </w:rPr>
        <w:t xml:space="preserve">2025）。日本卸電力取引所（JEPX）を含む45市場を比べた</w:t>
      </w:r>
      <w:r>
        <w:t xml:space="preserve"> Landy et </w:t>
      </w:r>
      <w:r>
        <w:rPr>
          <w:rFonts w:hint="eastAsia"/>
        </w:rPr>
        <w:t xml:space="preserve">al.（2026）は、北日本の風力を含む一部の市場で併設が優位になりうることを示したが、混雑に起因する抑制と系統利用料は扱っていない。一方、Maji</w:t>
      </w:r>
      <w:r>
        <w:t xml:space="preserve"> et </w:t>
      </w:r>
      <w:r>
        <w:rPr>
          <w:rFonts w:hint="eastAsia"/>
        </w:rPr>
        <w:t xml:space="preserve">al.（2025）は</w:t>
      </w:r>
      <w:r>
        <w:t xml:space="preserve"> ERCOT </w:t>
      </w:r>
      <w:r>
        <w:rPr>
          <w:rFonts w:hint="eastAsia"/>
        </w:rPr>
        <w:t xml:space="preserve">のノード別データで、抑制電力量の93.4%が余剰ではなく送電の混雑に起因することを識別した。抑制はローカルな現象であり、ノード別の価格（ノーダル価格）を持つ市場ではその価値が価格に映る。しかし、ゾーン価格の市場でローカルな制約の価値がエリアの価格に映らないことを、市場均衡の文脈で位置づけた研究は見当たらない。</w:t>
      </w:r>
    </w:p>
    <w:bookmarkEnd w:id="29"/>
    <w:bookmarkEnd w:id="30"/>
    <w:bookmarkStart w:id="31" w:name="日本の電力市場に関する研究"/>
    <w:p>
      <w:pPr>
        <w:pStyle w:val="Heading2"/>
      </w:pPr>
      <w:r>
        <w:t xml:space="preserve">2.3　</w:t>
      </w:r>
      <w:r>
        <w:rPr>
          <w:rFonts w:hint="eastAsia"/>
        </w:rPr>
        <w:t xml:space="preserve">日本の電力市場に関する研究</w:t>
      </w:r>
    </w:p>
    <w:p>
      <w:pPr>
        <w:pStyle w:val="FirstParagraph"/>
      </w:pPr>
      <w:r>
        <w:t xml:space="preserve">JEPX </w:t>
      </w:r>
      <w:r>
        <w:rPr>
          <w:rFonts w:hint="eastAsia"/>
        </w:rPr>
        <w:t xml:space="preserve">の実証は、Maekawa</w:t>
      </w:r>
      <w:r>
        <w:t xml:space="preserve"> et </w:t>
      </w:r>
      <w:r>
        <w:rPr>
          <w:rFonts w:hint="eastAsia"/>
        </w:rPr>
        <w:t xml:space="preserve">al.（2018）が9エリアの時間値のパネルで、日射の増加がスポット価格を下げることを確認したことに始まる。Sakaguchi</w:t>
      </w:r>
      <w:r>
        <w:t xml:space="preserve"> and </w:t>
      </w:r>
      <w:r>
        <w:rPr>
          <w:rFonts w:hint="eastAsia"/>
        </w:rPr>
        <w:t xml:space="preserve">Fujii（2021）は実発電量を用いた2016〜2019年度の分位点回帰で、北海道の風力の</w:t>
      </w:r>
      <w:r>
        <w:t xml:space="preserve"> MOE </w:t>
      </w:r>
      <w:r>
        <w:rPr>
          <w:rFonts w:hint="eastAsia"/>
        </w:rPr>
        <w:t xml:space="preserve">が4地域で最大であること、風力の</w:t>
      </w:r>
      <w:r>
        <w:t xml:space="preserve"> MOE </w:t>
      </w:r>
      <w:r>
        <w:rPr>
          <w:rFonts w:hint="eastAsia"/>
        </w:rPr>
        <w:t xml:space="preserve">が高価格の分位で最も大きいことを示した。北海道の風力を直接扱った唯一の先行研究であるが、対象期間は風力の設備が現在の半分以下だった時期にとどまり、著者自身も連系線を通じた電力の出入りを考慮していないことを限界に挙げている。Ma</w:t>
      </w:r>
      <w:r>
        <w:t xml:space="preserve"> et </w:t>
      </w:r>
      <w:r>
        <w:rPr>
          <w:rFonts w:hint="eastAsia"/>
        </w:rPr>
        <w:t xml:space="preserve">al.（2023）は、東北の再エネが東京の価格を下げる効果が連系線の混雑時に消えること、東京エリア内の太陽光は日次の実現ボラティリティを有意に上げるが風力は上げないことを示し、北海道と東北の市場分断率を92.3%（FY2018）と報告した。ただし北本連系線の増強（2019年3月）の後、北海道は大半の時間で東北と同じ価格で約定している（3.1.1項・5.5節）。Y.</w:t>
      </w:r>
      <w:r>
        <w:t xml:space="preserve"> Li et </w:t>
      </w:r>
      <w:r>
        <w:rPr>
          <w:rFonts w:hint="eastAsia"/>
        </w:rPr>
        <w:t xml:space="preserve">al.（2024）は、需要のピークが朝夕にあって太陽光と重ならない北海道では価格が太陽光比率にとくに敏感であること、長時間の貯蔵の裁定利益が2016年から2022年にかけて急増したことを報告した。</w:t>
      </w:r>
    </w:p>
    <w:p>
      <w:pPr>
        <w:pStyle w:val="BodyText"/>
      </w:pPr>
      <w:r>
        <w:rPr>
          <w:rFonts w:hint="eastAsia"/>
        </w:rPr>
        <w:t xml:space="preserve">国内で最も近い研究は</w:t>
      </w:r>
      <w:r>
        <w:t xml:space="preserve"> Fuke and </w:t>
      </w:r>
      <w:r>
        <w:rPr>
          <w:rFonts w:hint="eastAsia"/>
        </w:rPr>
        <w:t xml:space="preserve">Ohashi（2025）である。彼らは九州エリアの2016年4月〜2020年3月の日次データで</w:t>
      </w:r>
      <w:r>
        <w:t xml:space="preserve"> </w:t>
      </w:r>
      <w:r>
        <w:rPr>
          <w:rFonts w:hint="eastAsia"/>
        </w:rPr>
        <w:t xml:space="preserve">Maciejowska（2020）型の分位点回帰を行い、MOE</w:t>
      </w:r>
      <w:r>
        <w:t xml:space="preserve"> </w:t>
      </w:r>
      <w:r>
        <w:rPr>
          <w:rFonts w:hint="eastAsia"/>
        </w:rPr>
        <w:t xml:space="preserve">が全季節で存在して冬に最も強く、高い分位ほど大きいこと、太陽光の増加が価格の変動性を春と夏には下げるが秋と冬には下げないことを示した。本研究にとって重要なのは、被説明変数が太陽光の発電する昼間の平均価格の日次系列であり、IQR</w:t>
      </w:r>
      <w:r>
        <w:t xml:space="preserve"> </w:t>
      </w:r>
      <w:r>
        <w:rPr>
          <w:rFonts w:hint="eastAsia"/>
        </w:rPr>
        <w:t xml:space="preserve">はその日をまたぐ散らばりを測る点である。日内の価格の形状は日次の平均化の段階で失われており、著者自身も時間値による分析を今後の課題としている。本研究は、この研究の対象を風力主導の北海道へ、変動性の測定を日内と帯域別へ、手法を構造モデルと自由参入均衡へ、問いを均衡容量へと広げる。</w:t>
      </w:r>
    </w:p>
    <w:p>
      <w:pPr>
        <w:pStyle w:val="BodyText"/>
      </w:pPr>
      <w:r>
        <w:rPr>
          <w:rFonts w:hint="eastAsia"/>
        </w:rPr>
        <w:t xml:space="preserve">市場制度の実証では、JEPX</w:t>
      </w:r>
      <w:r>
        <w:t xml:space="preserve"> </w:t>
      </w:r>
      <w:r>
        <w:rPr>
          <w:rFonts w:hint="eastAsia"/>
        </w:rPr>
        <w:t xml:space="preserve">の暗黙のスプレッドコスト（Ikeda,</w:t>
      </w:r>
      <w:r>
        <w:t xml:space="preserve"> </w:t>
      </w:r>
      <w:r>
        <w:rPr>
          <w:rFonts w:hint="eastAsia"/>
        </w:rPr>
        <w:t xml:space="preserve">2019）、グロスビディングの導入による価格形成の変化（Kanamura</w:t>
      </w:r>
      <w:r>
        <w:t xml:space="preserve"> &amp; Bunn, </w:t>
      </w:r>
      <w:r>
        <w:rPr>
          <w:rFonts w:hint="eastAsia"/>
        </w:rPr>
        <w:t xml:space="preserve">2022）、2021年1月の価格高騰における</w:t>
      </w:r>
      <w:r>
        <w:t xml:space="preserve"> LNG </w:t>
      </w:r>
      <w:r>
        <w:rPr>
          <w:rFonts w:hint="eastAsia"/>
        </w:rPr>
        <w:t xml:space="preserve">価格と入札行動の役割（Rassi</w:t>
      </w:r>
      <w:r>
        <w:t xml:space="preserve"> &amp; Kanamura, </w:t>
      </w:r>
      <w:r>
        <w:rPr>
          <w:rFonts w:hint="eastAsia"/>
        </w:rPr>
        <w:t xml:space="preserve">2023）と制度要因（H.-Z.</w:t>
      </w:r>
      <w:r>
        <w:t xml:space="preserve"> Li et al., </w:t>
      </w:r>
      <w:r>
        <w:rPr>
          <w:rFonts w:hint="eastAsia"/>
        </w:rPr>
        <w:t xml:space="preserve">2025）が分析されている。Ohashi</w:t>
      </w:r>
      <w:r>
        <w:t xml:space="preserve"> et </w:t>
      </w:r>
      <w:r>
        <w:rPr>
          <w:rFonts w:hint="eastAsia"/>
        </w:rPr>
        <w:t xml:space="preserve">al.（2026）は、需給曲線が屈折していることを出発点に、卸電力価格の高頻度データで需要と供給のショックを識別し、エネルギー危機の期間に需要ショックへの価格の反応が弱まって供給ショックへの反応が強まったこと、価格の高止まりが主に供給ショックによることを示した。価格の反応を需給の構造から説明する点で、2.5.1項の構造型モデルとつながる。</w:t>
      </w:r>
    </w:p>
    <w:p>
      <w:pPr>
        <w:pStyle w:val="BodyText"/>
      </w:pPr>
      <w:r>
        <w:rPr>
          <w:rFonts w:hint="eastAsia"/>
        </w:rPr>
        <w:t xml:space="preserve">蓄電池を主体とする国内の研究は少ない。丹羽（2006）は、日内の価格の不確実性の下での電力貯蔵の最適な運用を確率動的計画法で求め、強化学習で行動する市場参加者からなる市場モデルで、貯蔵事業者の参入が昼夜の価格差を縮めることを示した早い例である。近年では、清水ほか（2026）が、同時市場にプライスメーカーとして参加する蓄電池事業者の損益を評価する手法を提案している。政策の側では、経済産業省の定置用蓄電システム普及拡大検討会が、収益の積み上げと併設の課題を整理し、需給調整市場での収益性を試算している（経済産業省，2024a，2024b）。総じて国内の研究は、誘導形の</w:t>
      </w:r>
      <w:r>
        <w:t xml:space="preserve"> </w:t>
      </w:r>
      <w:r>
        <w:rPr>
          <w:rFonts w:hint="eastAsia"/>
        </w:rPr>
        <w:t xml:space="preserve">MOE・変動性の実証と制度分析が中心であり、蓄電池の参入を内生化した均衡分析は見当たらない。同検討会のとりまとめ（経済産業省，2025）が示す2030年度の系統用蓄電池の導入見通し（14.1〜23.8GWh）も、接続申込のうち運転開始に至る割合の外挿であり、均衡の概念にもとづくものではない。</w:t>
      </w:r>
    </w:p>
    <w:bookmarkEnd w:id="31"/>
    <w:bookmarkStart w:id="33" w:name="風力の時間構造と空間平滑化"/>
    <w:p>
      <w:pPr>
        <w:pStyle w:val="Heading2"/>
      </w:pPr>
      <w:r>
        <w:t xml:space="preserve">2.4　</w:t>
      </w:r>
      <w:r>
        <w:rPr>
          <w:rFonts w:hint="eastAsia"/>
        </w:rPr>
        <w:t xml:space="preserve">風力の時間構造と空間平滑化</w:t>
      </w:r>
    </w:p>
    <w:p>
      <w:pPr>
        <w:pStyle w:val="FirstParagraph"/>
      </w:pPr>
      <w:r>
        <w:rPr>
          <w:rFonts w:hint="eastAsia"/>
        </w:rPr>
        <w:t xml:space="preserve">風力の変動は、空間的に集約されると高い周波数の成分から相殺される。St.</w:t>
      </w:r>
      <w:r>
        <w:t xml:space="preserve"> Martin et </w:t>
      </w:r>
      <w:r>
        <w:rPr>
          <w:rFonts w:hint="eastAsia"/>
        </w:rPr>
        <w:t xml:space="preserve">al.（2015）は、ある時間幅より速い変動の地点間の相関を距離で積分した相関距離が時間幅とともに伸び、最も遅い変動では273〜368km</w:t>
      </w:r>
      <w:r>
        <w:t xml:space="preserve"> </w:t>
      </w:r>
      <w:r>
        <w:rPr>
          <w:rFonts w:hint="eastAsia"/>
        </w:rPr>
        <w:t xml:space="preserve">に達することを示した</w:t>
      </w:r>
      <w:r>
        <w:rPr>
          <w:rStyle w:val="FootnoteReference"/>
        </w:rPr>
        <w:footnoteReference w:id="32"/>
      </w:r>
      <w:r>
        <w:rPr>
          <w:rFonts w:hint="eastAsia"/>
        </w:rPr>
        <w:t xml:space="preserve">。国をまたぐ集約でも相関は残り（Malvaldi</w:t>
      </w:r>
      <w:r>
        <w:t xml:space="preserve"> et al., </w:t>
      </w:r>
      <w:r>
        <w:rPr>
          <w:rFonts w:hint="eastAsia"/>
        </w:rPr>
        <w:t xml:space="preserve">2017）、米国本土の互いに相関の低い9地点を集約しても、設備容量比15%未満の時間は年720時間残る（Handschy</w:t>
      </w:r>
      <w:r>
        <w:t xml:space="preserve"> et al., </w:t>
      </w:r>
      <w:r>
        <w:rPr>
          <w:rFonts w:hint="eastAsia"/>
        </w:rPr>
        <w:t xml:space="preserve">2017）。数日規模の低風力のイベントの頻度と持続も定量化されている（Ohlendorf</w:t>
      </w:r>
      <w:r>
        <w:t xml:space="preserve"> &amp; Schill, </w:t>
      </w:r>
      <w:r>
        <w:rPr>
          <w:rFonts w:hint="eastAsia"/>
        </w:rPr>
        <w:t xml:space="preserve">2020）。これらは、風力の変動の主な帯域が数日から週にあることを示しており、日内の価格差を取る4時間の蓄電池との関係を考える基礎となる。ただしドイツの風力は夜間に偏るため、下側の裾を通じて日内の価格の幅を広げうる（Paraschiv</w:t>
      </w:r>
      <w:r>
        <w:t xml:space="preserve"> et al., 2014; Rintamäki et al., </w:t>
      </w:r>
      <w:r>
        <w:rPr>
          <w:rFonts w:hint="eastAsia"/>
        </w:rPr>
        <w:t xml:space="preserve">2017）。北海道の風力に系統的な日内の偏りがないこと、下限価格での打ち切りが下側の裾を圧縮することは、第5章で確かめる。</w:t>
      </w:r>
    </w:p>
    <w:bookmarkEnd w:id="33"/>
    <w:bookmarkStart w:id="40" w:name="ファイナンスと金融工学の手法"/>
    <w:p>
      <w:pPr>
        <w:pStyle w:val="Heading2"/>
      </w:pPr>
      <w:r>
        <w:t xml:space="preserve">2.5　</w:t>
      </w:r>
      <w:r>
        <w:rPr>
          <w:rFonts w:hint="eastAsia"/>
        </w:rPr>
        <w:t xml:space="preserve">ファイナンスと金融工学の手法</w:t>
      </w:r>
    </w:p>
    <w:p>
      <w:pPr>
        <w:pStyle w:val="FirstParagraph"/>
      </w:pPr>
      <w:r>
        <w:rPr>
          <w:rFonts w:hint="eastAsia"/>
        </w:rPr>
        <w:t xml:space="preserve">本研究の分析の道具の多くは、ファイナンスと金融工学で標準となった手法を電力市場と蓄電池に当てはめたものである。本節はその系譜を整理し、最後に負の価格と下限価格の扱いを述べる。手法と各分析との対応は表4.2</w:t>
      </w:r>
      <w:r>
        <w:t xml:space="preserve"> </w:t>
      </w:r>
      <w:r>
        <w:rPr>
          <w:rFonts w:hint="eastAsia"/>
        </w:rPr>
        <w:t xml:space="preserve">に示す。</w:t>
      </w:r>
    </w:p>
    <w:bookmarkStart w:id="34" w:name="時間スケールの分解と構造型価格モデル"/>
    <w:p>
      <w:pPr>
        <w:pStyle w:val="Heading3"/>
      </w:pPr>
      <w:r>
        <w:t xml:space="preserve">2.5.1　</w:t>
      </w:r>
      <w:r>
        <w:rPr>
          <w:rFonts w:hint="eastAsia"/>
        </w:rPr>
        <w:t xml:space="preserve">時間スケールの分解と構造型価格モデル</w:t>
      </w:r>
    </w:p>
    <w:p>
      <w:pPr>
        <w:pStyle w:val="FirstParagraph"/>
      </w:pPr>
      <w:r>
        <w:rPr>
          <w:rFonts w:hint="eastAsia"/>
        </w:rPr>
        <w:t xml:space="preserve">価格の時間スケールの分解は、実現ボラティリティを日・週・月の成分の和で表す</w:t>
      </w:r>
      <w:r>
        <w:t xml:space="preserve"> </w:t>
      </w:r>
      <w:r>
        <w:rPr>
          <w:rFonts w:hint="eastAsia"/>
        </w:rPr>
        <w:t xml:space="preserve">Corsi（2009）の異質的自己回帰（HAR）モデルと、時間スケール別に分ける発想が同じである（本研究は</w:t>
      </w:r>
      <w:r>
        <w:t xml:space="preserve"> HAR </w:t>
      </w:r>
      <w:r>
        <w:rPr>
          <w:rFonts w:hint="eastAsia"/>
        </w:rPr>
        <w:t xml:space="preserve">回帰そのものは推定しない）。</w:t>
      </w:r>
    </w:p>
    <w:p>
      <w:pPr>
        <w:pStyle w:val="BodyText"/>
      </w:pPr>
      <w:r>
        <w:rPr>
          <w:rFonts w:hint="eastAsia"/>
        </w:rPr>
        <w:t xml:space="preserve">金融工学の電力価格モデルには、価格そのものを確率過程として与える簡約形と、需要と供給曲線から価格を導く構造型の二つの系統がある。構造型の出発点の一つである</w:t>
      </w:r>
      <w:r>
        <w:t xml:space="preserve"> </w:t>
      </w:r>
      <w:r>
        <w:rPr>
          <w:rFonts w:hint="eastAsia"/>
        </w:rPr>
        <w:t xml:space="preserve">Barlow（2002）は、需要を平均回帰する拡散過程で表し、価格を需要の非線形関数として与えてスパイクを伴う価格過程を導いた。Kanamura</w:t>
      </w:r>
      <w:r>
        <w:t xml:space="preserve"> and </w:t>
      </w:r>
      <w:r>
        <w:rPr>
          <w:rFonts w:hint="eastAsia"/>
        </w:rPr>
        <w:t xml:space="preserve">Ohashi（2007）は、構造型モデルの生成するスパイクがジャンプ拡散モデルや</w:t>
      </w:r>
      <w:r>
        <w:t xml:space="preserve"> Box-Cox </w:t>
      </w:r>
      <w:r>
        <w:rPr>
          <w:rFonts w:hint="eastAsia"/>
        </w:rPr>
        <w:t xml:space="preserve">変換モデルより観測データに適合し、揚水発電の最適な運用方策の導出に使えることを示しており、価格の極端な動きを需給の構造から説明して設備の評価に結びつけた点で、本研究の価格モデルの直接の先行研究にあたる。Weron（2014）はその供給曲線を、需要が一定の水準を超えると傾きが急になるホッケースティック型と整理している。Carmona</w:t>
      </w:r>
      <w:r>
        <w:t xml:space="preserve"> et </w:t>
      </w:r>
      <w:r>
        <w:rPr>
          <w:rFonts w:hint="eastAsia"/>
        </w:rPr>
        <w:t xml:space="preserve">al.（2013）は燃料別の入札曲線を積み上げた構造モデルでスパーク・スプレッドのオプションの閉形式を導いた。</w:t>
      </w:r>
    </w:p>
    <w:p>
      <w:pPr>
        <w:pStyle w:val="BodyText"/>
      </w:pPr>
      <w:r>
        <w:rPr>
          <w:rFonts w:hint="eastAsia"/>
        </w:rPr>
        <w:t xml:space="preserve">先行研究との違いは、価格の形成で効く供給曲線の部分にある。先行研究が主に扱ったのは、需要が供給力に近づく上端の急勾配で生じるスパイクである。本研究では、純需要が下がってゼロ限界費用の電源に切り替わる下端の急勾配と、その終点にある下限価格の扱いが、風力と原子力の増加に対する裁定価値の感応度を左右する（7.7節）。この下端はホッケースティックの鏡像にあたり、両端が急な逆S字の形は</w:t>
      </w:r>
      <w:r>
        <w:t xml:space="preserve"> Wozabal et </w:t>
      </w:r>
      <w:r>
        <w:rPr>
          <w:rFonts w:hint="eastAsia"/>
        </w:rPr>
        <w:t xml:space="preserve">al.（2016）が日内分散のU字の源として理論化している（2.1.2項）。本研究はその下端を、貯蔵の交換オプションの充電脚と下限価格に結びつける（2.5.6項）。</w:t>
      </w:r>
    </w:p>
    <w:bookmarkEnd w:id="34"/>
    <w:bookmarkStart w:id="35" w:name="オプションとしての蓄電池の評価"/>
    <w:p>
      <w:pPr>
        <w:pStyle w:val="Heading3"/>
      </w:pPr>
      <w:r>
        <w:t xml:space="preserve">2.5.2　</w:t>
      </w:r>
      <w:r>
        <w:rPr>
          <w:rFonts w:hint="eastAsia"/>
        </w:rPr>
        <w:t xml:space="preserve">オプションとしての蓄電池の評価</w:t>
      </w:r>
    </w:p>
    <w:p>
      <w:pPr>
        <w:pStyle w:val="FirstParagraph"/>
      </w:pPr>
      <w:r>
        <w:rPr>
          <w:rFonts w:hint="eastAsia"/>
        </w:rPr>
        <w:t xml:space="preserve">発電・送電設備の評価では、火力発電所を電力と燃料の価格差に対するスパーク・スプレッド・オプションの束とみなし、送電線を地点間の価格差に対するオプションとみなす</w:t>
      </w:r>
      <w:r>
        <w:t xml:space="preserve"> Deng et </w:t>
      </w:r>
      <w:r>
        <w:rPr>
          <w:rFonts w:hint="eastAsia"/>
        </w:rPr>
        <w:t xml:space="preserve">al.（2001）の考え方が標準であり、二資産の交換オプションの評価は</w:t>
      </w:r>
      <w:r>
        <w:t xml:space="preserve"> </w:t>
      </w:r>
      <w:r>
        <w:rPr>
          <w:rFonts w:hint="eastAsia"/>
        </w:rPr>
        <w:t xml:space="preserve">Margrabe（1978）にさかのぼる。蓄電池の裁定も同じ形をしている。本研究は、蓄電池を、毎日、充電時間の電力</w:t>
      </w:r>
      <w:r>
        <w:t xml:space="preserve"> </w:t>
      </w:r>
      <m:oMath>
        <m:r>
          <m:t>1</m:t>
        </m:r>
        <m:r>
          <m:rPr>
            <m:sty m:val="p"/>
          </m:rPr>
          <m:t>/</m:t>
        </m:r>
        <m:r>
          <m:t>η</m:t>
        </m:r>
        <m:r>
          <m:rPr>
            <m:sty m:val="p"/>
          </m:rPr>
          <m:t>≈</m:t>
        </m:r>
        <m:r>
          <m:t>1.18</m:t>
        </m:r>
      </m:oMath>
      <w:r>
        <w:t xml:space="preserve"> </w:t>
      </w:r>
      <w:r>
        <w:t xml:space="preserve">kWh </w:t>
      </w:r>
      <w:r>
        <w:rPr>
          <w:rFonts w:hint="eastAsia"/>
        </w:rPr>
        <w:t xml:space="preserve">を放電時間の電力1kWh</w:t>
      </w:r>
      <w:r>
        <w:t xml:space="preserve"> </w:t>
      </w:r>
      <w:r>
        <w:rPr>
          <w:rFonts w:hint="eastAsia"/>
        </w:rPr>
        <w:t xml:space="preserve">と交換する権利の束とみなす（4.2.1項）。往復効率</w:t>
      </w:r>
      <w:r>
        <w:t xml:space="preserve"> </w:t>
      </w:r>
      <m:oMath>
        <m:r>
          <m:t>η</m:t>
        </m:r>
      </m:oMath>
      <w:r>
        <w:rPr>
          <w:rFonts w:hint="eastAsia"/>
        </w:rPr>
        <w:t xml:space="preserve">（0.85）の逆数がヒートレートにあたり、粗利が負の日の休止は権利を行使しないことにあたる。</w:t>
      </w:r>
    </w:p>
    <w:p>
      <w:pPr>
        <w:pStyle w:val="BodyText"/>
      </w:pPr>
      <w:r>
        <w:rPr>
          <w:rFonts w:hint="eastAsia"/>
        </w:rPr>
        <w:t xml:space="preserve">完全予見のバックテストは、この束の事後のペイオフ、すなわち完全予見の裁定粗利（以下、完全予見粗利）を測る。D.</w:t>
      </w:r>
      <w:r>
        <w:t xml:space="preserve"> B. Brown et </w:t>
      </w:r>
      <w:r>
        <w:rPr>
          <w:rFonts w:hint="eastAsia"/>
        </w:rPr>
        <w:t xml:space="preserve">al.（2010）の情報緩和の枠組みでは、完全予見はペナルティのない情報緩和にあたり、その値は先読みのない方策の価値の上界を与える。本研究はこれを前日スポット・1日1サイクルでの上界とし、本源的（intrinsic）方策の価値、休止の価値、窓の選び直しの価値の3層に分ける（6.6節）。前日に充放電の窓を固定する本源的方策の価値は下界にあたり、上界と下界で挟む考え方はガス貯蔵の評価でも用いられている（Lai</w:t>
      </w:r>
      <w:r>
        <w:t xml:space="preserve"> et al., </w:t>
      </w:r>
      <w:r>
        <w:rPr>
          <w:rFonts w:hint="eastAsia"/>
        </w:rPr>
        <w:t xml:space="preserve">2010）。実行可能な方策の水準の目安には、ルールベースの戦略が近似動的計画法の収益の55〜69%にとどまるという報告（Jiang</w:t>
      </w:r>
      <w:r>
        <w:t xml:space="preserve"> &amp; Powell, </w:t>
      </w:r>
      <w:r>
        <w:rPr>
          <w:rFonts w:hint="eastAsia"/>
        </w:rPr>
        <w:t xml:space="preserve">2015）がある。Hou</w:t>
      </w:r>
      <w:r>
        <w:t xml:space="preserve"> and </w:t>
      </w:r>
      <w:r>
        <w:rPr>
          <w:rFonts w:hint="eastAsia"/>
        </w:rPr>
        <w:t xml:space="preserve">Bunn（2024）は英国で、前日市場で充放電の組を確定させるスプレッド取引が、先読みを加えた前日取引や当日市場の連続取引よりリスクとリターンの両面で優れ、完全予見の収益の6割超を取ることを示した。本研究は、完全予見粗利に対する実行可能な戦略の粗利の比を実現率（capture</w:t>
      </w:r>
      <w:r>
        <w:t xml:space="preserve"> </w:t>
      </w:r>
      <w:r>
        <w:rPr>
          <w:rFonts w:hint="eastAsia"/>
        </w:rPr>
        <w:t xml:space="preserve">rate）と呼び、これらと比べる。</w:t>
      </w:r>
    </w:p>
    <w:bookmarkEnd w:id="35"/>
    <w:bookmarkStart w:id="36" w:name="価格カーブの因子分解と統計的推論"/>
    <w:p>
      <w:pPr>
        <w:pStyle w:val="Heading3"/>
      </w:pPr>
      <w:r>
        <w:t xml:space="preserve">2.5.3　</w:t>
      </w:r>
      <w:r>
        <w:rPr>
          <w:rFonts w:hint="eastAsia"/>
        </w:rPr>
        <w:t xml:space="preserve">価格カーブの因子分解と統計的推論</w:t>
      </w:r>
    </w:p>
    <w:p>
      <w:pPr>
        <w:pStyle w:val="FirstParagraph"/>
      </w:pPr>
      <w:r>
        <w:rPr>
          <w:rFonts w:hint="eastAsia"/>
        </w:rPr>
        <w:t xml:space="preserve">前日スポット市場の1日の価格は、同じオークションで約定する受渡時刻別の価格であり、受渡時刻が並ぶ短い期間構造とみなせる。本研究は、金利の期間構造を水準・傾き・曲率の3因子に分けた</w:t>
      </w:r>
      <w:r>
        <w:t xml:space="preserve"> Litterman and </w:t>
      </w:r>
      <w:r>
        <w:rPr>
          <w:rFonts w:hint="eastAsia"/>
        </w:rPr>
        <w:t xml:space="preserve">Scheinkman（1991）にならって24時間の価格カーブを主成分に分解し、風力と太陽光が動かす因子と蓄電池の粗利のエクスポージャーを測る（5.7節・6.4.2項）。対象が債券の収益率ではなく価格の偏差なので両者は類比であり、電力のフォワードカーブの分解には</w:t>
      </w:r>
      <w:r>
        <w:t xml:space="preserve"> Koekebakker and </w:t>
      </w:r>
      <w:r>
        <w:rPr>
          <w:rFonts w:hint="eastAsia"/>
        </w:rPr>
        <w:t xml:space="preserve">Ollmar（2005）がある。予測の側では、Diebold</w:t>
      </w:r>
      <w:r>
        <w:t xml:space="preserve"> and </w:t>
      </w:r>
      <w:r>
        <w:rPr>
          <w:rFonts w:hint="eastAsia"/>
        </w:rPr>
        <w:t xml:space="preserve">Li（2006）の動的因子モデルを価格カーブに当てはめ、実行可能な戦略の一つとして比べる。</w:t>
      </w:r>
    </w:p>
    <w:p>
      <w:pPr>
        <w:pStyle w:val="BodyText"/>
      </w:pPr>
      <w:r>
        <w:rPr>
          <w:rFonts w:hint="eastAsia"/>
        </w:rPr>
        <w:t xml:space="preserve">戦略の比較は予測評価の検定として行う（6.7節）。日次の粗利の差を損失差とする</w:t>
      </w:r>
      <w:r>
        <w:t xml:space="preserve"> Diebold and </w:t>
      </w:r>
      <w:r>
        <w:rPr>
          <w:rFonts w:hint="eastAsia"/>
        </w:rPr>
        <w:t xml:space="preserve">Mariano（1995）の検定（Harvey</w:t>
      </w:r>
      <w:r>
        <w:t xml:space="preserve"> et al., 1997 </w:t>
      </w:r>
      <w:r>
        <w:rPr>
          <w:rFonts w:hint="eastAsia"/>
        </w:rPr>
        <w:t xml:space="preserve">の小標本補正つき。固定長のローリング窓なので</w:t>
      </w:r>
      <w:r>
        <w:t xml:space="preserve"> Giacomini &amp; White, 2006 </w:t>
      </w:r>
      <w:r>
        <w:rPr>
          <w:rFonts w:hint="eastAsia"/>
        </w:rPr>
        <w:t xml:space="preserve">の無条件の検定と同じ形になる）を用い、事後に最善を選ぶ偏り（データ・スヌーピング）は</w:t>
      </w:r>
      <w:r>
        <w:t xml:space="preserve"> </w:t>
      </w:r>
      <w:r>
        <w:rPr>
          <w:rFonts w:hint="eastAsia"/>
        </w:rPr>
        <w:t xml:space="preserve">White（2000）の</w:t>
      </w:r>
      <w:r>
        <w:t xml:space="preserve"> Reality Check と </w:t>
      </w:r>
      <w:r>
        <w:rPr>
          <w:rFonts w:hint="eastAsia"/>
        </w:rPr>
        <w:t xml:space="preserve">Hansen（2005）の優越予測力（SPA）検定で、再標本化は定常ブートストラップ（Politis</w:t>
      </w:r>
      <w:r>
        <w:t xml:space="preserve"> &amp; Romano, </w:t>
      </w:r>
      <w:r>
        <w:rPr>
          <w:rFonts w:hint="eastAsia"/>
        </w:rPr>
        <w:t xml:space="preserve">1994）で扱う。強く自己相関する日次回帰の残差の推論では、Newey</w:t>
      </w:r>
      <w:r>
        <w:t xml:space="preserve"> and </w:t>
      </w:r>
      <w:r>
        <w:rPr>
          <w:rFonts w:hint="eastAsia"/>
        </w:rPr>
        <w:t xml:space="preserve">West（1987）の</w:t>
      </w:r>
      <w:r>
        <w:t xml:space="preserve"> HAC </w:t>
      </w:r>
      <w:r>
        <w:rPr>
          <w:rFonts w:hint="eastAsia"/>
        </w:rPr>
        <w:t xml:space="preserve">標準誤差を参照に置きつつ、Lazarus</w:t>
      </w:r>
      <w:r>
        <w:t xml:space="preserve"> et </w:t>
      </w:r>
      <w:r>
        <w:rPr>
          <w:rFonts w:hint="eastAsia"/>
        </w:rPr>
        <w:t xml:space="preserve">al.（2018）が推奨する等重み余弦（EWC）推定量を主に用い、固定</w:t>
      </w:r>
      <w:r>
        <w:t xml:space="preserve"> b </w:t>
      </w:r>
      <w:r>
        <w:rPr>
          <w:rFonts w:hint="eastAsia"/>
        </w:rPr>
        <w:t xml:space="preserve">の理論（Kiefer</w:t>
      </w:r>
      <w:r>
        <w:t xml:space="preserve"> &amp; Vogelsang, </w:t>
      </w:r>
      <w:r>
        <w:rPr>
          <w:rFonts w:hint="eastAsia"/>
        </w:rPr>
        <w:t xml:space="preserve">2005）とふるいブートストラップ（Bühlmann,</w:t>
      </w:r>
      <w:r>
        <w:t xml:space="preserve"> </w:t>
      </w:r>
      <w:r>
        <w:rPr>
          <w:rFonts w:hint="eastAsia"/>
        </w:rPr>
        <w:t xml:space="preserve">1997）でも確かめる（5.1.2項）。</w:t>
      </w:r>
    </w:p>
    <w:bookmarkEnd w:id="36"/>
    <w:bookmarkStart w:id="37" w:name="実物オプションと競争的参入"/>
    <w:p>
      <w:pPr>
        <w:pStyle w:val="Heading3"/>
      </w:pPr>
      <w:r>
        <w:t xml:space="preserve">2.5.4　</w:t>
      </w:r>
      <w:r>
        <w:rPr>
          <w:rFonts w:hint="eastAsia"/>
        </w:rPr>
        <w:t xml:space="preserve">実物オプションと競争的参入</w:t>
      </w:r>
    </w:p>
    <w:p>
      <w:pPr>
        <w:pStyle w:val="FirstParagraph"/>
      </w:pPr>
      <w:r>
        <w:rPr>
          <w:rFonts w:hint="eastAsia"/>
        </w:rPr>
        <w:t xml:space="preserve">不可逆な投資の機会は、価格水準に対するアメリカン型のコール・オプションであり、不確実性の下では正味現在価値（NPV）が正になっても待つことに価値がある（Dixit</w:t>
      </w:r>
      <w:r>
        <w:t xml:space="preserve"> &amp; Pindyck, 1994; McDonald &amp; Siegel, </w:t>
      </w:r>
      <w:r>
        <w:rPr>
          <w:rFonts w:hint="eastAsia"/>
        </w:rPr>
        <w:t xml:space="preserve">1986）。蓄電池への応用では、Bakke</w:t>
      </w:r>
      <w:r>
        <w:t xml:space="preserve"> et </w:t>
      </w:r>
      <w:r>
        <w:rPr>
          <w:rFonts w:hint="eastAsia"/>
        </w:rPr>
        <w:t xml:space="preserve">al.（2016）が、収入と投資費用がともに不確実な下で、スポット市場の裁定だけでは投資費用を回収できないが、需給調整市場の収入を加えれば</w:t>
      </w:r>
      <w:r>
        <w:t xml:space="preserve"> NPV </w:t>
      </w:r>
      <w:r>
        <w:rPr>
          <w:rFonts w:hint="eastAsia"/>
        </w:rPr>
        <w:t xml:space="preserve">も実物オプションの価値も正になり、後者が前者を上回ることを示した。最小二乗モンテカルロ法による計算例もある（Shin</w:t>
      </w:r>
      <w:r>
        <w:t xml:space="preserve"> &amp; Lee, </w:t>
      </w:r>
      <w:r>
        <w:rPr>
          <w:rFonts w:hint="eastAsia"/>
        </w:rPr>
        <w:t xml:space="preserve">2024）。いずれも単独の投資者の問題であり、他社の参入の影響を扱わない。</w:t>
      </w:r>
    </w:p>
    <w:p>
      <w:pPr>
        <w:pStyle w:val="BodyText"/>
      </w:pPr>
      <w:r>
        <w:rPr>
          <w:rFonts w:hint="eastAsia"/>
        </w:rPr>
        <w:t xml:space="preserve">自由参入の競争市場では、他社の参入が価格の上側を押さえるので、参入の価値と待つ価値はともに削られる。Leahy（1993）は、他社の参入の効果を無視して自分の待機の価値だけを考える「近視眼的」な参入トリガーが、競争均衡のトリガーと一致することを示した。競争が消すのは参入時点の超過</w:t>
      </w:r>
      <w:r>
        <w:t xml:space="preserve"> NPV </w:t>
      </w:r>
      <w:r>
        <w:rPr>
          <w:rFonts w:hint="eastAsia"/>
        </w:rPr>
        <w:t xml:space="preserve">であり、静学の損益分岐に対する閾値の上乗せは残る（Baldursson</w:t>
      </w:r>
      <w:r>
        <w:t xml:space="preserve"> &amp; Karatzas, 1996; Dixit &amp; Pindyck, 1994, Chapter </w:t>
      </w:r>
      <w:r>
        <w:rPr>
          <w:rFonts w:hint="eastAsia"/>
        </w:rPr>
        <w:t xml:space="preserve">8）。Grenadier（2002）は</w:t>
      </w:r>
      <w:r>
        <w:t xml:space="preserve"> n </w:t>
      </w:r>
      <w:r>
        <w:rPr>
          <w:rFonts w:hint="eastAsia"/>
        </w:rPr>
        <w:t xml:space="preserve">社の開ループの均衡で投資がゼロ</w:t>
      </w:r>
      <w:r>
        <w:t xml:space="preserve"> NPV </w:t>
      </w:r>
      <w:r>
        <w:rPr>
          <w:rFonts w:hint="eastAsia"/>
        </w:rPr>
        <w:t xml:space="preserve">の閾値の近くで起きることを、Back</w:t>
      </w:r>
      <w:r>
        <w:t xml:space="preserve"> and </w:t>
      </w:r>
      <w:r>
        <w:rPr>
          <w:rFonts w:hint="eastAsia"/>
        </w:rPr>
        <w:t xml:space="preserve">Paulsen（2009）は先取り（preemption）を含む閉ループの均衡では各社が単純な</w:t>
      </w:r>
      <w:r>
        <w:t xml:space="preserve"> NPV </w:t>
      </w:r>
      <w:r>
        <w:rPr>
          <w:rFonts w:hint="eastAsia"/>
        </w:rPr>
        <w:t xml:space="preserve">規則に従うことを示し、先取りの均衡（Fudenberg</w:t>
      </w:r>
      <w:r>
        <w:t xml:space="preserve"> &amp; Tirole, 1985; Weeds, </w:t>
      </w:r>
      <w:r>
        <w:rPr>
          <w:rFonts w:hint="eastAsia"/>
        </w:rPr>
        <w:t xml:space="preserve">2002）でも先行者の</w:t>
      </w:r>
      <w:r>
        <w:t xml:space="preserve"> NPV </w:t>
      </w:r>
      <w:r>
        <w:rPr>
          <w:rFonts w:hint="eastAsia"/>
        </w:rPr>
        <w:t xml:space="preserve">は追随者の価値（非負）に等しい。ここでの</w:t>
      </w:r>
      <w:r>
        <w:t xml:space="preserve"> NPV </w:t>
      </w:r>
      <w:r>
        <w:rPr>
          <w:rFonts w:hint="eastAsia"/>
        </w:rPr>
        <w:t xml:space="preserve">はいずれも他社の将来の投資を織り込んだ均衡の価格過程で評価したものなので、どの均衡でも、静学のゼロレント条件は動学的な参入閾値の下限を与える。本研究はこの関係を蓄電池の参入に当てはめる（7.1.4項・7.8節）。</w:t>
      </w:r>
    </w:p>
    <w:p>
      <w:pPr>
        <w:pStyle w:val="BodyText"/>
      </w:pPr>
      <w:r>
        <w:rPr>
          <w:rFonts w:hint="eastAsia"/>
        </w:rPr>
        <w:t xml:space="preserve">実証では、ノルウェーの小水力の投資の時期について、実物オプションの規則が</w:t>
      </w:r>
      <w:r>
        <w:t xml:space="preserve"> NPV </w:t>
      </w:r>
      <w:r>
        <w:rPr>
          <w:rFonts w:hint="eastAsia"/>
        </w:rPr>
        <w:t xml:space="preserve">の規則より観察された行動と整合的であることが示されている（Fleten</w:t>
      </w:r>
      <w:r>
        <w:t xml:space="preserve"> et al., </w:t>
      </w:r>
      <w:r>
        <w:rPr>
          <w:rFonts w:hint="eastAsia"/>
        </w:rPr>
        <w:t xml:space="preserve">2016）。価格水準の過程は短期と長期の2因子のモデル（Schwartz</w:t>
      </w:r>
      <w:r>
        <w:t xml:space="preserve"> &amp; Smith, </w:t>
      </w:r>
      <w:r>
        <w:rPr>
          <w:rFonts w:hint="eastAsia"/>
        </w:rPr>
        <w:t xml:space="preserve">2000）で表し、先物のない北海道ではスポット価格の水準から推定する。年1回の判断への離散化の検算には</w:t>
      </w:r>
      <w:r>
        <w:t xml:space="preserve"> Broadie et </w:t>
      </w:r>
      <w:r>
        <w:rPr>
          <w:rFonts w:hint="eastAsia"/>
        </w:rPr>
        <w:t xml:space="preserve">al.（1997）の補正と、そのバミューダ型への拡張（Howison,</w:t>
      </w:r>
      <w:r>
        <w:t xml:space="preserve"> </w:t>
      </w:r>
      <w:r>
        <w:rPr>
          <w:rFonts w:hint="eastAsia"/>
        </w:rPr>
        <w:t xml:space="preserve">2007）を用いる。</w:t>
      </w:r>
    </w:p>
    <w:bookmarkEnd w:id="37"/>
    <w:bookmarkStart w:id="38" w:name="企業金融の評価とリスクの計測"/>
    <w:p>
      <w:pPr>
        <w:pStyle w:val="Heading3"/>
      </w:pPr>
      <w:r>
        <w:t xml:space="preserve">2.5.5　</w:t>
      </w:r>
      <w:r>
        <w:rPr>
          <w:rFonts w:hint="eastAsia"/>
        </w:rPr>
        <w:t xml:space="preserve">企業金融の評価とリスクの計測</w:t>
      </w:r>
    </w:p>
    <w:p>
      <w:pPr>
        <w:pStyle w:val="FirstParagraph"/>
      </w:pPr>
      <w:r>
        <w:rPr>
          <w:rFonts w:hint="eastAsia"/>
        </w:rPr>
        <w:t xml:space="preserve">契約型とマーチャントの比較には企業金融の道具を用いる（8.7節）。均衡からの乖離の各成分（容量市場、LTDA、補助金）を、成分ごとにリスクに見合う率で割り引いて足し上げるのは、Myers（1974）の調整現在価値（APV）を制度に由来する収入と補助に広げた形である。Modigliani</w:t>
      </w:r>
      <w:r>
        <w:t xml:space="preserve"> and </w:t>
      </w:r>
      <w:r>
        <w:rPr>
          <w:rFonts w:hint="eastAsia"/>
        </w:rPr>
        <w:t xml:space="preserve">Miller（1958）の命題に従い、事業は無レバレッジの事業内部収益率（IRR）と資産の資本コストで評価する。確実性等価による検算は、各年に解消する不確実性ごとに資本資産価格モデル（CAPM）でリスクを調整する</w:t>
      </w:r>
      <w:r>
        <w:t xml:space="preserve"> </w:t>
      </w:r>
      <w:r>
        <w:rPr>
          <w:rFonts w:hint="eastAsia"/>
        </w:rPr>
        <w:t xml:space="preserve">Fama（1977）の考え方に従う。収入の振れは、キャッシュフローを複数の因子へのエクスポージャーで表す</w:t>
      </w:r>
      <w:r>
        <w:t xml:space="preserve"> Andrén et </w:t>
      </w:r>
      <w:r>
        <w:rPr>
          <w:rFonts w:hint="eastAsia"/>
        </w:rPr>
        <w:t xml:space="preserve">al.（2005）の</w:t>
      </w:r>
      <w:r>
        <w:t xml:space="preserve"> </w:t>
      </w:r>
      <w:r>
        <w:rPr>
          <w:rFonts w:hint="eastAsia"/>
        </w:rPr>
        <w:t xml:space="preserve">Cash-Flow-at-Risk（CFaR）で計測し、ヘッジ手段は</w:t>
      </w:r>
      <w:r>
        <w:t xml:space="preserve"> </w:t>
      </w:r>
      <w:r>
        <w:rPr>
          <w:rFonts w:hint="eastAsia"/>
        </w:rPr>
        <w:t xml:space="preserve">Ederington（1979）のヘッジ有効性で評価する。LTDA</w:t>
      </w:r>
      <w:r>
        <w:t xml:space="preserve"> </w:t>
      </w:r>
      <w:r>
        <w:rPr>
          <w:rFonts w:hint="eastAsia"/>
        </w:rPr>
        <w:t xml:space="preserve">は固定・変動のレベニュースワップとして評価する。</w:t>
      </w:r>
    </w:p>
    <w:bookmarkEnd w:id="38"/>
    <w:bookmarkStart w:id="39" w:name="負の価格と下限価格"/>
    <w:p>
      <w:pPr>
        <w:pStyle w:val="Heading3"/>
      </w:pPr>
      <w:r>
        <w:t xml:space="preserve">2.5.6　</w:t>
      </w:r>
      <w:r>
        <w:rPr>
          <w:rFonts w:hint="eastAsia"/>
        </w:rPr>
        <w:t xml:space="preserve">負の価格と下限価格</w:t>
      </w:r>
    </w:p>
    <w:p>
      <w:pPr>
        <w:pStyle w:val="FirstParagraph"/>
      </w:pPr>
      <w:r>
        <w:t xml:space="preserve">Fanone et </w:t>
      </w:r>
      <w:r>
        <w:rPr>
          <w:rFonts w:hint="eastAsia"/>
        </w:rPr>
        <w:t xml:space="preserve">al.（2013）は、ドイツの日前市場で負の値を独立の複合ポアソン過程として生成する簡約形の価格過程を提案した。De</w:t>
      </w:r>
      <w:r>
        <w:t xml:space="preserve"> </w:t>
      </w:r>
      <w:r>
        <w:rPr>
          <w:rFonts w:hint="eastAsia"/>
        </w:rPr>
        <w:t xml:space="preserve">Vos（2015）は、負の価格が下方の柔軟性の不足を映す正当な価格シグナルである一方、固定価格買取のように発電を止める誘因のない支援制度の設計による歪みからも生じることを示した。日本のスポット市場では余剰は価格ではなく出力制御という数量で調整され、本研究は、Fanone</w:t>
      </w:r>
      <w:r>
        <w:t xml:space="preserve"> et </w:t>
      </w:r>
      <w:r>
        <w:rPr>
          <w:rFonts w:hint="eastAsia"/>
        </w:rPr>
        <w:t xml:space="preserve">al.（2013）が脚注で触れたフランスの0.01ユーロ/MWh</w:t>
      </w:r>
      <w:r>
        <w:t xml:space="preserve"> </w:t>
      </w:r>
      <w:r>
        <w:rPr>
          <w:rFonts w:hint="eastAsia"/>
        </w:rPr>
        <w:t xml:space="preserve">の下限と同様に、0.01円/kWh</w:t>
      </w:r>
      <w:r>
        <w:t xml:space="preserve"> </w:t>
      </w:r>
      <w:r>
        <w:rPr>
          <w:rFonts w:hint="eastAsia"/>
        </w:rPr>
        <w:t xml:space="preserve">の下限価格を打ち切りとして扱う。オプションの言葉では、下限張り付きの時間に充電する蓄電池は充電脚で行使価格0.01円/kWh</w:t>
      </w:r>
      <w:r>
        <w:t xml:space="preserve"> </w:t>
      </w:r>
      <w:r>
        <w:rPr>
          <w:rFonts w:hint="eastAsia"/>
        </w:rPr>
        <w:t xml:space="preserve">のプットを売っている形になり、打ち切りそれ自体は裁定価値を削る（7.7節）。価格による調整と数量による調整の比較には</w:t>
      </w:r>
      <w:r>
        <w:t xml:space="preserve"> </w:t>
      </w:r>
      <w:r>
        <w:rPr>
          <w:rFonts w:hint="eastAsia"/>
        </w:rPr>
        <w:t xml:space="preserve">Weitzman（1974）の枠組みがあり、第9章は、下限価格を負の価格に置き換える反実仮想をこの対比の観点から読む。</w:t>
      </w:r>
    </w:p>
    <w:bookmarkEnd w:id="39"/>
    <w:bookmarkEnd w:id="40"/>
    <w:bookmarkStart w:id="44" w:name="本研究の位置づけと仮説"/>
    <w:p>
      <w:pPr>
        <w:pStyle w:val="Heading2"/>
      </w:pPr>
      <w:r>
        <w:t xml:space="preserve">2.6　</w:t>
      </w:r>
      <w:r>
        <w:rPr>
          <w:rFonts w:hint="eastAsia"/>
        </w:rPr>
        <w:t xml:space="preserve">本研究の位置づけと仮説</w:t>
      </w:r>
    </w:p>
    <w:bookmarkStart w:id="41" w:name="先行研究の空白"/>
    <w:p>
      <w:pPr>
        <w:pStyle w:val="Heading3"/>
      </w:pPr>
      <w:r>
        <w:t xml:space="preserve">2.6.1　</w:t>
      </w:r>
      <w:r>
        <w:rPr>
          <w:rFonts w:hint="eastAsia"/>
        </w:rPr>
        <w:t xml:space="preserve">先行研究の空白</w:t>
      </w:r>
    </w:p>
    <w:p>
      <w:pPr>
        <w:pStyle w:val="FirstParagraph"/>
      </w:pPr>
      <w:r>
        <w:rPr>
          <w:rFonts w:hint="eastAsia"/>
        </w:rPr>
        <w:t xml:space="preserve">以上の整理から、五つの空白が浮かび上がる。第一に、再エネと価格の変動性の関係は日間と日内で別々に測られ、同じデータの上で符号の差を時間スケールの差として示した研究は</w:t>
      </w:r>
      <w:r>
        <w:t xml:space="preserve"> Rintamäki et </w:t>
      </w:r>
      <w:r>
        <w:rPr>
          <w:rFonts w:hint="eastAsia"/>
        </w:rPr>
        <w:t xml:space="preserve">al.（2017）を除いて乏しく、日本にはない。第二に、蓄電池の均衡分析は太陽光主導の海外市場か理論モデルを対象とし、出力制御、複数の市場、下限価格、連系線の制約を捨象するか対象外に置いている。第三に、国内の研究は誘導形の実証と制度分析にとどまり、蓄電池の参入が内生化されていない。第四に、風力主導の市場での価格形成と蓄電池の価値の実証は、欧州は連系が強く豪州は太陽光と混在しているため手薄であり、最も近い</w:t>
      </w:r>
      <w:r>
        <w:t xml:space="preserve"> </w:t>
      </w:r>
      <w:r>
        <w:rPr>
          <w:rFonts w:hint="eastAsia"/>
        </w:rPr>
        <w:t xml:space="preserve">Karaduman（2023）も単一の設備の分析である。第五に、ゾーン価格の市場で併設のローカルな価値が価格に映らないことは扱われていない。表2.2</w:t>
      </w:r>
      <w:r>
        <w:t xml:space="preserve"> </w:t>
      </w:r>
      <w:r>
        <w:rPr>
          <w:rFonts w:hint="eastAsia"/>
        </w:rPr>
        <w:t xml:space="preserve">は、主要な先行研究と本研究をこれらの軸で比べたものである。</w:t>
      </w:r>
    </w:p>
    <w:p>
      <w:pPr>
        <w:pStyle w:val="TableCaption"/>
      </w:pPr>
      <w:r>
        <w:rPr>
          <w:rFonts w:hint="eastAsia"/>
        </w:rPr>
        <w:t xml:space="preserve">表2.2</w:t>
      </w:r>
      <w:r>
        <w:t xml:space="preserve">　</w:t>
      </w:r>
      <w:r>
        <w:rPr>
          <w:rFonts w:hint="eastAsia"/>
        </w:rPr>
        <w:t xml:space="preserve">主要な先行研究と本研究の比較</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2.2　主要な先行研究と本研究の比較"/>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研究</w:t>
            </w:r>
          </w:p>
        </w:tc>
        <w:tc>
          <w:tcPr>
            <w:tcBorders>
              <w:bottom w:val="single" w:sz="6" w:color="000000"/>
            </w:tcBorders>
          </w:tcPr>
          <w:p>
            <w:pPr>
              <w:pStyle w:val="Compact"/>
            </w:pPr>
            <w:r>
              <w:rPr>
                <w:rFonts w:hint="eastAsia"/>
                <w:sz w:val="18"/>
              </w:rPr>
              <w:t xml:space="preserve">対象市場（主な再エネ）</w:t>
            </w:r>
          </w:p>
        </w:tc>
        <w:tc>
          <w:tcPr>
            <w:tcBorders>
              <w:bottom w:val="single" w:sz="6" w:color="000000"/>
            </w:tcBorders>
          </w:tcPr>
          <w:p>
            <w:pPr>
              <w:pStyle w:val="Compact"/>
            </w:pPr>
            <w:r>
              <w:rPr>
                <w:rFonts w:hint="eastAsia"/>
                <w:sz w:val="18"/>
              </w:rPr>
              <w:t xml:space="preserve">価格の扱い</w:t>
            </w:r>
          </w:p>
        </w:tc>
        <w:tc>
          <w:tcPr>
            <w:tcBorders>
              <w:bottom w:val="single" w:sz="6" w:color="000000"/>
            </w:tcBorders>
          </w:tcPr>
          <w:p>
            <w:pPr>
              <w:pStyle w:val="Compact"/>
            </w:pPr>
            <w:r>
              <w:rPr>
                <w:rFonts w:hint="eastAsia"/>
                <w:sz w:val="18"/>
              </w:rPr>
              <w:t xml:space="preserve">蓄電池の参入</w:t>
            </w:r>
          </w:p>
        </w:tc>
        <w:tc>
          <w:tcPr>
            <w:tcBorders>
              <w:bottom w:val="single" w:sz="6" w:color="000000"/>
            </w:tcBorders>
          </w:tcPr>
          <w:p>
            <w:pPr>
              <w:pStyle w:val="Compact"/>
            </w:pPr>
            <w:r>
              <w:rPr>
                <w:rFonts w:hint="eastAsia"/>
                <w:sz w:val="18"/>
              </w:rPr>
              <w:t xml:space="preserve">扱う制度・制約</w:t>
            </w:r>
          </w:p>
        </w:tc>
      </w:tr>
      <w:tr>
        <w:tc>
          <w:tcPr/>
          <w:p>
            <w:pPr>
              <w:pStyle w:val="Compact"/>
            </w:pPr>
            <w:r>
              <w:rPr>
                <w:sz w:val="18"/>
              </w:rPr>
              <w:t xml:space="preserve">Rintamäki et </w:t>
            </w:r>
            <w:r>
              <w:rPr>
                <w:rFonts w:hint="eastAsia"/>
                <w:sz w:val="18"/>
              </w:rPr>
              <w:t xml:space="preserve">al.（2017）</w:t>
            </w:r>
          </w:p>
        </w:tc>
        <w:tc>
          <w:tcPr/>
          <w:p>
            <w:pPr>
              <w:pStyle w:val="Compact"/>
            </w:pPr>
            <w:r>
              <w:rPr>
                <w:rFonts w:hint="eastAsia"/>
                <w:sz w:val="18"/>
              </w:rPr>
              <w:t xml:space="preserve">デンマーク、ドイツ（風力）</w:t>
            </w:r>
          </w:p>
        </w:tc>
        <w:tc>
          <w:tcPr/>
          <w:p>
            <w:pPr>
              <w:pStyle w:val="Compact"/>
            </w:pPr>
            <w:r>
              <w:rPr>
                <w:rFonts w:hint="eastAsia"/>
                <w:sz w:val="18"/>
              </w:rPr>
              <w:t xml:space="preserve">日内・週内の分散の回帰</w:t>
            </w:r>
          </w:p>
        </w:tc>
        <w:tc>
          <w:tcPr/>
          <w:p>
            <w:pPr>
              <w:pStyle w:val="Compact"/>
            </w:pPr>
            <w:r>
              <w:rPr>
                <w:rFonts w:hint="eastAsia"/>
                <w:sz w:val="18"/>
              </w:rPr>
              <w:t xml:space="preserve">扱わない</w:t>
            </w:r>
          </w:p>
        </w:tc>
        <w:tc>
          <w:tcPr/>
          <w:p>
            <w:pPr>
              <w:pStyle w:val="Compact"/>
            </w:pPr>
            <w:r>
              <w:rPr>
                <w:rFonts w:hint="eastAsia"/>
                <w:sz w:val="18"/>
              </w:rPr>
              <w:t xml:space="preserve">連系（解釈で言及）</w:t>
            </w:r>
          </w:p>
        </w:tc>
      </w:tr>
      <w:tr>
        <w:tc>
          <w:tcPr/>
          <w:p>
            <w:pPr>
              <w:pStyle w:val="Compact"/>
            </w:pPr>
            <w:r>
              <w:rPr>
                <w:sz w:val="18"/>
              </w:rPr>
              <w:t xml:space="preserve">Sakaguchi and </w:t>
            </w:r>
            <w:r>
              <w:rPr>
                <w:rFonts w:hint="eastAsia"/>
                <w:sz w:val="18"/>
              </w:rPr>
              <w:t xml:space="preserve">Fujii（2021）</w:t>
            </w:r>
          </w:p>
        </w:tc>
        <w:tc>
          <w:tcPr/>
          <w:p>
            <w:pPr>
              <w:pStyle w:val="Compact"/>
            </w:pPr>
            <w:r>
              <w:rPr>
                <w:rFonts w:hint="eastAsia"/>
                <w:sz w:val="18"/>
              </w:rPr>
              <w:t xml:space="preserve">日本の4地域（風力、太陽光）</w:t>
            </w:r>
          </w:p>
        </w:tc>
        <w:tc>
          <w:tcPr/>
          <w:p>
            <w:pPr>
              <w:pStyle w:val="Compact"/>
            </w:pPr>
            <w:r>
              <w:rPr>
                <w:rFonts w:hint="eastAsia"/>
                <w:sz w:val="18"/>
              </w:rPr>
              <w:t xml:space="preserve">時間値の分位点回帰</w:t>
            </w:r>
          </w:p>
        </w:tc>
        <w:tc>
          <w:tcPr/>
          <w:p>
            <w:pPr>
              <w:pStyle w:val="Compact"/>
            </w:pPr>
            <w:r>
              <w:rPr>
                <w:rFonts w:hint="eastAsia"/>
                <w:sz w:val="18"/>
              </w:rPr>
              <w:t xml:space="preserve">扱わない</w:t>
            </w:r>
          </w:p>
        </w:tc>
        <w:tc>
          <w:tcPr/>
          <w:p>
            <w:pPr>
              <w:pStyle w:val="Compact"/>
            </w:pPr>
            <w:r>
              <w:rPr>
                <w:sz w:val="18"/>
              </w:rPr>
              <w:t xml:space="preserve">—</w:t>
            </w:r>
          </w:p>
        </w:tc>
      </w:tr>
      <w:tr>
        <w:tc>
          <w:tcPr/>
          <w:p>
            <w:pPr>
              <w:pStyle w:val="Compact"/>
            </w:pPr>
            <w:r>
              <w:rPr>
                <w:sz w:val="18"/>
              </w:rPr>
              <w:t xml:space="preserve">Fuke and </w:t>
            </w:r>
            <w:r>
              <w:rPr>
                <w:rFonts w:hint="eastAsia"/>
                <w:sz w:val="18"/>
              </w:rPr>
              <w:t xml:space="preserve">Ohashi（2025）</w:t>
            </w:r>
          </w:p>
        </w:tc>
        <w:tc>
          <w:tcPr/>
          <w:p>
            <w:pPr>
              <w:pStyle w:val="Compact"/>
            </w:pPr>
            <w:r>
              <w:rPr>
                <w:rFonts w:hint="eastAsia"/>
                <w:sz w:val="18"/>
              </w:rPr>
              <w:t xml:space="preserve">九州（太陽光）</w:t>
            </w:r>
          </w:p>
        </w:tc>
        <w:tc>
          <w:tcPr/>
          <w:p>
            <w:pPr>
              <w:pStyle w:val="Compact"/>
            </w:pPr>
            <w:r>
              <w:rPr>
                <w:rFonts w:hint="eastAsia"/>
                <w:sz w:val="18"/>
              </w:rPr>
              <w:t xml:space="preserve">昼間平均価格の分位点回帰</w:t>
            </w:r>
          </w:p>
        </w:tc>
        <w:tc>
          <w:tcPr/>
          <w:p>
            <w:pPr>
              <w:pStyle w:val="Compact"/>
            </w:pPr>
            <w:r>
              <w:rPr>
                <w:rFonts w:hint="eastAsia"/>
                <w:sz w:val="18"/>
              </w:rPr>
              <w:t xml:space="preserve">扱わない</w:t>
            </w:r>
          </w:p>
        </w:tc>
        <w:tc>
          <w:tcPr/>
          <w:p>
            <w:pPr>
              <w:pStyle w:val="Compact"/>
            </w:pPr>
            <w:r>
              <w:rPr>
                <w:sz w:val="18"/>
              </w:rPr>
              <w:t xml:space="preserve">—</w:t>
            </w:r>
          </w:p>
        </w:tc>
      </w:tr>
      <w:tr>
        <w:tc>
          <w:tcPr/>
          <w:p>
            <w:pPr>
              <w:pStyle w:val="Compact"/>
            </w:pPr>
            <w:r>
              <w:rPr>
                <w:rFonts w:hint="eastAsia"/>
                <w:sz w:val="18"/>
              </w:rPr>
              <w:t xml:space="preserve">Karaduman（2023）</w:t>
            </w:r>
          </w:p>
        </w:tc>
        <w:tc>
          <w:tcPr/>
          <w:p>
            <w:pPr>
              <w:pStyle w:val="Compact"/>
            </w:pPr>
            <w:r>
              <w:rPr>
                <w:rFonts w:hint="eastAsia"/>
                <w:sz w:val="18"/>
              </w:rPr>
              <w:t xml:space="preserve">南豪州（風力、太陽光）</w:t>
            </w:r>
          </w:p>
        </w:tc>
        <w:tc>
          <w:tcPr/>
          <w:p>
            <w:pPr>
              <w:pStyle w:val="Compact"/>
            </w:pPr>
            <w:r>
              <w:rPr>
                <w:rFonts w:hint="eastAsia"/>
                <w:sz w:val="18"/>
              </w:rPr>
              <w:t xml:space="preserve">供給関数均衡</w:t>
            </w:r>
          </w:p>
        </w:tc>
        <w:tc>
          <w:tcPr/>
          <w:p>
            <w:pPr>
              <w:pStyle w:val="Compact"/>
            </w:pPr>
            <w:r>
              <w:rPr>
                <w:rFonts w:hint="eastAsia"/>
                <w:sz w:val="18"/>
              </w:rPr>
              <w:t xml:space="preserve">単一の設備</w:t>
            </w:r>
          </w:p>
        </w:tc>
        <w:tc>
          <w:tcPr/>
          <w:p>
            <w:pPr>
              <w:pStyle w:val="Compact"/>
            </w:pPr>
            <w:r>
              <w:rPr>
                <w:rFonts w:hint="eastAsia"/>
                <w:sz w:val="18"/>
              </w:rPr>
              <w:t xml:space="preserve">容量市場による補償を検討</w:t>
            </w:r>
          </w:p>
        </w:tc>
      </w:tr>
      <w:tr>
        <w:tc>
          <w:tcPr/>
          <w:p>
            <w:pPr>
              <w:pStyle w:val="Compact"/>
            </w:pPr>
            <w:r>
              <w:rPr>
                <w:sz w:val="18"/>
              </w:rPr>
              <w:t xml:space="preserve">Zhao et </w:t>
            </w:r>
            <w:r>
              <w:rPr>
                <w:rFonts w:hint="eastAsia"/>
                <w:sz w:val="18"/>
              </w:rPr>
              <w:t xml:space="preserve">al.（2022）</w:t>
            </w:r>
          </w:p>
        </w:tc>
        <w:tc>
          <w:tcPr/>
          <w:p>
            <w:pPr>
              <w:pStyle w:val="Compact"/>
            </w:pPr>
            <w:r>
              <w:rPr>
                <w:rFonts w:hint="eastAsia"/>
                <w:sz w:val="18"/>
              </w:rPr>
              <w:t xml:space="preserve">CAISO（太陽光）</w:t>
            </w:r>
          </w:p>
        </w:tc>
        <w:tc>
          <w:tcPr/>
          <w:p>
            <w:pPr>
              <w:pStyle w:val="Compact"/>
            </w:pPr>
            <w:r>
              <w:rPr>
                <w:rFonts w:hint="eastAsia"/>
                <w:sz w:val="18"/>
              </w:rPr>
              <w:t xml:space="preserve">線形の価格インパクト</w:t>
            </w:r>
          </w:p>
        </w:tc>
        <w:tc>
          <w:tcPr/>
          <w:p>
            <w:pPr>
              <w:pStyle w:val="Compact"/>
            </w:pPr>
            <w:r>
              <w:rPr>
                <w:rFonts w:hint="eastAsia"/>
                <w:sz w:val="18"/>
              </w:rPr>
              <w:t xml:space="preserve">寡占の均衡</w:t>
            </w:r>
          </w:p>
        </w:tc>
        <w:tc>
          <w:tcPr/>
          <w:p>
            <w:pPr>
              <w:pStyle w:val="Compact"/>
            </w:pPr>
            <w:r>
              <w:rPr>
                <w:sz w:val="18"/>
              </w:rPr>
              <w:t xml:space="preserve">—</w:t>
            </w:r>
          </w:p>
        </w:tc>
      </w:tr>
      <w:tr>
        <w:tc>
          <w:tcPr/>
          <w:p>
            <w:pPr>
              <w:pStyle w:val="Compact"/>
            </w:pPr>
            <w:r>
              <w:rPr>
                <w:sz w:val="18"/>
              </w:rPr>
              <w:t xml:space="preserve">Butters et </w:t>
            </w:r>
            <w:r>
              <w:rPr>
                <w:rFonts w:hint="eastAsia"/>
                <w:sz w:val="18"/>
              </w:rPr>
              <w:t xml:space="preserve">al.（2025）</w:t>
            </w:r>
          </w:p>
        </w:tc>
        <w:tc>
          <w:tcPr/>
          <w:p>
            <w:pPr>
              <w:pStyle w:val="Compact"/>
            </w:pPr>
            <w:r>
              <w:rPr>
                <w:rFonts w:hint="eastAsia"/>
                <w:sz w:val="18"/>
              </w:rPr>
              <w:t xml:space="preserve">CAISO（太陽光）</w:t>
            </w:r>
          </w:p>
        </w:tc>
        <w:tc>
          <w:tcPr/>
          <w:p>
            <w:pPr>
              <w:pStyle w:val="Compact"/>
            </w:pPr>
            <w:r>
              <w:rPr>
                <w:rFonts w:hint="eastAsia"/>
                <w:sz w:val="18"/>
              </w:rPr>
              <w:t xml:space="preserve">運用モデルと動学的な競争均衡</w:t>
            </w:r>
          </w:p>
        </w:tc>
        <w:tc>
          <w:tcPr/>
          <w:p>
            <w:pPr>
              <w:pStyle w:val="Compact"/>
            </w:pPr>
            <w:r>
              <w:rPr>
                <w:rFonts w:hint="eastAsia"/>
                <w:sz w:val="18"/>
              </w:rPr>
              <w:t xml:space="preserve">自由参入（4時間に固定）</w:t>
            </w:r>
          </w:p>
        </w:tc>
        <w:tc>
          <w:tcPr/>
          <w:p>
            <w:pPr>
              <w:pStyle w:val="Compact"/>
            </w:pPr>
            <w:r>
              <w:rPr>
                <w:rFonts w:hint="eastAsia"/>
                <w:sz w:val="18"/>
              </w:rPr>
              <w:t xml:space="preserve">補助・義務</w:t>
            </w:r>
          </w:p>
        </w:tc>
      </w:tr>
      <w:tr>
        <w:tc>
          <w:tcPr/>
          <w:p>
            <w:pPr>
              <w:pStyle w:val="Compact"/>
            </w:pPr>
            <w:r>
              <w:rPr>
                <w:rFonts w:hint="eastAsia"/>
                <w:sz w:val="18"/>
              </w:rPr>
              <w:t xml:space="preserve">本研究</w:t>
            </w:r>
          </w:p>
        </w:tc>
        <w:tc>
          <w:tcPr/>
          <w:p>
            <w:pPr>
              <w:pStyle w:val="Compact"/>
            </w:pPr>
            <w:r>
              <w:rPr>
                <w:rFonts w:hint="eastAsia"/>
                <w:sz w:val="18"/>
              </w:rPr>
              <w:t xml:space="preserve">北海道（風力）</w:t>
            </w:r>
          </w:p>
        </w:tc>
        <w:tc>
          <w:tcPr/>
          <w:p>
            <w:pPr>
              <w:pStyle w:val="Compact"/>
            </w:pPr>
            <w:r>
              <w:rPr>
                <w:rFonts w:hint="eastAsia"/>
                <w:sz w:val="18"/>
              </w:rPr>
              <w:t xml:space="preserve">時間スケール別の回帰と構造型の価格過程</w:t>
            </w:r>
          </w:p>
        </w:tc>
        <w:tc>
          <w:tcPr/>
          <w:p>
            <w:pPr>
              <w:pStyle w:val="Compact"/>
            </w:pPr>
            <w:r>
              <w:rPr>
                <w:rFonts w:hint="eastAsia"/>
                <w:sz w:val="18"/>
              </w:rPr>
              <w:t xml:space="preserve">自由参入均衡と実物オプション</w:t>
            </w:r>
          </w:p>
        </w:tc>
        <w:tc>
          <w:tcPr/>
          <w:p>
            <w:pPr>
              <w:pStyle w:val="Compact"/>
            </w:pPr>
            <w:r>
              <w:rPr>
                <w:rFonts w:hint="eastAsia"/>
                <w:sz w:val="18"/>
              </w:rPr>
              <w:t xml:space="preserve">下限価格、出力制御、容量市場、LTDA、連系線の分断</w:t>
            </w:r>
          </w:p>
        </w:tc>
      </w:tr>
    </w:tbl>
    <w:p>
      <w:pPr>
        <w:pStyle w:val="TableNote"/>
      </w:pPr>
      <w:r>
        <w:rPr>
          <w:rFonts w:hint="eastAsia"/>
        </w:rPr>
        <w:t xml:space="preserve">注）—は扱っていないことを示す。</w:t>
      </w:r>
    </w:p>
    <w:p>
      <w:pPr>
        <w:pStyle w:val="TableNote"/>
      </w:pPr>
      <w:r>
        <w:rPr>
          <w:rFonts w:hint="eastAsia"/>
        </w:rPr>
        <w:t xml:space="preserve">出所）各文献より筆者作成。</w:t>
      </w:r>
    </w:p>
    <w:bookmarkEnd w:id="41"/>
    <w:bookmarkStart w:id="42" w:name="本研究の位置づけ"/>
    <w:p>
      <w:pPr>
        <w:pStyle w:val="Heading3"/>
      </w:pPr>
      <w:r>
        <w:t xml:space="preserve">2.6.2　</w:t>
      </w:r>
      <w:r>
        <w:rPr>
          <w:rFonts w:hint="eastAsia"/>
        </w:rPr>
        <w:t xml:space="preserve">本研究の位置づけ</w:t>
      </w:r>
    </w:p>
    <w:p>
      <w:pPr>
        <w:pStyle w:val="FirstParagraph"/>
      </w:pPr>
      <w:r>
        <w:rPr>
          <w:rFonts w:hint="eastAsia"/>
        </w:rPr>
        <w:t xml:space="preserve">本研究は、風力主導の市場、蓄電池の自由参入均衡、制度（容量市場、LTDA、出力制御、下限価格）の三つが重なる空白を埋める。まず</w:t>
      </w:r>
      <w:r>
        <w:t xml:space="preserve"> Sakaguchi and </w:t>
      </w:r>
      <w:r>
        <w:rPr>
          <w:rFonts w:hint="eastAsia"/>
        </w:rPr>
        <w:t xml:space="preserve">Fujii（2021）と</w:t>
      </w:r>
      <w:r>
        <w:t xml:space="preserve"> Fuke and </w:t>
      </w:r>
      <w:r>
        <w:rPr>
          <w:rFonts w:hint="eastAsia"/>
        </w:rPr>
        <w:t xml:space="preserve">Ohashi（2025）の回帰を同じデータで再現・延長し、Butters</w:t>
      </w:r>
      <w:r>
        <w:t xml:space="preserve"> et </w:t>
      </w:r>
      <w:r>
        <w:rPr>
          <w:rFonts w:hint="eastAsia"/>
        </w:rPr>
        <w:t xml:space="preserve">al.（2025）の実現率の水準を追試して信頼性を確保する。そのうえで、Butters</w:t>
      </w:r>
      <w:r>
        <w:t xml:space="preserve"> et al. </w:t>
      </w:r>
      <w:r>
        <w:rPr>
          <w:rFonts w:hint="eastAsia"/>
        </w:rPr>
        <w:t xml:space="preserve">の設定（太陽光主導、単一の市場、4時間に固定、出力制御なし）を北海道の制度環境に置き換えると均衡がどう変わるかを問う。新規性は、価格の側では、風力主導の単一価格ゾーンの市場で変動性を時間スケール別に分解して先行研究の指標と日内の指標の符号の差を示すことに、蓄電池の側では、</w:t>
      </w:r>
      <m:oMath>
        <m:r>
          <m:t>π</m:t>
        </m:r>
        <m:r>
          <m:rPr>
            <m:sty m:val="p"/>
          </m:rPr>
          <m:t>(</m:t>
        </m:r>
        <m:r>
          <m:t>K</m:t>
        </m:r>
        <m:r>
          <m:rPr>
            <m:sty m:val="p"/>
          </m:rPr>
          <m:t>)</m:t>
        </m:r>
      </m:oMath>
      <w:r>
        <w:t xml:space="preserve"> </w:t>
      </w:r>
      <w:r>
        <w:rPr>
          <w:rFonts w:hint="eastAsia"/>
        </w:rPr>
        <w:t xml:space="preserve">にもとづく参入均衡でマーチャントの均衡容量を推計し、乖離を</w:t>
      </w:r>
      <w:r>
        <w:t xml:space="preserve"> kW </w:t>
      </w:r>
      <w:r>
        <w:rPr>
          <w:rFonts w:hint="eastAsia"/>
        </w:rPr>
        <w:t xml:space="preserve">と1kWあたりの価値で分解することにある。ファイナンスの文献に対しては、2.5節の手法を風力主導市場の蓄電池の評価と参入の判定に体系的に当てはめる（1.5節）。</w:t>
      </w:r>
    </w:p>
    <w:bookmarkEnd w:id="42"/>
    <w:bookmarkStart w:id="43" w:name="検証する仮説"/>
    <w:p>
      <w:pPr>
        <w:pStyle w:val="Heading3"/>
      </w:pPr>
      <w:r>
        <w:t xml:space="preserve">2.6.3　</w:t>
      </w:r>
      <w:r>
        <w:rPr>
          <w:rFonts w:hint="eastAsia"/>
        </w:rPr>
        <w:t xml:space="preserve">検証する仮説</w:t>
      </w:r>
    </w:p>
    <w:p>
      <w:pPr>
        <w:pStyle w:val="FirstParagraph"/>
      </w:pPr>
      <w:r>
        <w:rPr>
          <w:rFonts w:hint="eastAsia"/>
        </w:rPr>
        <w:t xml:space="preserve">本節では、2.1〜2.5節で整理した先行研究の知見を北海道の条件に当てはめ、RQ1〜RQ6</w:t>
      </w:r>
      <w:r>
        <w:t xml:space="preserve"> </w:t>
      </w:r>
      <w:r>
        <w:rPr>
          <w:rFonts w:hint="eastAsia"/>
        </w:rPr>
        <w:t xml:space="preserve">のそれぞれについて結果の見通しを仮説として示す。いずれも現行の市場制度と公表済みの構造イベントを所与とした命題である（1.6節）。各仮説が支持されるか、一部だけ支持されるか、棄却されるかは、検証する章の小括で述べ、第11章でまとめる。</w:t>
      </w:r>
    </w:p>
    <w:p>
      <w:pPr>
        <w:pStyle w:val="BodyText"/>
      </w:pPr>
      <w:r>
        <w:rPr>
          <w:rFonts w:hint="eastAsia"/>
          <w:b/>
          <w:bCs/>
        </w:rPr>
        <w:t xml:space="preserve">仮説1（RQ1、価格形成）</w:t>
      </w:r>
      <w:r>
        <w:t xml:space="preserve">　</w:t>
      </w:r>
      <w:r>
        <w:rPr>
          <w:rFonts w:hint="eastAsia"/>
        </w:rPr>
        <w:t xml:space="preserve">北海道の風力の増加は主に価格の水準を下げ、日内の価格スプレッドを系統的には広げない。日内の形状を変えるのは主に太陽光である。また、同じデータの上でも、変動性を日をまたぐ散らばりで測るか1日の中の散らばりで測るかによって、再エネの効果の符号は変わりうる。根拠は、風力の変動の大半が日を超える帯域にあること（2.4節）、日内の出力が一様で連系の太い市場では風力がピークとオフピークの価格を同じだけ下げること（Rintamäki</w:t>
      </w:r>
      <w:r>
        <w:t xml:space="preserve"> et al., </w:t>
      </w:r>
      <w:r>
        <w:rPr>
          <w:rFonts w:hint="eastAsia"/>
        </w:rPr>
        <w:t xml:space="preserve">2017）、風の強い日には1日の価格差が縮むこと（Dunbar,</w:t>
      </w:r>
      <w:r>
        <w:t xml:space="preserve"> </w:t>
      </w:r>
      <w:r>
        <w:rPr>
          <w:rFonts w:hint="eastAsia"/>
        </w:rPr>
        <w:t xml:space="preserve">2016）、同じ国・同じ電源でも変動性の指標が変われば符号が変わること（Rintamäki</w:t>
      </w:r>
      <w:r>
        <w:t xml:space="preserve"> et al., 2017; Tselika, </w:t>
      </w:r>
      <w:r>
        <w:rPr>
          <w:rFonts w:hint="eastAsia"/>
        </w:rPr>
        <w:t xml:space="preserve">2022）である。逆に、供給曲線の下端の急勾配（Wozabal</w:t>
      </w:r>
      <w:r>
        <w:t xml:space="preserve"> et al., </w:t>
      </w:r>
      <w:r>
        <w:rPr>
          <w:rFonts w:hint="eastAsia"/>
        </w:rPr>
        <w:t xml:space="preserve">2016）を通じて、風力が安い時間ほど価格を大きく下げる効果が強く働けば、風力は日内のスプレッドを広げ、仮説のうち風力についての部分は棄却される。第5章で検証する。</w:t>
      </w:r>
    </w:p>
    <w:p>
      <w:pPr>
        <w:pStyle w:val="BodyText"/>
      </w:pPr>
      <w:r>
        <w:rPr>
          <w:rFonts w:hint="eastAsia"/>
          <w:b/>
          <w:bCs/>
        </w:rPr>
        <w:t xml:space="preserve">仮説2（RQ2、系統用蓄電池の価値）</w:t>
      </w:r>
      <w:r>
        <w:t xml:space="preserve">　</w:t>
      </w:r>
      <w:r>
        <w:rPr>
          <w:rFonts w:hint="eastAsia"/>
        </w:rPr>
        <w:t xml:space="preserve">前日スポットで1日1サイクルを回す蓄電池の裁定価値の大半は、前日に充放電の窓を固定する本源的方策で取ることができ、予測を加えても大きくは上積みできない。その価値はフリートの拡大とともに減衰する。前半はバックキャストや実行可能な戦略の報告（Butters</w:t>
      </w:r>
      <w:r>
        <w:t xml:space="preserve"> et al., 2025; Hou &amp; Bunn, 2024; Sioshansi et al., </w:t>
      </w:r>
      <w:r>
        <w:rPr>
          <w:rFonts w:hint="eastAsia"/>
        </w:rPr>
        <w:t xml:space="preserve">2009）に、後半はカニバリゼーションの実証（Karaduman,</w:t>
      </w:r>
      <w:r>
        <w:t xml:space="preserve"> 2023; Lamp &amp; Samano, </w:t>
      </w:r>
      <w:r>
        <w:rPr>
          <w:rFonts w:hint="eastAsia"/>
        </w:rPr>
        <w:t xml:space="preserve">2022）にもとづく。第6章と第7章で検証する。</w:t>
      </w:r>
    </w:p>
    <w:p>
      <w:pPr>
        <w:pStyle w:val="BodyText"/>
      </w:pPr>
      <w:r>
        <w:rPr>
          <w:rFonts w:hint="eastAsia"/>
          <w:b/>
          <w:bCs/>
        </w:rPr>
        <w:t xml:space="preserve">仮説3（RQ3、均衡と均衡からの乖離）</w:t>
      </w:r>
      <w:r>
        <w:t xml:space="preserve">　</w:t>
      </w:r>
      <w:r>
        <w:rPr>
          <w:rFonts w:hint="eastAsia"/>
        </w:rPr>
        <w:t xml:space="preserve">現行の資本費と価格構造の下では、スポット裁定と容量収入だけに依存するマーチャントの均衡容量は、接続済みと契約申込の容量を大きく下回る。乖離の一部は</w:t>
      </w:r>
      <w:r>
        <w:t xml:space="preserve"> LTDA </w:t>
      </w:r>
      <w:r>
        <w:rPr>
          <w:rFonts w:hint="eastAsia"/>
        </w:rPr>
        <w:t xml:space="preserve">や補助金などの市場外収入で説明できるが、すべては説明できない。価格水準の不確実性と投資の不可逆性を考えても、この判定は弱まらない。前半は、裁定だけでは投資費用を回収できず（Bakke</w:t>
      </w:r>
      <w:r>
        <w:t xml:space="preserve"> et al., </w:t>
      </w:r>
      <w:r>
        <w:rPr>
          <w:rFonts w:hint="eastAsia"/>
        </w:rPr>
        <w:t xml:space="preserve">2016）、市場外収入が市場価値と費用の差を埋める（T.</w:t>
      </w:r>
      <w:r>
        <w:t xml:space="preserve"> Brown &amp; Reichenberg, </w:t>
      </w:r>
      <w:r>
        <w:rPr>
          <w:rFonts w:hint="eastAsia"/>
        </w:rPr>
        <w:t xml:space="preserve">2021）という知見に、後半は、静学のゼロレント条件が参入閾値の下限を与えるという理論（2.5.4項）にもとづく。第7章と第8章で検証する。</w:t>
      </w:r>
    </w:p>
    <w:p>
      <w:pPr>
        <w:pStyle w:val="BodyText"/>
      </w:pPr>
      <w:r>
        <w:rPr>
          <w:rFonts w:hint="eastAsia"/>
          <w:b/>
          <w:bCs/>
        </w:rPr>
        <w:t xml:space="preserve">仮説4（RQ4、併設蓄電池の価値）</w:t>
      </w:r>
      <w:r>
        <w:t xml:space="preserve">　</w:t>
      </w:r>
      <w:r>
        <w:rPr>
          <w:rFonts w:hint="eastAsia"/>
        </w:rPr>
        <w:t xml:space="preserve">ゾーン価格の市場では、エリアの価格に映らない抑制（下限価格での打ち切りとローカル系統の制約）を回避する価値は併設案件に帰属する。ただしその大きさは裁定価値に比べて小さく、系統用蓄電池の均衡からの乖離を説明しない。根拠は、併設の収益の主因が裁定であること（Atherton</w:t>
      </w:r>
      <w:r>
        <w:t xml:space="preserve"> et al., 2023; Grimaldi et al., </w:t>
      </w:r>
      <w:r>
        <w:rPr>
          <w:rFonts w:hint="eastAsia"/>
        </w:rPr>
        <w:t xml:space="preserve">2025）と、抑制がノード単位のローカルな現象でありうること（Maji</w:t>
      </w:r>
      <w:r>
        <w:t xml:space="preserve"> et al., </w:t>
      </w:r>
      <w:r>
        <w:rPr>
          <w:rFonts w:hint="eastAsia"/>
        </w:rPr>
        <w:t xml:space="preserve">2025）である。第8章で検証する。</w:t>
      </w:r>
    </w:p>
    <w:p>
      <w:pPr>
        <w:pStyle w:val="BodyText"/>
      </w:pPr>
      <w:r>
        <w:rPr>
          <w:rFonts w:hint="eastAsia"/>
          <w:b/>
          <w:bCs/>
        </w:rPr>
        <w:t xml:space="preserve">仮説5（RQ5、反転条件）</w:t>
      </w:r>
      <w:r>
        <w:t xml:space="preserve">　FY2023〜25 </w:t>
      </w:r>
      <w:r>
        <w:rPr>
          <w:rFonts w:hint="eastAsia"/>
        </w:rPr>
        <w:t xml:space="preserve">の価格水準（4.2.3項の価格水準係数で</w:t>
      </w:r>
      <w:r>
        <w:t xml:space="preserve"> </w:t>
      </w:r>
      <m:oMath>
        <m:r>
          <m:t>θ</m:t>
        </m:r>
        <m:r>
          <m:rPr>
            <m:sty m:val="p"/>
          </m:rPr>
          <m:t>=</m:t>
        </m:r>
        <m:r>
          <m:t>1</m:t>
        </m:r>
      </m:oMath>
      <w:r>
        <w:rPr>
          <w:rFonts w:hint="eastAsia"/>
        </w:rPr>
        <w:t xml:space="preserve">）と現行の資本費・容量収入を基準とすると、資本費の低下、容量収入の上振れ、価格水準の上昇のいずれも、見通しの範囲や観察された範囲で単独に動くだけではマーチャントの均衡容量は正に転じず、それらの組合せが要る。一つの条件だけで足りるかどうかは基準に置く価格水準に依存するので、判定はこの基準の上で行う。根拠は、参入には資本費の大幅な補助（Butters</w:t>
      </w:r>
      <w:r>
        <w:t xml:space="preserve"> et al., </w:t>
      </w:r>
      <w:r>
        <w:rPr>
          <w:rFonts w:hint="eastAsia"/>
        </w:rPr>
        <w:t xml:space="preserve">2025）やスポット以外の収入（Bakke</w:t>
      </w:r>
      <w:r>
        <w:t xml:space="preserve"> et al., </w:t>
      </w:r>
      <w:r>
        <w:rPr>
          <w:rFonts w:hint="eastAsia"/>
        </w:rPr>
        <w:t xml:space="preserve">2016）が要ることである。第7章と第8章で検証する。</w:t>
      </w:r>
    </w:p>
    <w:p>
      <w:pPr>
        <w:pStyle w:val="BodyText"/>
      </w:pPr>
      <w:r>
        <w:rPr>
          <w:rFonts w:hint="eastAsia"/>
          <w:b/>
          <w:bCs/>
        </w:rPr>
        <w:t xml:space="preserve">仮説6（RQ6、下限価格）</w:t>
      </w:r>
      <w:r>
        <w:t xml:space="preserve">　</w:t>
      </w:r>
      <w:r>
        <w:rPr>
          <w:rFonts w:hint="eastAsia"/>
        </w:rPr>
        <w:t xml:space="preserve">下限価格での打ち切りは、充電脚のプットの売りとして裁定価値を削る。負の価格の導入はそのプットの行使価格を下げて裁定価値を高めるが、効果は余剰の量に依存し、現在の余剰の量ではマーチャントの参入を単独で開くには足りない。根拠は、負の価格を扱う研究（De</w:t>
      </w:r>
      <w:r>
        <w:t xml:space="preserve"> Vos, 2015; Fanone et al., </w:t>
      </w:r>
      <w:r>
        <w:rPr>
          <w:rFonts w:hint="eastAsia"/>
        </w:rPr>
        <w:t xml:space="preserve">2013）と、貯蔵がオフピークの価格をほとんど上げない非対称（Lamont,</w:t>
      </w:r>
      <w:r>
        <w:t xml:space="preserve"> </w:t>
      </w:r>
      <w:r>
        <w:rPr>
          <w:rFonts w:hint="eastAsia"/>
        </w:rPr>
        <w:t xml:space="preserve">2013）である。第7章と第9章で検証する。</w:t>
      </w:r>
    </w:p>
    <w:p>
      <w:pPr>
        <w:pStyle w:val="BodyText"/>
      </w:pPr>
      <w:r>
        <w:rPr>
          <w:rFonts w:hint="eastAsia"/>
        </w:rPr>
        <w:t xml:space="preserve">検証に先立ち、第3章で制度とデータを、第4章で分析の枠組みを述べる。</w:t>
      </w:r>
    </w:p>
    <w:bookmarkEnd w:id="43"/>
    <w:bookmarkEnd w:id="44"/>
    <w:bookmarkEnd w:id="45"/>
    <w:bookmarkStart w:id="68" w:name="第3章-制度的背景とデータ"/>
    <w:p>
      <w:pPr>
        <w:pStyle w:val="Heading1"/>
        <w:pageBreakBefore/>
      </w:pPr>
      <w:r>
        <w:rPr>
          <w:rFonts w:hint="eastAsia"/>
        </w:rPr>
        <w:t xml:space="preserve">第3章</w:t>
      </w:r>
      <w:r>
        <w:t xml:space="preserve">　</w:t>
      </w:r>
      <w:r>
        <w:rPr>
          <w:rFonts w:hint="eastAsia"/>
        </w:rPr>
        <w:t xml:space="preserve">制度的背景とデータ</w:t>
      </w:r>
    </w:p>
    <w:p>
      <w:pPr>
        <w:pStyle w:val="FirstParagraph"/>
      </w:pPr>
      <w:r>
        <w:rPr>
          <w:rFonts w:hint="eastAsia"/>
        </w:rPr>
        <w:t xml:space="preserve">本章は、RQ1〜RQ6</w:t>
      </w:r>
      <w:r>
        <w:t xml:space="preserve"> </w:t>
      </w:r>
      <w:r>
        <w:rPr>
          <w:rFonts w:hint="eastAsia"/>
        </w:rPr>
        <w:t xml:space="preserve">に共通する前提として、制度と市場の事実、および分析に用いるデータを述べる。前章で整理した先行研究の多くは負の価格のある欧米の市場を対象としており、その知見を北海道に当てはめるには、蓄電池の収入（卸電力市場での裁定、容量市場と長期脱炭素電源オークションの容量収入、需給調整市場の収入、併設の場合の出力制御の回避）を左右する日本の制度の違いを明示しておく必要がある。本研究は制度を所与の構造パラメータとして扱い、以下の記述は2026年9月末時点の公表情報に基づく。年度は4月から翌年3月までとし、FY2016</w:t>
      </w:r>
      <w:r>
        <w:t xml:space="preserve"> </w:t>
      </w:r>
      <w:r>
        <w:rPr>
          <w:rFonts w:hint="eastAsia"/>
        </w:rPr>
        <w:t xml:space="preserve">のように表す。3.1〜3.4節で市場と制度を、3.5節で北海道の系統・電源と蓄電池を、3.6節でデータの構築と検証を、3.7節で主要な変数と記述統計を述べ、3.8節でまとめる。</w:t>
      </w:r>
    </w:p>
    <w:bookmarkStart w:id="48" w:name="jepx-スポット市場"/>
    <w:p>
      <w:pPr>
        <w:pStyle w:val="Heading2"/>
      </w:pPr>
      <w:r>
        <w:t xml:space="preserve">3.1　JEPX </w:t>
      </w:r>
      <w:r>
        <w:rPr>
          <w:rFonts w:hint="eastAsia"/>
        </w:rPr>
        <w:t xml:space="preserve">スポット市場</w:t>
      </w:r>
    </w:p>
    <w:bookmarkStart w:id="46" w:name="約定の仕組みと市場分断"/>
    <w:p>
      <w:pPr>
        <w:pStyle w:val="Heading3"/>
      </w:pPr>
      <w:r>
        <w:t xml:space="preserve">3.1.1　</w:t>
      </w:r>
      <w:r>
        <w:rPr>
          <w:rFonts w:hint="eastAsia"/>
        </w:rPr>
        <w:t xml:space="preserve">約定の仕組みと市場分断</w:t>
      </w:r>
    </w:p>
    <w:p>
      <w:pPr>
        <w:pStyle w:val="FirstParagraph"/>
      </w:pPr>
      <w:r>
        <w:rPr>
          <w:rFonts w:hint="eastAsia"/>
        </w:rPr>
        <w:t xml:space="preserve">日本卸電力取引所（JEPX）の前日スポット市場は、受渡日の前日午前10時に締め切られる一括入札によって、翌日48コマ（30分単位）の価格を同時に決定する。前日スポット市場で取引する限り、蓄電池が充電する時間と放電する時間の価格は前日にまとめて決まり、時間ごとに逐次に判断する余地はない。本研究が1日の裁定を、充電する4時間の電力と放電する4時間の電力を交換する日次のスプレッド（交換）オプションとみなすのは、この情報構造による（4.2.1項）。</w:t>
      </w:r>
    </w:p>
    <w:p>
      <w:pPr>
        <w:pStyle w:val="BodyText"/>
      </w:pPr>
      <w:r>
        <w:rPr>
          <w:rFonts w:hint="eastAsia"/>
        </w:rPr>
        <w:t xml:space="preserve">各エリアの価格（エリアプライス）は、連系線の制約がないとした全国の約定価格（システムプライス）を基準とし、連系線の制約が拘束するときにエリアごとに分かれる（市場分断）。システムプライスはこの仮想的な全国の価格であり、本州の価格ではない。北海道エリアは本州（東北エリア）と北本連系線でのみつながっている。その連系容量（設備容量）は90万kW</w:t>
      </w:r>
      <w:r>
        <w:t xml:space="preserve"> </w:t>
      </w:r>
      <w:r>
        <w:rPr>
          <w:rFonts w:hint="eastAsia"/>
        </w:rPr>
        <w:t xml:space="preserve">で、新々北本の整備により2027年度末（2028年3月）に120万kW</w:t>
      </w:r>
      <w:r>
        <w:t xml:space="preserve"> </w:t>
      </w:r>
      <w:r>
        <w:rPr>
          <w:rFonts w:hint="eastAsia"/>
        </w:rPr>
        <w:t xml:space="preserve">に増える計画である（OCCTO,</w:t>
      </w:r>
      <w:r>
        <w:t xml:space="preserve"> </w:t>
      </w:r>
      <w:r>
        <w:rPr>
          <w:rFonts w:hint="eastAsia"/>
        </w:rPr>
        <w:t xml:space="preserve">2024）。北海道と東北のエリアプライスが分かれたコマは、FY2016〜19</w:t>
      </w:r>
      <w:r>
        <w:t xml:space="preserve"> </w:t>
      </w:r>
      <w:r>
        <w:rPr>
          <w:rFonts w:hint="eastAsia"/>
        </w:rPr>
        <w:t xml:space="preserve">には71%に達したが、2019年3月の増強の後に大きく減り、FY2023〜25</w:t>
      </w:r>
      <w:r>
        <w:t xml:space="preserve"> </w:t>
      </w:r>
      <w:r>
        <w:rPr>
          <w:rFonts w:hint="eastAsia"/>
        </w:rPr>
        <w:t xml:space="preserve">には19%である（5.5節）。ただし北海道のエリアプライスがシステムプライスと異なっても、それが北本連系線の制約によるとは限らない。東北東京間の連系線や東西の周波数変換設備で分断が生じれば、北海道と東北は同じ価格のまま、システムプライスから離れるからである。このため本研究は、システムプライスとの差による分断と、北本連系線の分断とを区別して定義する（3.7節）。</w:t>
      </w:r>
    </w:p>
    <w:bookmarkEnd w:id="46"/>
    <w:bookmarkStart w:id="47" w:name="下限価格"/>
    <w:p>
      <w:pPr>
        <w:pStyle w:val="Heading3"/>
      </w:pPr>
      <w:r>
        <w:t xml:space="preserve">3.1.2　</w:t>
      </w:r>
      <w:r>
        <w:rPr>
          <w:rFonts w:hint="eastAsia"/>
        </w:rPr>
        <w:t xml:space="preserve">下限価格</w:t>
      </w:r>
    </w:p>
    <w:p>
      <w:pPr>
        <w:pStyle w:val="FirstParagraph"/>
      </w:pPr>
      <w:r>
        <w:rPr>
          <w:rFonts w:hint="eastAsia"/>
        </w:rPr>
        <w:t xml:space="preserve">スポット市場の約定価格には0.01円/kWh</w:t>
      </w:r>
      <w:r>
        <w:t xml:space="preserve"> </w:t>
      </w:r>
      <w:r>
        <w:rPr>
          <w:rFonts w:hint="eastAsia"/>
        </w:rPr>
        <w:t xml:space="preserve">の下限があり、欧州の市場のような負の価格は生じない。本研究はこの下限を下限価格と呼び、約定価格が下限価格に張り付いたコマ・時間を、下限張り付きのコマ・時間と呼ぶ。再エネが余る時間に需給から決まる潜在的な価格がさらに下がっても、約定価格は0.01円/kWh</w:t>
      </w:r>
      <w:r>
        <w:t xml:space="preserve"> </w:t>
      </w:r>
      <w:r>
        <w:rPr>
          <w:rFonts w:hint="eastAsia"/>
        </w:rPr>
        <w:t xml:space="preserve">で止まるので、約定価格は潜在的な価格を下から打ち切った値になる（下限での打ち切り）。この打ち切りは、負の価格を前提とする欧州の文献をそのまま当てはめられない日本固有の制度条件であり、価格過程の推定（7.1.1項）と均衡の機構（7.7節）の双方に影響する。下限価格を負の価格に置き換えた場合は、RQ6</w:t>
      </w:r>
      <w:r>
        <w:t xml:space="preserve"> </w:t>
      </w:r>
      <w:r>
        <w:rPr>
          <w:rFonts w:hint="eastAsia"/>
        </w:rPr>
        <w:t xml:space="preserve">として第9章で扱う。</w:t>
      </w:r>
    </w:p>
    <w:bookmarkEnd w:id="47"/>
    <w:bookmarkEnd w:id="48"/>
    <w:bookmarkStart w:id="49" w:name="優先給電ルールと出力制御"/>
    <w:p>
      <w:pPr>
        <w:pStyle w:val="Heading2"/>
      </w:pPr>
      <w:r>
        <w:t xml:space="preserve">3.2　</w:t>
      </w:r>
      <w:r>
        <w:rPr>
          <w:rFonts w:hint="eastAsia"/>
        </w:rPr>
        <w:t xml:space="preserve">優先給電ルールと出力制御</w:t>
      </w:r>
    </w:p>
    <w:p>
      <w:pPr>
        <w:pStyle w:val="FirstParagraph"/>
      </w:pPr>
      <w:r>
        <w:rPr>
          <w:rFonts w:hint="eastAsia"/>
        </w:rPr>
        <w:t xml:space="preserve">需給のバランスを保つための優先給電ルールでは、火力の抑制、揚水と蓄電池による吸収、連系線を活用した他エリアへの送電を行ったうえで、なお余剰が残る場合に太陽光・風力を抑制する。北海道電力ネットワーク（n.d.）の需給実績によれば、北海道の風力の抑制は2022年5月8日に初めて生じた。同じ需給実績の抑制量を制御前の発電量（発電実績と抑制量の和）で除したエネルギーベースの抑制率は、2022〜2024年度には0〜0.04%（2023年度は0.000%）と無視できる水準にあった。しかし2025年度には0.10%となり、2026年度の4〜6月の3か月には1.35%（年率ではない）へ立ち上がっている（8.5.1項）。</w:t>
      </w:r>
    </w:p>
    <w:p>
      <w:pPr>
        <w:pStyle w:val="BodyText"/>
      </w:pPr>
      <w:r>
        <w:rPr>
          <w:rFonts w:hint="eastAsia"/>
        </w:rPr>
        <w:t xml:space="preserve">これとは別に、ローカル系統の混雑による抑制がある。ノンファーム型接続は、送電容量の空きを前提に接続を認める代わりに、混雑時には出力制御を受けることを条件とする制度であり、2023年からローカル系統にも適用された。北海道では2025年11月に、66kV</w:t>
      </w:r>
      <w:r>
        <w:t xml:space="preserve"> </w:t>
      </w:r>
      <w:r>
        <w:rPr>
          <w:rFonts w:hint="eastAsia"/>
        </w:rPr>
        <w:t xml:space="preserve">岩松線の混雑を解消するための出力制御が道内で初めて行われた。以後、制御を行った月ごとに、電力広域的運営推進機関（OCCTO,</w:t>
      </w:r>
      <w:r>
        <w:t xml:space="preserve"> </w:t>
      </w:r>
      <w:r>
        <w:rPr>
          <w:rFonts w:hint="eastAsia"/>
        </w:rPr>
        <w:t xml:space="preserve">2026b）が検証結果を公表している。基幹系統の混雑は2023年12月から再給電方式（一定の順序）で処理されており、ローカル系統の混雑管理システムは2026年度末に運開する予定である。</w:t>
      </w:r>
    </w:p>
    <w:p>
      <w:pPr>
        <w:pStyle w:val="BodyText"/>
      </w:pPr>
      <w:r>
        <w:rPr>
          <w:rFonts w:hint="eastAsia"/>
        </w:rPr>
        <w:t xml:space="preserve">日本にはノーダル価格（送電網の地点ごとの価格）がないため、ローカル系統の制約による抑制の損失はエリアプライスに現れず、抑制を受ける発電所に物理的に集中する。この点は、再エネの発電所に併設した蓄電池の価値（8.5節）の論点になる。ただし、北海道でこれまでに行われたローカル系統の出力制御（66kV</w:t>
      </w:r>
      <w:r>
        <w:t xml:space="preserve"> </w:t>
      </w:r>
      <w:r>
        <w:rPr>
          <w:rFonts w:hint="eastAsia"/>
        </w:rPr>
        <w:t xml:space="preserve">岩松線と富川線）の対象は太陽光のノンファーム電源であり、現状の北海道の風力の抑制は、エリア全体の余剰による制御と読むのが自然である（8.5.1項）。</w:t>
      </w:r>
    </w:p>
    <w:bookmarkEnd w:id="49"/>
    <w:bookmarkStart w:id="52" w:name="容量市場と長期脱炭素電源オークション"/>
    <w:p>
      <w:pPr>
        <w:pStyle w:val="Heading2"/>
      </w:pPr>
      <w:r>
        <w:t xml:space="preserve">3.3　</w:t>
      </w:r>
      <w:r>
        <w:rPr>
          <w:rFonts w:hint="eastAsia"/>
        </w:rPr>
        <w:t xml:space="preserve">容量市場と長期脱炭素電源オークション</w:t>
      </w:r>
    </w:p>
    <w:bookmarkStart w:id="50" w:name="容量市場"/>
    <w:p>
      <w:pPr>
        <w:pStyle w:val="Heading3"/>
      </w:pPr>
      <w:r>
        <w:t xml:space="preserve">3.3.1　</w:t>
      </w:r>
      <w:r>
        <w:rPr>
          <w:rFonts w:hint="eastAsia"/>
        </w:rPr>
        <w:t xml:space="preserve">容量市場</w:t>
      </w:r>
    </w:p>
    <w:p>
      <w:pPr>
        <w:pStyle w:val="FirstParagraph"/>
      </w:pPr>
      <w:r>
        <w:rPr>
          <w:rFonts w:hint="eastAsia"/>
        </w:rPr>
        <w:t xml:space="preserve">容量市場は、4年後の供給力（kW）を確保するオークションである。蓄電池は、放電可能時間が3時間以上で期待容量が1,000kW</w:t>
      </w:r>
      <w:r>
        <w:t xml:space="preserve"> </w:t>
      </w:r>
      <w:r>
        <w:rPr>
          <w:rFonts w:hint="eastAsia"/>
        </w:rPr>
        <w:t xml:space="preserve">以上であれば「安定電源」として参加できる（OCCTO,</w:t>
      </w:r>
      <w:r>
        <w:t xml:space="preserve"> </w:t>
      </w:r>
      <w:r>
        <w:rPr>
          <w:rFonts w:hint="eastAsia"/>
        </w:rPr>
        <w:t xml:space="preserve">2025b）。契約容量は設備容量に調整係数</w:t>
      </w:r>
      <w:r>
        <w:t xml:space="preserve"> </w:t>
      </w:r>
      <m:oMath>
        <m:r>
          <m:t>κ</m:t>
        </m:r>
      </m:oMath>
      <w:r>
        <w:t xml:space="preserve"> </w:t>
      </w:r>
      <w:r>
        <w:rPr>
          <w:rFonts w:hint="eastAsia"/>
        </w:rPr>
        <w:t xml:space="preserve">を乗じた期待容量であり、</w:t>
      </w:r>
      <m:oMath>
        <m:r>
          <m:t>κ</m:t>
        </m:r>
      </m:oMath>
      <w:r>
        <w:t xml:space="preserve"> </w:t>
      </w:r>
      <w:r>
        <w:rPr>
          <w:rFonts w:hint="eastAsia"/>
        </w:rPr>
        <w:t xml:space="preserve">は放電可能時間とエリア・月に応じて</w:t>
      </w:r>
      <w:r>
        <w:t xml:space="preserve"> OCCTO </w:t>
      </w:r>
      <w:r>
        <w:rPr>
          <w:rFonts w:hint="eastAsia"/>
        </w:rPr>
        <w:t xml:space="preserve">が公表する。北海道の4時間蓄電池の</w:t>
      </w:r>
      <w:r>
        <w:t xml:space="preserve"> </w:t>
      </w:r>
      <m:oMath>
        <m:r>
          <m:t>κ</m:t>
        </m:r>
      </m:oMath>
      <w:r>
        <w:t xml:space="preserve"> </w:t>
      </w:r>
      <w:r>
        <w:rPr>
          <w:rFonts w:hint="eastAsia"/>
        </w:rPr>
        <w:t xml:space="preserve">は、対象実需給年度2024年度向けの73.1%から2029年度向けの83.6%へ上がっており、2029年度向けは6時間で93.2%、8時間で98.3%である（OCCTO,</w:t>
      </w:r>
      <w:r>
        <w:t xml:space="preserve"> </w:t>
      </w:r>
      <w:r>
        <w:rPr>
          <w:rFonts w:hint="eastAsia"/>
        </w:rPr>
        <w:t xml:space="preserve">n.d.）。</w:t>
      </w:r>
    </w:p>
    <w:p>
      <w:pPr>
        <w:pStyle w:val="BodyText"/>
      </w:pPr>
      <w:r>
        <w:rPr>
          <w:rFonts w:hint="eastAsia"/>
        </w:rPr>
        <w:t xml:space="preserve">北海道エリアの約定価格は4期続けて不足ブロックとなり、2026年度向けの8,749円/kW（マルチプライス適用）から、2027年度向け13,287円/kW、2028年度向け14,812円/kW、2029年度向け14,972円/kW</w:t>
      </w:r>
      <w:r>
        <w:t xml:space="preserve"> </w:t>
      </w:r>
      <w:r>
        <w:rPr>
          <w:rFonts w:hint="eastAsia"/>
        </w:rPr>
        <w:t xml:space="preserve">と、上限価格の近くで推移している（OCCTO,</w:t>
      </w:r>
      <w:r>
        <w:t xml:space="preserve"> </w:t>
      </w:r>
      <w:r>
        <w:rPr>
          <w:rFonts w:hint="eastAsia"/>
        </w:rPr>
        <w:t xml:space="preserve">2023〜2026）。2029年度向けの指標価格（Net</w:t>
      </w:r>
      <w:r>
        <w:t xml:space="preserve"> </w:t>
      </w:r>
      <w:r>
        <w:rPr>
          <w:rFonts w:hint="eastAsia"/>
        </w:rPr>
        <w:t xml:space="preserve">CONE）は10,075円/kW</w:t>
      </w:r>
      <w:r>
        <w:t xml:space="preserve"> </w:t>
      </w:r>
      <w:r>
        <w:rPr>
          <w:rFonts w:hint="eastAsia"/>
        </w:rPr>
        <w:t xml:space="preserve">で、上限価格はその1.5倍の15,112.5円/kW</w:t>
      </w:r>
      <w:r>
        <w:t xml:space="preserve"> である。Net CONE </w:t>
      </w:r>
      <w:r>
        <w:rPr>
          <w:rFonts w:hint="eastAsia"/>
        </w:rPr>
        <w:t xml:space="preserve">は、ガス火力を新設する場合の年間固定費（Gross</w:t>
      </w:r>
      <w:r>
        <w:t xml:space="preserve"> </w:t>
      </w:r>
      <w:r>
        <w:rPr>
          <w:rFonts w:hint="eastAsia"/>
        </w:rPr>
        <w:t xml:space="preserve">CONE、15,264円/kW）から、他市場の収益（その34%にあたる5,190円/kW）を差し引いた値である（OCCTO,</w:t>
      </w:r>
      <w:r>
        <w:t xml:space="preserve"> </w:t>
      </w:r>
      <w:r>
        <w:rPr>
          <w:rFonts w:hint="eastAsia"/>
        </w:rPr>
        <w:t xml:space="preserve">2023〜2025）。すなわち容量市場は、エネルギー市場の収益を前提に、残りの固定費を回収させる市場として設計されている。</w:t>
      </w:r>
    </w:p>
    <w:p>
      <w:pPr>
        <w:pStyle w:val="BodyText"/>
      </w:pPr>
      <w:r>
        <w:rPr>
          <w:rFonts w:hint="eastAsia"/>
        </w:rPr>
        <w:t xml:space="preserve">4時間蓄電池の実効容量収入（約定価格に</w:t>
      </w:r>
      <w:r>
        <w:t xml:space="preserve"> </w:t>
      </w:r>
      <m:oMath>
        <m:r>
          <m:t>κ</m:t>
        </m:r>
      </m:oMath>
      <w:r>
        <w:t xml:space="preserve"> </w:t>
      </w:r>
      <w:r>
        <w:rPr>
          <w:rFonts w:hint="eastAsia"/>
        </w:rPr>
        <w:t xml:space="preserve">を乗じた額）は、2029年度向けで14,972円/kW×0.836≒1.25万円/kW-年である。2030年度向けからは、モデルプラントの変更により</w:t>
      </w:r>
      <w:r>
        <w:t xml:space="preserve"> Net CONE </w:t>
      </w:r>
      <w:r>
        <w:rPr>
          <w:rFonts w:hint="eastAsia"/>
        </w:rPr>
        <w:t xml:space="preserve">が20,911円/kW</w:t>
      </w:r>
      <w:r>
        <w:t xml:space="preserve"> </w:t>
      </w:r>
      <w:r>
        <w:rPr>
          <w:rFonts w:hint="eastAsia"/>
        </w:rPr>
        <w:t xml:space="preserve">へ約2倍となり、上限価格もその1.5倍の31,366.5円/kW</w:t>
      </w:r>
      <w:r>
        <w:t xml:space="preserve"> </w:t>
      </w:r>
      <w:r>
        <w:rPr>
          <w:rFonts w:hint="eastAsia"/>
        </w:rPr>
        <w:t xml:space="preserve">になる（OCCTO,</w:t>
      </w:r>
      <w:r>
        <w:t xml:space="preserve"> </w:t>
      </w:r>
      <w:r>
        <w:rPr>
          <w:rFonts w:hint="eastAsia"/>
        </w:rPr>
        <w:t xml:space="preserve">2026c）。Net</w:t>
      </w:r>
      <w:r>
        <w:t xml:space="preserve"> CONE </w:t>
      </w:r>
      <w:r>
        <w:rPr>
          <w:rFonts w:hint="eastAsia"/>
        </w:rPr>
        <w:t xml:space="preserve">の水準で約定すれば、4時間蓄電池の実効容量収入は約1.75万円/kW-年（20,911×0.836）になる。本研究は2029年度向けの1.25万円/kW-年を主の値とし、2030年度向け以降の上振れを感応度として扱う（7.8節・8.7節）。</w:t>
      </w:r>
    </w:p>
    <w:p>
      <w:pPr>
        <w:pStyle w:val="BodyText"/>
      </w:pPr>
      <w:r>
        <w:rPr>
          <w:rFonts w:hint="eastAsia"/>
        </w:rPr>
        <w:t xml:space="preserve">容量市場に参加した安定電源は、余力を卸電力市場か需給調整市場に応札する義務と、需給ひっ迫時の供給指示に応じる義務を負い、未達の場合は容量確保契約金額が減額される。減額の上限は月18.3%、年110%である（OCCTO,</w:t>
      </w:r>
      <w:r>
        <w:t xml:space="preserve"> </w:t>
      </w:r>
      <w:r>
        <w:rPr>
          <w:rFonts w:hint="eastAsia"/>
        </w:rPr>
        <w:t xml:space="preserve">2025b）。蓄電池の応札容量は、全国で2027年度向けの8万kW</w:t>
      </w:r>
      <w:r>
        <w:t xml:space="preserve"> </w:t>
      </w:r>
      <w:r>
        <w:rPr>
          <w:rFonts w:hint="eastAsia"/>
        </w:rPr>
        <w:t xml:space="preserve">から2029年度向けの169万kW</w:t>
      </w:r>
      <w:r>
        <w:t xml:space="preserve"> </w:t>
      </w:r>
      <w:r>
        <w:rPr>
          <w:rFonts w:hint="eastAsia"/>
        </w:rPr>
        <w:t xml:space="preserve">へ、2期で約21倍に急増しており（OCCTO,</w:t>
      </w:r>
      <w:r>
        <w:t xml:space="preserve"> </w:t>
      </w:r>
      <w:r>
        <w:rPr>
          <w:rFonts w:hint="eastAsia"/>
        </w:rPr>
        <w:t xml:space="preserve">2023〜2026）、容量市場でも蓄電池の参入による価格の押し下げがこれから始まる局面にある（7.6節）。</w:t>
      </w:r>
    </w:p>
    <w:bookmarkEnd w:id="50"/>
    <w:bookmarkStart w:id="51" w:name="長期脱炭素電源オークション"/>
    <w:p>
      <w:pPr>
        <w:pStyle w:val="Heading3"/>
      </w:pPr>
      <w:r>
        <w:t xml:space="preserve">3.3.2　</w:t>
      </w:r>
      <w:r>
        <w:rPr>
          <w:rFonts w:hint="eastAsia"/>
        </w:rPr>
        <w:t xml:space="preserve">長期脱炭素電源オークション</w:t>
      </w:r>
    </w:p>
    <w:p>
      <w:pPr>
        <w:pStyle w:val="FirstParagraph"/>
      </w:pPr>
      <w:r>
        <w:rPr>
          <w:rFonts w:hint="eastAsia"/>
        </w:rPr>
        <w:t xml:space="preserve">長期脱炭素電源オークション（LTDA）は、脱炭素電源への新規投資を促すため、原則20年間の固定的な容量収入を保証する制度である。落札した電源は、他市場の収益の約9割を還付する（OCCTO,</w:t>
      </w:r>
      <w:r>
        <w:t xml:space="preserve"> </w:t>
      </w:r>
      <w:r>
        <w:rPr>
          <w:rFonts w:hint="eastAsia"/>
        </w:rPr>
        <w:t xml:space="preserve">2025a）。言い換えると、落札者は変動する他市場収益の約9割と容量市場への参加を手放し、固定的な容量収入を受け取る。これは、固定と変動を交換するレベニュースワップにあたる（8.3.2項・8.7.3項）。2025年度の応札からは、放電時間が6時間未満の蓄電池は参加できない（OCCTO,</w:t>
      </w:r>
      <w:r>
        <w:t xml:space="preserve"> </w:t>
      </w:r>
      <w:r>
        <w:rPr>
          <w:rFonts w:hint="eastAsia"/>
        </w:rPr>
        <w:t xml:space="preserve">2025a）。</w:t>
      </w:r>
    </w:p>
    <w:p>
      <w:pPr>
        <w:pStyle w:val="BodyText"/>
      </w:pPr>
      <w:r>
        <w:rPr>
          <w:rFonts w:hint="eastAsia"/>
        </w:rPr>
        <w:t xml:space="preserve">蓄電池の落札容量は、第1回（2023年度応札）が109.2万kW、第2回が137.0万kW、第3回が125.1万kW</w:t>
      </w:r>
      <w:r>
        <w:t xml:space="preserve"> </w:t>
      </w:r>
      <w:r>
        <w:rPr>
          <w:rFonts w:hint="eastAsia"/>
        </w:rPr>
        <w:t xml:space="preserve">で、累計371.3万kW</w:t>
      </w:r>
      <w:r>
        <w:t xml:space="preserve"> </w:t>
      </w:r>
      <w:r>
        <w:rPr>
          <w:rFonts w:hint="eastAsia"/>
        </w:rPr>
        <w:t xml:space="preserve">に達する（OCCTO,</w:t>
      </w:r>
      <w:r>
        <w:t xml:space="preserve"> </w:t>
      </w:r>
      <w:r>
        <w:rPr>
          <w:rFonts w:hint="eastAsia"/>
        </w:rPr>
        <w:t xml:space="preserve">2024〜2026）。このうち北海道分は約67.4万kW（落札容量）と推定される。落札電源一覧にはエリアの列がないため、地名で所在が決まる電源を固定し、地名のない電源をエリア別の落札容量に整合するよう割り当てた（付録A.6）。第1回の32.5万kW</w:t>
      </w:r>
      <w:r>
        <w:t xml:space="preserve"> </w:t>
      </w:r>
      <w:r>
        <w:rPr>
          <w:rFonts w:hint="eastAsia"/>
        </w:rPr>
        <w:t xml:space="preserve">と第2回の20.9万kW</w:t>
      </w:r>
      <w:r>
        <w:t xml:space="preserve"> </w:t>
      </w:r>
      <w:r>
        <w:rPr>
          <w:rFonts w:hint="eastAsia"/>
        </w:rPr>
        <w:t xml:space="preserve">はこの照合で決まり、第3回の14.0万kW</w:t>
      </w:r>
      <w:r>
        <w:t xml:space="preserve"> </w:t>
      </w:r>
      <w:r>
        <w:rPr>
          <w:rFonts w:hint="eastAsia"/>
        </w:rPr>
        <w:t xml:space="preserve">は推定で、別解では合計56.8万kW</w:t>
      </w:r>
      <w:r>
        <w:t xml:space="preserve"> </w:t>
      </w:r>
      <w:r>
        <w:rPr>
          <w:rFonts w:hint="eastAsia"/>
        </w:rPr>
        <w:t xml:space="preserve">になる（8.3.2項）。</w:t>
      </w:r>
    </w:p>
    <w:p>
      <w:pPr>
        <w:pStyle w:val="BodyText"/>
      </w:pPr>
      <w:r>
        <w:rPr>
          <w:rFonts w:hint="eastAsia"/>
        </w:rPr>
        <w:t xml:space="preserve">電源種別の約定価格は公表されていない。約定総額を容量で割った平均は第1〜3回で5.8万〜11.1万円/kW-年であるが、これは原子力・水素などを含む混合の平均で、還付を控除する前の値である。蓄電池の上限価格は第3回で7.6万〜8.1万円/kW-年（北海道は7.7万円）であり、OCCTO（2026a）による応札年度2026（第4回）の募集要綱では、北海道で約7.2万円/kW-年である（8.3.2項・8.7節）。LTDA</w:t>
      </w:r>
      <w:r>
        <w:t xml:space="preserve"> </w:t>
      </w:r>
      <w:r>
        <w:rPr>
          <w:rFonts w:hint="eastAsia"/>
        </w:rPr>
        <w:t xml:space="preserve">の落札分は、市場の収益とは無関係に建設の義務を負う容量であり、市場外の収入に依存する容量のストックにあたる。本研究ではこれを外生として扱う。</w:t>
      </w:r>
    </w:p>
    <w:bookmarkEnd w:id="51"/>
    <w:bookmarkEnd w:id="52"/>
    <w:bookmarkStart w:id="53" w:name="需給調整市場"/>
    <w:p>
      <w:pPr>
        <w:pStyle w:val="Heading2"/>
      </w:pPr>
      <w:r>
        <w:t xml:space="preserve">3.4　</w:t>
      </w:r>
      <w:r>
        <w:rPr>
          <w:rFonts w:hint="eastAsia"/>
        </w:rPr>
        <w:t xml:space="preserve">需給調整市場</w:t>
      </w:r>
    </w:p>
    <w:p>
      <w:pPr>
        <w:pStyle w:val="FirstParagraph"/>
      </w:pPr>
      <w:r>
        <w:rPr>
          <w:rFonts w:hint="eastAsia"/>
        </w:rPr>
        <w:t xml:space="preserve">需給調整市場は、電力需給調整力取引所（EPRX）が運営する市場であり、応動時間10秒以内の一次調整力から60分以内の三次調整力②までの5商品について、調整力の容量（ΔkW）を取引する（電力需給調整力取引所，2026a）。約定した</w:t>
      </w:r>
      <w:r>
        <w:t xml:space="preserve"> ΔkW </w:t>
      </w:r>
      <w:r>
        <w:rPr>
          <w:rFonts w:hint="eastAsia"/>
        </w:rPr>
        <w:t xml:space="preserve">は、それぞれの入札価格で精算される（マルチプライス精算。同時市場の在り方等に関する検討会，2025）。ΔkW</w:t>
      </w:r>
      <w:r>
        <w:t xml:space="preserve"> </w:t>
      </w:r>
      <w:r>
        <w:rPr>
          <w:rFonts w:hint="eastAsia"/>
        </w:rPr>
        <w:t xml:space="preserve">の応札価格は、需給調整市場ガイドラインにより「逸失利益（機会費用）＋一定額等」以下とされ、一定額には固定費を回収するための合理的な額を含めることができる。同ガイドラインは、蓄電池の限界費用（充電した電気の費用）と機会費用の考え方も定めている（経済産業省，2026）。2026年3月中旬には、三次調整力②を除く4商品（複合市場）の取引が週間から前日に移り（電力需給調整力取引所，2026b）、スポット市場の約定の後に需給調整市場の取引が行われる逐次の構造となった（OCCTO,</w:t>
      </w:r>
      <w:r>
        <w:t xml:space="preserve"> </w:t>
      </w:r>
      <w:r>
        <w:rPr>
          <w:rFonts w:hint="eastAsia"/>
        </w:rPr>
        <w:t xml:space="preserve">2026d）。</w:t>
      </w:r>
    </w:p>
    <w:p>
      <w:pPr>
        <w:pStyle w:val="BodyText"/>
      </w:pPr>
      <w:r>
        <w:rPr>
          <w:rFonts w:hint="eastAsia"/>
        </w:rPr>
        <w:t xml:space="preserve">蓄電池の平均落札単価は下がっている。三次調整力②では、2024年4月の234.89円/ΔkW・30分から、2024年度末（2025年1〜3月）には10〜43円/ΔkW・30分になった（電力需給調整力取引所，2025）。一次調整力では、2024年度に月平均11〜19円/ΔkW・30分であったものが2025年度には9〜14円/ΔkW・30分となり、前日化に合わせて上限価格も19.51円から15.00円/ΔkW・30分に引き下げられた（電力需給調整力取引所，2025，2026b）。将来の制度としては、kWh</w:t>
      </w:r>
      <w:r>
        <w:t xml:space="preserve"> と ΔkW </w:t>
      </w:r>
      <w:r>
        <w:rPr>
          <w:rFonts w:hint="eastAsia"/>
        </w:rPr>
        <w:t xml:space="preserve">を安全制約付きの起動停止計画・経済負荷配分（SCUC/SCED）で同時に約定する同時市場の導入が検討されており、詳細設計とシステムの要求定義を経て、実現可能と判断されれば導入を最終決定するという方針が示されている（同時市場の在り方等に関する検討会，2025）。</w:t>
      </w:r>
    </w:p>
    <w:p>
      <w:pPr>
        <w:pStyle w:val="BodyText"/>
      </w:pPr>
      <w:r>
        <w:rPr>
          <w:rFonts w:hint="eastAsia"/>
        </w:rPr>
        <w:t xml:space="preserve">本研究は、機会費用による価格の上限、逐次の構造、実績の価格の低下、同時市場への移行の方針の4点を根拠に、均衡分析では需給調整市場をゼロレント（スポット市場の機会費用と無差別）として扱う。移行期に生じうるレントは、上限のバンドとして感応度に示す（7.6節）。</w:t>
      </w:r>
    </w:p>
    <w:bookmarkEnd w:id="53"/>
    <w:bookmarkStart w:id="58" w:name="北海道の系統電源と蓄電池"/>
    <w:p>
      <w:pPr>
        <w:pStyle w:val="Heading2"/>
      </w:pPr>
      <w:r>
        <w:t xml:space="preserve">3.5　</w:t>
      </w:r>
      <w:r>
        <w:rPr>
          <w:rFonts w:hint="eastAsia"/>
        </w:rPr>
        <w:t xml:space="preserve">北海道の系統・電源と蓄電池</w:t>
      </w:r>
    </w:p>
    <w:bookmarkStart w:id="54" w:name="系統と電源の構造的な変化"/>
    <w:p>
      <w:pPr>
        <w:pStyle w:val="Heading3"/>
      </w:pPr>
      <w:r>
        <w:t xml:space="preserve">3.5.1　</w:t>
      </w:r>
      <w:r>
        <w:rPr>
          <w:rFonts w:hint="eastAsia"/>
        </w:rPr>
        <w:t xml:space="preserve">系統と電源の構造的な変化</w:t>
      </w:r>
    </w:p>
    <w:p>
      <w:pPr>
        <w:pStyle w:val="FirstParagraph"/>
      </w:pPr>
      <w:r>
        <w:rPr>
          <w:rFonts w:hint="eastAsia"/>
        </w:rPr>
        <w:t xml:space="preserve">北海道は本州と北本連系線でのみつながり、風力の適地（道北・道央）から需要地への送電も細い。泊原子力発電所3号機（91.2万kW）について、北海道電力は2027年のできるだけ早期の再稼働を目指している（北海道電力，n.d.，2026）。再稼働すれば、長期固定電源として最後に制御される。一方、ラピダスの次世代半導体工場（2027年に量産開始の予定。Rapidus,</w:t>
      </w:r>
      <w:r>
        <w:t xml:space="preserve"> </w:t>
      </w:r>
      <w:r>
        <w:rPr>
          <w:rFonts w:hint="eastAsia"/>
        </w:rPr>
        <w:t xml:space="preserve">n.d.）やデータセンターの立地により（北海道電力，2026）、時刻によらずほぼ一定の需要（以下、フラット需要）の増加が見込まれる。泊の再稼働は夜間の余剰を広げ、フラット需要の増加は余剰を縮めるので、両者は同じ時期に、逆の向きで価格分布の下側の裾に作用する。供給側では、石狩湾新港発電所の液化天然ガス（LNG）火力2号機（58万kW）の2030年度の運転開始（北海道電力，2026）や、奈井江・砂川の石炭火力の2027年3月末の廃止（北海道電力，2022）も控えている。このうち泊の再稼働と80万kW</w:t>
      </w:r>
      <w:r>
        <w:t xml:space="preserve"> </w:t>
      </w:r>
      <w:r>
        <w:rPr>
          <w:rFonts w:hint="eastAsia"/>
        </w:rPr>
        <w:t xml:space="preserve">のフラット需要の増加は、構造イベントとして価格過程に加え、その部分均衡の効果を7.3節で評価する。</w:t>
      </w:r>
    </w:p>
    <w:bookmarkEnd w:id="54"/>
    <w:bookmarkStart w:id="56" w:name="蓄電池の導入状況"/>
    <w:p>
      <w:pPr>
        <w:pStyle w:val="Heading3"/>
      </w:pPr>
      <w:r>
        <w:t xml:space="preserve">3.5.2　</w:t>
      </w:r>
      <w:r>
        <w:rPr>
          <w:rFonts w:hint="eastAsia"/>
        </w:rPr>
        <w:t xml:space="preserve">蓄電池の導入状況</w:t>
      </w:r>
    </w:p>
    <w:p>
      <w:pPr>
        <w:pStyle w:val="FirstParagraph"/>
      </w:pPr>
      <w:r>
        <w:rPr>
          <w:rFonts w:hint="eastAsia"/>
        </w:rPr>
        <w:t xml:space="preserve">全国の系統用蓄電池の連系済み容量は、2024年12月末の約17万kW（資源エネルギー庁，2025c）から2025年12月末の約64万kW（資源エネルギー庁，2026c）へ急増した。しかし、契約申込は2024年9月末の約620万kW（資源エネルギー庁，2025a）から2025年12月末の約2,869万kW（資源エネルギー庁，2026b）へと4倍以上に増え、接続検討は2025年12月末に約1億7,200万kW</w:t>
      </w:r>
      <w:r>
        <w:t xml:space="preserve"> </w:t>
      </w:r>
      <w:r>
        <w:rPr>
          <w:rFonts w:hint="eastAsia"/>
        </w:rPr>
        <w:t xml:space="preserve">に達している（資源エネルギー庁，2026c）。これらと比べると、実現した容量はごく一部である。</w:t>
      </w:r>
    </w:p>
    <w:p>
      <w:pPr>
        <w:pStyle w:val="BodyText"/>
      </w:pPr>
      <w:r>
        <w:rPr>
          <w:rFonts w:hint="eastAsia"/>
        </w:rPr>
        <w:t xml:space="preserve">北海道の契約申込は2025年12月末に176万kW</w:t>
      </w:r>
      <w:r>
        <w:t xml:space="preserve"> </w:t>
      </w:r>
      <w:r>
        <w:rPr>
          <w:rFonts w:hint="eastAsia"/>
        </w:rPr>
        <w:t xml:space="preserve">で（資源エネルギー庁，2026b）、2025年度のエリアの最大需要（時間値で約507万kW）の約35%にあたる</w:t>
      </w:r>
      <w:r>
        <w:rPr>
          <w:rStyle w:val="FootnoteReference"/>
        </w:rPr>
        <w:footnoteReference w:id="55"/>
      </w:r>
      <w:r>
        <w:rPr>
          <w:rFonts w:hint="eastAsia"/>
        </w:rPr>
        <w:t xml:space="preserve">。この比率は、太陽光の導入が先行した九州（590万kW、最大需要の約37.5%）に近く、需要の規模に比べて大きい。北海道電力ネットワーク（2026）によれば、北海道の契約申込はその後234万kW（2026年5月末）に増え、接続検討も約823万kW</w:t>
      </w:r>
      <w:r>
        <w:t xml:space="preserve"> </w:t>
      </w:r>
      <w:r>
        <w:rPr>
          <w:rFonts w:hint="eastAsia"/>
        </w:rPr>
        <w:t xml:space="preserve">に達する一方、接続済みの系統用蓄電池は約20万kW</w:t>
      </w:r>
      <w:r>
        <w:t xml:space="preserve"> </w:t>
      </w:r>
      <w:r>
        <w:rPr>
          <w:rFonts w:hint="eastAsia"/>
        </w:rPr>
        <w:t xml:space="preserve">にとどまる。この接続済みと契約申込の容量が、本研究が市場の均衡と比べる現実の参入であり、その内訳は8.2節で勘定する。</w:t>
      </w:r>
    </w:p>
    <w:p>
      <w:pPr>
        <w:pStyle w:val="BodyText"/>
      </w:pPr>
      <w:r>
        <w:rPr>
          <w:rFonts w:hint="eastAsia"/>
        </w:rPr>
        <w:t xml:space="preserve">大型の案件では、北豊富（24万kW／72万kWh、2023年4月に商業運転を開始。豊田通商，2023）と</w:t>
      </w:r>
      <w:r>
        <w:t xml:space="preserve"> Helios </w:t>
      </w:r>
      <w:r>
        <w:rPr>
          <w:rFonts w:hint="eastAsia"/>
        </w:rPr>
        <w:t xml:space="preserve">札幌（5万kW／10.4万kWh</w:t>
      </w:r>
      <w:r>
        <w:t xml:space="preserve"> </w:t>
      </w:r>
      <w:r>
        <w:rPr>
          <w:rFonts w:hint="eastAsia"/>
        </w:rPr>
        <w:t xml:space="preserve">で放電時間は約2時間、2025年12月運開）などが運転を始めている。Helios</w:t>
      </w:r>
      <w:r>
        <w:t xml:space="preserve"> </w:t>
      </w:r>
      <w:r>
        <w:rPr>
          <w:rFonts w:hint="eastAsia"/>
        </w:rPr>
        <w:t xml:space="preserve">札幌は、固定収入の契約を持たず市場収入だけで運営するマーチャントの案件である（ESS</w:t>
      </w:r>
      <w:r>
        <w:t xml:space="preserve"> News, </w:t>
      </w:r>
      <w:r>
        <w:rPr>
          <w:rFonts w:hint="eastAsia"/>
        </w:rPr>
        <w:t xml:space="preserve">2025）。北豊富は風力発電所の送電網に併設された蓄電池であり、本研究が系統用として数える北海道の接続済み約20万kW</w:t>
      </w:r>
      <w:r>
        <w:t xml:space="preserve"> </w:t>
      </w:r>
      <w:r>
        <w:rPr>
          <w:rFonts w:hint="eastAsia"/>
        </w:rPr>
        <w:t xml:space="preserve">には含めない（8.2節）。</w:t>
      </w:r>
    </w:p>
    <w:bookmarkEnd w:id="56"/>
    <w:bookmarkStart w:id="57" w:name="蓄電池の資本費"/>
    <w:p>
      <w:pPr>
        <w:pStyle w:val="Heading3"/>
      </w:pPr>
      <w:r>
        <w:t xml:space="preserve">3.5.3　</w:t>
      </w:r>
      <w:r>
        <w:rPr>
          <w:rFonts w:hint="eastAsia"/>
        </w:rPr>
        <w:t xml:space="preserve">蓄電池の資本費</w:t>
      </w:r>
    </w:p>
    <w:p>
      <w:pPr>
        <w:pStyle w:val="FirstParagraph"/>
      </w:pPr>
      <w:r>
        <w:rPr>
          <w:rFonts w:hint="eastAsia"/>
        </w:rPr>
        <w:t xml:space="preserve">蓄電池の資本費については、調達価格等算定委員会に政府の想定がない（調達価格等算定委員会，2021，2022，2023，2024，2025，2026）。経済産業省の定置用蓄電システム普及拡大検討会が補助事業の実績から集計した系統用蓄電システムの実勢価格が、唯一の公式の系列である。システムと工事費を合わせた総額は、2022年度6.1万円/kWh、2023年度7.6万円/kWh（資源価格の高騰と円安による）、2024年度6.8万円/kWh</w:t>
      </w:r>
      <w:r>
        <w:t xml:space="preserve"> であり、50MWh </w:t>
      </w:r>
      <w:r>
        <w:rPr>
          <w:rFonts w:hint="eastAsia"/>
        </w:rPr>
        <w:t xml:space="preserve">以上の大規模案件では6.0万円/kWh</w:t>
      </w:r>
      <w:r>
        <w:t xml:space="preserve"> </w:t>
      </w:r>
      <w:r>
        <w:rPr>
          <w:rFonts w:hint="eastAsia"/>
        </w:rPr>
        <w:t xml:space="preserve">である（経済産業省，2025）。</w:t>
      </w:r>
    </w:p>
    <w:p>
      <w:pPr>
        <w:pStyle w:val="BodyText"/>
      </w:pPr>
      <w:r>
        <w:rPr>
          <w:rFonts w:hint="eastAsia"/>
        </w:rPr>
        <w:t xml:space="preserve">同検討会の公式の諸元（運転維持費5,000円/kW-年、廃止措置費用は建設費の5%、稼働20年）を用いると、4時間蓄電池の年間固定費（AFC）は、割引率5〜6%で約2.5〜3.0万円/kW-年となる。この割引率は契約型の事業の資本コストの水準にあたる（マーチャントについては8.7節）。年間固定費に託送料金と発電側課金の固定費（約0.69万円/kW-年）を加えたものが、参入に必要な年間収益</w:t>
      </w:r>
      <w:r>
        <w:t xml:space="preserve"> </w:t>
      </w:r>
      <m:oMath>
        <m:sSub>
          <m:e>
            <m:r>
              <m:t>c</m:t>
            </m:r>
          </m:e>
          <m:sub>
            <m:r>
              <m:rPr>
                <m:sty m:val="p"/>
              </m:rPr>
              <m:t>r</m:t>
            </m:r>
            <m:r>
              <m:rPr>
                <m:sty m:val="p"/>
              </m:rPr>
              <m:t>e</m:t>
            </m:r>
            <m:r>
              <m:rPr>
                <m:sty m:val="p"/>
              </m:rPr>
              <m:t>q</m:t>
            </m:r>
          </m:sub>
        </m:sSub>
      </m:oMath>
      <w:r>
        <w:t xml:space="preserve"> </w:t>
      </w:r>
      <w:r>
        <w:rPr>
          <w:rFonts w:hint="eastAsia"/>
        </w:rPr>
        <w:t xml:space="preserve">であり、約3.2〜3.7万円/kW-年になる。均衡分析では、限界参入者の市場収入と実効容量収入の和を、この</w:t>
      </w:r>
      <w:r>
        <w:t xml:space="preserve"> </w:t>
      </w:r>
      <m:oMath>
        <m:sSub>
          <m:e>
            <m:r>
              <m:t>c</m:t>
            </m:r>
          </m:e>
          <m:sub>
            <m:r>
              <m:rPr>
                <m:sty m:val="p"/>
              </m:rPr>
              <m:t>r</m:t>
            </m:r>
            <m:r>
              <m:rPr>
                <m:sty m:val="p"/>
              </m:rPr>
              <m:t>e</m:t>
            </m:r>
            <m:r>
              <m:rPr>
                <m:sty m:val="p"/>
              </m:rPr>
              <m:t>q</m:t>
            </m:r>
          </m:sub>
        </m:sSub>
      </m:oMath>
      <w:r>
        <w:t xml:space="preserve"> </w:t>
      </w:r>
      <w:r>
        <w:rPr>
          <w:rFonts w:hint="eastAsia"/>
        </w:rPr>
        <w:t xml:space="preserve">と比べる（4.2.5項）。</w:t>
      </w:r>
    </w:p>
    <w:bookmarkEnd w:id="57"/>
    <w:bookmarkEnd w:id="58"/>
    <w:bookmarkStart w:id="65" w:name="データ"/>
    <w:p>
      <w:pPr>
        <w:pStyle w:val="Heading2"/>
      </w:pPr>
      <w:r>
        <w:t xml:space="preserve">3.6　データ</w:t>
      </w:r>
    </w:p>
    <w:p>
      <w:pPr>
        <w:pStyle w:val="FirstParagraph"/>
      </w:pPr>
      <w:r>
        <w:rPr>
          <w:rFonts w:hint="eastAsia"/>
        </w:rPr>
        <w:t xml:space="preserve">本節では、分析の基盤となる時間パネルの構築と検証を述べる。制度のパラメータと費用の諸元は、OCCTO、定置用蓄電システム普及拡大検討会、調達価格等算定委員会などの一次資料から取り、系統用蓄電池の導入状況は次世代電力系統ワーキンググループの資料と北海道電力ネットワークの公表によった。データの提供機関・期間・取得日と、構築の細部は付録A</w:t>
      </w:r>
      <w:r>
        <w:t xml:space="preserve"> </w:t>
      </w:r>
      <w:r>
        <w:rPr>
          <w:rFonts w:hint="eastAsia"/>
        </w:rPr>
        <w:t xml:space="preserve">に示す。</w:t>
      </w:r>
    </w:p>
    <w:bookmarkStart w:id="59" w:name="対象エリアと比較対象"/>
    <w:p>
      <w:pPr>
        <w:pStyle w:val="Heading3"/>
      </w:pPr>
      <w:r>
        <w:t xml:space="preserve">3.6.1　</w:t>
      </w:r>
      <w:r>
        <w:rPr>
          <w:rFonts w:hint="eastAsia"/>
        </w:rPr>
        <w:t xml:space="preserve">対象エリアと比較対象</w:t>
      </w:r>
    </w:p>
    <w:p>
      <w:pPr>
        <w:pStyle w:val="FirstParagraph"/>
      </w:pPr>
      <w:r>
        <w:rPr>
          <w:rFonts w:hint="eastAsia"/>
        </w:rPr>
        <w:t xml:space="preserve">主な対象は北海道エリアであり、東北エリアと九州エリアを比較と検証に用いる。東北エリアは北本連系線で北海道とつながる隣接エリアであり、北本連系線の分断の判定（3.7節）に用いる。九州エリアは太陽光の導入が先行した太陽光主導の市場であり、風力の比重が大きい北海道と対照をなす。期間は2016年4月1日から2026年6月30日まで（九州は2026年7月26日まで）である。全期間の</w:t>
      </w:r>
      <w:r>
        <w:t xml:space="preserve"> FY2016〜25 </w:t>
      </w:r>
      <w:r>
        <w:rPr>
          <w:rFonts w:hint="eastAsia"/>
        </w:rPr>
        <w:t xml:space="preserve">と、価格過程を推定する直近の</w:t>
      </w:r>
      <w:r>
        <w:t xml:space="preserve"> FY2023〜25 </w:t>
      </w:r>
      <w:r>
        <w:rPr>
          <w:rFonts w:hint="eastAsia"/>
        </w:rPr>
        <w:t xml:space="preserve">を主に用いる。</w:t>
      </w:r>
    </w:p>
    <w:p>
      <w:pPr>
        <w:pStyle w:val="BodyText"/>
      </w:pPr>
      <w:r>
        <w:rPr>
          <w:rFonts w:hint="eastAsia"/>
        </w:rPr>
        <w:t xml:space="preserve">九州について本研究と同じ枠組みで測ると、次の二つの事実が観察される。第一に、4時間蓄電池の完全予見粗利（3.7節）は</w:t>
      </w:r>
      <w:r>
        <w:t xml:space="preserve"> FY2023〜25 </w:t>
      </w:r>
      <w:r>
        <w:rPr>
          <w:rFonts w:hint="eastAsia"/>
        </w:rPr>
        <w:t xml:space="preserve">に1.04万〜1.25万円/kW-年にとどまり、3.5.3項で述べる蓄電池の年間固定費に届かない。第二に、太陽光の導入が増え続けるなかで、下限張り付きのコマ数は</w:t>
      </w:r>
      <w:r>
        <w:t xml:space="preserve"> FY2023 </w:t>
      </w:r>
      <w:r>
        <w:rPr>
          <w:rFonts w:hint="eastAsia"/>
        </w:rPr>
        <w:t xml:space="preserve">の2,178コマを頂点に</w:t>
      </w:r>
      <w:r>
        <w:t xml:space="preserve"> FY2025 </w:t>
      </w:r>
      <w:r>
        <w:rPr>
          <w:rFonts w:hint="eastAsia"/>
        </w:rPr>
        <w:t xml:space="preserve">には983コマへ減り、完全予見粗利も同じ期間に2割近く減った（表D.1）。この観察は、再エネが増えれば蓄電池の裁定の機会も増えるという素朴な予想が、太陽光の先進地域では成り立つとは限らないことを示唆する（2年間の記述統計であり、要因は識別していない）。ただし、太陽光と風力では変動の性質が異なるので、この観察が風力主導の北海道に当てはまるかは自明ではない。本研究が北海道を主な対象とし、九州を比較に置くのはこのためである。</w:t>
      </w:r>
    </w:p>
    <w:bookmarkEnd w:id="59"/>
    <w:bookmarkStart w:id="60" w:name="需給実績と価格の時間パネル"/>
    <w:p>
      <w:pPr>
        <w:pStyle w:val="Heading3"/>
      </w:pPr>
      <w:r>
        <w:t xml:space="preserve">3.6.2　</w:t>
      </w:r>
      <w:r>
        <w:rPr>
          <w:rFonts w:hint="eastAsia"/>
        </w:rPr>
        <w:t xml:space="preserve">需給実績と価格の時間パネル</w:t>
      </w:r>
    </w:p>
    <w:p>
      <w:pPr>
        <w:pStyle w:val="FirstParagraph"/>
      </w:pPr>
      <w:r>
        <w:rPr>
          <w:rFonts w:hint="eastAsia"/>
        </w:rPr>
        <w:t xml:space="preserve">分析の基盤は、一般送配電事業者が公表する需給実績と</w:t>
      </w:r>
      <w:r>
        <w:t xml:space="preserve"> JEPX </w:t>
      </w:r>
      <w:r>
        <w:rPr>
          <w:rFonts w:hint="eastAsia"/>
        </w:rPr>
        <w:t xml:space="preserve">のエリアプライスを結合した時間パネルである。需給実績は北海道電力ネットワーク（n.d.）、東北電力ネットワーク（n.d.）、九州電力送配電（n.d.）が公表するもので、エリアの需要、原子力・火力・水力・揚水の発電量、太陽光・風力の実績と抑制量、連系線の潮流を含む。需給実績の新様式（2024年以降）と価格（エリアプライスとシステムプライス。日本卸電力取引所，n.d.）の30分値は2コマの平均をとって60分値に変換し、旧様式の60分値と接続した。北海道と東北のパネルは各89,832時間、九州のパネルは90,452時間からなり、欠落した時刻はない。</w:t>
      </w:r>
    </w:p>
    <w:p>
      <w:pPr>
        <w:pStyle w:val="BodyText"/>
      </w:pPr>
      <w:r>
        <w:rPr>
          <w:rFonts w:hint="eastAsia"/>
        </w:rPr>
        <w:t xml:space="preserve">時刻ラベルの位置や連系線潮流の符号といった様式の違いは構築時に検証し、需給の恒等式の残差が北海道で最大12MW、東北で最大58MW</w:t>
      </w:r>
      <w:r>
        <w:t xml:space="preserve"> </w:t>
      </w:r>
      <w:r>
        <w:rPr>
          <w:rFonts w:hint="eastAsia"/>
        </w:rPr>
        <w:t xml:space="preserve">にとどまることを確かめた。九州の新様式（2024年3月以降）には「その他」の電源の列を取り込んでいないことによる平均約0.2GW</w:t>
      </w:r>
      <w:r>
        <w:t xml:space="preserve"> </w:t>
      </w:r>
      <w:r>
        <w:rPr>
          <w:rFonts w:hint="eastAsia"/>
        </w:rPr>
        <w:t xml:space="preserve">の系統的な残差が残るが、分析に使う列には影響しない（付録A.2）。</w:t>
      </w:r>
    </w:p>
    <w:bookmarkEnd w:id="60"/>
    <w:bookmarkStart w:id="61" w:name="欠測と外れ値の扱い"/>
    <w:p>
      <w:pPr>
        <w:pStyle w:val="Heading3"/>
      </w:pPr>
      <w:r>
        <w:t xml:space="preserve">3.6.3　</w:t>
      </w:r>
      <w:r>
        <w:rPr>
          <w:rFonts w:hint="eastAsia"/>
        </w:rPr>
        <w:t xml:space="preserve">欠測と外れ値の扱い</w:t>
      </w:r>
    </w:p>
    <w:p>
      <w:pPr>
        <w:pStyle w:val="FirstParagraph"/>
      </w:pPr>
      <w:r>
        <w:rPr>
          <w:rFonts w:hint="eastAsia"/>
        </w:rPr>
        <w:t xml:space="preserve">分析に用いる変数の欠測は2か所ある。北海道のエリアプライスは、北海道胆振東部地震（2018年9月6日未明）によるブラックアウトの後の取引停止に対応して、9月7日から26日までの480時間が欠測している。九州のパネルでは、2019年3月12日から31日までの20日間、需要と原子力・火力の発電量などが欠測している。日次の指標は24時間がそろう日だけで作るので、これらの20日はそれぞれの日次回帰から除かれ、日次回帰に用いるのは</w:t>
      </w:r>
      <w:r>
        <w:t xml:space="preserve"> FY2016〜25 </w:t>
      </w:r>
      <w:r>
        <w:rPr>
          <w:rFonts w:hint="eastAsia"/>
        </w:rPr>
        <w:t xml:space="preserve">で北海道・九州とも3,632日、FY2023〜25</w:t>
      </w:r>
      <w:r>
        <w:t xml:space="preserve"> </w:t>
      </w:r>
      <w:r>
        <w:rPr>
          <w:rFonts w:hint="eastAsia"/>
        </w:rPr>
        <w:t xml:space="preserve">で1,096日である。地震の当日の2018年9月6日は標本に残す。この日の需要（標本の最小）と太陽光（0）はブラックアウトの影響を受けた外れ値であるが、除いても日次回帰の係数（表5.2）はほとんど変わらず、有意性の判定が変わるのは1本だけである（付録A.3）。</w:t>
      </w:r>
    </w:p>
    <w:bookmarkEnd w:id="61"/>
    <w:bookmarkStart w:id="62" w:name="風力出力の観測上の性質"/>
    <w:p>
      <w:pPr>
        <w:pStyle w:val="Heading3"/>
      </w:pPr>
      <w:r>
        <w:t xml:space="preserve">3.6.4　</w:t>
      </w:r>
      <w:r>
        <w:rPr>
          <w:rFonts w:hint="eastAsia"/>
        </w:rPr>
        <w:t xml:space="preserve">風力出力の観測上の性質</w:t>
      </w:r>
    </w:p>
    <w:p>
      <w:pPr>
        <w:pStyle w:val="FirstParagraph"/>
      </w:pPr>
      <w:r>
        <w:rPr>
          <w:rFonts w:hint="eastAsia"/>
        </w:rPr>
        <w:t xml:space="preserve">北海道電力ネットワークは、出力20kW</w:t>
      </w:r>
      <w:r>
        <w:t xml:space="preserve"> </w:t>
      </w:r>
      <w:r>
        <w:rPr>
          <w:rFonts w:hint="eastAsia"/>
        </w:rPr>
        <w:t xml:space="preserve">以上の風力（太陽光は2,000kW</w:t>
      </w:r>
      <w:r>
        <w:t xml:space="preserve"> </w:t>
      </w:r>
      <w:r>
        <w:rPr>
          <w:rFonts w:hint="eastAsia"/>
        </w:rPr>
        <w:t xml:space="preserve">以上）の系統連系に、蓄電池の併設などで出力の変動を均してから系統に送ることを求める出力変動緩和対策の技術要件を課してきた。この要件は2023年7月1日以降に接続検討を申し込む電源からは撤廃されたが（北海道電力ネットワーク，2023）、観測期間の風力にはこの要件の下で連系した電源が含まれる。需給実績の風力出力は連系点での値なので、平滑化が時間単位の変動にまで及んでいれば、帯域分解（5.1.1項）の6時間未満の帯域の分散は過小になりうる。ただし、この要件のない九州の風力でも6時間未満の帯域の分散シェアは北海道と同じ1.9%であり（表5.1）、日次の発電量も平滑化でほとんど変わらないので、日次回帰と</w:t>
      </w:r>
      <w:r>
        <w:t xml:space="preserve"> </w:t>
      </w:r>
      <w:r>
        <w:rPr>
          <w:rFonts w:hint="eastAsia"/>
        </w:rPr>
        <w:t xml:space="preserve">TB4h（3.7節）に基づく結論への影響は小さいと考えられる（10.5節）。</w:t>
      </w:r>
    </w:p>
    <w:bookmarkEnd w:id="62"/>
    <w:bookmarkStart w:id="63" w:name="導入量と設備利用率"/>
    <w:p>
      <w:pPr>
        <w:pStyle w:val="Heading3"/>
      </w:pPr>
      <w:r>
        <w:t xml:space="preserve">3.6.5　</w:t>
      </w:r>
      <w:r>
        <w:rPr>
          <w:rFonts w:hint="eastAsia"/>
        </w:rPr>
        <w:t xml:space="preserve">導入量と設備利用率</w:t>
      </w:r>
    </w:p>
    <w:p>
      <w:pPr>
        <w:pStyle w:val="FirstParagraph"/>
      </w:pPr>
      <w:r>
        <w:rPr>
          <w:rFonts w:hint="eastAsia"/>
        </w:rPr>
        <w:t xml:space="preserve">太陽光・風力の導入量は、固定価格買取制度（FIT）とフィードインプレミアム制度（FIP）について資源エネルギー庁（n.d.）が公表する表B（市町村別の導入容量。新規認定分と移行認定分の合計）から都道府県別に集計し、エリア別（北海道、東北6県と新潟からなる東北、九州）に月次で線形補間した。数えるのは</w:t>
      </w:r>
      <w:r>
        <w:t xml:space="preserve"> FIT/FIP </w:t>
      </w:r>
      <w:r>
        <w:rPr>
          <w:rFonts w:hint="eastAsia"/>
        </w:rPr>
        <w:t xml:space="preserve">の認定設備だけであり、非</w:t>
      </w:r>
      <w:r>
        <w:t xml:space="preserve"> FIT </w:t>
      </w:r>
      <w:r>
        <w:rPr>
          <w:rFonts w:hint="eastAsia"/>
        </w:rPr>
        <w:t xml:space="preserve">の設備は含まない（四半期の欠落の扱いは付録A.4）。北海道の風力の導入量は、32.0万kW（2016年3月末）から63.9万kW（2023年3月末）、141.3万kW（2025年12月末）へ増えた。太陽光は同じ時点で99.3万kW、225.1万kW、235.9万kW</w:t>
      </w:r>
      <w:r>
        <w:t xml:space="preserve"> である。</w:t>
      </w:r>
    </w:p>
    <w:p>
      <w:pPr>
        <w:pStyle w:val="BodyText"/>
      </w:pPr>
      <w:r>
        <w:rPr>
          <w:rFonts w:hint="eastAsia"/>
        </w:rPr>
        <w:t xml:space="preserve">制御前出力（太陽光・風力の実績出力に抑制量を加えた値）を導入量で除して、設備利用率（capacity</w:t>
      </w:r>
      <w:r>
        <w:t xml:space="preserve"> </w:t>
      </w:r>
      <w:r>
        <w:rPr>
          <w:rFonts w:hint="eastAsia"/>
        </w:rPr>
        <w:t xml:space="preserve">factor、以下</w:t>
      </w:r>
      <w:r>
        <w:t xml:space="preserve"> </w:t>
      </w:r>
      <w:r>
        <w:rPr>
          <w:rFonts w:hint="eastAsia"/>
        </w:rPr>
        <w:t xml:space="preserve">cf）の過程を取り出した。FY2016〜25</w:t>
      </w:r>
      <w:r>
        <w:t xml:space="preserve"> </w:t>
      </w:r>
      <w:r>
        <w:rPr>
          <w:rFonts w:hint="eastAsia"/>
        </w:rPr>
        <w:t xml:space="preserve">の年度平均（時間平均）は、北海道の風力で25〜29%（FY2023</w:t>
      </w:r>
      <w:r>
        <w:t xml:space="preserve"> </w:t>
      </w:r>
      <w:r>
        <w:rPr>
          <w:rFonts w:hint="eastAsia"/>
        </w:rPr>
        <w:t xml:space="preserve">を除く）、太陽光で12〜16%である。この</w:t>
      </w:r>
      <w:r>
        <w:t xml:space="preserve"> cf </w:t>
      </w:r>
      <w:r>
        <w:rPr>
          <w:rFonts w:hint="eastAsia"/>
        </w:rPr>
        <w:t xml:space="preserve">の過程は、導入量をシナリオの変数として動かすときに、気象のパスを保存するために用いる。風力のシナリオでは、観測された</w:t>
      </w:r>
      <w:r>
        <w:t xml:space="preserve"> cf </w:t>
      </w:r>
      <w:r>
        <w:rPr>
          <w:rFonts w:hint="eastAsia"/>
        </w:rPr>
        <w:t xml:space="preserve">に仮想の導入量を乗じて出力を作る（7.1.1項）。</w:t>
      </w:r>
    </w:p>
    <w:p>
      <w:pPr>
        <w:pStyle w:val="BodyText"/>
      </w:pPr>
      <w:r>
        <w:t xml:space="preserve">FY2023 </w:t>
      </w:r>
      <w:r>
        <w:rPr>
          <w:rFonts w:hint="eastAsia"/>
        </w:rPr>
        <w:t xml:space="preserve">の風力の</w:t>
      </w:r>
      <w:r>
        <w:t xml:space="preserve"> cf </w:t>
      </w:r>
      <w:r>
        <w:rPr>
          <w:rFonts w:hint="eastAsia"/>
        </w:rPr>
        <w:t xml:space="preserve">は30.4%と他の年度より高い。表B</w:t>
      </w:r>
      <w:r>
        <w:t xml:space="preserve"> </w:t>
      </w:r>
      <w:r>
        <w:rPr>
          <w:rFonts w:hint="eastAsia"/>
        </w:rPr>
        <w:t xml:space="preserve">は認定設備を運転開始の時点で計上するので、試運転中の発電などにより出力が容量に先行する月の</w:t>
      </w:r>
      <w:r>
        <w:t xml:space="preserve"> cf </w:t>
      </w:r>
      <w:r>
        <w:rPr>
          <w:rFonts w:hint="eastAsia"/>
        </w:rPr>
        <w:t xml:space="preserve">が過大になるためである。容量の計上を前倒しする補正をしても、同じ倍率で比べた風力シナリオの完全予見粗利と限界参入者の収益</w:t>
      </w:r>
      <w:r>
        <w:t xml:space="preserve"> </w:t>
      </w:r>
      <m:oMath>
        <m:r>
          <m:t>π</m:t>
        </m:r>
        <m:r>
          <m:rPr>
            <m:sty m:val="p"/>
          </m:rPr>
          <m:t>(</m:t>
        </m:r>
        <m:r>
          <m:t>0</m:t>
        </m:r>
        <m:r>
          <m:rPr>
            <m:sty m:val="p"/>
          </m:rPr>
          <m:t>)</m:t>
        </m:r>
      </m:oMath>
      <w:r>
        <w:rPr>
          <w:rFonts w:hint="eastAsia"/>
        </w:rPr>
        <w:t xml:space="preserve">（4.2.4項）の変化は1%未満なので、本研究は補正前の系列を用いる（診断と補正の影響は付録A.4・C.1.4・C.3・C.5.2）。</w:t>
      </w:r>
    </w:p>
    <w:bookmarkEnd w:id="63"/>
    <w:bookmarkStart w:id="64" w:name="外部情報との突合"/>
    <w:p>
      <w:pPr>
        <w:pStyle w:val="Heading3"/>
      </w:pPr>
      <w:r>
        <w:t xml:space="preserve">3.6.6　</w:t>
      </w:r>
      <w:r>
        <w:rPr>
          <w:rFonts w:hint="eastAsia"/>
        </w:rPr>
        <w:t xml:space="preserve">外部情報との突合</w:t>
      </w:r>
    </w:p>
    <w:p>
      <w:pPr>
        <w:pStyle w:val="FirstParagraph"/>
      </w:pPr>
      <w:r>
        <w:rPr>
          <w:rFonts w:hint="eastAsia"/>
        </w:rPr>
        <w:t xml:space="preserve">パネルの品質は、外部の公表値との突合で確かめた。出力制御が初めて生じた日（北海道2022年5月8日、東北2022年4月10日）は各社の公表と一致する。表B</w:t>
      </w:r>
      <w:r>
        <w:t xml:space="preserve"> </w:t>
      </w:r>
      <w:r>
        <w:rPr>
          <w:rFonts w:hint="eastAsia"/>
        </w:rPr>
        <w:t xml:space="preserve">の北海道の風力の年末の導入量は、日本風力発電協会（JWPA）の年末導入量に対して−11%〜+10%の差をもつが、差の向きは年によって異なり、商用運転の設備を数える</w:t>
      </w:r>
      <w:r>
        <w:t xml:space="preserve"> JWPA </w:t>
      </w:r>
      <w:r>
        <w:rPr>
          <w:rFonts w:hint="eastAsia"/>
        </w:rPr>
        <w:t xml:space="preserve">と計上の基準と時期が違うことを反映していると考えられる（日本風力発電協会，2020〜2026。付録A.5）。太陽光は、北海道電力ネットワーク（2026）が公表する接続済みの容量（2025年3月末に236万kW）との差が−0.7%である。FY2023〜25</w:t>
      </w:r>
      <w:r>
        <w:t xml:space="preserve"> </w:t>
      </w:r>
      <w:r>
        <w:rPr>
          <w:rFonts w:hint="eastAsia"/>
        </w:rPr>
        <w:t xml:space="preserve">の下限張り付き時間は北海道で0.55時間/日、九州で1.78時間/日であり、太陽光の多い九州で下限張り付きが多いという既知の構造の差と整合する。</w:t>
      </w:r>
    </w:p>
    <w:bookmarkEnd w:id="64"/>
    <w:bookmarkEnd w:id="65"/>
    <w:bookmarkStart w:id="66" w:name="主要な変数と記述統計"/>
    <w:p>
      <w:pPr>
        <w:pStyle w:val="Heading2"/>
      </w:pPr>
      <w:r>
        <w:t xml:space="preserve">3.7　</w:t>
      </w:r>
      <w:r>
        <w:rPr>
          <w:rFonts w:hint="eastAsia"/>
        </w:rPr>
        <w:t xml:space="preserve">主要な変数と記述統計</w:t>
      </w:r>
    </w:p>
    <w:p>
      <w:pPr>
        <w:pStyle w:val="FirstParagraph"/>
      </w:pPr>
      <w:r>
        <w:rPr>
          <w:rFonts w:hint="eastAsia"/>
        </w:rPr>
        <w:t xml:space="preserve">以降の章で用いる主な変数を定義する（定義の一覧は付録A.7）。価格の水準の指標は、24時間のエリアプライスの平均である日平均価格とする。日内の形状の指標は</w:t>
      </w:r>
      <w:r>
        <w:t xml:space="preserve"> TB4h </w:t>
      </w:r>
      <w:r>
        <w:rPr>
          <w:rFonts w:hint="eastAsia"/>
        </w:rPr>
        <w:t xml:space="preserve">スプレッドであり、日内で価格の高い4時間の平均から低い4時間の平均を引いた値で、4時間蓄電池の裁定の原資にあたる。24時間の価格の標準偏差である日内標準偏差は、変動性の補助的な指標である。下限張り付き時間は、エリアプライスが下限価格にある時間の数であり、60分平均では0.011円/kWh</w:t>
      </w:r>
      <w:r>
        <w:t xml:space="preserve"> </w:t>
      </w:r>
      <w:r>
        <w:rPr>
          <w:rFonts w:hint="eastAsia"/>
        </w:rPr>
        <w:t xml:space="preserve">以下の時間とする。</w:t>
      </w:r>
    </w:p>
    <w:p>
      <w:pPr>
        <w:pStyle w:val="BodyText"/>
      </w:pPr>
      <w:r>
        <w:rPr>
          <w:rFonts w:hint="eastAsia"/>
        </w:rPr>
        <w:t xml:space="preserve">市場分断は二つを区別する。一つはシステムプライス比の高値・安値である。北海道のエリアプライスとシステムプライスの差が+0.01円/kWh</w:t>
      </w:r>
      <w:r>
        <w:t xml:space="preserve"> </w:t>
      </w:r>
      <w:r>
        <w:rPr>
          <w:rFonts w:hint="eastAsia"/>
        </w:rPr>
        <w:t xml:space="preserve">を超える時間を高値、−0.01円/kWh</w:t>
      </w:r>
      <w:r>
        <w:t xml:space="preserve"> </w:t>
      </w:r>
      <w:r>
        <w:rPr>
          <w:rFonts w:hint="eastAsia"/>
        </w:rPr>
        <w:t xml:space="preserve">を下回る時間を安値、±0.01円/kWh</w:t>
      </w:r>
      <w:r>
        <w:t xml:space="preserve"> </w:t>
      </w:r>
      <w:r>
        <w:rPr>
          <w:rFonts w:hint="eastAsia"/>
        </w:rPr>
        <w:t xml:space="preserve">以内の時間を同価格とする。価格過程の分断混合仕様（7.1.1項）のレジームは、この定義による。もう一つは北本連系線の分断であり、北海道と東北のエリアプライスの差が±0.01円/kWh</w:t>
      </w:r>
      <w:r>
        <w:t xml:space="preserve"> </w:t>
      </w:r>
      <w:r>
        <w:rPr>
          <w:rFonts w:hint="eastAsia"/>
        </w:rPr>
        <w:t xml:space="preserve">を超える時間とし、北海道が高い場合と低い場合に分ける。</w:t>
      </w:r>
    </w:p>
    <w:p>
      <w:pPr>
        <w:pStyle w:val="BodyText"/>
      </w:pPr>
      <w:r>
        <w:rPr>
          <w:rFonts w:hint="eastAsia"/>
        </w:rPr>
        <w:t xml:space="preserve">蓄電池の価値の基本の尺度は、完全予見粗利（完全予見の下での裁定粗利）である。これは、4時間蓄電池が当日の実現価格を完全に予見し、日ごとに最安の4時間に充電して最高の4時間に放電する（粗利が負の日は休止する）ときの年間粗利（円/kW-年）であり、前日スポット・1日1サイクルという条件の下での、先読みのない運用の価値の上界にあたる（定式化は4.2.1項）。</w:t>
      </w:r>
    </w:p>
    <w:p>
      <w:pPr>
        <w:pStyle w:val="BodyText"/>
      </w:pPr>
      <w:r>
        <w:rPr>
          <w:rFonts w:hint="eastAsia"/>
        </w:rPr>
        <w:t xml:space="preserve">表3.1</w:t>
      </w:r>
      <w:r>
        <w:t xml:space="preserve"> </w:t>
      </w:r>
      <w:r>
        <w:rPr>
          <w:rFonts w:hint="eastAsia"/>
        </w:rPr>
        <w:t xml:space="preserve">は、日次回帰の標本（24時間がそろう日）について、これらの価格指標と需要・発電量の記述統計を、北海道と九州、全期間と直近の3年度に分けて示したものである。</w:t>
      </w:r>
    </w:p>
    <w:p>
      <w:pPr>
        <w:pStyle w:val="TableCaption"/>
      </w:pPr>
      <w:r>
        <w:rPr>
          <w:rFonts w:hint="eastAsia"/>
        </w:rPr>
        <w:t xml:space="preserve">表3.1</w:t>
      </w:r>
      <w:r>
        <w:t xml:space="preserve">　</w:t>
      </w:r>
      <w:r>
        <w:rPr>
          <w:rFonts w:hint="eastAsia"/>
        </w:rPr>
        <w:t xml:space="preserve">日次の記述統計</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3.1　日次の記述統計"/>
      </w:tblPr>
      <w:tblGrid>
        <w:gridCol w:w="1320"/>
        <w:gridCol w:w="1320"/>
        <w:gridCol w:w="1320"/>
        <w:gridCol w:w="1320"/>
        <w:gridCol w:w="1320"/>
        <w:gridCol w:w="1320"/>
      </w:tblGrid>
      <w:tr>
        <w:trPr>
          <w:tblHeader w:val="on"/>
        </w:trPr>
        <w:tc>
          <w:tcPr>
            <w:tcBorders>
              <w:bottom w:val="single" w:sz="6" w:color="000000"/>
            </w:tcBorders>
          </w:tcPr>
          <w:p>
            <w:pPr>
              <w:pStyle w:val="Compact"/>
            </w:pPr>
            <w:r>
              <w:rPr>
                <w:rFonts w:hint="eastAsia"/>
                <w:sz w:val="18"/>
              </w:rPr>
              <w:t xml:space="preserve">変数</w:t>
            </w:r>
          </w:p>
        </w:tc>
        <w:tc>
          <w:tcPr>
            <w:tcBorders>
              <w:bottom w:val="single" w:sz="6" w:color="000000"/>
            </w:tcBorders>
          </w:tcPr>
          <w:p>
            <w:pPr>
              <w:pStyle w:val="Compact"/>
              <w:jc w:val="right"/>
            </w:pPr>
            <w:r>
              <w:rPr>
                <w:rFonts w:hint="eastAsia"/>
                <w:sz w:val="18"/>
              </w:rPr>
              <w:t xml:space="preserve">平均</w:t>
            </w:r>
          </w:p>
        </w:tc>
        <w:tc>
          <w:tcPr>
            <w:tcBorders>
              <w:bottom w:val="single" w:sz="6" w:color="000000"/>
            </w:tcBorders>
          </w:tcPr>
          <w:p>
            <w:pPr>
              <w:pStyle w:val="Compact"/>
              <w:jc w:val="right"/>
            </w:pPr>
            <w:r>
              <w:rPr>
                <w:rFonts w:hint="eastAsia"/>
                <w:sz w:val="18"/>
              </w:rPr>
              <w:t xml:space="preserve">標準偏差</w:t>
            </w:r>
          </w:p>
        </w:tc>
        <w:tc>
          <w:tcPr>
            <w:tcBorders>
              <w:bottom w:val="single" w:sz="6" w:color="000000"/>
            </w:tcBorders>
          </w:tcPr>
          <w:p>
            <w:pPr>
              <w:pStyle w:val="Compact"/>
              <w:jc w:val="right"/>
            </w:pPr>
            <w:r>
              <w:rPr>
                <w:rFonts w:hint="eastAsia"/>
                <w:sz w:val="18"/>
              </w:rPr>
              <w:t xml:space="preserve">最小</w:t>
            </w:r>
          </w:p>
        </w:tc>
        <w:tc>
          <w:tcPr>
            <w:tcBorders>
              <w:bottom w:val="single" w:sz="6" w:color="000000"/>
            </w:tcBorders>
          </w:tcPr>
          <w:p>
            <w:pPr>
              <w:pStyle w:val="Compact"/>
              <w:jc w:val="right"/>
            </w:pPr>
            <w:r>
              <w:rPr>
                <w:rFonts w:hint="eastAsia"/>
                <w:sz w:val="18"/>
              </w:rPr>
              <w:t xml:space="preserve">中央値</w:t>
            </w:r>
          </w:p>
        </w:tc>
        <w:tc>
          <w:tcPr>
            <w:tcBorders>
              <w:bottom w:val="single" w:sz="6" w:color="000000"/>
            </w:tcBorders>
          </w:tcPr>
          <w:p>
            <w:pPr>
              <w:pStyle w:val="Compact"/>
              <w:jc w:val="right"/>
            </w:pPr>
            <w:r>
              <w:rPr>
                <w:rFonts w:hint="eastAsia"/>
                <w:sz w:val="18"/>
              </w:rPr>
              <w:t xml:space="preserve">最大</w:t>
            </w:r>
          </w:p>
        </w:tc>
      </w:tr>
      <w:tr>
        <w:tc>
          <w:tcPr/>
          <w:p>
            <w:pPr>
              <w:pStyle w:val="Compact"/>
            </w:pPr>
            <w:r>
              <w:rPr>
                <w:rFonts w:hint="eastAsia"/>
                <w:b/>
                <w:bCs/>
                <w:sz w:val="18"/>
              </w:rPr>
              <w:t xml:space="preserve">パネルA：北海道</w:t>
            </w:r>
            <w:r>
              <w:rPr>
                <w:b/>
                <w:bCs/>
                <w:sz w:val="18"/>
              </w:rPr>
              <w:t xml:space="preserve"> </w:t>
            </w:r>
            <w:r>
              <w:rPr>
                <w:rFonts w:hint="eastAsia"/>
                <w:b/>
                <w:bCs/>
                <w:sz w:val="18"/>
              </w:rPr>
              <w:t xml:space="preserve">FY2016〜25（N=3,632）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日平均価格（円/kWh）</w:t>
            </w:r>
          </w:p>
        </w:tc>
        <w:tc>
          <w:tcPr/>
          <w:p>
            <w:pPr>
              <w:pStyle w:val="Compact"/>
              <w:jc w:val="right"/>
            </w:pPr>
            <w:r>
              <w:rPr>
                <w:sz w:val="18"/>
              </w:rPr>
              <w:t xml:space="preserve">13.38</w:t>
            </w:r>
          </w:p>
        </w:tc>
        <w:tc>
          <w:tcPr/>
          <w:p>
            <w:pPr>
              <w:pStyle w:val="Compact"/>
              <w:jc w:val="right"/>
            </w:pPr>
            <w:r>
              <w:rPr>
                <w:sz w:val="18"/>
              </w:rPr>
              <w:t xml:space="preserve">8.65</w:t>
            </w:r>
          </w:p>
        </w:tc>
        <w:tc>
          <w:tcPr/>
          <w:p>
            <w:pPr>
              <w:pStyle w:val="Compact"/>
              <w:jc w:val="right"/>
            </w:pPr>
            <w:r>
              <w:rPr>
                <w:sz w:val="18"/>
              </w:rPr>
              <w:t xml:space="preserve">3.43</w:t>
            </w:r>
          </w:p>
        </w:tc>
        <w:tc>
          <w:tcPr/>
          <w:p>
            <w:pPr>
              <w:pStyle w:val="Compact"/>
              <w:jc w:val="right"/>
            </w:pPr>
            <w:r>
              <w:rPr>
                <w:sz w:val="18"/>
              </w:rPr>
              <w:t xml:space="preserve">11.92</w:t>
            </w:r>
          </w:p>
        </w:tc>
        <w:tc>
          <w:tcPr/>
          <w:p>
            <w:pPr>
              <w:pStyle w:val="Compact"/>
              <w:jc w:val="right"/>
            </w:pPr>
            <w:r>
              <w:rPr>
                <w:sz w:val="18"/>
              </w:rPr>
              <w:t xml:space="preserve">167.03</w:t>
            </w:r>
          </w:p>
        </w:tc>
      </w:tr>
      <w:tr>
        <w:tc>
          <w:tcPr/>
          <w:p>
            <w:pPr>
              <w:pStyle w:val="Compact"/>
            </w:pPr>
            <w:r>
              <w:rPr>
                <w:rFonts w:hint="eastAsia"/>
                <w:sz w:val="18"/>
              </w:rPr>
              <w:t xml:space="preserve">TB4h（円/kWh）</w:t>
            </w:r>
          </w:p>
        </w:tc>
        <w:tc>
          <w:tcPr/>
          <w:p>
            <w:pPr>
              <w:pStyle w:val="Compact"/>
              <w:jc w:val="right"/>
            </w:pPr>
            <w:r>
              <w:rPr>
                <w:sz w:val="18"/>
              </w:rPr>
              <w:t xml:space="preserve">11.35</w:t>
            </w:r>
          </w:p>
        </w:tc>
        <w:tc>
          <w:tcPr/>
          <w:p>
            <w:pPr>
              <w:pStyle w:val="Compact"/>
              <w:jc w:val="right"/>
            </w:pPr>
            <w:r>
              <w:rPr>
                <w:sz w:val="18"/>
              </w:rPr>
              <w:t xml:space="preserve">13.31</w:t>
            </w:r>
          </w:p>
        </w:tc>
        <w:tc>
          <w:tcPr/>
          <w:p>
            <w:pPr>
              <w:pStyle w:val="Compact"/>
              <w:jc w:val="right"/>
            </w:pPr>
            <w:r>
              <w:rPr>
                <w:sz w:val="18"/>
              </w:rPr>
              <w:t xml:space="preserve">0.49</w:t>
            </w:r>
          </w:p>
        </w:tc>
        <w:tc>
          <w:tcPr/>
          <w:p>
            <w:pPr>
              <w:pStyle w:val="Compact"/>
              <w:jc w:val="right"/>
            </w:pPr>
            <w:r>
              <w:rPr>
                <w:sz w:val="18"/>
              </w:rPr>
              <w:t xml:space="preserve">8.13</w:t>
            </w:r>
          </w:p>
        </w:tc>
        <w:tc>
          <w:tcPr/>
          <w:p>
            <w:pPr>
              <w:pStyle w:val="Compact"/>
              <w:jc w:val="right"/>
            </w:pPr>
            <w:r>
              <w:rPr>
                <w:sz w:val="18"/>
              </w:rPr>
              <w:t xml:space="preserve">204.58</w:t>
            </w:r>
          </w:p>
        </w:tc>
      </w:tr>
      <w:tr>
        <w:tc>
          <w:tcPr/>
          <w:p>
            <w:pPr>
              <w:pStyle w:val="Compact"/>
            </w:pPr>
            <w:r>
              <w:rPr>
                <w:rFonts w:hint="eastAsia"/>
                <w:sz w:val="18"/>
              </w:rPr>
              <w:t xml:space="preserve">日内標準偏差（円/kWh）</w:t>
            </w:r>
          </w:p>
        </w:tc>
        <w:tc>
          <w:tcPr/>
          <w:p>
            <w:pPr>
              <w:pStyle w:val="Compact"/>
              <w:jc w:val="right"/>
            </w:pPr>
            <w:r>
              <w:rPr>
                <w:sz w:val="18"/>
              </w:rPr>
              <w:t xml:space="preserve">4.19</w:t>
            </w:r>
          </w:p>
        </w:tc>
        <w:tc>
          <w:tcPr/>
          <w:p>
            <w:pPr>
              <w:pStyle w:val="Compact"/>
              <w:jc w:val="right"/>
            </w:pPr>
            <w:r>
              <w:rPr>
                <w:sz w:val="18"/>
              </w:rPr>
              <w:t xml:space="preserve">4.94</w:t>
            </w:r>
          </w:p>
        </w:tc>
        <w:tc>
          <w:tcPr/>
          <w:p>
            <w:pPr>
              <w:pStyle w:val="Compact"/>
              <w:jc w:val="right"/>
            </w:pPr>
            <w:r>
              <w:rPr>
                <w:sz w:val="18"/>
              </w:rPr>
              <w:t xml:space="preserve">0.21</w:t>
            </w:r>
          </w:p>
        </w:tc>
        <w:tc>
          <w:tcPr/>
          <w:p>
            <w:pPr>
              <w:pStyle w:val="Compact"/>
              <w:jc w:val="right"/>
            </w:pPr>
            <w:r>
              <w:rPr>
                <w:sz w:val="18"/>
              </w:rPr>
              <w:t xml:space="preserve">2.98</w:t>
            </w:r>
          </w:p>
        </w:tc>
        <w:tc>
          <w:tcPr/>
          <w:p>
            <w:pPr>
              <w:pStyle w:val="Compact"/>
              <w:jc w:val="right"/>
            </w:pPr>
            <w:r>
              <w:rPr>
                <w:sz w:val="18"/>
              </w:rPr>
              <w:t xml:space="preserve">74.75</w:t>
            </w:r>
          </w:p>
        </w:tc>
      </w:tr>
      <w:tr>
        <w:tc>
          <w:tcPr/>
          <w:p>
            <w:pPr>
              <w:pStyle w:val="Compact"/>
            </w:pPr>
            <w:r>
              <w:rPr>
                <w:rFonts w:hint="eastAsia"/>
                <w:sz w:val="18"/>
              </w:rPr>
              <w:t xml:space="preserve">需要（GWh/日）</w:t>
            </w:r>
          </w:p>
        </w:tc>
        <w:tc>
          <w:tcPr/>
          <w:p>
            <w:pPr>
              <w:pStyle w:val="Compact"/>
              <w:jc w:val="right"/>
            </w:pPr>
            <w:r>
              <w:rPr>
                <w:sz w:val="18"/>
              </w:rPr>
              <w:t xml:space="preserve">83.36</w:t>
            </w:r>
          </w:p>
        </w:tc>
        <w:tc>
          <w:tcPr/>
          <w:p>
            <w:pPr>
              <w:pStyle w:val="Compact"/>
              <w:jc w:val="right"/>
            </w:pPr>
            <w:r>
              <w:rPr>
                <w:sz w:val="18"/>
              </w:rPr>
              <w:t xml:space="preserve">13.25</w:t>
            </w:r>
          </w:p>
        </w:tc>
        <w:tc>
          <w:tcPr/>
          <w:p>
            <w:pPr>
              <w:pStyle w:val="Compact"/>
              <w:jc w:val="right"/>
            </w:pPr>
            <w:r>
              <w:rPr>
                <w:sz w:val="18"/>
              </w:rPr>
              <w:t xml:space="preserve">15.16</w:t>
            </w:r>
          </w:p>
        </w:tc>
        <w:tc>
          <w:tcPr/>
          <w:p>
            <w:pPr>
              <w:pStyle w:val="Compact"/>
              <w:jc w:val="right"/>
            </w:pPr>
            <w:r>
              <w:rPr>
                <w:sz w:val="18"/>
              </w:rPr>
              <w:t xml:space="preserve">79.15</w:t>
            </w:r>
          </w:p>
        </w:tc>
        <w:tc>
          <w:tcPr/>
          <w:p>
            <w:pPr>
              <w:pStyle w:val="Compact"/>
              <w:jc w:val="right"/>
            </w:pPr>
            <w:r>
              <w:rPr>
                <w:sz w:val="18"/>
              </w:rPr>
              <w:t xml:space="preserve">124.48</w:t>
            </w:r>
          </w:p>
        </w:tc>
      </w:tr>
      <w:tr>
        <w:tc>
          <w:tcPr/>
          <w:p>
            <w:pPr>
              <w:pStyle w:val="Compact"/>
            </w:pPr>
            <w:r>
              <w:rPr>
                <w:rFonts w:hint="eastAsia"/>
                <w:sz w:val="18"/>
              </w:rPr>
              <w:t xml:space="preserve">太陽光・制御前（GWh/日）</w:t>
            </w:r>
          </w:p>
        </w:tc>
        <w:tc>
          <w:tcPr/>
          <w:p>
            <w:pPr>
              <w:pStyle w:val="Compact"/>
              <w:jc w:val="right"/>
            </w:pPr>
            <w:r>
              <w:rPr>
                <w:sz w:val="18"/>
              </w:rPr>
              <w:t xml:space="preserve">6.48</w:t>
            </w:r>
          </w:p>
        </w:tc>
        <w:tc>
          <w:tcPr/>
          <w:p>
            <w:pPr>
              <w:pStyle w:val="Compact"/>
              <w:jc w:val="right"/>
            </w:pPr>
            <w:r>
              <w:rPr>
                <w:sz w:val="18"/>
              </w:rPr>
              <w:t xml:space="preserve">3.60</w:t>
            </w:r>
          </w:p>
        </w:tc>
        <w:tc>
          <w:tcPr/>
          <w:p>
            <w:pPr>
              <w:pStyle w:val="Compact"/>
              <w:jc w:val="right"/>
            </w:pPr>
            <w:r>
              <w:rPr>
                <w:sz w:val="18"/>
              </w:rPr>
              <w:t xml:space="preserve">0.00</w:t>
            </w:r>
          </w:p>
        </w:tc>
        <w:tc>
          <w:tcPr/>
          <w:p>
            <w:pPr>
              <w:pStyle w:val="Compact"/>
              <w:jc w:val="right"/>
            </w:pPr>
            <w:r>
              <w:rPr>
                <w:sz w:val="18"/>
              </w:rPr>
              <w:t xml:space="preserve">5.77</w:t>
            </w:r>
          </w:p>
        </w:tc>
        <w:tc>
          <w:tcPr/>
          <w:p>
            <w:pPr>
              <w:pStyle w:val="Compact"/>
              <w:jc w:val="right"/>
            </w:pPr>
            <w:r>
              <w:rPr>
                <w:sz w:val="18"/>
              </w:rPr>
              <w:t xml:space="preserve">17.90</w:t>
            </w:r>
          </w:p>
        </w:tc>
      </w:tr>
      <w:tr>
        <w:tc>
          <w:tcPr/>
          <w:p>
            <w:pPr>
              <w:pStyle w:val="Compact"/>
            </w:pPr>
            <w:r>
              <w:rPr>
                <w:rFonts w:hint="eastAsia"/>
                <w:sz w:val="18"/>
              </w:rPr>
              <w:t xml:space="preserve">風力・制御前（GWh/日）</w:t>
            </w:r>
          </w:p>
        </w:tc>
        <w:tc>
          <w:tcPr/>
          <w:p>
            <w:pPr>
              <w:pStyle w:val="Compact"/>
              <w:jc w:val="right"/>
            </w:pPr>
            <w:r>
              <w:rPr>
                <w:sz w:val="18"/>
              </w:rPr>
              <w:t xml:space="preserve">4.47</w:t>
            </w:r>
          </w:p>
        </w:tc>
        <w:tc>
          <w:tcPr/>
          <w:p>
            <w:pPr>
              <w:pStyle w:val="Compact"/>
              <w:jc w:val="right"/>
            </w:pPr>
            <w:r>
              <w:rPr>
                <w:sz w:val="18"/>
              </w:rPr>
              <w:t xml:space="preserve">3.72</w:t>
            </w:r>
          </w:p>
        </w:tc>
        <w:tc>
          <w:tcPr/>
          <w:p>
            <w:pPr>
              <w:pStyle w:val="Compact"/>
              <w:jc w:val="right"/>
            </w:pPr>
            <w:r>
              <w:rPr>
                <w:sz w:val="18"/>
              </w:rPr>
              <w:t xml:space="preserve">0.10</w:t>
            </w:r>
          </w:p>
        </w:tc>
        <w:tc>
          <w:tcPr/>
          <w:p>
            <w:pPr>
              <w:pStyle w:val="Compact"/>
              <w:jc w:val="right"/>
            </w:pPr>
            <w:r>
              <w:rPr>
                <w:sz w:val="18"/>
              </w:rPr>
              <w:t xml:space="preserve">3.35</w:t>
            </w:r>
          </w:p>
        </w:tc>
        <w:tc>
          <w:tcPr/>
          <w:p>
            <w:pPr>
              <w:pStyle w:val="Compact"/>
              <w:jc w:val="right"/>
            </w:pPr>
            <w:r>
              <w:rPr>
                <w:sz w:val="18"/>
              </w:rPr>
              <w:t xml:space="preserve">22.61</w:t>
            </w:r>
          </w:p>
        </w:tc>
      </w:tr>
      <w:tr>
        <w:tc>
          <w:tcPr/>
          <w:p>
            <w:pPr>
              <w:pStyle w:val="Compact"/>
            </w:pPr>
            <w:r>
              <w:rPr>
                <w:rFonts w:hint="eastAsia"/>
                <w:sz w:val="18"/>
              </w:rPr>
              <w:t xml:space="preserve">下限張り付き時間（時間/日）</w:t>
            </w:r>
          </w:p>
        </w:tc>
        <w:tc>
          <w:tcPr/>
          <w:p>
            <w:pPr>
              <w:pStyle w:val="Compact"/>
              <w:jc w:val="right"/>
            </w:pPr>
            <w:r>
              <w:rPr>
                <w:sz w:val="18"/>
              </w:rPr>
              <w:t xml:space="preserve">0.30</w:t>
            </w:r>
          </w:p>
        </w:tc>
        <w:tc>
          <w:tcPr/>
          <w:p>
            <w:pPr>
              <w:pStyle w:val="Compact"/>
              <w:jc w:val="right"/>
            </w:pPr>
            <w:r>
              <w:rPr>
                <w:sz w:val="18"/>
              </w:rPr>
              <w:t xml:space="preserve">1.19</w:t>
            </w:r>
          </w:p>
        </w:tc>
        <w:tc>
          <w:tcPr/>
          <w:p>
            <w:pPr>
              <w:pStyle w:val="Compact"/>
              <w:jc w:val="right"/>
            </w:pPr>
            <w:r>
              <w:rPr>
                <w:sz w:val="18"/>
              </w:rPr>
              <w:t xml:space="preserve">0.00</w:t>
            </w:r>
          </w:p>
        </w:tc>
        <w:tc>
          <w:tcPr/>
          <w:p>
            <w:pPr>
              <w:pStyle w:val="Compact"/>
              <w:jc w:val="right"/>
            </w:pPr>
            <w:r>
              <w:rPr>
                <w:sz w:val="18"/>
              </w:rPr>
              <w:t xml:space="preserve">0.00</w:t>
            </w:r>
          </w:p>
        </w:tc>
        <w:tc>
          <w:tcPr/>
          <w:p>
            <w:pPr>
              <w:pStyle w:val="Compact"/>
              <w:jc w:val="right"/>
            </w:pPr>
            <w:r>
              <w:rPr>
                <w:sz w:val="18"/>
              </w:rPr>
              <w:t xml:space="preserve">9.00</w:t>
            </w:r>
          </w:p>
        </w:tc>
      </w:tr>
      <w:tr>
        <w:tc>
          <w:tcPr/>
          <w:p>
            <w:pPr>
              <w:pStyle w:val="Compact"/>
            </w:pPr>
            <w:r>
              <w:rPr>
                <w:rFonts w:hint="eastAsia"/>
                <w:b/>
                <w:bCs/>
                <w:sz w:val="18"/>
              </w:rPr>
              <w:t xml:space="preserve">パネルB：北海道</w:t>
            </w:r>
            <w:r>
              <w:rPr>
                <w:b/>
                <w:bCs/>
                <w:sz w:val="18"/>
              </w:rPr>
              <w:t xml:space="preserve"> </w:t>
            </w:r>
            <w:r>
              <w:rPr>
                <w:rFonts w:hint="eastAsia"/>
                <w:b/>
                <w:bCs/>
                <w:sz w:val="18"/>
              </w:rPr>
              <w:t xml:space="preserve">FY2023〜25（N=1,096）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日平均価格（円/kWh）</w:t>
            </w:r>
          </w:p>
        </w:tc>
        <w:tc>
          <w:tcPr/>
          <w:p>
            <w:pPr>
              <w:pStyle w:val="Compact"/>
              <w:jc w:val="right"/>
            </w:pPr>
            <w:r>
              <w:rPr>
                <w:sz w:val="18"/>
              </w:rPr>
              <w:t xml:space="preserve">11.93</w:t>
            </w:r>
          </w:p>
        </w:tc>
        <w:tc>
          <w:tcPr/>
          <w:p>
            <w:pPr>
              <w:pStyle w:val="Compact"/>
              <w:jc w:val="right"/>
            </w:pPr>
            <w:r>
              <w:rPr>
                <w:sz w:val="18"/>
              </w:rPr>
              <w:t xml:space="preserve">2.77</w:t>
            </w:r>
          </w:p>
        </w:tc>
        <w:tc>
          <w:tcPr/>
          <w:p>
            <w:pPr>
              <w:pStyle w:val="Compact"/>
              <w:jc w:val="right"/>
            </w:pPr>
            <w:r>
              <w:rPr>
                <w:sz w:val="18"/>
              </w:rPr>
              <w:t xml:space="preserve">3.96</w:t>
            </w:r>
          </w:p>
        </w:tc>
        <w:tc>
          <w:tcPr/>
          <w:p>
            <w:pPr>
              <w:pStyle w:val="Compact"/>
              <w:jc w:val="right"/>
            </w:pPr>
            <w:r>
              <w:rPr>
                <w:sz w:val="18"/>
              </w:rPr>
              <w:t xml:space="preserve">11.87</w:t>
            </w:r>
          </w:p>
        </w:tc>
        <w:tc>
          <w:tcPr/>
          <w:p>
            <w:pPr>
              <w:pStyle w:val="Compact"/>
              <w:jc w:val="right"/>
            </w:pPr>
            <w:r>
              <w:rPr>
                <w:sz w:val="18"/>
              </w:rPr>
              <w:t xml:space="preserve">23.92</w:t>
            </w:r>
          </w:p>
        </w:tc>
      </w:tr>
      <w:tr>
        <w:tc>
          <w:tcPr/>
          <w:p>
            <w:pPr>
              <w:pStyle w:val="Compact"/>
            </w:pPr>
            <w:r>
              <w:rPr>
                <w:rFonts w:hint="eastAsia"/>
                <w:sz w:val="18"/>
              </w:rPr>
              <w:t xml:space="preserve">TB4h（円/kWh）</w:t>
            </w:r>
          </w:p>
        </w:tc>
        <w:tc>
          <w:tcPr/>
          <w:p>
            <w:pPr>
              <w:pStyle w:val="Compact"/>
              <w:jc w:val="right"/>
            </w:pPr>
            <w:r>
              <w:rPr>
                <w:sz w:val="18"/>
              </w:rPr>
              <w:t xml:space="preserve">9.59</w:t>
            </w:r>
          </w:p>
        </w:tc>
        <w:tc>
          <w:tcPr/>
          <w:p>
            <w:pPr>
              <w:pStyle w:val="Compact"/>
              <w:jc w:val="right"/>
            </w:pPr>
            <w:r>
              <w:rPr>
                <w:sz w:val="18"/>
              </w:rPr>
              <w:t xml:space="preserve">4.73</w:t>
            </w:r>
          </w:p>
        </w:tc>
        <w:tc>
          <w:tcPr/>
          <w:p>
            <w:pPr>
              <w:pStyle w:val="Compact"/>
              <w:jc w:val="right"/>
            </w:pPr>
            <w:r>
              <w:rPr>
                <w:sz w:val="18"/>
              </w:rPr>
              <w:t xml:space="preserve">0.49</w:t>
            </w:r>
          </w:p>
        </w:tc>
        <w:tc>
          <w:tcPr/>
          <w:p>
            <w:pPr>
              <w:pStyle w:val="Compact"/>
              <w:jc w:val="right"/>
            </w:pPr>
            <w:r>
              <w:rPr>
                <w:sz w:val="18"/>
              </w:rPr>
              <w:t xml:space="preserve">8.85</w:t>
            </w:r>
          </w:p>
        </w:tc>
        <w:tc>
          <w:tcPr/>
          <w:p>
            <w:pPr>
              <w:pStyle w:val="Compact"/>
              <w:jc w:val="right"/>
            </w:pPr>
            <w:r>
              <w:rPr>
                <w:sz w:val="18"/>
              </w:rPr>
              <w:t xml:space="preserve">40.85</w:t>
            </w:r>
          </w:p>
        </w:tc>
      </w:tr>
      <w:tr>
        <w:tc>
          <w:tcPr/>
          <w:p>
            <w:pPr>
              <w:pStyle w:val="Compact"/>
            </w:pPr>
            <w:r>
              <w:rPr>
                <w:rFonts w:hint="eastAsia"/>
                <w:sz w:val="18"/>
              </w:rPr>
              <w:t xml:space="preserve">日内標準偏差（円/kWh）</w:t>
            </w:r>
          </w:p>
        </w:tc>
        <w:tc>
          <w:tcPr/>
          <w:p>
            <w:pPr>
              <w:pStyle w:val="Compact"/>
              <w:jc w:val="right"/>
            </w:pPr>
            <w:r>
              <w:rPr>
                <w:sz w:val="18"/>
              </w:rPr>
              <w:t xml:space="preserve">3.48</w:t>
            </w:r>
          </w:p>
        </w:tc>
        <w:tc>
          <w:tcPr/>
          <w:p>
            <w:pPr>
              <w:pStyle w:val="Compact"/>
              <w:jc w:val="right"/>
            </w:pPr>
            <w:r>
              <w:rPr>
                <w:sz w:val="18"/>
              </w:rPr>
              <w:t xml:space="preserve">1.76</w:t>
            </w:r>
          </w:p>
        </w:tc>
        <w:tc>
          <w:tcPr/>
          <w:p>
            <w:pPr>
              <w:pStyle w:val="Compact"/>
              <w:jc w:val="right"/>
            </w:pPr>
            <w:r>
              <w:rPr>
                <w:sz w:val="18"/>
              </w:rPr>
              <w:t xml:space="preserve">0.23</w:t>
            </w:r>
          </w:p>
        </w:tc>
        <w:tc>
          <w:tcPr/>
          <w:p>
            <w:pPr>
              <w:pStyle w:val="Compact"/>
              <w:jc w:val="right"/>
            </w:pPr>
            <w:r>
              <w:rPr>
                <w:sz w:val="18"/>
              </w:rPr>
              <w:t xml:space="preserve">3.14</w:t>
            </w:r>
          </w:p>
        </w:tc>
        <w:tc>
          <w:tcPr/>
          <w:p>
            <w:pPr>
              <w:pStyle w:val="Compact"/>
              <w:jc w:val="right"/>
            </w:pPr>
            <w:r>
              <w:rPr>
                <w:sz w:val="18"/>
              </w:rPr>
              <w:t xml:space="preserve">14.11</w:t>
            </w:r>
          </w:p>
        </w:tc>
      </w:tr>
      <w:tr>
        <w:tc>
          <w:tcPr/>
          <w:p>
            <w:pPr>
              <w:pStyle w:val="Compact"/>
            </w:pPr>
            <w:r>
              <w:rPr>
                <w:rFonts w:hint="eastAsia"/>
                <w:sz w:val="18"/>
              </w:rPr>
              <w:t xml:space="preserve">需要（GWh/日）</w:t>
            </w:r>
          </w:p>
        </w:tc>
        <w:tc>
          <w:tcPr/>
          <w:p>
            <w:pPr>
              <w:pStyle w:val="Compact"/>
              <w:jc w:val="right"/>
            </w:pPr>
            <w:r>
              <w:rPr>
                <w:sz w:val="18"/>
              </w:rPr>
              <w:t xml:space="preserve">81.86</w:t>
            </w:r>
          </w:p>
        </w:tc>
        <w:tc>
          <w:tcPr/>
          <w:p>
            <w:pPr>
              <w:pStyle w:val="Compact"/>
              <w:jc w:val="right"/>
            </w:pPr>
            <w:r>
              <w:rPr>
                <w:sz w:val="18"/>
              </w:rPr>
              <w:t xml:space="preserve">12.51</w:t>
            </w:r>
          </w:p>
        </w:tc>
        <w:tc>
          <w:tcPr/>
          <w:p>
            <w:pPr>
              <w:pStyle w:val="Compact"/>
              <w:jc w:val="right"/>
            </w:pPr>
            <w:r>
              <w:rPr>
                <w:sz w:val="18"/>
              </w:rPr>
              <w:t xml:space="preserve">58.66</w:t>
            </w:r>
          </w:p>
        </w:tc>
        <w:tc>
          <w:tcPr/>
          <w:p>
            <w:pPr>
              <w:pStyle w:val="Compact"/>
              <w:jc w:val="right"/>
            </w:pPr>
            <w:r>
              <w:rPr>
                <w:sz w:val="18"/>
              </w:rPr>
              <w:t xml:space="preserve">78.19</w:t>
            </w:r>
          </w:p>
        </w:tc>
        <w:tc>
          <w:tcPr/>
          <w:p>
            <w:pPr>
              <w:pStyle w:val="Compact"/>
              <w:jc w:val="right"/>
            </w:pPr>
            <w:r>
              <w:rPr>
                <w:sz w:val="18"/>
              </w:rPr>
              <w:t xml:space="preserve">113.67</w:t>
            </w:r>
          </w:p>
        </w:tc>
      </w:tr>
      <w:tr>
        <w:tc>
          <w:tcPr/>
          <w:p>
            <w:pPr>
              <w:pStyle w:val="Compact"/>
            </w:pPr>
            <w:r>
              <w:rPr>
                <w:rFonts w:hint="eastAsia"/>
                <w:sz w:val="18"/>
              </w:rPr>
              <w:t xml:space="preserve">太陽光・制御前（GWh/日）</w:t>
            </w:r>
          </w:p>
        </w:tc>
        <w:tc>
          <w:tcPr/>
          <w:p>
            <w:pPr>
              <w:pStyle w:val="Compact"/>
              <w:jc w:val="right"/>
            </w:pPr>
            <w:r>
              <w:rPr>
                <w:sz w:val="18"/>
              </w:rPr>
              <w:t xml:space="preserve">8.76</w:t>
            </w:r>
          </w:p>
        </w:tc>
        <w:tc>
          <w:tcPr/>
          <w:p>
            <w:pPr>
              <w:pStyle w:val="Compact"/>
              <w:jc w:val="right"/>
            </w:pPr>
            <w:r>
              <w:rPr>
                <w:sz w:val="18"/>
              </w:rPr>
              <w:t xml:space="preserve">3.77</w:t>
            </w:r>
          </w:p>
        </w:tc>
        <w:tc>
          <w:tcPr/>
          <w:p>
            <w:pPr>
              <w:pStyle w:val="Compact"/>
              <w:jc w:val="right"/>
            </w:pPr>
            <w:r>
              <w:rPr>
                <w:sz w:val="18"/>
              </w:rPr>
              <w:t xml:space="preserve">0.57</w:t>
            </w:r>
          </w:p>
        </w:tc>
        <w:tc>
          <w:tcPr/>
          <w:p>
            <w:pPr>
              <w:pStyle w:val="Compact"/>
              <w:jc w:val="right"/>
            </w:pPr>
            <w:r>
              <w:rPr>
                <w:sz w:val="18"/>
              </w:rPr>
              <w:t xml:space="preserve">8.48</w:t>
            </w:r>
          </w:p>
        </w:tc>
        <w:tc>
          <w:tcPr/>
          <w:p>
            <w:pPr>
              <w:pStyle w:val="Compact"/>
              <w:jc w:val="right"/>
            </w:pPr>
            <w:r>
              <w:rPr>
                <w:sz w:val="18"/>
              </w:rPr>
              <w:t xml:space="preserve">17.90</w:t>
            </w:r>
          </w:p>
        </w:tc>
      </w:tr>
      <w:tr>
        <w:tc>
          <w:tcPr/>
          <w:p>
            <w:pPr>
              <w:pStyle w:val="Compact"/>
            </w:pPr>
            <w:r>
              <w:rPr>
                <w:rFonts w:hint="eastAsia"/>
                <w:sz w:val="18"/>
              </w:rPr>
              <w:t xml:space="preserve">風力・制御前（GWh/日）</w:t>
            </w:r>
          </w:p>
        </w:tc>
        <w:tc>
          <w:tcPr/>
          <w:p>
            <w:pPr>
              <w:pStyle w:val="Compact"/>
              <w:jc w:val="right"/>
            </w:pPr>
            <w:r>
              <w:rPr>
                <w:sz w:val="18"/>
              </w:rPr>
              <w:t xml:space="preserve">7.75</w:t>
            </w:r>
          </w:p>
        </w:tc>
        <w:tc>
          <w:tcPr/>
          <w:p>
            <w:pPr>
              <w:pStyle w:val="Compact"/>
              <w:jc w:val="right"/>
            </w:pPr>
            <w:r>
              <w:rPr>
                <w:sz w:val="18"/>
              </w:rPr>
              <w:t xml:space="preserve">4.72</w:t>
            </w:r>
          </w:p>
        </w:tc>
        <w:tc>
          <w:tcPr/>
          <w:p>
            <w:pPr>
              <w:pStyle w:val="Compact"/>
              <w:jc w:val="right"/>
            </w:pPr>
            <w:r>
              <w:rPr>
                <w:sz w:val="18"/>
              </w:rPr>
              <w:t xml:space="preserve">0.22</w:t>
            </w:r>
          </w:p>
        </w:tc>
        <w:tc>
          <w:tcPr/>
          <w:p>
            <w:pPr>
              <w:pStyle w:val="Compact"/>
              <w:jc w:val="right"/>
            </w:pPr>
            <w:r>
              <w:rPr>
                <w:sz w:val="18"/>
              </w:rPr>
              <w:t xml:space="preserve">7.27</w:t>
            </w:r>
          </w:p>
        </w:tc>
        <w:tc>
          <w:tcPr/>
          <w:p>
            <w:pPr>
              <w:pStyle w:val="Compact"/>
              <w:jc w:val="right"/>
            </w:pPr>
            <w:r>
              <w:rPr>
                <w:sz w:val="18"/>
              </w:rPr>
              <w:t xml:space="preserve">22.61</w:t>
            </w:r>
          </w:p>
        </w:tc>
      </w:tr>
      <w:tr>
        <w:tc>
          <w:tcPr/>
          <w:p>
            <w:pPr>
              <w:pStyle w:val="Compact"/>
            </w:pPr>
            <w:r>
              <w:rPr>
                <w:rFonts w:hint="eastAsia"/>
                <w:sz w:val="18"/>
              </w:rPr>
              <w:t xml:space="preserve">下限張り付き時間（時間/日）</w:t>
            </w:r>
          </w:p>
        </w:tc>
        <w:tc>
          <w:tcPr/>
          <w:p>
            <w:pPr>
              <w:pStyle w:val="Compact"/>
              <w:jc w:val="right"/>
            </w:pPr>
            <w:r>
              <w:rPr>
                <w:sz w:val="18"/>
              </w:rPr>
              <w:t xml:space="preserve">0.55</w:t>
            </w:r>
          </w:p>
        </w:tc>
        <w:tc>
          <w:tcPr/>
          <w:p>
            <w:pPr>
              <w:pStyle w:val="Compact"/>
              <w:jc w:val="right"/>
            </w:pPr>
            <w:r>
              <w:rPr>
                <w:sz w:val="18"/>
              </w:rPr>
              <w:t xml:space="preserve">1.62</w:t>
            </w:r>
          </w:p>
        </w:tc>
        <w:tc>
          <w:tcPr/>
          <w:p>
            <w:pPr>
              <w:pStyle w:val="Compact"/>
              <w:jc w:val="right"/>
            </w:pPr>
            <w:r>
              <w:rPr>
                <w:sz w:val="18"/>
              </w:rPr>
              <w:t xml:space="preserve">0.00</w:t>
            </w:r>
          </w:p>
        </w:tc>
        <w:tc>
          <w:tcPr/>
          <w:p>
            <w:pPr>
              <w:pStyle w:val="Compact"/>
              <w:jc w:val="right"/>
            </w:pPr>
            <w:r>
              <w:rPr>
                <w:sz w:val="18"/>
              </w:rPr>
              <w:t xml:space="preserve">0.00</w:t>
            </w:r>
          </w:p>
        </w:tc>
        <w:tc>
          <w:tcPr/>
          <w:p>
            <w:pPr>
              <w:pStyle w:val="Compact"/>
              <w:jc w:val="right"/>
            </w:pPr>
            <w:r>
              <w:rPr>
                <w:sz w:val="18"/>
              </w:rPr>
              <w:t xml:space="preserve">9.00</w:t>
            </w:r>
          </w:p>
        </w:tc>
      </w:tr>
      <w:tr>
        <w:tc>
          <w:tcPr/>
          <w:p>
            <w:pPr>
              <w:pStyle w:val="Compact"/>
            </w:pPr>
            <w:r>
              <w:rPr>
                <w:rFonts w:hint="eastAsia"/>
                <w:b/>
                <w:bCs/>
                <w:sz w:val="18"/>
              </w:rPr>
              <w:t xml:space="preserve">パネルC：九州</w:t>
            </w:r>
            <w:r>
              <w:rPr>
                <w:b/>
                <w:bCs/>
                <w:sz w:val="18"/>
              </w:rPr>
              <w:t xml:space="preserve"> </w:t>
            </w:r>
            <w:r>
              <w:rPr>
                <w:rFonts w:hint="eastAsia"/>
                <w:b/>
                <w:bCs/>
                <w:sz w:val="18"/>
              </w:rPr>
              <w:t xml:space="preserve">FY2016〜25（N=3,632）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日平均価格（円/kWh）</w:t>
            </w:r>
          </w:p>
        </w:tc>
        <w:tc>
          <w:tcPr/>
          <w:p>
            <w:pPr>
              <w:pStyle w:val="Compact"/>
              <w:jc w:val="right"/>
            </w:pPr>
            <w:r>
              <w:rPr>
                <w:sz w:val="18"/>
              </w:rPr>
              <w:t xml:space="preserve">9.94</w:t>
            </w:r>
          </w:p>
        </w:tc>
        <w:tc>
          <w:tcPr/>
          <w:p>
            <w:pPr>
              <w:pStyle w:val="Compact"/>
              <w:jc w:val="right"/>
            </w:pPr>
            <w:r>
              <w:rPr>
                <w:sz w:val="18"/>
              </w:rPr>
              <w:t xml:space="preserve">7.39</w:t>
            </w:r>
          </w:p>
        </w:tc>
        <w:tc>
          <w:tcPr/>
          <w:p>
            <w:pPr>
              <w:pStyle w:val="Compact"/>
              <w:jc w:val="right"/>
            </w:pPr>
            <w:r>
              <w:rPr>
                <w:sz w:val="18"/>
              </w:rPr>
              <w:t xml:space="preserve">2.10</w:t>
            </w:r>
          </w:p>
        </w:tc>
        <w:tc>
          <w:tcPr/>
          <w:p>
            <w:pPr>
              <w:pStyle w:val="Compact"/>
              <w:jc w:val="right"/>
            </w:pPr>
            <w:r>
              <w:rPr>
                <w:sz w:val="18"/>
              </w:rPr>
              <w:t xml:space="preserve">8.58</w:t>
            </w:r>
          </w:p>
        </w:tc>
        <w:tc>
          <w:tcPr/>
          <w:p>
            <w:pPr>
              <w:pStyle w:val="Compact"/>
              <w:jc w:val="right"/>
            </w:pPr>
            <w:r>
              <w:rPr>
                <w:sz w:val="18"/>
              </w:rPr>
              <w:t xml:space="preserve">140.29</w:t>
            </w:r>
          </w:p>
        </w:tc>
      </w:tr>
      <w:tr>
        <w:tc>
          <w:tcPr/>
          <w:p>
            <w:pPr>
              <w:pStyle w:val="Compact"/>
            </w:pPr>
            <w:r>
              <w:rPr>
                <w:rFonts w:hint="eastAsia"/>
                <w:sz w:val="18"/>
              </w:rPr>
              <w:t xml:space="preserve">TB4h（円/kWh）</w:t>
            </w:r>
          </w:p>
        </w:tc>
        <w:tc>
          <w:tcPr/>
          <w:p>
            <w:pPr>
              <w:pStyle w:val="Compact"/>
              <w:jc w:val="right"/>
            </w:pPr>
            <w:r>
              <w:rPr>
                <w:sz w:val="18"/>
              </w:rPr>
              <w:t xml:space="preserve">10.38</w:t>
            </w:r>
          </w:p>
        </w:tc>
        <w:tc>
          <w:tcPr/>
          <w:p>
            <w:pPr>
              <w:pStyle w:val="Compact"/>
              <w:jc w:val="right"/>
            </w:pPr>
            <w:r>
              <w:rPr>
                <w:sz w:val="18"/>
              </w:rPr>
              <w:t xml:space="preserve">11.50</w:t>
            </w:r>
          </w:p>
        </w:tc>
        <w:tc>
          <w:tcPr/>
          <w:p>
            <w:pPr>
              <w:pStyle w:val="Compact"/>
              <w:jc w:val="right"/>
            </w:pPr>
            <w:r>
              <w:rPr>
                <w:sz w:val="18"/>
              </w:rPr>
              <w:t xml:space="preserve">0.36</w:t>
            </w:r>
          </w:p>
        </w:tc>
        <w:tc>
          <w:tcPr/>
          <w:p>
            <w:pPr>
              <w:pStyle w:val="Compact"/>
              <w:jc w:val="right"/>
            </w:pPr>
            <w:r>
              <w:rPr>
                <w:sz w:val="18"/>
              </w:rPr>
              <w:t xml:space="preserve">7.50</w:t>
            </w:r>
          </w:p>
        </w:tc>
        <w:tc>
          <w:tcPr/>
          <w:p>
            <w:pPr>
              <w:pStyle w:val="Compact"/>
              <w:jc w:val="right"/>
            </w:pPr>
            <w:r>
              <w:rPr>
                <w:sz w:val="18"/>
              </w:rPr>
              <w:t xml:space="preserve">200.33</w:t>
            </w:r>
          </w:p>
        </w:tc>
      </w:tr>
      <w:tr>
        <w:tc>
          <w:tcPr/>
          <w:p>
            <w:pPr>
              <w:pStyle w:val="Compact"/>
            </w:pPr>
            <w:r>
              <w:rPr>
                <w:rFonts w:hint="eastAsia"/>
                <w:sz w:val="18"/>
              </w:rPr>
              <w:t xml:space="preserve">日内標準偏差（円/kWh）</w:t>
            </w:r>
          </w:p>
        </w:tc>
        <w:tc>
          <w:tcPr/>
          <w:p>
            <w:pPr>
              <w:pStyle w:val="Compact"/>
              <w:jc w:val="right"/>
            </w:pPr>
            <w:r>
              <w:rPr>
                <w:sz w:val="18"/>
              </w:rPr>
              <w:t xml:space="preserve">3.82</w:t>
            </w:r>
          </w:p>
        </w:tc>
        <w:tc>
          <w:tcPr/>
          <w:p>
            <w:pPr>
              <w:pStyle w:val="Compact"/>
              <w:jc w:val="right"/>
            </w:pPr>
            <w:r>
              <w:rPr>
                <w:sz w:val="18"/>
              </w:rPr>
              <w:t xml:space="preserve">4.31</w:t>
            </w:r>
          </w:p>
        </w:tc>
        <w:tc>
          <w:tcPr/>
          <w:p>
            <w:pPr>
              <w:pStyle w:val="Compact"/>
              <w:jc w:val="right"/>
            </w:pPr>
            <w:r>
              <w:rPr>
                <w:sz w:val="18"/>
              </w:rPr>
              <w:t xml:space="preserve">0.21</w:t>
            </w:r>
          </w:p>
        </w:tc>
        <w:tc>
          <w:tcPr/>
          <w:p>
            <w:pPr>
              <w:pStyle w:val="Compact"/>
              <w:jc w:val="right"/>
            </w:pPr>
            <w:r>
              <w:rPr>
                <w:sz w:val="18"/>
              </w:rPr>
              <w:t xml:space="preserve">2.71</w:t>
            </w:r>
          </w:p>
        </w:tc>
        <w:tc>
          <w:tcPr/>
          <w:p>
            <w:pPr>
              <w:pStyle w:val="Compact"/>
              <w:jc w:val="right"/>
            </w:pPr>
            <w:r>
              <w:rPr>
                <w:sz w:val="18"/>
              </w:rPr>
              <w:t xml:space="preserve">76.76</w:t>
            </w:r>
          </w:p>
        </w:tc>
      </w:tr>
      <w:tr>
        <w:tc>
          <w:tcPr/>
          <w:p>
            <w:pPr>
              <w:pStyle w:val="Compact"/>
            </w:pPr>
            <w:r>
              <w:rPr>
                <w:rFonts w:hint="eastAsia"/>
                <w:sz w:val="18"/>
              </w:rPr>
              <w:t xml:space="preserve">需要（GWh/日）</w:t>
            </w:r>
          </w:p>
        </w:tc>
        <w:tc>
          <w:tcPr/>
          <w:p>
            <w:pPr>
              <w:pStyle w:val="Compact"/>
              <w:jc w:val="right"/>
            </w:pPr>
            <w:r>
              <w:rPr>
                <w:sz w:val="18"/>
              </w:rPr>
              <w:t xml:space="preserve">235.27</w:t>
            </w:r>
          </w:p>
        </w:tc>
        <w:tc>
          <w:tcPr/>
          <w:p>
            <w:pPr>
              <w:pStyle w:val="Compact"/>
              <w:jc w:val="right"/>
            </w:pPr>
            <w:r>
              <w:rPr>
                <w:sz w:val="18"/>
              </w:rPr>
              <w:t xml:space="preserve">32.15</w:t>
            </w:r>
          </w:p>
        </w:tc>
        <w:tc>
          <w:tcPr/>
          <w:p>
            <w:pPr>
              <w:pStyle w:val="Compact"/>
              <w:jc w:val="right"/>
            </w:pPr>
            <w:r>
              <w:rPr>
                <w:sz w:val="18"/>
              </w:rPr>
              <w:t xml:space="preserve">163.67</w:t>
            </w:r>
          </w:p>
        </w:tc>
        <w:tc>
          <w:tcPr/>
          <w:p>
            <w:pPr>
              <w:pStyle w:val="Compact"/>
              <w:jc w:val="right"/>
            </w:pPr>
            <w:r>
              <w:rPr>
                <w:sz w:val="18"/>
              </w:rPr>
              <w:t xml:space="preserve">230.82</w:t>
            </w:r>
          </w:p>
        </w:tc>
        <w:tc>
          <w:tcPr/>
          <w:p>
            <w:pPr>
              <w:pStyle w:val="Compact"/>
              <w:jc w:val="right"/>
            </w:pPr>
            <w:r>
              <w:rPr>
                <w:sz w:val="18"/>
              </w:rPr>
              <w:t xml:space="preserve">340.99</w:t>
            </w:r>
          </w:p>
        </w:tc>
      </w:tr>
      <w:tr>
        <w:tc>
          <w:tcPr/>
          <w:p>
            <w:pPr>
              <w:pStyle w:val="Compact"/>
            </w:pPr>
            <w:r>
              <w:rPr>
                <w:rFonts w:hint="eastAsia"/>
                <w:sz w:val="18"/>
              </w:rPr>
              <w:t xml:space="preserve">太陽光・制御前（GWh/日）</w:t>
            </w:r>
          </w:p>
        </w:tc>
        <w:tc>
          <w:tcPr/>
          <w:p>
            <w:pPr>
              <w:pStyle w:val="Compact"/>
              <w:jc w:val="right"/>
            </w:pPr>
            <w:r>
              <w:rPr>
                <w:sz w:val="18"/>
              </w:rPr>
              <w:t xml:space="preserve">33.60</w:t>
            </w:r>
          </w:p>
        </w:tc>
        <w:tc>
          <w:tcPr/>
          <w:p>
            <w:pPr>
              <w:pStyle w:val="Compact"/>
              <w:jc w:val="right"/>
            </w:pPr>
            <w:r>
              <w:rPr>
                <w:sz w:val="18"/>
              </w:rPr>
              <w:t xml:space="preserve">16.98</w:t>
            </w:r>
          </w:p>
        </w:tc>
        <w:tc>
          <w:tcPr/>
          <w:p>
            <w:pPr>
              <w:pStyle w:val="Compact"/>
              <w:jc w:val="right"/>
            </w:pPr>
            <w:r>
              <w:rPr>
                <w:sz w:val="18"/>
              </w:rPr>
              <w:t xml:space="preserve">1.36</w:t>
            </w:r>
          </w:p>
        </w:tc>
        <w:tc>
          <w:tcPr/>
          <w:p>
            <w:pPr>
              <w:pStyle w:val="Compact"/>
              <w:jc w:val="right"/>
            </w:pPr>
            <w:r>
              <w:rPr>
                <w:sz w:val="18"/>
              </w:rPr>
              <w:t xml:space="preserve">32.63</w:t>
            </w:r>
          </w:p>
        </w:tc>
        <w:tc>
          <w:tcPr/>
          <w:p>
            <w:pPr>
              <w:pStyle w:val="Compact"/>
              <w:jc w:val="right"/>
            </w:pPr>
            <w:r>
              <w:rPr>
                <w:sz w:val="18"/>
              </w:rPr>
              <w:t xml:space="preserve">81.53</w:t>
            </w:r>
          </w:p>
        </w:tc>
      </w:tr>
      <w:tr>
        <w:tc>
          <w:tcPr/>
          <w:p>
            <w:pPr>
              <w:pStyle w:val="Compact"/>
            </w:pPr>
            <w:r>
              <w:rPr>
                <w:rFonts w:hint="eastAsia"/>
                <w:sz w:val="18"/>
              </w:rPr>
              <w:t xml:space="preserve">風力・制御前（GWh/日）</w:t>
            </w:r>
          </w:p>
        </w:tc>
        <w:tc>
          <w:tcPr/>
          <w:p>
            <w:pPr>
              <w:pStyle w:val="Compact"/>
              <w:jc w:val="right"/>
            </w:pPr>
            <w:r>
              <w:rPr>
                <w:sz w:val="18"/>
              </w:rPr>
              <w:t xml:space="preserve">1.98</w:t>
            </w:r>
          </w:p>
        </w:tc>
        <w:tc>
          <w:tcPr/>
          <w:p>
            <w:pPr>
              <w:pStyle w:val="Compact"/>
              <w:jc w:val="right"/>
            </w:pPr>
            <w:r>
              <w:rPr>
                <w:sz w:val="18"/>
              </w:rPr>
              <w:t xml:space="preserve">1.64</w:t>
            </w:r>
          </w:p>
        </w:tc>
        <w:tc>
          <w:tcPr/>
          <w:p>
            <w:pPr>
              <w:pStyle w:val="Compact"/>
              <w:jc w:val="right"/>
            </w:pPr>
            <w:r>
              <w:rPr>
                <w:sz w:val="18"/>
              </w:rPr>
              <w:t xml:space="preserve">0.02</w:t>
            </w:r>
          </w:p>
        </w:tc>
        <w:tc>
          <w:tcPr/>
          <w:p>
            <w:pPr>
              <w:pStyle w:val="Compact"/>
              <w:jc w:val="right"/>
            </w:pPr>
            <w:r>
              <w:rPr>
                <w:sz w:val="18"/>
              </w:rPr>
              <w:t xml:space="preserve">1.55</w:t>
            </w:r>
          </w:p>
        </w:tc>
        <w:tc>
          <w:tcPr/>
          <w:p>
            <w:pPr>
              <w:pStyle w:val="Compact"/>
              <w:jc w:val="right"/>
            </w:pPr>
            <w:r>
              <w:rPr>
                <w:sz w:val="18"/>
              </w:rPr>
              <w:t xml:space="preserve">10.57</w:t>
            </w:r>
          </w:p>
        </w:tc>
      </w:tr>
      <w:tr>
        <w:tc>
          <w:tcPr/>
          <w:p>
            <w:pPr>
              <w:pStyle w:val="Compact"/>
            </w:pPr>
            <w:r>
              <w:rPr>
                <w:rFonts w:hint="eastAsia"/>
                <w:sz w:val="18"/>
              </w:rPr>
              <w:t xml:space="preserve">下限張り付き時間（時間/日）</w:t>
            </w:r>
          </w:p>
        </w:tc>
        <w:tc>
          <w:tcPr/>
          <w:p>
            <w:pPr>
              <w:pStyle w:val="Compact"/>
              <w:jc w:val="right"/>
            </w:pPr>
            <w:r>
              <w:rPr>
                <w:sz w:val="18"/>
              </w:rPr>
              <w:t xml:space="preserve">1.15</w:t>
            </w:r>
          </w:p>
        </w:tc>
        <w:tc>
          <w:tcPr/>
          <w:p>
            <w:pPr>
              <w:pStyle w:val="Compact"/>
              <w:jc w:val="right"/>
            </w:pPr>
            <w:r>
              <w:rPr>
                <w:sz w:val="18"/>
              </w:rPr>
              <w:t xml:space="preserve">2.42</w:t>
            </w:r>
          </w:p>
        </w:tc>
        <w:tc>
          <w:tcPr/>
          <w:p>
            <w:pPr>
              <w:pStyle w:val="Compact"/>
              <w:jc w:val="right"/>
            </w:pPr>
            <w:r>
              <w:rPr>
                <w:sz w:val="18"/>
              </w:rPr>
              <w:t xml:space="preserve">0.00</w:t>
            </w:r>
          </w:p>
        </w:tc>
        <w:tc>
          <w:tcPr/>
          <w:p>
            <w:pPr>
              <w:pStyle w:val="Compact"/>
              <w:jc w:val="right"/>
            </w:pPr>
            <w:r>
              <w:rPr>
                <w:sz w:val="18"/>
              </w:rPr>
              <w:t xml:space="preserve">0.00</w:t>
            </w:r>
          </w:p>
        </w:tc>
        <w:tc>
          <w:tcPr/>
          <w:p>
            <w:pPr>
              <w:pStyle w:val="Compact"/>
              <w:jc w:val="right"/>
            </w:pPr>
            <w:r>
              <w:rPr>
                <w:sz w:val="18"/>
              </w:rPr>
              <w:t xml:space="preserve">17.00</w:t>
            </w:r>
          </w:p>
        </w:tc>
      </w:tr>
      <w:tr>
        <w:tc>
          <w:tcPr/>
          <w:p>
            <w:pPr>
              <w:pStyle w:val="Compact"/>
            </w:pPr>
            <w:r>
              <w:rPr>
                <w:rFonts w:hint="eastAsia"/>
                <w:b/>
                <w:bCs/>
                <w:sz w:val="18"/>
              </w:rPr>
              <w:t xml:space="preserve">パネルD：九州</w:t>
            </w:r>
            <w:r>
              <w:rPr>
                <w:b/>
                <w:bCs/>
                <w:sz w:val="18"/>
              </w:rPr>
              <w:t xml:space="preserve"> </w:t>
            </w:r>
            <w:r>
              <w:rPr>
                <w:rFonts w:hint="eastAsia"/>
                <w:b/>
                <w:bCs/>
                <w:sz w:val="18"/>
              </w:rPr>
              <w:t xml:space="preserve">FY2023〜25（N=1,096）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日平均価格（円/kWh）</w:t>
            </w:r>
          </w:p>
        </w:tc>
        <w:tc>
          <w:tcPr/>
          <w:p>
            <w:pPr>
              <w:pStyle w:val="Compact"/>
              <w:jc w:val="right"/>
            </w:pPr>
            <w:r>
              <w:rPr>
                <w:sz w:val="18"/>
              </w:rPr>
              <w:t xml:space="preserve">9.94</w:t>
            </w:r>
          </w:p>
        </w:tc>
        <w:tc>
          <w:tcPr/>
          <w:p>
            <w:pPr>
              <w:pStyle w:val="Compact"/>
              <w:jc w:val="right"/>
            </w:pPr>
            <w:r>
              <w:rPr>
                <w:sz w:val="18"/>
              </w:rPr>
              <w:t xml:space="preserve">2.73</w:t>
            </w:r>
          </w:p>
        </w:tc>
        <w:tc>
          <w:tcPr/>
          <w:p>
            <w:pPr>
              <w:pStyle w:val="Compact"/>
              <w:jc w:val="right"/>
            </w:pPr>
            <w:r>
              <w:rPr>
                <w:sz w:val="18"/>
              </w:rPr>
              <w:t xml:space="preserve">2.67</w:t>
            </w:r>
          </w:p>
        </w:tc>
        <w:tc>
          <w:tcPr/>
          <w:p>
            <w:pPr>
              <w:pStyle w:val="Compact"/>
              <w:jc w:val="right"/>
            </w:pPr>
            <w:r>
              <w:rPr>
                <w:sz w:val="18"/>
              </w:rPr>
              <w:t xml:space="preserve">9.81</w:t>
            </w:r>
          </w:p>
        </w:tc>
        <w:tc>
          <w:tcPr/>
          <w:p>
            <w:pPr>
              <w:pStyle w:val="Compact"/>
              <w:jc w:val="right"/>
            </w:pPr>
            <w:r>
              <w:rPr>
                <w:sz w:val="18"/>
              </w:rPr>
              <w:t xml:space="preserve">25.83</w:t>
            </w:r>
          </w:p>
        </w:tc>
      </w:tr>
      <w:tr>
        <w:tc>
          <w:tcPr/>
          <w:p>
            <w:pPr>
              <w:pStyle w:val="Compact"/>
            </w:pPr>
            <w:r>
              <w:rPr>
                <w:rFonts w:hint="eastAsia"/>
                <w:sz w:val="18"/>
              </w:rPr>
              <w:t xml:space="preserve">TB4h（円/kWh）</w:t>
            </w:r>
          </w:p>
        </w:tc>
        <w:tc>
          <w:tcPr/>
          <w:p>
            <w:pPr>
              <w:pStyle w:val="Compact"/>
              <w:jc w:val="right"/>
            </w:pPr>
            <w:r>
              <w:rPr>
                <w:sz w:val="18"/>
              </w:rPr>
              <w:t xml:space="preserve">10.33</w:t>
            </w:r>
          </w:p>
        </w:tc>
        <w:tc>
          <w:tcPr/>
          <w:p>
            <w:pPr>
              <w:pStyle w:val="Compact"/>
              <w:jc w:val="right"/>
            </w:pPr>
            <w:r>
              <w:rPr>
                <w:sz w:val="18"/>
              </w:rPr>
              <w:t xml:space="preserve">4.22</w:t>
            </w:r>
          </w:p>
        </w:tc>
        <w:tc>
          <w:tcPr/>
          <w:p>
            <w:pPr>
              <w:pStyle w:val="Compact"/>
              <w:jc w:val="right"/>
            </w:pPr>
            <w:r>
              <w:rPr>
                <w:sz w:val="18"/>
              </w:rPr>
              <w:t xml:space="preserve">1.34</w:t>
            </w:r>
          </w:p>
        </w:tc>
        <w:tc>
          <w:tcPr/>
          <w:p>
            <w:pPr>
              <w:pStyle w:val="Compact"/>
              <w:jc w:val="right"/>
            </w:pPr>
            <w:r>
              <w:rPr>
                <w:sz w:val="18"/>
              </w:rPr>
              <w:t xml:space="preserve">10.01</w:t>
            </w:r>
          </w:p>
        </w:tc>
        <w:tc>
          <w:tcPr/>
          <w:p>
            <w:pPr>
              <w:pStyle w:val="Compact"/>
              <w:jc w:val="right"/>
            </w:pPr>
            <w:r>
              <w:rPr>
                <w:sz w:val="18"/>
              </w:rPr>
              <w:t xml:space="preserve">30.47</w:t>
            </w:r>
          </w:p>
        </w:tc>
      </w:tr>
      <w:tr>
        <w:tc>
          <w:tcPr/>
          <w:p>
            <w:pPr>
              <w:pStyle w:val="Compact"/>
            </w:pPr>
            <w:r>
              <w:rPr>
                <w:rFonts w:hint="eastAsia"/>
                <w:sz w:val="18"/>
              </w:rPr>
              <w:t xml:space="preserve">日内標準偏差（円/kWh）</w:t>
            </w:r>
          </w:p>
        </w:tc>
        <w:tc>
          <w:tcPr/>
          <w:p>
            <w:pPr>
              <w:pStyle w:val="Compact"/>
              <w:jc w:val="right"/>
            </w:pPr>
            <w:r>
              <w:rPr>
                <w:sz w:val="18"/>
              </w:rPr>
              <w:t xml:space="preserve">3.80</w:t>
            </w:r>
          </w:p>
        </w:tc>
        <w:tc>
          <w:tcPr/>
          <w:p>
            <w:pPr>
              <w:pStyle w:val="Compact"/>
              <w:jc w:val="right"/>
            </w:pPr>
            <w:r>
              <w:rPr>
                <w:sz w:val="18"/>
              </w:rPr>
              <w:t xml:space="preserve">1.60</w:t>
            </w:r>
          </w:p>
        </w:tc>
        <w:tc>
          <w:tcPr/>
          <w:p>
            <w:pPr>
              <w:pStyle w:val="Compact"/>
              <w:jc w:val="right"/>
            </w:pPr>
            <w:r>
              <w:rPr>
                <w:sz w:val="18"/>
              </w:rPr>
              <w:t xml:space="preserve">0.48</w:t>
            </w:r>
          </w:p>
        </w:tc>
        <w:tc>
          <w:tcPr/>
          <w:p>
            <w:pPr>
              <w:pStyle w:val="Compact"/>
              <w:jc w:val="right"/>
            </w:pPr>
            <w:r>
              <w:rPr>
                <w:sz w:val="18"/>
              </w:rPr>
              <w:t xml:space="preserve">3.69</w:t>
            </w:r>
          </w:p>
        </w:tc>
        <w:tc>
          <w:tcPr/>
          <w:p>
            <w:pPr>
              <w:pStyle w:val="Compact"/>
              <w:jc w:val="right"/>
            </w:pPr>
            <w:r>
              <w:rPr>
                <w:sz w:val="18"/>
              </w:rPr>
              <w:t xml:space="preserve">13.98</w:t>
            </w:r>
          </w:p>
        </w:tc>
      </w:tr>
      <w:tr>
        <w:tc>
          <w:tcPr/>
          <w:p>
            <w:pPr>
              <w:pStyle w:val="Compact"/>
            </w:pPr>
            <w:r>
              <w:rPr>
                <w:rFonts w:hint="eastAsia"/>
                <w:sz w:val="18"/>
              </w:rPr>
              <w:t xml:space="preserve">需要（GWh/日）</w:t>
            </w:r>
          </w:p>
        </w:tc>
        <w:tc>
          <w:tcPr/>
          <w:p>
            <w:pPr>
              <w:pStyle w:val="Compact"/>
              <w:jc w:val="right"/>
            </w:pPr>
            <w:r>
              <w:rPr>
                <w:sz w:val="18"/>
              </w:rPr>
              <w:t xml:space="preserve">237.06</w:t>
            </w:r>
          </w:p>
        </w:tc>
        <w:tc>
          <w:tcPr/>
          <w:p>
            <w:pPr>
              <w:pStyle w:val="Compact"/>
              <w:jc w:val="right"/>
            </w:pPr>
            <w:r>
              <w:rPr>
                <w:sz w:val="18"/>
              </w:rPr>
              <w:t xml:space="preserve">34.74</w:t>
            </w:r>
          </w:p>
        </w:tc>
        <w:tc>
          <w:tcPr/>
          <w:p>
            <w:pPr>
              <w:pStyle w:val="Compact"/>
              <w:jc w:val="right"/>
            </w:pPr>
            <w:r>
              <w:rPr>
                <w:sz w:val="18"/>
              </w:rPr>
              <w:t xml:space="preserve">163.67</w:t>
            </w:r>
          </w:p>
        </w:tc>
        <w:tc>
          <w:tcPr/>
          <w:p>
            <w:pPr>
              <w:pStyle w:val="Compact"/>
              <w:jc w:val="right"/>
            </w:pPr>
            <w:r>
              <w:rPr>
                <w:sz w:val="18"/>
              </w:rPr>
              <w:t xml:space="preserve">233.15</w:t>
            </w:r>
          </w:p>
        </w:tc>
        <w:tc>
          <w:tcPr/>
          <w:p>
            <w:pPr>
              <w:pStyle w:val="Compact"/>
              <w:jc w:val="right"/>
            </w:pPr>
            <w:r>
              <w:rPr>
                <w:sz w:val="18"/>
              </w:rPr>
              <w:t xml:space="preserve">328.07</w:t>
            </w:r>
          </w:p>
        </w:tc>
      </w:tr>
      <w:tr>
        <w:tc>
          <w:tcPr/>
          <w:p>
            <w:pPr>
              <w:pStyle w:val="Compact"/>
            </w:pPr>
            <w:r>
              <w:rPr>
                <w:rFonts w:hint="eastAsia"/>
                <w:sz w:val="18"/>
              </w:rPr>
              <w:t xml:space="preserve">太陽光・制御前（GWh/日）</w:t>
            </w:r>
          </w:p>
        </w:tc>
        <w:tc>
          <w:tcPr/>
          <w:p>
            <w:pPr>
              <w:pStyle w:val="Compact"/>
              <w:jc w:val="right"/>
            </w:pPr>
            <w:r>
              <w:rPr>
                <w:sz w:val="18"/>
              </w:rPr>
              <w:t xml:space="preserve">41.63</w:t>
            </w:r>
          </w:p>
        </w:tc>
        <w:tc>
          <w:tcPr/>
          <w:p>
            <w:pPr>
              <w:pStyle w:val="Compact"/>
              <w:jc w:val="right"/>
            </w:pPr>
            <w:r>
              <w:rPr>
                <w:sz w:val="18"/>
              </w:rPr>
              <w:t xml:space="preserve">18.10</w:t>
            </w:r>
          </w:p>
        </w:tc>
        <w:tc>
          <w:tcPr/>
          <w:p>
            <w:pPr>
              <w:pStyle w:val="Compact"/>
              <w:jc w:val="right"/>
            </w:pPr>
            <w:r>
              <w:rPr>
                <w:sz w:val="18"/>
              </w:rPr>
              <w:t xml:space="preserve">2.68</w:t>
            </w:r>
          </w:p>
        </w:tc>
        <w:tc>
          <w:tcPr/>
          <w:p>
            <w:pPr>
              <w:pStyle w:val="Compact"/>
              <w:jc w:val="right"/>
            </w:pPr>
            <w:r>
              <w:rPr>
                <w:sz w:val="18"/>
              </w:rPr>
              <w:t xml:space="preserve">41.54</w:t>
            </w:r>
          </w:p>
        </w:tc>
        <w:tc>
          <w:tcPr/>
          <w:p>
            <w:pPr>
              <w:pStyle w:val="Compact"/>
              <w:jc w:val="right"/>
            </w:pPr>
            <w:r>
              <w:rPr>
                <w:sz w:val="18"/>
              </w:rPr>
              <w:t xml:space="preserve">81.53</w:t>
            </w:r>
          </w:p>
        </w:tc>
      </w:tr>
      <w:tr>
        <w:tc>
          <w:tcPr/>
          <w:p>
            <w:pPr>
              <w:pStyle w:val="Compact"/>
            </w:pPr>
            <w:r>
              <w:rPr>
                <w:rFonts w:hint="eastAsia"/>
                <w:sz w:val="18"/>
              </w:rPr>
              <w:t xml:space="preserve">風力・制御前（GWh/日）</w:t>
            </w:r>
          </w:p>
        </w:tc>
        <w:tc>
          <w:tcPr/>
          <w:p>
            <w:pPr>
              <w:pStyle w:val="Compact"/>
              <w:jc w:val="right"/>
            </w:pPr>
            <w:r>
              <w:rPr>
                <w:sz w:val="18"/>
              </w:rPr>
              <w:t xml:space="preserve">2.36</w:t>
            </w:r>
          </w:p>
        </w:tc>
        <w:tc>
          <w:tcPr/>
          <w:p>
            <w:pPr>
              <w:pStyle w:val="Compact"/>
              <w:jc w:val="right"/>
            </w:pPr>
            <w:r>
              <w:rPr>
                <w:sz w:val="18"/>
              </w:rPr>
              <w:t xml:space="preserve">1.88</w:t>
            </w:r>
          </w:p>
        </w:tc>
        <w:tc>
          <w:tcPr/>
          <w:p>
            <w:pPr>
              <w:pStyle w:val="Compact"/>
              <w:jc w:val="right"/>
            </w:pPr>
            <w:r>
              <w:rPr>
                <w:sz w:val="18"/>
              </w:rPr>
              <w:t xml:space="preserve">0.02</w:t>
            </w:r>
          </w:p>
        </w:tc>
        <w:tc>
          <w:tcPr/>
          <w:p>
            <w:pPr>
              <w:pStyle w:val="Compact"/>
              <w:jc w:val="right"/>
            </w:pPr>
            <w:r>
              <w:rPr>
                <w:sz w:val="18"/>
              </w:rPr>
              <w:t xml:space="preserve">1.93</w:t>
            </w:r>
          </w:p>
        </w:tc>
        <w:tc>
          <w:tcPr/>
          <w:p>
            <w:pPr>
              <w:pStyle w:val="Compact"/>
              <w:jc w:val="right"/>
            </w:pPr>
            <w:r>
              <w:rPr>
                <w:sz w:val="18"/>
              </w:rPr>
              <w:t xml:space="preserve">10.57</w:t>
            </w:r>
          </w:p>
        </w:tc>
      </w:tr>
      <w:tr>
        <w:tc>
          <w:tcPr/>
          <w:p>
            <w:pPr>
              <w:pStyle w:val="Compact"/>
            </w:pPr>
            <w:r>
              <w:rPr>
                <w:rFonts w:hint="eastAsia"/>
                <w:sz w:val="18"/>
              </w:rPr>
              <w:t xml:space="preserve">下限張り付き時間（時間/日）</w:t>
            </w:r>
          </w:p>
        </w:tc>
        <w:tc>
          <w:tcPr/>
          <w:p>
            <w:pPr>
              <w:pStyle w:val="Compact"/>
              <w:jc w:val="right"/>
            </w:pPr>
            <w:r>
              <w:rPr>
                <w:sz w:val="18"/>
              </w:rPr>
              <w:t xml:space="preserve">1.78</w:t>
            </w:r>
          </w:p>
        </w:tc>
        <w:tc>
          <w:tcPr/>
          <w:p>
            <w:pPr>
              <w:pStyle w:val="Compact"/>
              <w:jc w:val="right"/>
            </w:pPr>
            <w:r>
              <w:rPr>
                <w:sz w:val="18"/>
              </w:rPr>
              <w:t xml:space="preserve">2.85</w:t>
            </w:r>
          </w:p>
        </w:tc>
        <w:tc>
          <w:tcPr/>
          <w:p>
            <w:pPr>
              <w:pStyle w:val="Compact"/>
              <w:jc w:val="right"/>
            </w:pPr>
            <w:r>
              <w:rPr>
                <w:sz w:val="18"/>
              </w:rPr>
              <w:t xml:space="preserve">0.00</w:t>
            </w:r>
          </w:p>
        </w:tc>
        <w:tc>
          <w:tcPr/>
          <w:p>
            <w:pPr>
              <w:pStyle w:val="Compact"/>
              <w:jc w:val="right"/>
            </w:pPr>
            <w:r>
              <w:rPr>
                <w:sz w:val="18"/>
              </w:rPr>
              <w:t xml:space="preserve">0.00</w:t>
            </w:r>
          </w:p>
        </w:tc>
        <w:tc>
          <w:tcPr/>
          <w:p>
            <w:pPr>
              <w:pStyle w:val="Compact"/>
              <w:jc w:val="right"/>
            </w:pPr>
            <w:r>
              <w:rPr>
                <w:sz w:val="18"/>
              </w:rPr>
              <w:t xml:space="preserve">11.00</w:t>
            </w:r>
          </w:p>
        </w:tc>
      </w:tr>
    </w:tbl>
    <w:p>
      <w:pPr>
        <w:pStyle w:val="TableNote"/>
      </w:pPr>
      <w:r>
        <w:rPr>
          <w:rFonts w:hint="eastAsia"/>
        </w:rPr>
        <w:t xml:space="preserve">注）24時間の価格・需要・発電量がそろう日の値。北海道は2018年9月7〜26日、九州は2019年3月12〜31日を除く。変数の定義は3.7節による。需要と発電量は日合計。北海道</w:t>
      </w:r>
      <w:r>
        <w:t xml:space="preserve"> FY2016〜25 </w:t>
      </w:r>
      <w:r>
        <w:rPr>
          <w:rFonts w:hint="eastAsia"/>
        </w:rPr>
        <w:t xml:space="preserve">の需要と太陽光の最小は、北海道胆振東部地震の当日（2018年9月6日）の値である（3.6.3項）。</w:t>
      </w:r>
    </w:p>
    <w:p>
      <w:pPr>
        <w:pStyle w:val="TableNote"/>
      </w:pPr>
      <w:r>
        <w:rPr>
          <w:rFonts w:hint="eastAsia"/>
        </w:rPr>
        <w:t xml:space="preserve">出所）日本卸電力取引所『スポット市場取引結果』、北海道電力ネットワーク・九州電力送配電『エリア需給実績』より筆者作成。</w:t>
      </w:r>
    </w:p>
    <w:p>
      <w:pPr>
        <w:pStyle w:val="BodyText"/>
      </w:pPr>
      <w:r>
        <w:rPr>
          <w:rFonts w:hint="eastAsia"/>
        </w:rPr>
        <w:t xml:space="preserve">全期間（FY2016〜25）の価格の標準偏差と最大値は、2021年1月の価格高騰に強く影響されている。北海道の日平均価格の最大は、2021年1月13日の値である。北海道の風力の日次発電量（制御前）は、FY2023〜25</w:t>
      </w:r>
      <w:r>
        <w:t xml:space="preserve"> </w:t>
      </w:r>
      <w:r>
        <w:rPr>
          <w:rFonts w:hint="eastAsia"/>
        </w:rPr>
        <w:t xml:space="preserve">の平均が全期間の平均の約1.7倍であり、風力の比重が近年に高まったことを示す。FY2023〜25</w:t>
      </w:r>
      <w:r>
        <w:t xml:space="preserve"> の TB4h </w:t>
      </w:r>
      <w:r>
        <w:rPr>
          <w:rFonts w:hint="eastAsia"/>
        </w:rPr>
        <w:t xml:space="preserve">の平均は北海道と九州で近いが、下限張り付き時間は九州が北海道の約3倍である。下限張り付きが少ないにもかかわらず、北海道の完全予見粗利が九州の約9割に達することは6.2節で示す。季節別（夏・冬・不需要期）の値は付録の表D.2</w:t>
      </w:r>
      <w:r>
        <w:t xml:space="preserve"> </w:t>
      </w:r>
      <w:r>
        <w:rPr>
          <w:rFonts w:hint="eastAsia"/>
        </w:rPr>
        <w:t xml:space="preserve">に示す。</w:t>
      </w:r>
    </w:p>
    <w:bookmarkEnd w:id="66"/>
    <w:bookmarkStart w:id="67" w:name="本章のまとめ"/>
    <w:p>
      <w:pPr>
        <w:pStyle w:val="Heading2"/>
      </w:pPr>
      <w:r>
        <w:t xml:space="preserve">3.8　</w:t>
      </w:r>
      <w:r>
        <w:rPr>
          <w:rFonts w:hint="eastAsia"/>
        </w:rPr>
        <w:t xml:space="preserve">本章のまとめ</w:t>
      </w:r>
    </w:p>
    <w:p>
      <w:pPr>
        <w:pStyle w:val="FirstParagraph"/>
      </w:pPr>
      <w:r>
        <w:rPr>
          <w:rFonts w:hint="eastAsia"/>
        </w:rPr>
        <w:t xml:space="preserve">本章では、蓄電池の収入を決める制度と、分析に用いるデータを整理した。各制度が本研究の分析にどう入るかを表3.2</w:t>
      </w:r>
      <w:r>
        <w:t xml:space="preserve"> にまとめる。</w:t>
      </w:r>
    </w:p>
    <w:p>
      <w:pPr>
        <w:pStyle w:val="TableCaption"/>
      </w:pPr>
      <w:r>
        <w:rPr>
          <w:rFonts w:hint="eastAsia"/>
        </w:rPr>
        <w:t xml:space="preserve">表3.2</w:t>
      </w:r>
      <w:r>
        <w:t xml:space="preserve">　</w:t>
      </w:r>
      <w:r>
        <w:rPr>
          <w:rFonts w:hint="eastAsia"/>
        </w:rPr>
        <w:t xml:space="preserve">制度の要点と本研究での扱い</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3.2　制度の要点と本研究での扱い"/>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制度・市場</w:t>
            </w:r>
          </w:p>
        </w:tc>
        <w:tc>
          <w:tcPr>
            <w:tcBorders>
              <w:bottom w:val="single" w:sz="6" w:color="000000"/>
            </w:tcBorders>
          </w:tcPr>
          <w:p>
            <w:pPr>
              <w:pStyle w:val="Compact"/>
            </w:pPr>
            <w:r>
              <w:rPr>
                <w:rFonts w:hint="eastAsia"/>
                <w:sz w:val="18"/>
              </w:rPr>
              <w:t xml:space="preserve">蓄電池の採算にかかわる要点</w:t>
            </w:r>
          </w:p>
        </w:tc>
        <w:tc>
          <w:tcPr>
            <w:tcBorders>
              <w:bottom w:val="single" w:sz="6" w:color="000000"/>
            </w:tcBorders>
          </w:tcPr>
          <w:p>
            <w:pPr>
              <w:pStyle w:val="Compact"/>
            </w:pPr>
            <w:r>
              <w:rPr>
                <w:rFonts w:hint="eastAsia"/>
                <w:sz w:val="18"/>
              </w:rPr>
              <w:t xml:space="preserve">本研究での扱い</w:t>
            </w:r>
          </w:p>
        </w:tc>
      </w:tr>
      <w:tr>
        <w:tc>
          <w:tcPr/>
          <w:p>
            <w:pPr>
              <w:pStyle w:val="Compact"/>
            </w:pPr>
            <w:r>
              <w:rPr>
                <w:sz w:val="18"/>
              </w:rPr>
              <w:t xml:space="preserve">JEPX </w:t>
            </w:r>
            <w:r>
              <w:rPr>
                <w:rFonts w:hint="eastAsia"/>
                <w:sz w:val="18"/>
              </w:rPr>
              <w:t xml:space="preserve">スポット市場</w:t>
            </w:r>
          </w:p>
        </w:tc>
        <w:tc>
          <w:tcPr/>
          <w:p>
            <w:pPr>
              <w:pStyle w:val="Compact"/>
            </w:pPr>
            <w:r>
              <w:rPr>
                <w:rFonts w:hint="eastAsia"/>
                <w:sz w:val="18"/>
              </w:rPr>
              <w:t xml:space="preserve">前日の一括約定。下限価格0.01円/kWh</w:t>
            </w:r>
          </w:p>
        </w:tc>
        <w:tc>
          <w:tcPr/>
          <w:p>
            <w:pPr>
              <w:pStyle w:val="Compact"/>
            </w:pPr>
            <w:r>
              <w:rPr>
                <w:rFonts w:hint="eastAsia"/>
                <w:sz w:val="18"/>
              </w:rPr>
              <w:t xml:space="preserve">裁定の価値の主な測定対象。負の価格の反実仮想</w:t>
            </w:r>
          </w:p>
        </w:tc>
      </w:tr>
      <w:tr>
        <w:tc>
          <w:tcPr/>
          <w:p>
            <w:pPr>
              <w:pStyle w:val="Compact"/>
            </w:pPr>
            <w:r>
              <w:rPr>
                <w:rFonts w:hint="eastAsia"/>
                <w:sz w:val="18"/>
              </w:rPr>
              <w:t xml:space="preserve">出力制御</w:t>
            </w:r>
          </w:p>
        </w:tc>
        <w:tc>
          <w:tcPr/>
          <w:p>
            <w:pPr>
              <w:pStyle w:val="Compact"/>
            </w:pPr>
            <w:r>
              <w:rPr>
                <w:rFonts w:hint="eastAsia"/>
                <w:sz w:val="18"/>
              </w:rPr>
              <w:t xml:space="preserve">2025年度から増加。ローカル制約の損失は価格に現れない</w:t>
            </w:r>
          </w:p>
        </w:tc>
        <w:tc>
          <w:tcPr/>
          <w:p>
            <w:pPr>
              <w:pStyle w:val="Compact"/>
            </w:pPr>
            <w:r>
              <w:rPr>
                <w:rFonts w:hint="eastAsia"/>
                <w:sz w:val="18"/>
              </w:rPr>
              <w:t xml:space="preserve">併設蓄電池の抑制回避の価値</w:t>
            </w:r>
          </w:p>
        </w:tc>
      </w:tr>
      <w:tr>
        <w:tc>
          <w:tcPr/>
          <w:p>
            <w:pPr>
              <w:pStyle w:val="Compact"/>
            </w:pPr>
            <w:r>
              <w:rPr>
                <w:rFonts w:hint="eastAsia"/>
                <w:sz w:val="18"/>
              </w:rPr>
              <w:t xml:space="preserve">容量市場</w:t>
            </w:r>
          </w:p>
        </w:tc>
        <w:tc>
          <w:tcPr/>
          <w:p>
            <w:pPr>
              <w:pStyle w:val="Compact"/>
            </w:pPr>
            <w:r>
              <w:rPr>
                <w:rFonts w:hint="eastAsia"/>
                <w:sz w:val="18"/>
              </w:rPr>
              <w:t xml:space="preserve">実効容量収入は2029年度向けで約1.25万円/kW-年</w:t>
            </w:r>
          </w:p>
        </w:tc>
        <w:tc>
          <w:tcPr/>
          <w:p>
            <w:pPr>
              <w:pStyle w:val="Compact"/>
            </w:pPr>
            <w:r>
              <w:rPr>
                <w:rFonts w:hint="eastAsia"/>
                <w:sz w:val="18"/>
              </w:rPr>
              <w:t xml:space="preserve">主の値。2030年度向け以降の上振れは感応度</w:t>
            </w:r>
          </w:p>
        </w:tc>
      </w:tr>
      <w:tr>
        <w:tc>
          <w:tcPr/>
          <w:p>
            <w:pPr>
              <w:pStyle w:val="Compact"/>
            </w:pPr>
            <w:r>
              <w:rPr>
                <w:sz w:val="18"/>
              </w:rPr>
              <w:t xml:space="preserve">LTDA</w:t>
            </w:r>
          </w:p>
        </w:tc>
        <w:tc>
          <w:tcPr/>
          <w:p>
            <w:pPr>
              <w:pStyle w:val="Compact"/>
            </w:pPr>
            <w:r>
              <w:rPr>
                <w:rFonts w:hint="eastAsia"/>
                <w:sz w:val="18"/>
              </w:rPr>
              <w:t xml:space="preserve">原則20年の固定収入。他市場収益の約9割を還付</w:t>
            </w:r>
          </w:p>
        </w:tc>
        <w:tc>
          <w:tcPr/>
          <w:p>
            <w:pPr>
              <w:pStyle w:val="Compact"/>
            </w:pPr>
            <w:r>
              <w:rPr>
                <w:rFonts w:hint="eastAsia"/>
                <w:sz w:val="18"/>
              </w:rPr>
              <w:t xml:space="preserve">市場外収入に依存する容量として外生</w:t>
            </w:r>
          </w:p>
        </w:tc>
      </w:tr>
      <w:tr>
        <w:tc>
          <w:tcPr/>
          <w:p>
            <w:pPr>
              <w:pStyle w:val="Compact"/>
            </w:pPr>
            <w:r>
              <w:rPr>
                <w:rFonts w:hint="eastAsia"/>
                <w:sz w:val="18"/>
              </w:rPr>
              <w:t xml:space="preserve">需給調整市場</w:t>
            </w:r>
          </w:p>
        </w:tc>
        <w:tc>
          <w:tcPr/>
          <w:p>
            <w:pPr>
              <w:pStyle w:val="Compact"/>
            </w:pPr>
            <w:r>
              <w:rPr>
                <w:rFonts w:hint="eastAsia"/>
                <w:sz w:val="18"/>
              </w:rPr>
              <w:t xml:space="preserve">機会費用が上限。スポット市場の後の逐次の構造</w:t>
            </w:r>
          </w:p>
        </w:tc>
        <w:tc>
          <w:tcPr/>
          <w:p>
            <w:pPr>
              <w:pStyle w:val="Compact"/>
            </w:pPr>
            <w:r>
              <w:rPr>
                <w:rFonts w:hint="eastAsia"/>
                <w:sz w:val="18"/>
              </w:rPr>
              <w:t xml:space="preserve">ゼロレント。移行期のレントは感応度</w:t>
            </w:r>
          </w:p>
        </w:tc>
      </w:tr>
      <w:tr>
        <w:tc>
          <w:tcPr/>
          <w:p>
            <w:pPr>
              <w:pStyle w:val="Compact"/>
            </w:pPr>
            <w:r>
              <w:rPr>
                <w:rFonts w:hint="eastAsia"/>
                <w:sz w:val="18"/>
              </w:rPr>
              <w:t xml:space="preserve">資本費・固定費</w:t>
            </w:r>
          </w:p>
        </w:tc>
        <w:tc>
          <w:tcPr/>
          <w:p>
            <w:pPr>
              <w:pStyle w:val="Compact"/>
            </w:pPr>
            <w:r>
              <w:rPr>
                <w:rFonts w:hint="eastAsia"/>
                <w:sz w:val="18"/>
              </w:rPr>
              <w:t xml:space="preserve">実勢価格6.8万円/kWh（2024年度）</w:t>
            </w:r>
          </w:p>
        </w:tc>
        <w:tc>
          <w:tcPr/>
          <w:p>
            <w:pPr>
              <w:pStyle w:val="Compact"/>
            </w:pPr>
            <m:oMath>
              <m:sSub>
                <m:e>
                  <m:r>
                    <m:t>c</m:t>
                  </m:r>
                </m:e>
                <m:sub>
                  <m:r>
                    <m:rPr>
                      <m:sty m:val="p"/>
                    </m:rPr>
                    <m:t>r</m:t>
                  </m:r>
                  <m:r>
                    <m:rPr>
                      <m:sty m:val="p"/>
                    </m:rPr>
                    <m:t>e</m:t>
                  </m:r>
                  <m:r>
                    <m:rPr>
                      <m:sty m:val="p"/>
                    </m:rPr>
                    <m:t>q</m:t>
                  </m:r>
                </m:sub>
              </m:sSub>
            </m:oMath>
            <w:r>
              <w:rPr>
                <w:sz w:val="18"/>
              </w:rPr>
              <w:t xml:space="preserve"> </w:t>
            </w:r>
            <w:r>
              <w:rPr>
                <w:rFonts w:hint="eastAsia"/>
                <w:sz w:val="18"/>
              </w:rPr>
              <w:t xml:space="preserve">は約3.2〜3.7万円/kW-年</w:t>
            </w:r>
          </w:p>
        </w:tc>
      </w:tr>
    </w:tbl>
    <w:p>
      <w:pPr>
        <w:pStyle w:val="TableNote"/>
      </w:pPr>
      <w:r>
        <w:rPr>
          <w:rFonts w:hint="eastAsia"/>
        </w:rPr>
        <w:t xml:space="preserve">注）実効容量収入と</w:t>
      </w:r>
      <w:r>
        <w:t xml:space="preserve"> </w:t>
      </w:r>
      <m:oMath>
        <m:sSub>
          <m:e>
            <m:r>
              <m:t>c</m:t>
            </m:r>
          </m:e>
          <m:sub>
            <m:r>
              <m:rPr>
                <m:sty m:val="p"/>
              </m:rPr>
              <m:t>r</m:t>
            </m:r>
            <m:r>
              <m:rPr>
                <m:sty m:val="p"/>
              </m:rPr>
              <m:t>e</m:t>
            </m:r>
            <m:r>
              <m:rPr>
                <m:sty m:val="p"/>
              </m:rPr>
              <m:t>q</m:t>
            </m:r>
          </m:sub>
        </m:sSub>
      </m:oMath>
      <w:r>
        <w:rPr>
          <w:rFonts w:hint="eastAsia"/>
        </w:rPr>
        <w:t xml:space="preserve">（参入に必要な年間収益）は4時間蓄電池の値で、実効容量収入は北海道エリアの約定価格による。実勢価格は全国の系統用蓄電システムのシステムと工事費の総額。</w:t>
      </w:r>
    </w:p>
    <w:p>
      <w:pPr>
        <w:pStyle w:val="TableNote"/>
      </w:pPr>
      <w:r>
        <w:rPr>
          <w:rFonts w:hint="eastAsia"/>
        </w:rPr>
        <w:t xml:space="preserve">出所）日本卸電力取引所、電力広域的運営推進機関（容量市場・長期脱炭素電源オークション）、電力需給調整力取引所、経済産業省（定置用蓄電システム普及拡大検討会、需給調整市場ガイドライン）、資源エネルギー庁の公表資料（3.1〜3.5節）に基づき筆者作成。</w:t>
      </w:r>
    </w:p>
    <w:p>
      <w:pPr>
        <w:pStyle w:val="BodyText"/>
      </w:pPr>
      <w:r>
        <w:rPr>
          <w:rFonts w:hint="eastAsia"/>
        </w:rPr>
        <w:t xml:space="preserve">データの面では、北海道・東北・九州の需給実績と価格を60分単位の時間パネルにそろえ、外部の公表値との突合で品質を確かめた。風力の出力は平滑化を経た値であり、導入量の系列には計上時期のずれがあるが、いずれも主な結論への影響は小さいと考えられる。次章では、これらの制度とデータの上に、本研究の分析の枠組みと共通の定義を示す。</w:t>
      </w:r>
    </w:p>
    <w:bookmarkEnd w:id="67"/>
    <w:bookmarkEnd w:id="68"/>
    <w:bookmarkStart w:id="80" w:name="第4章-分析の枠組み"/>
    <w:p>
      <w:pPr>
        <w:pStyle w:val="Heading1"/>
        <w:pageBreakBefore/>
      </w:pPr>
      <w:r>
        <w:rPr>
          <w:rFonts w:hint="eastAsia"/>
        </w:rPr>
        <w:t xml:space="preserve">第4章</w:t>
      </w:r>
      <w:r>
        <w:t xml:space="preserve">　</w:t>
      </w:r>
      <w:r>
        <w:rPr>
          <w:rFonts w:hint="eastAsia"/>
        </w:rPr>
        <w:t xml:space="preserve">分析の枠組み</w:t>
      </w:r>
    </w:p>
    <w:p>
      <w:pPr>
        <w:pStyle w:val="FirstParagraph"/>
      </w:pPr>
      <w:r>
        <w:rPr>
          <w:rFonts w:hint="eastAsia"/>
        </w:rPr>
        <w:t xml:space="preserve">本章は、第5章から第9章の分析に共通する枠組み、すなわち各章が共有する定義と判定の基準を示す。第3章で述べた制度とデータを前提に、4.1節で</w:t>
      </w:r>
      <w:r>
        <w:t xml:space="preserve"> RQ1〜RQ6 </w:t>
      </w:r>
      <w:r>
        <w:rPr>
          <w:rFonts w:hint="eastAsia"/>
        </w:rPr>
        <w:t xml:space="preserve">をどの章のどの手法で扱うかを整理し、4.2節で複数の章にまたがって用いる量（完全予見粗利、実現率、価格水準係数、限界参入者の収益、参入必要収益など）を定義する。4.3節では各分析をファイナンス・金融工学の標準的な手法と対応づけ、4.4節でまとめる。個々の手法の詳細は各結果章の第1節「分析の方法」で、導出は付録B</w:t>
      </w:r>
      <w:r>
        <w:t xml:space="preserve"> </w:t>
      </w:r>
      <w:r>
        <w:rPr>
          <w:rFonts w:hint="eastAsia"/>
        </w:rPr>
        <w:t xml:space="preserve">で述べる。</w:t>
      </w:r>
    </w:p>
    <w:bookmarkStart w:id="69" w:name="分析の全体構成"/>
    <w:p>
      <w:pPr>
        <w:pStyle w:val="Heading2"/>
      </w:pPr>
      <w:r>
        <w:t xml:space="preserve">4.1　</w:t>
      </w:r>
      <w:r>
        <w:rPr>
          <w:rFonts w:hint="eastAsia"/>
        </w:rPr>
        <w:t xml:space="preserve">分析の全体構成</w:t>
      </w:r>
    </w:p>
    <w:p>
      <w:pPr>
        <w:pStyle w:val="FirstParagraph"/>
      </w:pPr>
      <w:r>
        <w:rPr>
          <w:rFonts w:hint="eastAsia"/>
        </w:rPr>
        <w:t xml:space="preserve">本研究の分析は、1.3節で概観した5つの段階からなる。表4.1</w:t>
      </w:r>
      <w:r>
        <w:t xml:space="preserve"> </w:t>
      </w:r>
      <w:r>
        <w:rPr>
          <w:rFonts w:hint="eastAsia"/>
        </w:rPr>
        <w:t xml:space="preserve">は、各段階と</w:t>
      </w:r>
      <w:r>
        <w:t xml:space="preserve"> </w:t>
      </w:r>
      <w:r>
        <w:rPr>
          <w:rFonts w:hint="eastAsia"/>
        </w:rPr>
        <w:t xml:space="preserve">RQ・章・手法・出力の対応を示す。</w:t>
      </w:r>
    </w:p>
    <w:p>
      <w:pPr>
        <w:pStyle w:val="TableCaption"/>
      </w:pPr>
      <w:r>
        <w:rPr>
          <w:rFonts w:hint="eastAsia"/>
        </w:rPr>
        <w:t xml:space="preserve">表4.1</w:t>
      </w:r>
      <w:r>
        <w:t xml:space="preserve">　</w:t>
      </w:r>
      <w:r>
        <w:rPr>
          <w:rFonts w:hint="eastAsia"/>
        </w:rPr>
        <w:t xml:space="preserve">分析の全体構成</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4.1　分析の全体構成"/>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段階</w:t>
            </w:r>
          </w:p>
        </w:tc>
        <w:tc>
          <w:tcPr>
            <w:tcBorders>
              <w:bottom w:val="single" w:sz="6" w:color="000000"/>
            </w:tcBorders>
          </w:tcPr>
          <w:p>
            <w:pPr>
              <w:pStyle w:val="Compact"/>
            </w:pPr>
            <w:r>
              <w:rPr>
                <w:rFonts w:hint="eastAsia"/>
                <w:sz w:val="18"/>
              </w:rPr>
              <w:t xml:space="preserve">対応する</w:t>
            </w:r>
            <w:r>
              <w:rPr>
                <w:sz w:val="18"/>
              </w:rPr>
              <w:t xml:space="preserve"> RQ</w:t>
            </w:r>
          </w:p>
        </w:tc>
        <w:tc>
          <w:tcPr>
            <w:tcBorders>
              <w:bottom w:val="single" w:sz="6" w:color="000000"/>
            </w:tcBorders>
          </w:tcPr>
          <w:p>
            <w:pPr>
              <w:pStyle w:val="Compact"/>
            </w:pPr>
            <w:r>
              <w:rPr>
                <w:rFonts w:hint="eastAsia"/>
                <w:sz w:val="18"/>
              </w:rPr>
              <w:t xml:space="preserve">章</w:t>
            </w:r>
          </w:p>
        </w:tc>
        <w:tc>
          <w:tcPr>
            <w:tcBorders>
              <w:bottom w:val="single" w:sz="6" w:color="000000"/>
            </w:tcBorders>
          </w:tcPr>
          <w:p>
            <w:pPr>
              <w:pStyle w:val="Compact"/>
            </w:pPr>
            <w:r>
              <w:rPr>
                <w:rFonts w:hint="eastAsia"/>
                <w:sz w:val="18"/>
              </w:rPr>
              <w:t xml:space="preserve">主な手法</w:t>
            </w:r>
          </w:p>
        </w:tc>
        <w:tc>
          <w:tcPr>
            <w:tcBorders>
              <w:bottom w:val="single" w:sz="6" w:color="000000"/>
            </w:tcBorders>
          </w:tcPr>
          <w:p>
            <w:pPr>
              <w:pStyle w:val="Compact"/>
            </w:pPr>
            <w:r>
              <w:rPr>
                <w:rFonts w:hint="eastAsia"/>
                <w:sz w:val="18"/>
              </w:rPr>
              <w:t xml:space="preserve">主な出力</w:t>
            </w:r>
          </w:p>
        </w:tc>
      </w:tr>
      <w:tr>
        <w:tc>
          <w:tcPr/>
          <w:p>
            <w:pPr>
              <w:pStyle w:val="Compact"/>
            </w:pPr>
            <w:r>
              <w:rPr>
                <w:rFonts w:hint="eastAsia"/>
                <w:sz w:val="18"/>
              </w:rPr>
              <w:t xml:space="preserve">通説の検証と電源種による分解</w:t>
            </w:r>
          </w:p>
        </w:tc>
        <w:tc>
          <w:tcPr/>
          <w:p>
            <w:pPr>
              <w:pStyle w:val="Compact"/>
            </w:pPr>
            <w:r>
              <w:rPr>
                <w:sz w:val="18"/>
              </w:rPr>
              <w:t xml:space="preserve">RQ1</w:t>
            </w:r>
          </w:p>
        </w:tc>
        <w:tc>
          <w:tcPr/>
          <w:p>
            <w:pPr>
              <w:pStyle w:val="Compact"/>
            </w:pPr>
            <w:r>
              <w:rPr>
                <w:rFonts w:hint="eastAsia"/>
                <w:sz w:val="18"/>
              </w:rPr>
              <w:t xml:space="preserve">第5章</w:t>
            </w:r>
          </w:p>
        </w:tc>
        <w:tc>
          <w:tcPr/>
          <w:p>
            <w:pPr>
              <w:pStyle w:val="Compact"/>
            </w:pPr>
            <w:r>
              <w:rPr>
                <w:rFonts w:hint="eastAsia"/>
                <w:sz w:val="18"/>
              </w:rPr>
              <w:t xml:space="preserve">ボラティリティの3分解、帯域分解、日次回帰（系列相関に頑健な推論）、分位点回帰、市場分断の分類、空間分散シミュレーション、価格カーブの主成分分解</w:t>
            </w:r>
          </w:p>
        </w:tc>
        <w:tc>
          <w:tcPr/>
          <w:p>
            <w:pPr>
              <w:pStyle w:val="Compact"/>
            </w:pPr>
            <w:r>
              <w:rPr>
                <w:rFonts w:hint="eastAsia"/>
                <w:sz w:val="18"/>
              </w:rPr>
              <w:t xml:space="preserve">電源種×時間スケール別の価格への影響とその上限、市場分断の構成、価格カーブの因子への負荷</w:t>
            </w:r>
          </w:p>
        </w:tc>
      </w:tr>
      <w:tr>
        <w:tc>
          <w:tcPr/>
          <w:p>
            <w:pPr>
              <w:pStyle w:val="Compact"/>
            </w:pPr>
            <w:r>
              <w:rPr>
                <w:rFonts w:hint="eastAsia"/>
                <w:sz w:val="18"/>
              </w:rPr>
              <w:t xml:space="preserve">蓄電池価値の測定</w:t>
            </w:r>
          </w:p>
        </w:tc>
        <w:tc>
          <w:tcPr/>
          <w:p>
            <w:pPr>
              <w:pStyle w:val="Compact"/>
            </w:pPr>
            <w:r>
              <w:rPr>
                <w:sz w:val="18"/>
              </w:rPr>
              <w:t xml:space="preserve">RQ2</w:t>
            </w:r>
          </w:p>
        </w:tc>
        <w:tc>
          <w:tcPr/>
          <w:p>
            <w:pPr>
              <w:pStyle w:val="Compact"/>
            </w:pPr>
            <w:r>
              <w:rPr>
                <w:rFonts w:hint="eastAsia"/>
                <w:sz w:val="18"/>
              </w:rPr>
              <w:t xml:space="preserve">第6章</w:t>
            </w:r>
          </w:p>
        </w:tc>
        <w:tc>
          <w:tcPr/>
          <w:p>
            <w:pPr>
              <w:pStyle w:val="Compact"/>
            </w:pPr>
            <w:r>
              <w:rPr>
                <w:rFonts w:hint="eastAsia"/>
                <w:sz w:val="18"/>
              </w:rPr>
              <w:t xml:space="preserve">完全予見バックテストと脚の分解、実行可能戦略のバックテスト、完全予見粗利の層分解、取引ルールの検定、duration</w:t>
            </w:r>
            <w:r>
              <w:rPr>
                <w:sz w:val="18"/>
              </w:rPr>
              <w:t xml:space="preserve"> </w:t>
            </w:r>
            <w:r>
              <w:rPr>
                <w:rFonts w:hint="eastAsia"/>
                <w:sz w:val="18"/>
              </w:rPr>
              <w:t xml:space="preserve">別の価値</w:t>
            </w:r>
          </w:p>
        </w:tc>
        <w:tc>
          <w:tcPr/>
          <w:p>
            <w:pPr>
              <w:pStyle w:val="Compact"/>
            </w:pPr>
            <w:r>
              <w:rPr>
                <w:rFonts w:hint="eastAsia"/>
                <w:sz w:val="18"/>
              </w:rPr>
              <w:t xml:space="preserve">完全予見粗利、実現率、層別の価値、duration</w:t>
            </w:r>
            <w:r>
              <w:rPr>
                <w:sz w:val="18"/>
              </w:rPr>
              <w:t xml:space="preserve"> </w:t>
            </w:r>
            <w:r>
              <w:rPr>
                <w:rFonts w:hint="eastAsia"/>
                <w:sz w:val="18"/>
              </w:rPr>
              <w:t xml:space="preserve">別の参入閾値</w:t>
            </w:r>
          </w:p>
        </w:tc>
      </w:tr>
      <w:tr>
        <w:tc>
          <w:tcPr/>
          <w:p>
            <w:pPr>
              <w:pStyle w:val="Compact"/>
            </w:pPr>
            <w:r>
              <w:rPr>
                <w:rFonts w:hint="eastAsia"/>
                <w:sz w:val="18"/>
              </w:rPr>
              <w:t xml:space="preserve">均衡</w:t>
            </w:r>
          </w:p>
        </w:tc>
        <w:tc>
          <w:tcPr/>
          <w:p>
            <w:pPr>
              <w:pStyle w:val="Compact"/>
            </w:pPr>
            <w:r>
              <w:rPr>
                <w:rFonts w:hint="eastAsia"/>
                <w:sz w:val="18"/>
              </w:rPr>
              <w:t xml:space="preserve">RQ2・RQ3（RQ5・RQ6</w:t>
            </w:r>
            <w:r>
              <w:rPr>
                <w:sz w:val="18"/>
              </w:rPr>
              <w:t xml:space="preserve"> </w:t>
            </w:r>
            <w:r>
              <w:rPr>
                <w:rFonts w:hint="eastAsia"/>
                <w:sz w:val="18"/>
              </w:rPr>
              <w:t xml:space="preserve">の一部）</w:t>
            </w:r>
          </w:p>
        </w:tc>
        <w:tc>
          <w:tcPr/>
          <w:p>
            <w:pPr>
              <w:pStyle w:val="Compact"/>
            </w:pPr>
            <w:r>
              <w:rPr>
                <w:rFonts w:hint="eastAsia"/>
                <w:sz w:val="18"/>
              </w:rPr>
              <w:t xml:space="preserve">第7章</w:t>
            </w:r>
          </w:p>
        </w:tc>
        <w:tc>
          <w:tcPr/>
          <w:p>
            <w:pPr>
              <w:pStyle w:val="Compact"/>
            </w:pPr>
            <w:r>
              <w:rPr>
                <w:rFonts w:hint="eastAsia"/>
                <w:sz w:val="18"/>
              </w:rPr>
              <w:t xml:space="preserve">構造型の価格過程モデルと条件付き応答の検証、フリートの内生化（実績整合ケース）、ゼロレント条件、実物オプションによる参入閾値</w:t>
            </w:r>
          </w:p>
        </w:tc>
        <w:tc>
          <w:tcPr/>
          <w:p>
            <w:pPr>
              <w:pStyle w:val="Compact"/>
            </w:pPr>
            <m:oMath>
              <m:r>
                <m:t>π</m:t>
              </m:r>
              <m:r>
                <m:rPr>
                  <m:sty m:val="p"/>
                </m:rPr>
                <m:t>(</m:t>
              </m:r>
              <m:r>
                <m:t>K</m:t>
              </m:r>
              <m:r>
                <m:rPr>
                  <m:sty m:val="p"/>
                </m:rPr>
                <m:t>)</m:t>
              </m:r>
            </m:oMath>
            <w:r>
              <w:rPr>
                <w:sz w:val="18"/>
              </w:rPr>
              <w:t xml:space="preserve">、</w:t>
            </w:r>
            <m:oMath>
              <m:sSup>
                <m:e>
                  <m:r>
                    <m:t>K</m:t>
                  </m:r>
                </m:e>
                <m:sup>
                  <m:r>
                    <m:rPr>
                      <m:sty m:val="p"/>
                    </m:rPr>
                    <m:t>*</m:t>
                  </m:r>
                </m:sup>
              </m:sSup>
            </m:oMath>
            <w:r>
              <w:rPr>
                <w:sz w:val="18"/>
              </w:rPr>
              <w:t xml:space="preserve">、</w:t>
            </w:r>
            <m:oMath>
              <m:sSup>
                <m:e>
                  <m:r>
                    <m:t>θ</m:t>
                  </m:r>
                </m:e>
                <m:sup>
                  <m:r>
                    <m:rPr>
                      <m:sty m:val="p"/>
                    </m:rPr>
                    <m:t>*</m:t>
                  </m:r>
                </m:sup>
              </m:sSup>
            </m:oMath>
            <w:r>
              <w:rPr>
                <w:rFonts w:hint="eastAsia"/>
                <w:sz w:val="18"/>
              </w:rPr>
              <w:t xml:space="preserve">、感応度面、動学的な参入閾値と参入が開く確率</w:t>
            </w:r>
          </w:p>
        </w:tc>
      </w:tr>
      <w:tr>
        <w:tc>
          <w:tcPr/>
          <w:p>
            <w:pPr>
              <w:pStyle w:val="Compact"/>
            </w:pPr>
            <w:r>
              <w:rPr>
                <w:rFonts w:hint="eastAsia"/>
                <w:sz w:val="18"/>
              </w:rPr>
              <w:t xml:space="preserve">乖離の分解</w:t>
            </w:r>
          </w:p>
        </w:tc>
        <w:tc>
          <w:tcPr/>
          <w:p>
            <w:pPr>
              <w:pStyle w:val="Compact"/>
            </w:pPr>
            <w:r>
              <w:rPr>
                <w:sz w:val="18"/>
              </w:rPr>
              <w:t xml:space="preserve">RQ3〜RQ5</w:t>
            </w:r>
          </w:p>
        </w:tc>
        <w:tc>
          <w:tcPr/>
          <w:p>
            <w:pPr>
              <w:pStyle w:val="Compact"/>
            </w:pPr>
            <w:r>
              <w:rPr>
                <w:rFonts w:hint="eastAsia"/>
                <w:sz w:val="18"/>
              </w:rPr>
              <w:t xml:space="preserve">第8章</w:t>
            </w:r>
          </w:p>
        </w:tc>
        <w:tc>
          <w:tcPr/>
          <w:p>
            <w:pPr>
              <w:pStyle w:val="Compact"/>
            </w:pPr>
            <w:r>
              <w:rPr>
                <w:rFonts w:hint="eastAsia"/>
                <w:sz w:val="18"/>
              </w:rPr>
              <w:t xml:space="preserve">乖離の</w:t>
            </w:r>
            <w:r>
              <w:rPr>
                <w:sz w:val="18"/>
              </w:rPr>
              <w:t xml:space="preserve"> kW </w:t>
            </w:r>
            <w:r>
              <w:rPr>
                <w:rFonts w:hint="eastAsia"/>
                <w:sz w:val="18"/>
              </w:rPr>
              <w:t xml:space="preserve">勘定、収益源別の計測、併設蓄電池の参入条件、損益分岐面、事業</w:t>
            </w:r>
            <w:r>
              <w:rPr>
                <w:sz w:val="18"/>
              </w:rPr>
              <w:t xml:space="preserve"> </w:t>
            </w:r>
            <w:r>
              <w:rPr>
                <w:rFonts w:hint="eastAsia"/>
                <w:sz w:val="18"/>
              </w:rPr>
              <w:t xml:space="preserve">IRR・資本コスト・APV・確実性等価、多因子</w:t>
            </w:r>
            <w:r>
              <w:rPr>
                <w:sz w:val="18"/>
              </w:rPr>
              <w:t xml:space="preserve"> </w:t>
            </w:r>
            <w:r>
              <w:rPr>
                <w:rFonts w:hint="eastAsia"/>
                <w:sz w:val="18"/>
              </w:rPr>
              <w:t xml:space="preserve">CFaR・ヘッジ有効性</w:t>
            </w:r>
          </w:p>
        </w:tc>
        <w:tc>
          <w:tcPr/>
          <w:p>
            <w:pPr>
              <w:pStyle w:val="Compact"/>
            </w:pPr>
            <w:r>
              <w:rPr>
                <w:rFonts w:hint="eastAsia"/>
                <w:sz w:val="18"/>
              </w:rPr>
              <w:t xml:space="preserve">乖離の</w:t>
            </w:r>
            <w:r>
              <w:rPr>
                <w:sz w:val="18"/>
              </w:rPr>
              <w:t xml:space="preserve"> kW </w:t>
            </w:r>
            <w:r>
              <w:rPr>
                <w:rFonts w:hint="eastAsia"/>
                <w:sz w:val="18"/>
              </w:rPr>
              <w:t xml:space="preserve">と円の内訳、併設の参入条件、契約型とマーチャントのリスク・リターン</w:t>
            </w:r>
          </w:p>
        </w:tc>
      </w:tr>
      <w:tr>
        <w:tc>
          <w:tcPr/>
          <w:p>
            <w:pPr>
              <w:pStyle w:val="Compact"/>
            </w:pPr>
            <w:r>
              <w:rPr>
                <w:rFonts w:hint="eastAsia"/>
                <w:sz w:val="18"/>
              </w:rPr>
              <w:t xml:space="preserve">下限価格の反実仮想</w:t>
            </w:r>
          </w:p>
        </w:tc>
        <w:tc>
          <w:tcPr/>
          <w:p>
            <w:pPr>
              <w:pStyle w:val="Compact"/>
            </w:pPr>
            <w:r>
              <w:rPr>
                <w:rFonts w:hint="eastAsia"/>
                <w:sz w:val="18"/>
              </w:rPr>
              <w:t xml:space="preserve">RQ6（RQ5</w:t>
            </w:r>
            <w:r>
              <w:rPr>
                <w:sz w:val="18"/>
              </w:rPr>
              <w:t xml:space="preserve"> </w:t>
            </w:r>
            <w:r>
              <w:rPr>
                <w:rFonts w:hint="eastAsia"/>
                <w:sz w:val="18"/>
              </w:rPr>
              <w:t xml:space="preserve">の一部）</w:t>
            </w:r>
          </w:p>
        </w:tc>
        <w:tc>
          <w:tcPr/>
          <w:p>
            <w:pPr>
              <w:pStyle w:val="Compact"/>
            </w:pPr>
            <w:r>
              <w:rPr>
                <w:rFonts w:hint="eastAsia"/>
                <w:sz w:val="18"/>
              </w:rPr>
              <w:t xml:space="preserve">第9章</w:t>
            </w:r>
          </w:p>
        </w:tc>
        <w:tc>
          <w:tcPr/>
          <w:p>
            <w:pPr>
              <w:pStyle w:val="Compact"/>
            </w:pPr>
            <w:r>
              <w:rPr>
                <w:rFonts w:hint="eastAsia"/>
                <w:sz w:val="18"/>
              </w:rPr>
              <w:t xml:space="preserve">負の価格の段差モデル、影の価格と移転額の計測</w:t>
            </w:r>
          </w:p>
        </w:tc>
        <w:tc>
          <w:tcPr/>
          <w:p>
            <w:pPr>
              <w:pStyle w:val="Compact"/>
            </w:pPr>
            <w:r>
              <w:rPr>
                <w:rFonts w:hint="eastAsia"/>
                <w:sz w:val="18"/>
              </w:rPr>
              <w:t xml:space="preserve">下限別の</w:t>
            </w:r>
            <w:r>
              <w:rPr>
                <w:sz w:val="18"/>
              </w:rPr>
              <w:t xml:space="preserve"> </w:t>
            </w:r>
            <m:oMath>
              <m:r>
                <m:t>π</m:t>
              </m:r>
              <m:r>
                <m:rPr>
                  <m:sty m:val="p"/>
                </m:rPr>
                <m:t>(</m:t>
              </m:r>
              <m:r>
                <m:t>K</m:t>
              </m:r>
              <m:r>
                <m:rPr>
                  <m:sty m:val="p"/>
                </m:rPr>
                <m:t>)</m:t>
              </m:r>
            </m:oMath>
            <w:r>
              <w:rPr>
                <w:sz w:val="18"/>
              </w:rPr>
              <w:t xml:space="preserve">・</w:t>
            </w:r>
            <m:oMath>
              <m:sSup>
                <m:e>
                  <m:r>
                    <m:t>θ</m:t>
                  </m:r>
                </m:e>
                <m:sup>
                  <m:r>
                    <m:rPr>
                      <m:sty m:val="p"/>
                    </m:rPr>
                    <m:t>*</m:t>
                  </m:r>
                </m:sup>
              </m:sSup>
            </m:oMath>
            <w:r>
              <w:rPr>
                <w:rFonts w:hint="eastAsia"/>
                <w:sz w:val="18"/>
              </w:rPr>
              <w:t xml:space="preserve">、再エネ側の収入の変化</w:t>
            </w:r>
          </w:p>
        </w:tc>
      </w:tr>
    </w:tbl>
    <w:p>
      <w:pPr>
        <w:pStyle w:val="TableNote"/>
      </w:pPr>
      <w:r>
        <w:rPr>
          <w:rFonts w:hint="eastAsia"/>
        </w:rPr>
        <w:t xml:space="preserve">注）APV＝調整現在価値、CFaR＝Cash-Flow-at-Risk、IRR＝内部収益率。記号は4.2節で定義する。</w:t>
      </w:r>
    </w:p>
    <w:p>
      <w:pPr>
        <w:pStyle w:val="TableNote"/>
      </w:pPr>
      <w:r>
        <w:rPr>
          <w:rFonts w:hint="eastAsia"/>
        </w:rPr>
        <w:t xml:space="preserve">出所）筆者作成。</w:t>
      </w:r>
    </w:p>
    <w:p>
      <w:pPr>
        <w:pStyle w:val="BodyText"/>
      </w:pPr>
      <w:r>
        <w:rPr>
          <w:rFonts w:hint="eastAsia"/>
        </w:rPr>
        <w:t xml:space="preserve">各段階は、前の段階の出力を入力として使う。第5章の電源種・時間スケール別の価格への影響は、第6章で価格カーブの形状を解釈する基礎になり、第6章が実績価格の上で測る戦略</w:t>
      </w:r>
      <w:r>
        <w:t xml:space="preserve"> c </w:t>
      </w:r>
      <w:r>
        <w:rPr>
          <w:rFonts w:hint="eastAsia"/>
        </w:rPr>
        <w:t xml:space="preserve">の実現粗利は、第7章で価格モデルを実績に校正する基準になる（4.2.4項）。第7章の</w:t>
      </w:r>
      <w:r>
        <w:t xml:space="preserve"> </w:t>
      </w:r>
      <m:oMath>
        <m:r>
          <m:t>π</m:t>
        </m:r>
        <m:r>
          <m:rPr>
            <m:sty m:val="p"/>
          </m:rPr>
          <m:t>(</m:t>
        </m:r>
        <m:r>
          <m:t>K</m:t>
        </m:r>
        <m:r>
          <m:rPr>
            <m:sty m:val="p"/>
          </m:rPr>
          <m:t>)</m:t>
        </m:r>
      </m:oMath>
      <w:r>
        <w:t xml:space="preserve"> </w:t>
      </w:r>
      <w:r>
        <w:rPr>
          <w:rFonts w:hint="eastAsia"/>
        </w:rPr>
        <w:t xml:space="preserve">と損益分岐の水準係数</w:t>
      </w:r>
      <w:r>
        <w:t xml:space="preserve"> </w:t>
      </w:r>
      <m:oMath>
        <m:sSup>
          <m:e>
            <m:r>
              <m:t>θ</m:t>
            </m:r>
          </m:e>
          <m:sup>
            <m:r>
              <m:rPr>
                <m:sty m:val="p"/>
              </m:rPr>
              <m:t>*</m:t>
            </m:r>
          </m:sup>
        </m:sSup>
      </m:oMath>
      <w:r>
        <w:t xml:space="preserve"> </w:t>
      </w:r>
      <w:r>
        <w:rPr>
          <w:rFonts w:hint="eastAsia"/>
        </w:rPr>
        <w:t xml:space="preserve">は第8章で乖離を測る物差しになり、第9章は同じ価格モデルの上で下限価格の扱いを置き換える。なお、第5章の空間分散シミュレーションも第7章の価格モデルの上で行う。</w:t>
      </w:r>
    </w:p>
    <w:p>
      <w:pPr>
        <w:pStyle w:val="BodyText"/>
      </w:pPr>
      <w:r>
        <w:rPr>
          <w:rFonts w:hint="eastAsia"/>
        </w:rPr>
        <w:t xml:space="preserve">分析の対象は北海道エリアであり、東北エリアと九州エリアは比較と検証に用いる。価格は日本卸電力取引所（JEPX）の前日スポット市場のエリアプライスの60分値である（第3章）。年度（FY）は4月から翌3月とし、分析の中心とする</w:t>
      </w:r>
      <w:r>
        <w:t xml:space="preserve"> FY2023〜25 </w:t>
      </w:r>
      <w:r>
        <w:rPr>
          <w:rFonts w:hint="eastAsia"/>
        </w:rPr>
        <w:t xml:space="preserve">の価格構造を「現行の構造」と呼ぶ。金額は、断りのない限り出力1kW</w:t>
      </w:r>
      <w:r>
        <w:t xml:space="preserve"> </w:t>
      </w:r>
      <w:r>
        <w:rPr>
          <w:rFonts w:hint="eastAsia"/>
        </w:rPr>
        <w:t xml:space="preserve">あたりの年額（円/kW-年）である。</w:t>
      </w:r>
    </w:p>
    <w:bookmarkEnd w:id="69"/>
    <w:bookmarkStart w:id="77" w:name="共通の定義"/>
    <w:p>
      <w:pPr>
        <w:pStyle w:val="Heading2"/>
      </w:pPr>
      <w:r>
        <w:t xml:space="preserve">4.2　</w:t>
      </w:r>
      <w:r>
        <w:rPr>
          <w:rFonts w:hint="eastAsia"/>
        </w:rPr>
        <w:t xml:space="preserve">共通の定義</w:t>
      </w:r>
    </w:p>
    <w:bookmarkStart w:id="70" w:name="蓄電池の仕様と完全予見粗利"/>
    <w:p>
      <w:pPr>
        <w:pStyle w:val="Heading3"/>
      </w:pPr>
      <w:r>
        <w:t xml:space="preserve">4.2.1　</w:t>
      </w:r>
      <w:r>
        <w:rPr>
          <w:rFonts w:hint="eastAsia"/>
        </w:rPr>
        <w:t xml:space="preserve">蓄電池の仕様と完全予見粗利</w:t>
      </w:r>
    </w:p>
    <w:p>
      <w:pPr>
        <w:pStyle w:val="FirstParagraph"/>
      </w:pPr>
      <w:r>
        <w:rPr>
          <w:rFonts w:hint="eastAsia"/>
        </w:rPr>
        <w:t xml:space="preserve">評価する蓄電池は、出力1MW・容量4MWh（4時間）、往復効率0.85（放電側にまとめて適用）、1日1サイクルで、日をまたいで充電量を持ち越さず、自らの充放電で価格を動かさない（価格テイカー）とする。日</w:t>
      </w:r>
      <w:r>
        <w:t xml:space="preserve"> </w:t>
      </w:r>
      <m:oMath>
        <m:r>
          <m:t>t</m:t>
        </m:r>
      </m:oMath>
      <w:r>
        <w:t xml:space="preserve"> </w:t>
      </w:r>
      <w:r>
        <w:rPr>
          <w:rFonts w:hint="eastAsia"/>
        </w:rPr>
        <w:t xml:space="preserve">に充電する4時間の集合</w:t>
      </w:r>
      <w:r>
        <w:t xml:space="preserve"> </w:t>
      </w:r>
      <m:oMath>
        <m:r>
          <m:t>C</m:t>
        </m:r>
      </m:oMath>
      <w:r>
        <w:t xml:space="preserve"> </w:t>
      </w:r>
      <w:r>
        <w:rPr>
          <w:rFonts w:hint="eastAsia"/>
        </w:rPr>
        <w:t xml:space="preserve">と放電する4時間の集合</w:t>
      </w:r>
      <w:r>
        <w:t xml:space="preserve"> </w:t>
      </w:r>
      <m:oMath>
        <m:r>
          <m:t>D</m:t>
        </m:r>
      </m:oMath>
      <w:r>
        <w:t xml:space="preserve"> </w:t>
      </w:r>
      <w:r>
        <w:rPr>
          <w:rFonts w:hint="eastAsia"/>
        </w:rPr>
        <w:t xml:space="preserve">を選んで得る粗利（円/kW-日）は、次のとおりである。</w:t>
      </w:r>
    </w:p>
    <w:p>
      <w:pPr>
        <w:pStyle w:val="BodyText"/>
        <w:tabs>
          <w:tab w:val="center" w:pos="4393"/>
          <w:tab w:val="right" w:pos="8787"/>
        </w:tabs>
        <w:spacing w:before="120" w:after="120" w:line="240" w:lineRule="auto"/>
        <w:ind w:firstLine="0"/>
      </w:pPr>
      <w:r>
        <w:tab/>
      </w:r>
      <m:oMath>
        <m:sSub>
          <m:e>
            <m:r>
              <m:t>X</m:t>
            </m:r>
          </m:e>
          <m:sub>
            <m:r>
              <m:t>t</m:t>
            </m:r>
          </m:sub>
        </m:sSub>
        <m:r>
          <m:rPr>
            <m:sty m:val="p"/>
          </m:rPr>
          <m:t>(</m:t>
        </m:r>
        <m:r>
          <m:t>D</m:t>
        </m:r>
        <m:r>
          <m:rPr>
            <m:sty m:val="p"/>
          </m:rPr>
          <m:t>,</m:t>
        </m:r>
        <m:r>
          <m:t>C</m:t>
        </m:r>
        <m:r>
          <m:rPr>
            <m:sty m:val="p"/>
          </m:rPr>
          <m:t>)</m:t>
        </m:r>
        <m:r>
          <m:rPr>
            <m:sty m:val="p"/>
          </m:rPr>
          <m:t>=</m:t>
        </m:r>
        <m:r>
          <m:t>η</m:t>
        </m:r>
        <m:nary>
          <m:naryPr>
            <m:chr m:val="∑"/>
            <m:limLoc m:val="undOvr"/>
            <m:subHide m:val="off"/>
            <m:supHide m:val="on"/>
          </m:naryPr>
          <m:sub>
            <m:r>
              <m:t>h</m:t>
            </m:r>
            <m:r>
              <m:rPr>
                <m:sty m:val="p"/>
              </m:rPr>
              <m:t>∈</m:t>
            </m:r>
            <m:r>
              <m:t>D</m:t>
            </m:r>
          </m:sub>
          <m:sup>
            <m:r>
              <m:t>​</m:t>
            </m:r>
          </m:sup>
          <m:e>
            <m:sSub>
              <m:e>
                <m:r>
                  <m:t>p</m:t>
                </m:r>
              </m:e>
              <m:sub>
                <m:r>
                  <m:t>t</m:t>
                </m:r>
                <m:r>
                  <m:rPr>
                    <m:sty m:val="p"/>
                  </m:rPr>
                  <m:t>,</m:t>
                </m:r>
                <m:r>
                  <m:t>h</m:t>
                </m:r>
              </m:sub>
            </m:sSub>
          </m:e>
        </m:nary>
        <m:r>
          <m:rPr>
            <m:sty m:val="p"/>
          </m:rPr>
          <m:t>−</m:t>
        </m:r>
        <m:nary>
          <m:naryPr>
            <m:chr m:val="∑"/>
            <m:limLoc m:val="undOvr"/>
            <m:subHide m:val="off"/>
            <m:supHide m:val="on"/>
          </m:naryPr>
          <m:sub>
            <m:r>
              <m:t>h</m:t>
            </m:r>
            <m:r>
              <m:rPr>
                <m:sty m:val="p"/>
              </m:rPr>
              <m:t>∈</m:t>
            </m:r>
            <m:r>
              <m:t>C</m:t>
            </m:r>
          </m:sub>
          <m:sup>
            <m:r>
              <m:t>​</m:t>
            </m:r>
          </m:sup>
          <m:e>
            <m:sSub>
              <m:e>
                <m:r>
                  <m:t>p</m:t>
                </m:r>
              </m:e>
              <m:sub>
                <m:r>
                  <m:t>t</m:t>
                </m:r>
                <m:r>
                  <m:rPr>
                    <m:sty m:val="p"/>
                  </m:rPr>
                  <m:t>,</m:t>
                </m:r>
                <m:r>
                  <m:t>h</m:t>
                </m:r>
              </m:sub>
            </m:sSub>
          </m:e>
        </m:nary>
        <m:r>
          <m:rPr>
            <m:sty m:val="p"/>
          </m:rPr>
          <m:t>,</m:t>
        </m:r>
        <m:r>
          <m:t>  </m:t>
        </m:r>
        <m:r>
          <m:t>η</m:t>
        </m:r>
        <m:r>
          <m:rPr>
            <m:sty m:val="p"/>
          </m:rPr>
          <m:t>=</m:t>
        </m:r>
        <m:r>
          <m:t>0.85</m:t>
        </m:r>
      </m:oMath>
      <w:r>
        <w:tab/>
      </w:r>
      <w:r>
        <w:t>(4.1)</w:t>
      </w:r>
    </w:p>
    <w:p>
      <w:pPr>
        <w:pStyle w:val="BodyText"/>
      </w:pPr>
      <m:oMath>
        <m:sSub>
          <m:e>
            <m:r>
              <m:t>p</m:t>
            </m:r>
          </m:e>
          <m:sub>
            <m:r>
              <m:t>t</m:t>
            </m:r>
            <m:r>
              <m:rPr>
                <m:sty m:val="p"/>
              </m:rPr>
              <m:t>,</m:t>
            </m:r>
            <m:r>
              <m:t>h</m:t>
            </m:r>
          </m:sub>
        </m:sSub>
      </m:oMath>
      <w:r>
        <w:t xml:space="preserve"> </w:t>
      </w:r>
      <w:r>
        <w:rPr>
          <w:rFonts w:hint="eastAsia"/>
        </w:rPr>
        <w:t xml:space="preserve">は日</w:t>
      </w:r>
      <w:r>
        <w:t xml:space="preserve"> </w:t>
      </w:r>
      <m:oMath>
        <m:r>
          <m:t>t</m:t>
        </m:r>
      </m:oMath>
      <w:r>
        <w:rPr>
          <w:rFonts w:hint="eastAsia"/>
        </w:rPr>
        <w:t xml:space="preserve">・時刻</w:t>
      </w:r>
      <w:r>
        <w:t xml:space="preserve"> </w:t>
      </w:r>
      <m:oMath>
        <m:r>
          <m:t>h</m:t>
        </m:r>
      </m:oMath>
      <w:r>
        <w:t xml:space="preserve"> </w:t>
      </w:r>
      <w:r>
        <w:rPr>
          <w:rFonts w:hint="eastAsia"/>
        </w:rPr>
        <w:t xml:space="preserve">のエリアプライス（円/kWh）である。式(4.1)は、充電時間の電力を放電時間の電力と交換するスプレッド（交換）オプション（Margrabe,</w:t>
      </w:r>
      <w:r>
        <w:t xml:space="preserve"> </w:t>
      </w:r>
      <w:r>
        <w:rPr>
          <w:rFonts w:hint="eastAsia"/>
        </w:rPr>
        <w:t xml:space="preserve">1978）のペイオフにあたる。放電1kWh</w:t>
      </w:r>
      <w:r>
        <w:t xml:space="preserve"> </w:t>
      </w:r>
      <w:r>
        <w:rPr>
          <w:rFonts w:hint="eastAsia"/>
        </w:rPr>
        <w:t xml:space="preserve">を得るのに充電時間の電力</w:t>
      </w:r>
      <w:r>
        <w:t xml:space="preserve"> </w:t>
      </w:r>
      <m:oMath>
        <m:r>
          <m:t>1</m:t>
        </m:r>
        <m:r>
          <m:rPr>
            <m:sty m:val="p"/>
          </m:rPr>
          <m:t>/</m:t>
        </m:r>
        <m:r>
          <m:t>η</m:t>
        </m:r>
        <m:r>
          <m:rPr>
            <m:sty m:val="p"/>
          </m:rPr>
          <m:t>≈</m:t>
        </m:r>
        <m:r>
          <m:t>1.18</m:t>
        </m:r>
      </m:oMath>
      <w:r>
        <w:t xml:space="preserve"> </w:t>
      </w:r>
      <w:r>
        <w:t xml:space="preserve">kWh </w:t>
      </w:r>
      <w:r>
        <w:rPr>
          <w:rFonts w:hint="eastAsia"/>
        </w:rPr>
        <w:t xml:space="preserve">を投じる形であり、</w:t>
      </w:r>
      <m:oMath>
        <m:r>
          <m:t>1</m:t>
        </m:r>
        <m:r>
          <m:rPr>
            <m:sty m:val="p"/>
          </m:rPr>
          <m:t>/</m:t>
        </m:r>
        <m:r>
          <m:t>η</m:t>
        </m:r>
      </m:oMath>
      <w:r>
        <w:t xml:space="preserve"> </w:t>
      </w:r>
      <w:r>
        <w:rPr>
          <w:rFonts w:hint="eastAsia"/>
        </w:rPr>
        <w:t xml:space="preserve">は、火力発電所をスパーク・スプレッド・オプションの束として評価するときのヒートレートに相当する（Deng</w:t>
      </w:r>
      <w:r>
        <w:t xml:space="preserve"> et al., </w:t>
      </w:r>
      <w:r>
        <w:rPr>
          <w:rFonts w:hint="eastAsia"/>
        </w:rPr>
        <w:t xml:space="preserve">2001）。行使は日ごとに完結するので、年間の価値は日次オプション約365本の束（ストリップ）として表せる。</w:t>
      </w:r>
    </w:p>
    <w:p>
      <w:pPr>
        <w:pStyle w:val="BodyText"/>
      </w:pPr>
      <w:r>
        <w:rPr>
          <w:rFonts w:hint="eastAsia"/>
        </w:rPr>
        <w:t xml:space="preserve">当日の実現価格を知って最安の4時間に充電し、最高の4時間に放電し、粗利が負の日は休止する戦略の年間の粗利</w:t>
      </w:r>
    </w:p>
    <w:p>
      <w:pPr>
        <w:pStyle w:val="BodyText"/>
        <w:tabs>
          <w:tab w:val="center" w:pos="4393"/>
          <w:tab w:val="right" w:pos="8787"/>
        </w:tabs>
        <w:spacing w:before="120" w:after="120" w:line="240" w:lineRule="auto"/>
        <w:ind w:firstLine="0"/>
      </w:pPr>
      <w:r>
        <w:tab/>
      </w:r>
      <m:oMath>
        <m:sSub>
          <m:e>
            <m:r>
              <m:t>π</m:t>
            </m:r>
          </m:e>
          <m:sub>
            <m:r>
              <m:rPr>
                <m:sty m:val="p"/>
              </m:rPr>
              <m:t>P</m:t>
            </m:r>
            <m:r>
              <m:rPr>
                <m:sty m:val="p"/>
              </m:rPr>
              <m:t>F</m:t>
            </m:r>
          </m:sub>
        </m:sSub>
        <m:r>
          <m:rPr>
            <m:sty m:val="p"/>
          </m:rPr>
          <m:t>=</m:t>
        </m:r>
        <m:nary>
          <m:naryPr>
            <m:chr m:val="∑"/>
            <m:limLoc m:val="undOvr"/>
            <m:subHide m:val="off"/>
            <m:supHide m:val="on"/>
          </m:naryPr>
          <m:sub>
            <m:r>
              <m:t>t</m:t>
            </m:r>
          </m:sub>
          <m:sup>
            <m:r>
              <m:t>​</m:t>
            </m:r>
          </m:sup>
          <m:e>
            <m:r>
              <m:rPr>
                <m:sty m:val="p"/>
              </m:rPr>
              <m:t>(</m:t>
            </m:r>
          </m:e>
        </m:nary>
        <m:limLow>
          <m:e>
            <m:r>
              <m:rPr>
                <m:sty m:val="p"/>
              </m:rPr>
              <m:t>max</m:t>
            </m:r>
          </m:e>
          <m:lim>
            <m:r>
              <m:t>D</m:t>
            </m:r>
            <m:r>
              <m:rPr>
                <m:sty m:val="p"/>
              </m:rPr>
              <m:t>,</m:t>
            </m:r>
            <m:r>
              <m:t>C</m:t>
            </m:r>
          </m:lim>
        </m:limLow>
        <m:sSub>
          <m:e>
            <m:r>
              <m:t>X</m:t>
            </m:r>
          </m:e>
          <m:sub>
            <m:r>
              <m:t>t</m:t>
            </m:r>
          </m:sub>
        </m:sSub>
        <m:r>
          <m:rPr>
            <m:sty m:val="p"/>
          </m:rPr>
          <m:t>(</m:t>
        </m:r>
        <m:r>
          <m:t>D</m:t>
        </m:r>
        <m:r>
          <m:rPr>
            <m:sty m:val="p"/>
          </m:rPr>
          <m:t>,</m:t>
        </m:r>
        <m:r>
          <m:t>C</m:t>
        </m:r>
        <m:r>
          <m:rPr>
            <m:sty m:val="p"/>
          </m:rPr>
          <m:t>)</m:t>
        </m:r>
        <m:sSup>
          <m:e>
            <m:r>
              <m:rPr>
                <m:sty m:val="p"/>
              </m:rPr>
              <m:t>)</m:t>
            </m:r>
          </m:e>
          <m:sup>
            <m:r>
              <m:rPr>
                <m:sty m:val="p"/>
              </m:rPr>
              <m:t>+</m:t>
            </m:r>
          </m:sup>
        </m:sSup>
      </m:oMath>
      <w:r>
        <w:tab/>
      </w:r>
      <w:r>
        <w:t>(4.2)</w:t>
      </w:r>
    </w:p>
    <w:p>
      <w:pPr>
        <w:pStyle w:val="BodyText"/>
      </w:pPr>
      <w:r>
        <w:rPr>
          <w:rFonts w:hint="eastAsia"/>
        </w:rPr>
        <w:t xml:space="preserve">を、完全予見の裁定粗利、略して完全予見粗利と呼ぶ（円/kW-年。</w:t>
      </w:r>
      <m:oMath>
        <m:r>
          <m:rPr>
            <m:sty m:val="p"/>
          </m:rPr>
          <m:t>(</m:t>
        </m:r>
        <m:r>
          <m:t>x</m:t>
        </m:r>
        <m:sSup>
          <m:e>
            <m:r>
              <m:rPr>
                <m:sty m:val="p"/>
              </m:rPr>
              <m:t>)</m:t>
            </m:r>
          </m:e>
          <m:sup>
            <m:r>
              <m:rPr>
                <m:sty m:val="p"/>
              </m:rPr>
              <m:t>+</m:t>
            </m:r>
          </m:sup>
        </m:sSup>
        <m:r>
          <m:rPr>
            <m:sty m:val="p"/>
          </m:rPr>
          <m:t>=</m:t>
        </m:r>
        <m:r>
          <m:rPr>
            <m:sty m:val="p"/>
          </m:rPr>
          <m:t>max</m:t>
        </m:r>
        <m:r>
          <m:rPr>
            <m:sty m:val="p"/>
          </m:rPr>
          <m:t>{</m:t>
        </m:r>
        <m:r>
          <m:t>x</m:t>
        </m:r>
        <m:r>
          <m:rPr>
            <m:sty m:val="p"/>
          </m:rPr>
          <m:t>,</m:t>
        </m:r>
        <m:r>
          <m:t>0</m:t>
        </m:r>
        <m:r>
          <m:rPr>
            <m:sty m:val="p"/>
          </m:rPr>
          <m:t>}</m:t>
        </m:r>
      </m:oMath>
      <w:r>
        <w:t xml:space="preserve"> </w:t>
      </w:r>
      <w:r>
        <w:rPr>
          <w:rFonts w:hint="eastAsia"/>
        </w:rPr>
        <w:t xml:space="preserve">で、和は年度内の日についてとる）。</w:t>
      </w:r>
      <m:oMath>
        <m:r>
          <m:rPr>
            <m:sty m:val="p"/>
          </m:rPr>
          <m:t>(</m:t>
        </m:r>
        <m:r>
          <m:rPr>
            <m:sty m:val="p"/>
          </m:rPr>
          <m:t>⋅</m:t>
        </m:r>
        <m:sSup>
          <m:e>
            <m:r>
              <m:rPr>
                <m:sty m:val="p"/>
              </m:rPr>
              <m:t>)</m:t>
            </m:r>
          </m:e>
          <m:sup>
            <m:r>
              <m:rPr>
                <m:sty m:val="p"/>
              </m:rPr>
              <m:t>+</m:t>
            </m:r>
          </m:sup>
        </m:sSup>
      </m:oMath>
      <w:r>
        <w:t xml:space="preserve"> </w:t>
      </w:r>
      <w:r>
        <w:rPr>
          <w:rFonts w:hint="eastAsia"/>
        </w:rPr>
        <w:t xml:space="preserve">は、粗利が負になる日に行使しない権利、すなわち休止を表す。完全予見粗利は、意思決定をその時点までの情報に限るという制約を外し、外したことにペナルティを課さない情報緩和による上界である（D.</w:t>
      </w:r>
      <w:r>
        <w:t xml:space="preserve"> B. Brown et al., </w:t>
      </w:r>
      <w:r>
        <w:rPr>
          <w:rFonts w:hint="eastAsia"/>
        </w:rPr>
        <w:t xml:space="preserve">2010）。ただしこれは、前日スポット市場で1日1サイクル運用するという本研究の設定の中での上界であり、時間前市場での組み替えや需給調整市場の収入は含まない。価格テイカーの完全予見の裁定をこのように定式化する方法は</w:t>
      </w:r>
      <w:r>
        <w:t xml:space="preserve"> Sioshansi et </w:t>
      </w:r>
      <w:r>
        <w:rPr>
          <w:rFonts w:hint="eastAsia"/>
        </w:rPr>
        <w:t xml:space="preserve">al.（2009）以来の標準であり、実際の運用はこの上界に届かない（Lamp</w:t>
      </w:r>
      <w:r>
        <w:t xml:space="preserve"> &amp; Samano, </w:t>
      </w:r>
      <w:r>
        <w:rPr>
          <w:rFonts w:hint="eastAsia"/>
        </w:rPr>
        <w:t xml:space="preserve">2022）。第7章では、フリート</w:t>
      </w:r>
      <w:r>
        <w:t xml:space="preserve"> </w:t>
      </w:r>
      <m:oMath>
        <m:r>
          <m:t>K</m:t>
        </m:r>
      </m:oMath>
      <w:r>
        <w:t xml:space="preserve"> </w:t>
      </w:r>
      <w:r>
        <w:rPr>
          <w:rFonts w:hint="eastAsia"/>
        </w:rPr>
        <w:t xml:space="preserve">を投入した後のモデル価格の上での完全予見粗利を</w:t>
      </w:r>
      <w:r>
        <w:t xml:space="preserve"> </w:t>
      </w:r>
      <m:oMath>
        <m:sSub>
          <m:e>
            <m:r>
              <m:t>π</m:t>
            </m:r>
          </m:e>
          <m:sub>
            <m:r>
              <m:rPr>
                <m:sty m:val="p"/>
              </m:rPr>
              <m:t>P</m:t>
            </m:r>
            <m:r>
              <m:rPr>
                <m:sty m:val="p"/>
              </m:rPr>
              <m:t>F</m:t>
            </m:r>
          </m:sub>
        </m:sSub>
        <m:r>
          <m:rPr>
            <m:sty m:val="p"/>
          </m:rPr>
          <m:t>(</m:t>
        </m:r>
        <m:r>
          <m:t>K</m:t>
        </m:r>
        <m:r>
          <m:rPr>
            <m:sty m:val="p"/>
          </m:rPr>
          <m:t>)</m:t>
        </m:r>
      </m:oMath>
      <w:r>
        <w:t xml:space="preserve"> </w:t>
      </w:r>
      <w:r>
        <w:rPr>
          <w:rFonts w:hint="eastAsia"/>
        </w:rPr>
        <w:t xml:space="preserve">と書く。</w:t>
      </w:r>
    </w:p>
    <w:p>
      <w:pPr>
        <w:pStyle w:val="BodyText"/>
      </w:pPr>
      <w:r>
        <w:rPr>
          <w:rFonts w:hint="eastAsia"/>
        </w:rPr>
        <w:t xml:space="preserve">このペイオフは、価格の変化の形によって反応が異なる。全時刻の価格を同じ比率で動かすと、粗利も同じ比率で動く（1次同次）。全時刻に同じ額を足す加法的な変化では、</w:t>
      </w:r>
      <m:oMath>
        <m:r>
          <m:t>η</m:t>
        </m:r>
      </m:oMath>
      <w:r>
        <w:t xml:space="preserve"> </w:t>
      </w:r>
      <w:r>
        <w:rPr>
          <w:rFonts w:hint="eastAsia"/>
        </w:rPr>
        <w:t xml:space="preserve">が1でないために粗利は不変でなく、足した額1円/kWh</w:t>
      </w:r>
      <w:r>
        <w:t xml:space="preserve"> </w:t>
      </w:r>
      <w:r>
        <w:rPr>
          <w:rFonts w:hint="eastAsia"/>
        </w:rPr>
        <w:t xml:space="preserve">あたり往復損失の分</w:t>
      </w:r>
      <w:r>
        <w:t xml:space="preserve"> </w:t>
      </w:r>
      <m:oMath>
        <m:r>
          <m:rPr>
            <m:sty m:val="p"/>
          </m:rPr>
          <m:t>−</m:t>
        </m:r>
        <m:r>
          <m:t>4</m:t>
        </m:r>
        <m:r>
          <m:rPr>
            <m:sty m:val="p"/>
          </m:rPr>
          <m:t>(</m:t>
        </m:r>
        <m:r>
          <m:t>1</m:t>
        </m:r>
        <m:r>
          <m:rPr>
            <m:sty m:val="p"/>
          </m:rPr>
          <m:t>−</m:t>
        </m:r>
        <m:r>
          <m:t>η</m:t>
        </m:r>
        <m:r>
          <m:rPr>
            <m:sty m:val="p"/>
          </m:rPr>
          <m:t>)</m:t>
        </m:r>
        <m:r>
          <m:rPr>
            <m:sty m:val="p"/>
          </m:rPr>
          <m:t>=</m:t>
        </m:r>
        <m:r>
          <m:rPr>
            <m:sty m:val="p"/>
          </m:rPr>
          <m:t>−</m:t>
        </m:r>
        <m:r>
          <m:t>0.6</m:t>
        </m:r>
      </m:oMath>
      <w:r>
        <w:t xml:space="preserve"> </w:t>
      </w:r>
      <w:r>
        <w:rPr>
          <w:rFonts w:hint="eastAsia"/>
        </w:rPr>
        <w:t xml:space="preserve">円/kW-日だけ動く（休止の切替を除く）。前者は4.2.3項の価格水準係数を、後者は第7章の往復損失の水準効果を解釈する基礎になる（導出は付録B.1.1）。</w:t>
      </w:r>
    </w:p>
    <w:bookmarkEnd w:id="70"/>
    <w:bookmarkStart w:id="71" w:name="実行可能戦略と実現率"/>
    <w:p>
      <w:pPr>
        <w:pStyle w:val="Heading3"/>
      </w:pPr>
      <w:r>
        <w:t xml:space="preserve">4.2.2　</w:t>
      </w:r>
      <w:r>
        <w:rPr>
          <w:rFonts w:hint="eastAsia"/>
        </w:rPr>
        <w:t xml:space="preserve">実行可能戦略と実現率</w:t>
      </w:r>
    </w:p>
    <w:p>
      <w:pPr>
        <w:pStyle w:val="FirstParagraph"/>
      </w:pPr>
      <w:r>
        <w:rPr>
          <w:rFonts w:hint="eastAsia"/>
        </w:rPr>
        <w:t xml:space="preserve">前日スポット市場の入札は約定の前に行うので、前日スポット市場だけで運用する蓄電池は、入札の時点で得られる情報で充放電の時間を決めるほかない。本研究は、先読みのない取引戦略（実行可能戦略）として次の3つを基本に置く。戦略</w:t>
      </w:r>
      <w:r>
        <w:t xml:space="preserve"> a </w:t>
      </w:r>
      <w:r>
        <w:rPr>
          <w:rFonts w:hint="eastAsia"/>
        </w:rPr>
        <w:t xml:space="preserve">は、前日の実現価格の時間帯の順位をそのまま使う。戦略</w:t>
      </w:r>
      <w:r>
        <w:t xml:space="preserve"> b </w:t>
      </w:r>
      <w:r>
        <w:rPr>
          <w:rFonts w:hint="eastAsia"/>
        </w:rPr>
        <w:t xml:space="preserve">は、受渡日の2日前までの実績から需要（曜日区分別の28日平均）と太陽光（7日平均）を予測し、残余需要の順位を使う。戦略</w:t>
      </w:r>
      <w:r>
        <w:t xml:space="preserve"> c </w:t>
      </w:r>
      <w:r>
        <w:rPr>
          <w:rFonts w:hint="eastAsia"/>
        </w:rPr>
        <w:t xml:space="preserve">は、過去28日・同じ曜日区分の平均価格カーブの順位を使う（気候値）。平均をとる窓の実装は第6章で述べる。いずれも上位4時間で放電し下位4時間で充電する窓を順位で選び（ランク法）、充電してから放電する順序は課さない。順序を課した厳密解との比較と、9本の戦略の検定は第6章で行う。</w:t>
      </w:r>
    </w:p>
    <w:p>
      <w:pPr>
        <w:pStyle w:val="BodyText"/>
      </w:pPr>
      <w:r>
        <w:rPr>
          <w:rFonts w:hint="eastAsia"/>
        </w:rPr>
        <w:t xml:space="preserve">北海道には時間別の先渡価格がないので、戦略</w:t>
      </w:r>
      <w:r>
        <w:t xml:space="preserve"> c </w:t>
      </w:r>
      <w:r>
        <w:rPr>
          <w:rFonts w:hint="eastAsia"/>
        </w:rPr>
        <w:t xml:space="preserve">の平均価格カーブを期待価格カーブの代理とみなす。戦略</w:t>
      </w:r>
      <w:r>
        <w:t xml:space="preserve"> c </w:t>
      </w:r>
      <w:r>
        <w:rPr>
          <w:rFonts w:hint="eastAsia"/>
        </w:rPr>
        <w:t xml:space="preserve">はこのカーブに対して窓を前日に固定する本源的（intrinsic）方策であり、先読みのない方策の一つなので、その価値は先読みのない最適方策の価値を期待値の意味で下回る。したがって先読みのない最適方策の価値は、期待値で見て、戦略</w:t>
      </w:r>
      <w:r>
        <w:t xml:space="preserve"> c </w:t>
      </w:r>
      <w:r>
        <w:rPr>
          <w:rFonts w:hint="eastAsia"/>
        </w:rPr>
        <w:t xml:space="preserve">の実現粗利（下界）と完全予見粗利（上界）の間にある。</w:t>
      </w:r>
    </w:p>
    <w:p>
      <w:pPr>
        <w:pStyle w:val="BodyText"/>
      </w:pPr>
      <w:r>
        <w:rPr>
          <w:rFonts w:hint="eastAsia"/>
        </w:rPr>
        <w:t xml:space="preserve">各戦略の実現粗利の完全予見粗利に対する比率を、実現率（capture</w:t>
      </w:r>
      <w:r>
        <w:t xml:space="preserve"> </w:t>
      </w:r>
      <w:r>
        <w:rPr>
          <w:rFonts w:hint="eastAsia"/>
        </w:rPr>
        <w:t xml:space="preserve">rate）と呼ぶ。戦略</w:t>
      </w:r>
      <w:r>
        <w:t xml:space="preserve"> c </w:t>
      </w:r>
      <w:r>
        <w:rPr>
          <w:rFonts w:hint="eastAsia"/>
        </w:rPr>
        <w:t xml:space="preserve">の実現率は、FY2023〜25</w:t>
      </w:r>
      <w:r>
        <w:t xml:space="preserve"> </w:t>
      </w:r>
      <w:r>
        <w:rPr>
          <w:rFonts w:hint="eastAsia"/>
        </w:rPr>
        <w:t xml:space="preserve">をプールした実績価格の上で81.7%（実現粗利8,427円/kW-年）であり、第6章の層分解では、固定した窓の実現粗利（本源的方策の価値）が完全予見粗利に占める比率に一致する。ただし実現率は測る価格によって変わり、同じ戦略</w:t>
      </w:r>
      <w:r>
        <w:t xml:space="preserve"> c </w:t>
      </w:r>
      <w:r>
        <w:rPr>
          <w:rFonts w:hint="eastAsia"/>
        </w:rPr>
        <w:t xml:space="preserve">でも第7章のモデル価格の上では0.92（</w:t>
      </w:r>
      <m:oMath>
        <m:r>
          <m:t>K</m:t>
        </m:r>
        <m:r>
          <m:rPr>
            <m:sty m:val="p"/>
          </m:rPr>
          <m:t>=</m:t>
        </m:r>
        <m:r>
          <m:t>0</m:t>
        </m:r>
      </m:oMath>
      <w:r>
        <w:t xml:space="preserve">・</w:t>
      </w:r>
      <m:oMath>
        <m:r>
          <m:t>θ</m:t>
        </m:r>
        <m:r>
          <m:rPr>
            <m:sty m:val="p"/>
          </m:rPr>
          <m:t>=</m:t>
        </m:r>
        <m:r>
          <m:t>1</m:t>
        </m:r>
      </m:oMath>
      <w:r>
        <w:rPr>
          <w:rFonts w:hint="eastAsia"/>
        </w:rPr>
        <w:t xml:space="preserve">）になる。この違いが、4.2.4項で実績整合ケースを置く理由である。</w:t>
      </w:r>
    </w:p>
    <w:bookmarkEnd w:id="71"/>
    <w:bookmarkStart w:id="72" w:name="価格水準係数"/>
    <w:p>
      <w:pPr>
        <w:pStyle w:val="Heading3"/>
      </w:pPr>
      <w:r>
        <w:t xml:space="preserve">4.2.3　</w:t>
      </w:r>
      <w:r>
        <w:rPr>
          <w:rFonts w:hint="eastAsia"/>
        </w:rPr>
        <w:t xml:space="preserve">価格水準係数</w:t>
      </w:r>
    </w:p>
    <w:p>
      <w:pPr>
        <w:pStyle w:val="FirstParagraph"/>
      </w:pPr>
      <w:r>
        <w:rPr>
          <w:rFonts w:hint="eastAsia"/>
        </w:rPr>
        <w:t xml:space="preserve">第7章の構造型価格モデルは、エリアプライスを純需要（需要から制御前の太陽光・風力と原子力を引いた値）の関数として表す。季節別の局所供給曲線</w:t>
      </w:r>
      <w:r>
        <w:t xml:space="preserve"> </w:t>
      </w:r>
      <m:oMath>
        <m:r>
          <m:t>g</m:t>
        </m:r>
      </m:oMath>
      <w:r>
        <w:t xml:space="preserve"> </w:t>
      </w:r>
      <w:r>
        <w:rPr>
          <w:rFonts w:hint="eastAsia"/>
        </w:rPr>
        <w:t xml:space="preserve">と季節×時刻のプレミアム</w:t>
      </w:r>
      <w:r>
        <w:t xml:space="preserve"> </w:t>
      </w:r>
      <m:oMath>
        <m:r>
          <m:t>μ</m:t>
        </m:r>
      </m:oMath>
      <w:r>
        <w:t xml:space="preserve"> </w:t>
      </w:r>
      <w:r>
        <w:t xml:space="preserve">を FY2023〜25 </w:t>
      </w:r>
      <w:r>
        <w:rPr>
          <w:rFonts w:hint="eastAsia"/>
        </w:rPr>
        <w:t xml:space="preserve">の価格で推定し、年度別の価格水準係数</w:t>
      </w:r>
      <w:r>
        <w:t xml:space="preserve"> </w:t>
      </w:r>
      <m:oMath>
        <m:sSub>
          <m:e>
            <m:r>
              <m:t>θ</m:t>
            </m:r>
          </m:e>
          <m:sub>
            <m:r>
              <m:rPr>
                <m:sty m:val="p"/>
              </m:rPr>
              <m:t>F</m:t>
            </m:r>
            <m:r>
              <m:rPr>
                <m:sty m:val="p"/>
              </m:rPr>
              <m:t>Y</m:t>
            </m:r>
          </m:sub>
        </m:sSub>
      </m:oMath>
      <w:r>
        <w:t xml:space="preserve"> </w:t>
      </w:r>
      <w:r>
        <w:rPr>
          <w:rFonts w:hint="eastAsia"/>
        </w:rPr>
        <w:t xml:space="preserve">で水準を伸縮させる。</w:t>
      </w:r>
    </w:p>
    <w:p>
      <w:pPr>
        <w:pStyle w:val="BodyText"/>
        <w:tabs>
          <w:tab w:val="center" w:pos="4393"/>
          <w:tab w:val="right" w:pos="8787"/>
        </w:tabs>
        <w:spacing w:before="120" w:after="120" w:line="240" w:lineRule="auto"/>
        <w:ind w:firstLine="0"/>
      </w:pPr>
      <w:r>
        <w:tab/>
      </w:r>
      <m:oMath>
        <m:sSub>
          <m:e>
            <m:r>
              <m:t>p</m:t>
            </m:r>
          </m:e>
          <m:sub>
            <m:r>
              <m:t>t</m:t>
            </m:r>
          </m:sub>
        </m:sSub>
        <m:r>
          <m:rPr>
            <m:sty m:val="p"/>
          </m:rPr>
          <m:t>=</m:t>
        </m:r>
        <m:r>
          <m:rPr>
            <m:sty m:val="p"/>
          </m:rPr>
          <m:t>max</m:t>
        </m:r>
        <m:d>
          <m:dPr>
            <m:begChr m:val="{"/>
            <m:sepChr m:val=""/>
            <m:endChr m:val="}"/>
            <m:grow/>
          </m:dPr>
          <m:e>
            <m:r>
              <m:t>0.01</m:t>
            </m:r>
            <m:r>
              <m:rPr>
                <m:sty m:val="p"/>
              </m:rPr>
              <m:t>,</m:t>
            </m:r>
            <m:r>
              <m:t> </m:t>
            </m:r>
            <m:r>
              <m:t>0.01</m:t>
            </m:r>
            <m:r>
              <m:rPr>
                <m:sty m:val="p"/>
              </m:rPr>
              <m:t>+</m:t>
            </m:r>
            <m:sSub>
              <m:e>
                <m:r>
                  <m:t>θ</m:t>
                </m:r>
              </m:e>
              <m:sub>
                <m:r>
                  <m:rPr>
                    <m:sty m:val="p"/>
                  </m:rPr>
                  <m:t>F</m:t>
                </m:r>
                <m:r>
                  <m:rPr>
                    <m:sty m:val="p"/>
                  </m:rPr>
                  <m:t>Y</m:t>
                </m:r>
              </m:sub>
            </m:sSub>
            <m:r>
              <m:t> </m:t>
            </m:r>
            <m:r>
              <m:rPr>
                <m:sty m:val="p"/>
              </m:rPr>
              <m:t>[</m:t>
            </m:r>
            <m:r>
              <m:t> </m:t>
            </m:r>
            <m:r>
              <m:t>g</m:t>
            </m:r>
            <m:r>
              <m:rPr>
                <m:sty m:val="p"/>
              </m:rPr>
              <m:t>(</m:t>
            </m:r>
            <m:sSub>
              <m:e>
                <m:r>
                  <m:rPr>
                    <m:sty m:val="p"/>
                  </m:rPr>
                  <m:t>n</m:t>
                </m:r>
                <m:r>
                  <m:rPr>
                    <m:sty m:val="p"/>
                  </m:rPr>
                  <m:t>e</m:t>
                </m:r>
                <m:r>
                  <m:rPr>
                    <m:sty m:val="p"/>
                  </m:rPr>
                  <m:t>t</m:t>
                </m:r>
              </m:e>
              <m:sub>
                <m:r>
                  <m:t>t</m:t>
                </m:r>
              </m:sub>
            </m:sSub>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m:t>
            </m:r>
            <m:r>
              <m:t>μ</m:t>
            </m:r>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h</m:t>
            </m:r>
            <m:r>
              <m:rPr>
                <m:sty m:val="p"/>
              </m:rPr>
              <m:t>o</m:t>
            </m:r>
            <m:r>
              <m:rPr>
                <m:sty m:val="p"/>
              </m:rPr>
              <m:t>u</m:t>
            </m:r>
            <m:r>
              <m:rPr>
                <m:sty m:val="p"/>
              </m:rPr>
              <m:t>r</m:t>
            </m:r>
            <m:r>
              <m:rPr>
                <m:sty m:val="p"/>
              </m:rPr>
              <m:t>)</m:t>
            </m:r>
            <m:r>
              <m:rPr>
                <m:sty m:val="p"/>
              </m:rPr>
              <m:t>−</m:t>
            </m:r>
            <m:r>
              <m:t>0.01</m:t>
            </m:r>
            <m:r>
              <m:t> </m:t>
            </m:r>
            <m:r>
              <m:rPr>
                <m:sty m:val="p"/>
              </m:rPr>
              <m:t>]</m:t>
            </m:r>
          </m:e>
        </m:d>
      </m:oMath>
      <w:r>
        <w:tab/>
      </w:r>
      <w:r>
        <w:t>(4.3)</w:t>
      </w:r>
    </w:p>
    <w:p>
      <w:pPr>
        <w:pStyle w:val="BodyText"/>
      </w:pPr>
      <m:oMath>
        <m:sSub>
          <m:e>
            <m:r>
              <m:rPr>
                <m:sty m:val="p"/>
              </m:rPr>
              <m:t>n</m:t>
            </m:r>
            <m:r>
              <m:rPr>
                <m:sty m:val="p"/>
              </m:rPr>
              <m:t>e</m:t>
            </m:r>
            <m:r>
              <m:rPr>
                <m:sty m:val="p"/>
              </m:rPr>
              <m:t>t</m:t>
            </m:r>
          </m:e>
          <m:sub>
            <m:r>
              <m:t>t</m:t>
            </m:r>
          </m:sub>
        </m:sSub>
      </m:oMath>
      <w:r>
        <w:t xml:space="preserve"> </w:t>
      </w:r>
      <w:r>
        <w:rPr>
          <w:rFonts w:hint="eastAsia"/>
        </w:rPr>
        <w:t xml:space="preserve">は時間</w:t>
      </w:r>
      <w:r>
        <w:t xml:space="preserve"> </w:t>
      </w:r>
      <m:oMath>
        <m:r>
          <m:t>t</m:t>
        </m:r>
      </m:oMath>
      <w:r>
        <w:t xml:space="preserve"> </w:t>
      </w:r>
      <w:r>
        <w:rPr>
          <w:rFonts w:hint="eastAsia"/>
        </w:rPr>
        <w:t xml:space="preserve">の純需要、0.01円/kWh</w:t>
      </w:r>
      <w:r>
        <w:t xml:space="preserve"> は JEPX </w:t>
      </w:r>
      <w:r>
        <w:rPr>
          <w:rFonts w:hint="eastAsia"/>
        </w:rPr>
        <w:t xml:space="preserve">スポットの下限価格である。下限価格より上の部分だけを伸縮させるのは、再エネと水力のゼロ限界費用の部分は動かず、火力の部分が燃料価格に比例して動くというメリットオーダーの読みによる。形状は</w:t>
      </w:r>
      <w:r>
        <w:t xml:space="preserve"> FY2023〜25 </w:t>
      </w:r>
      <w:r>
        <w:rPr>
          <w:rFonts w:hint="eastAsia"/>
        </w:rPr>
        <w:t xml:space="preserve">の時間加重平均の</w:t>
      </w:r>
      <w:r>
        <w:t xml:space="preserve"> </w:t>
      </w:r>
      <m:oMath>
        <m:r>
          <m:t>θ</m:t>
        </m:r>
      </m:oMath>
      <w:r>
        <w:t xml:space="preserve"> </w:t>
      </w:r>
      <w:r>
        <w:rPr>
          <w:rFonts w:hint="eastAsia"/>
        </w:rPr>
        <w:t xml:space="preserve">が1になるよう正規化し、他の期間の</w:t>
      </w:r>
      <w:r>
        <w:t xml:space="preserve"> </w:t>
      </w:r>
      <m:oMath>
        <m:r>
          <m:t>θ</m:t>
        </m:r>
      </m:oMath>
      <w:r>
        <w:t xml:space="preserve"> </w:t>
      </w:r>
      <w:r>
        <w:rPr>
          <w:rFonts w:hint="eastAsia"/>
        </w:rPr>
        <w:t xml:space="preserve">は形状を固定して当該期間の価格で推定する（仕様A・仕様A′</w:t>
      </w:r>
      <w:r>
        <w:t xml:space="preserve"> </w:t>
      </w:r>
      <w:r>
        <w:rPr>
          <w:rFonts w:hint="eastAsia"/>
        </w:rPr>
        <w:t xml:space="preserve">の区別とともに第7章で述べる）。</w:t>
      </w:r>
    </w:p>
    <w:p>
      <w:pPr>
        <w:pStyle w:val="BodyText"/>
      </w:pPr>
      <w:r>
        <w:rPr>
          <w:rFonts w:hint="eastAsia"/>
        </w:rPr>
        <w:t xml:space="preserve">ファイナンスの言葉でいえば、</w:t>
      </w:r>
      <m:oMath>
        <m:r>
          <m:t>θ</m:t>
        </m:r>
      </m:oMath>
      <w:r>
        <w:t xml:space="preserve"> </w:t>
      </w:r>
      <w:r>
        <w:rPr>
          <w:rFonts w:hint="eastAsia"/>
        </w:rPr>
        <w:t xml:space="preserve">は価格カーブの水準因子である。ただしこれは下限価格より上の価格を同じ比率で伸縮させる乗法的な因子であり、年度・季節内の日々の変動を分解した第5章の主成分分解の第1主成分（全時刻をおおむね同じ方向に動かす加法的な因子）とは別物である。完全予見粗利は価格の比例的な変化に1次同次で反応するので（4.2.1項）、限界参入者の粗収益は</w:t>
      </w:r>
      <w:r>
        <w:t xml:space="preserve"> </w:t>
      </w:r>
      <m:oMath>
        <m:r>
          <m:t>θ</m:t>
        </m:r>
      </m:oMath>
      <w:r>
        <w:t xml:space="preserve"> </w:t>
      </w:r>
      <w:r>
        <w:rPr>
          <w:rFonts w:hint="eastAsia"/>
        </w:rPr>
        <w:t xml:space="preserve">にほぼ比例する（</w:t>
      </w:r>
      <m:oMath>
        <m:r>
          <m:t>θ</m:t>
        </m:r>
      </m:oMath>
      <w:r>
        <w:t xml:space="preserve">=1.57・1.72・3.0 </w:t>
      </w:r>
      <w:r>
        <w:rPr>
          <w:rFonts w:hint="eastAsia"/>
        </w:rPr>
        <w:t xml:space="preserve">で直接計算した値と比例と置いた値の比は0.998〜1.002）。そこで均衡分析は</w:t>
      </w:r>
      <w:r>
        <w:t xml:space="preserve"> </w:t>
      </w:r>
      <m:oMath>
        <m:r>
          <m:t>θ</m:t>
        </m:r>
      </m:oMath>
      <w:r>
        <w:t xml:space="preserve"> </w:t>
      </w:r>
      <w:r>
        <w:rPr>
          <w:rFonts w:hint="eastAsia"/>
        </w:rPr>
        <w:t xml:space="preserve">を価格水準のシナリオ変数として扱い、</w:t>
      </w:r>
      <m:oMath>
        <m:r>
          <m:t>K</m:t>
        </m:r>
        <m:r>
          <m:rPr>
            <m:sty m:val="p"/>
          </m:rPr>
          <m:t>=</m:t>
        </m:r>
        <m:r>
          <m:t>0</m:t>
        </m:r>
      </m:oMath>
      <w:r>
        <w:t xml:space="preserve"> </w:t>
      </w:r>
      <w:r>
        <w:rPr>
          <w:rFonts w:hint="eastAsia"/>
        </w:rPr>
        <w:t xml:space="preserve">で限界参入者の正味現在価値（NPV）を0にする値を損益分岐の水準係数</w:t>
      </w:r>
      <w:r>
        <w:t xml:space="preserve"> </w:t>
      </w:r>
      <m:oMath>
        <m:sSup>
          <m:e>
            <m:r>
              <m:t>θ</m:t>
            </m:r>
          </m:e>
          <m:sup>
            <m:r>
              <m:rPr>
                <m:sty m:val="p"/>
              </m:rPr>
              <m:t>*</m:t>
            </m:r>
          </m:sup>
        </m:sSup>
      </m:oMath>
      <w:r>
        <w:t xml:space="preserve"> </w:t>
      </w:r>
      <w:r>
        <w:rPr>
          <w:rFonts w:hint="eastAsia"/>
        </w:rPr>
        <w:t xml:space="preserve">と呼ぶ（4.2.5項）。</w:t>
      </w:r>
      <m:oMath>
        <m:r>
          <m:t>θ</m:t>
        </m:r>
      </m:oMath>
      <w:r>
        <w:t xml:space="preserve"> </w:t>
      </w:r>
      <w:r>
        <w:rPr>
          <w:rFonts w:hint="eastAsia"/>
        </w:rPr>
        <w:t xml:space="preserve">は評価する期間の価格で推定するので、水準の予測ではない。</w:t>
      </w:r>
    </w:p>
    <w:bookmarkEnd w:id="72"/>
    <w:bookmarkStart w:id="73" w:name="フリート容量と限界参入者の収益"/>
    <w:p>
      <w:pPr>
        <w:pStyle w:val="Heading3"/>
      </w:pPr>
      <w:r>
        <w:t xml:space="preserve">4.2.4　</w:t>
      </w:r>
      <w:r>
        <w:rPr>
          <w:rFonts w:hint="eastAsia"/>
        </w:rPr>
        <w:t xml:space="preserve">フリート容量と限界参入者の収益</w:t>
      </w:r>
    </w:p>
    <w:p>
      <w:pPr>
        <w:pStyle w:val="FirstParagraph"/>
      </w:pPr>
      <m:oMath>
        <m:r>
          <m:t>K</m:t>
        </m:r>
      </m:oMath>
      <w:r>
        <w:t xml:space="preserve"> </w:t>
      </w:r>
      <w:r>
        <w:rPr>
          <w:rFonts w:hint="eastAsia"/>
        </w:rPr>
        <w:t xml:space="preserve">は、参入した蓄電池の総容量（フリート容量。万kW、4時間換算）である。第7章は、フリートを1万kW</w:t>
      </w:r>
      <w:r>
        <w:t xml:space="preserve"> </w:t>
      </w:r>
      <w:r>
        <w:rPr>
          <w:rFonts w:hint="eastAsia"/>
        </w:rPr>
        <w:t xml:space="preserve">刻みで逐次投入し、各増分がその時点の価格で最安4時間に充電・最高4時間に放電して（粗利が正の日に限る）価格を更新する増分ディスパッチによって、フリートが価格に与える影響を内生化する。各参入者が残されたスプレッドを順に取るという競争均衡の近似であり、裁定の価格インパクトを供給曲線から計算することにあたる。限界参入者とは、フリート</w:t>
      </w:r>
      <w:r>
        <w:t xml:space="preserve"> </w:t>
      </w:r>
      <m:oMath>
        <m:r>
          <m:t>K</m:t>
        </m:r>
      </m:oMath>
      <w:r>
        <w:t xml:space="preserve"> </w:t>
      </w:r>
      <w:r>
        <w:rPr>
          <w:rFonts w:hint="eastAsia"/>
        </w:rPr>
        <w:t xml:space="preserve">の投入後の価格の上で新たに参入を検討する価格テイカーである。</w:t>
      </w:r>
    </w:p>
    <w:p>
      <w:pPr>
        <w:pStyle w:val="BodyText"/>
      </w:pPr>
      <w:r>
        <w:rPr>
          <w:rFonts w:hint="eastAsia"/>
        </w:rPr>
        <w:t xml:space="preserve">限界参入者の収益は、フリート投入後のモデル価格の上で戦略</w:t>
      </w:r>
      <w:r>
        <w:t xml:space="preserve"> c </w:t>
      </w:r>
      <w:r>
        <w:rPr>
          <w:rFonts w:hint="eastAsia"/>
        </w:rPr>
        <w:t xml:space="preserve">を実際に動かして得る粗利</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で測り、実績の実現率をモデルの完全予見粗利に掛ける方法は採らない。モデル価格は日々の予測できない形状の変動の多くを持たないので、モデル価格の上での戦略</w:t>
      </w:r>
      <w:r>
        <w:t xml:space="preserve"> c </w:t>
      </w:r>
      <w:r>
        <w:rPr>
          <w:rFonts w:hint="eastAsia"/>
        </w:rPr>
        <w:t xml:space="preserve">の実現率は0.92</w:t>
      </w:r>
      <w:r>
        <w:t xml:space="preserve"> </w:t>
      </w:r>
      <w:r>
        <w:rPr>
          <w:rFonts w:hint="eastAsia"/>
        </w:rPr>
        <w:t xml:space="preserve">と高く、実績の比率を掛けると取り逃しを二重に差し引くからである。実際、実績の戦略</w:t>
      </w:r>
      <w:r>
        <w:t xml:space="preserve"> c </w:t>
      </w:r>
      <w:r>
        <w:rPr>
          <w:rFonts w:hint="eastAsia"/>
        </w:rPr>
        <w:t xml:space="preserve">の実現粗利（8,427円/kW-年）は、モデル価格の上の完全予見粗利（8,265円/kW-年）さえ上回る。他方、モデル価格の上の戦略</w:t>
      </w:r>
      <w:r>
        <w:t xml:space="preserve"> c </w:t>
      </w:r>
      <w:r>
        <w:rPr>
          <w:rFonts w:hint="eastAsia"/>
        </w:rPr>
        <w:t xml:space="preserve">の粗利（</w:t>
      </w:r>
      <m:oMath>
        <m:r>
          <m:t>K</m:t>
        </m:r>
        <m:r>
          <m:rPr>
            <m:sty m:val="p"/>
          </m:rPr>
          <m:t>=</m:t>
        </m:r>
        <m:r>
          <m:t>0</m:t>
        </m:r>
      </m:oMath>
      <w:r>
        <w:t xml:space="preserve">・</w:t>
      </w:r>
      <m:oMath>
        <m:r>
          <m:t>θ</m:t>
        </m:r>
        <m:r>
          <m:rPr>
            <m:sty m:val="p"/>
          </m:rPr>
          <m:t>=</m:t>
        </m:r>
        <m:r>
          <m:t>1</m:t>
        </m:r>
      </m:oMath>
      <w:r>
        <w:t xml:space="preserve"> </w:t>
      </w:r>
      <w:r>
        <w:rPr>
          <w:rFonts w:hint="eastAsia"/>
        </w:rPr>
        <w:t xml:space="preserve">で7,602円/kW-年）も、予測できる形状の価値が小さいために実績を下回る。</w:t>
      </w:r>
    </w:p>
    <w:p>
      <w:pPr>
        <w:pStyle w:val="BodyText"/>
      </w:pPr>
      <w:r>
        <w:t xml:space="preserve">そこで、</w:t>
      </w:r>
      <m:oMath>
        <m:r>
          <m:t>K</m:t>
        </m:r>
        <m:r>
          <m:rPr>
            <m:sty m:val="p"/>
          </m:rPr>
          <m:t>=</m:t>
        </m:r>
        <m:r>
          <m:t>0</m:t>
        </m:r>
      </m:oMath>
      <w:r>
        <w:t xml:space="preserve">・</w:t>
      </w:r>
      <m:oMath>
        <m:r>
          <m:t>θ</m:t>
        </m:r>
        <m:r>
          <m:rPr>
            <m:sty m:val="p"/>
          </m:rPr>
          <m:t>=</m:t>
        </m:r>
        <m:r>
          <m:t>1</m:t>
        </m:r>
      </m:oMath>
      <w:r>
        <w:t xml:space="preserve"> </w:t>
      </w:r>
      <w:r>
        <w:rPr>
          <w:rFonts w:hint="eastAsia"/>
        </w:rPr>
        <w:t xml:space="preserve">で実績の戦略</w:t>
      </w:r>
      <w:r>
        <w:t xml:space="preserve"> c </w:t>
      </w:r>
      <w:r>
        <w:rPr>
          <w:rFonts w:hint="eastAsia"/>
        </w:rPr>
        <w:t xml:space="preserve">に一致させる校正係数</w:t>
      </w:r>
      <w:r>
        <w:t xml:space="preserve"> </w:t>
      </w:r>
      <m:oMath>
        <m:r>
          <m:t>λ</m:t>
        </m:r>
      </m:oMath>
      <w:r>
        <w:rPr>
          <w:rFonts w:hint="eastAsia"/>
        </w:rPr>
        <w:t xml:space="preserve">（8,427÷7,602＝1.108。FY2023〜25</w:t>
      </w:r>
      <w:r>
        <w:t xml:space="preserve"> </w:t>
      </w:r>
      <w:r>
        <w:rPr>
          <w:rFonts w:hint="eastAsia"/>
        </w:rPr>
        <w:t xml:space="preserve">の標本内の値で、日次の組の定常ブートストラップによる95%区間は1.03〜1.19）を掛け、充電側の託送従量負担</w:t>
      </w:r>
      <w:r>
        <w:t xml:space="preserve"> </w:t>
      </w:r>
      <m:oMath>
        <m:sSub>
          <m:e>
            <m:r>
              <m:t>w</m:t>
            </m:r>
          </m:e>
          <m:sub>
            <m:r>
              <m:rPr>
                <m:sty m:val="p"/>
              </m:rPr>
              <m:t>c</m:t>
            </m:r>
            <m:r>
              <m:rPr>
                <m:sty m:val="p"/>
              </m:rPr>
              <m:t>h</m:t>
            </m:r>
            <m:r>
              <m:rPr>
                <m:sty m:val="p"/>
              </m:rPr>
              <m:t>g</m:t>
            </m:r>
          </m:sub>
        </m:sSub>
      </m:oMath>
      <w:r>
        <w:rPr>
          <w:rFonts w:hint="eastAsia"/>
        </w:rPr>
        <w:t xml:space="preserve">（1.2円/kWh×4時間×365日＝1,752円/kW-年）を差し引いた値を、限界参入者の実現可能収益とする。</w:t>
      </w:r>
    </w:p>
    <w:p>
      <w:pPr>
        <w:pStyle w:val="BodyText"/>
        <w:tabs>
          <w:tab w:val="center" w:pos="4393"/>
          <w:tab w:val="right" w:pos="8787"/>
        </w:tabs>
        <w:spacing w:before="120" w:after="120" w:line="240" w:lineRule="auto"/>
        <w:ind w:firstLine="0"/>
      </w:pPr>
      <w:r>
        <w:tab/>
      </w:r>
      <m:oMath>
        <m:r>
          <m:t>π</m:t>
        </m:r>
        <m:r>
          <m:rPr>
            <m:sty m:val="p"/>
          </m:rPr>
          <m:t>(</m:t>
        </m:r>
        <m:r>
          <m:t>K</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rPr>
            <m:sty m:val="p"/>
          </m:rPr>
          <m:t>−</m:t>
        </m:r>
        <m:sSub>
          <m:e>
            <m:r>
              <m:t>w</m:t>
            </m:r>
          </m:e>
          <m:sub>
            <m:r>
              <m:rPr>
                <m:sty m:val="p"/>
              </m:rPr>
              <m:t>c</m:t>
            </m:r>
            <m:r>
              <m:rPr>
                <m:sty m:val="p"/>
              </m:rPr>
              <m:t>h</m:t>
            </m:r>
            <m:r>
              <m:rPr>
                <m:sty m:val="p"/>
              </m:rPr>
              <m:t>g</m:t>
            </m:r>
          </m:sub>
        </m:sSub>
      </m:oMath>
      <w:r>
        <w:tab/>
      </w:r>
      <w:r>
        <w:t>(4.4)</w:t>
      </w:r>
    </w:p>
    <w:p>
      <w:pPr>
        <w:pStyle w:val="BodyText"/>
      </w:pPr>
      <w:r>
        <w:rPr>
          <w:rFonts w:hint="eastAsia"/>
        </w:rPr>
        <w:t xml:space="preserve">これを実績整合ケースと呼び、均衡分析（第7〜9章）では断りのない限りこの値を用いる。</w:t>
      </w:r>
      <m:oMath>
        <m:r>
          <m:t>K</m:t>
        </m:r>
        <m:r>
          <m:rPr>
            <m:sty m:val="p"/>
          </m:rPr>
          <m:t>=</m:t>
        </m:r>
        <m:r>
          <m:t>0</m:t>
        </m:r>
      </m:oMath>
      <w:r>
        <w:t xml:space="preserve"> </w:t>
      </w:r>
      <w:r>
        <w:rPr>
          <w:rFonts w:hint="eastAsia"/>
        </w:rPr>
        <w:t xml:space="preserve">では定義により</w:t>
      </w:r>
      <w:r>
        <w:t xml:space="preserve"> </w:t>
      </w:r>
      <m:oMath>
        <m:r>
          <m:t>π</m:t>
        </m:r>
        <m:r>
          <m:rPr>
            <m:sty m:val="p"/>
          </m:rPr>
          <m:t>(</m:t>
        </m:r>
        <m:r>
          <m:t>0</m:t>
        </m:r>
        <m:r>
          <m:rPr>
            <m:sty m:val="p"/>
          </m:rPr>
          <m:t>)</m:t>
        </m:r>
      </m:oMath>
      <w:r>
        <w:rPr>
          <w:rFonts w:hint="eastAsia"/>
        </w:rPr>
        <w:t xml:space="preserve">＝8,427−1,752＝6,675円/kW-年である。</w:t>
      </w:r>
      <m:oMath>
        <m:r>
          <m:t>λ</m:t>
        </m:r>
        <m:r>
          <m:rPr>
            <m:sty m:val="p"/>
          </m:rPr>
          <m:t>=</m:t>
        </m:r>
        <m:r>
          <m:t>1</m:t>
        </m:r>
      </m:oMath>
      <w:r>
        <w:t xml:space="preserve"> </w:t>
      </w:r>
      <w:r>
        <w:rPr>
          <w:rFonts w:hint="eastAsia"/>
        </w:rPr>
        <w:t xml:space="preserve">とした値は、モデル直値として下側の参考に併記する。</w:t>
      </w:r>
    </w:p>
    <w:p>
      <w:pPr>
        <w:pStyle w:val="BodyText"/>
      </w:pPr>
      <w:r>
        <w:rPr>
          <w:rFonts w:hint="eastAsia"/>
        </w:rPr>
        <w:t xml:space="preserve">この校正には二つの留意点がある。第一に、</w:t>
      </w:r>
      <m:oMath>
        <m:r>
          <m:t>K</m:t>
        </m:r>
        <m:r>
          <m:rPr>
            <m:sty m:val="p"/>
          </m:rPr>
          <m:t>=</m:t>
        </m:r>
        <m:r>
          <m:t>0</m:t>
        </m:r>
      </m:oMath>
      <w:r>
        <w:t xml:space="preserve"> </w:t>
      </w:r>
      <w:r>
        <w:rPr>
          <w:rFonts w:hint="eastAsia"/>
        </w:rPr>
        <w:t xml:space="preserve">での値は収益の上限ではなく中心の推定である。実績とモデルの戦略</w:t>
      </w:r>
      <w:r>
        <w:t xml:space="preserve"> c </w:t>
      </w:r>
      <w:r>
        <w:rPr>
          <w:rFonts w:hint="eastAsia"/>
        </w:rPr>
        <w:t xml:space="preserve">の比は、形状の期間外（FY2026</w:t>
      </w:r>
      <w:r>
        <w:t xml:space="preserve"> </w:t>
      </w:r>
      <w:r>
        <w:rPr>
          <w:rFonts w:hint="eastAsia"/>
        </w:rPr>
        <w:t xml:space="preserve">の4〜6月と</w:t>
      </w:r>
      <w:r>
        <w:t xml:space="preserve"> </w:t>
      </w:r>
      <w:r>
        <w:rPr>
          <w:rFonts w:hint="eastAsia"/>
        </w:rPr>
        <w:t xml:space="preserve">FY2022）でも小さくならない（7.2.1項）。第二に、</w:t>
      </w:r>
      <m:oMath>
        <m:r>
          <m:t>K</m:t>
        </m:r>
        <m:r>
          <m:rPr>
            <m:sty m:val="p"/>
          </m:rPr>
          <m:t>&gt;</m:t>
        </m:r>
        <m:r>
          <m:t>0</m:t>
        </m:r>
      </m:oMath>
      <w:r>
        <w:t xml:space="preserve"> </w:t>
      </w:r>
      <w:r>
        <w:rPr>
          <w:rFonts w:hint="eastAsia"/>
        </w:rPr>
        <w:t xml:space="preserve">での値は、</w:t>
      </w:r>
      <m:oMath>
        <m:r>
          <m:t>λ</m:t>
        </m:r>
      </m:oMath>
      <w:r>
        <w:t xml:space="preserve"> </w:t>
      </w:r>
      <w:r>
        <w:t xml:space="preserve">を</w:t>
      </w:r>
      <w:r>
        <w:t xml:space="preserve"> </w:t>
      </w:r>
      <m:oMath>
        <m:r>
          <m:t>K</m:t>
        </m:r>
      </m:oMath>
      <w:r>
        <w:t xml:space="preserve"> </w:t>
      </w:r>
      <w:r>
        <w:rPr>
          <w:rFonts w:hint="eastAsia"/>
        </w:rPr>
        <w:t xml:space="preserve">によらず一定とする仮定とフリートの情報の仮定に依存する（7.4節）。ただし、</w:t>
      </w:r>
      <m:oMath>
        <m:sSup>
          <m:e>
            <m:r>
              <m:t>K</m:t>
            </m:r>
          </m:e>
          <m:sup>
            <m:r>
              <m:rPr>
                <m:sty m:val="p"/>
              </m:rPr>
              <m:t>*</m:t>
            </m:r>
          </m:sup>
        </m:sSup>
        <m:r>
          <m:rPr>
            <m:sty m:val="p"/>
          </m:rPr>
          <m:t>=</m:t>
        </m:r>
        <m:r>
          <m:t>0</m:t>
        </m:r>
      </m:oMath>
      <w:r>
        <w:t xml:space="preserve"> </w:t>
      </w:r>
      <w:r>
        <w:rPr>
          <w:rFonts w:hint="eastAsia"/>
        </w:rPr>
        <w:t xml:space="preserve">かどうかの判定は</w:t>
      </w:r>
      <w:r>
        <w:t xml:space="preserve"> </w:t>
      </w:r>
      <m:oMath>
        <m:r>
          <m:t>K</m:t>
        </m:r>
        <m:r>
          <m:rPr>
            <m:sty m:val="p"/>
          </m:rPr>
          <m:t>=</m:t>
        </m:r>
        <m:r>
          <m:t>0</m:t>
        </m:r>
      </m:oMath>
      <w:r>
        <w:t xml:space="preserve"> </w:t>
      </w:r>
      <w:r>
        <w:rPr>
          <w:rFonts w:hint="eastAsia"/>
        </w:rPr>
        <w:t xml:space="preserve">での収益</w:t>
      </w:r>
      <w:r>
        <w:t xml:space="preserve"> </w:t>
      </w:r>
      <m:oMath>
        <m:r>
          <m:t>π</m:t>
        </m:r>
        <m:r>
          <m:rPr>
            <m:sty m:val="p"/>
          </m:rPr>
          <m:t>(</m:t>
        </m:r>
        <m:r>
          <m:t>0</m:t>
        </m:r>
        <m:r>
          <m:rPr>
            <m:sty m:val="p"/>
          </m:rPr>
          <m:t>)</m:t>
        </m:r>
      </m:oMath>
      <w:r>
        <w:t xml:space="preserve"> </w:t>
      </w:r>
      <w:r>
        <w:rPr>
          <w:rFonts w:hint="eastAsia"/>
        </w:rPr>
        <w:t xml:space="preserve">で決まるので、</w:t>
      </w:r>
      <m:oMath>
        <m:r>
          <m:t>K</m:t>
        </m:r>
        <m:r>
          <m:rPr>
            <m:sty m:val="p"/>
          </m:rPr>
          <m:t>&gt;</m:t>
        </m:r>
        <m:r>
          <m:t>0</m:t>
        </m:r>
      </m:oMath>
      <w:r>
        <w:t xml:space="preserve"> </w:t>
      </w:r>
      <w:r>
        <w:rPr>
          <w:rFonts w:hint="eastAsia"/>
        </w:rPr>
        <w:t xml:space="preserve">での仮定の影響を受けない。</w:t>
      </w:r>
    </w:p>
    <w:bookmarkEnd w:id="73"/>
    <w:bookmarkStart w:id="75" w:name="参入必要収益とゼロレント条件"/>
    <w:p>
      <w:pPr>
        <w:pStyle w:val="Heading3"/>
      </w:pPr>
      <w:r>
        <w:t xml:space="preserve">4.2.5　</w:t>
      </w:r>
      <w:r>
        <w:rPr>
          <w:rFonts w:hint="eastAsia"/>
        </w:rPr>
        <w:t xml:space="preserve">参入必要収益とゼロレント条件</w:t>
      </w:r>
    </w:p>
    <w:p>
      <w:pPr>
        <w:pStyle w:val="FirstParagraph"/>
      </w:pPr>
      <w:r>
        <w:rPr>
          <w:rFonts w:hint="eastAsia"/>
        </w:rPr>
        <w:t xml:space="preserve">自由参入均衡は限界参入者のレントがゼロになる条件で定義し、その解を均衡容量</w:t>
      </w:r>
      <w:r>
        <w:t xml:space="preserve"> </w:t>
      </w:r>
      <m:oMath>
        <m:sSup>
          <m:e>
            <m:r>
              <m:t>K</m:t>
            </m:r>
          </m:e>
          <m:sup>
            <m:r>
              <m:rPr>
                <m:sty m:val="p"/>
              </m:rPr>
              <m:t>*</m:t>
            </m:r>
          </m:sup>
        </m:sSup>
      </m:oMath>
      <w:r>
        <w:t xml:space="preserve"> </w:t>
      </w:r>
      <w:r>
        <w:t xml:space="preserve">とする。</w:t>
      </w:r>
    </w:p>
    <w:p>
      <w:pPr>
        <w:pStyle w:val="BodyText"/>
        <w:tabs>
          <w:tab w:val="center" w:pos="4393"/>
          <w:tab w:val="right" w:pos="8787"/>
        </w:tabs>
        <w:spacing w:before="120" w:after="120" w:line="240" w:lineRule="auto"/>
        <w:ind w:firstLine="0"/>
      </w:pPr>
      <w:r>
        <w:tab/>
      </w:r>
      <m:oMath>
        <m:r>
          <m:t>π</m:t>
        </m:r>
        <m:r>
          <m:rPr>
            <m:sty m:val="p"/>
          </m:rPr>
          <m:t>(</m:t>
        </m:r>
        <m:r>
          <m:t>K</m:t>
        </m:r>
        <m:r>
          <m:rPr>
            <m:sty m:val="p"/>
          </m:rPr>
          <m:t>)</m:t>
        </m:r>
        <m:r>
          <m:rPr>
            <m:sty m:val="p"/>
          </m:rPr>
          <m:t>+</m:t>
        </m:r>
        <m:r>
          <m:t>κ</m:t>
        </m:r>
        <m:sSub>
          <m:e>
            <m:r>
              <m:t>P</m:t>
            </m:r>
          </m:e>
          <m:sub>
            <m:r>
              <m:rPr>
                <m:sty m:val="p"/>
              </m:rPr>
              <m:t>c</m:t>
            </m:r>
            <m:r>
              <m:rPr>
                <m:sty m:val="p"/>
              </m:rPr>
              <m:t>a</m:t>
            </m:r>
            <m:r>
              <m:rPr>
                <m:sty m:val="p"/>
              </m:rPr>
              <m:t>p</m:t>
            </m:r>
          </m:sub>
        </m:sSub>
        <m:r>
          <m:rPr>
            <m:sty m:val="p"/>
          </m:rPr>
          <m:t>−</m:t>
        </m:r>
        <m:sSub>
          <m:e>
            <m:r>
              <m:t>c</m:t>
            </m:r>
          </m:e>
          <m:sub>
            <m:r>
              <m:rPr>
                <m:sty m:val="p"/>
              </m:rPr>
              <m:t>r</m:t>
            </m:r>
            <m:r>
              <m:rPr>
                <m:sty m:val="p"/>
              </m:rPr>
              <m:t>e</m:t>
            </m:r>
            <m:r>
              <m:rPr>
                <m:sty m:val="p"/>
              </m:rPr>
              <m:t>q</m:t>
            </m:r>
          </m:sub>
        </m:sSub>
        <m:r>
          <m:rPr>
            <m:sty m:val="p"/>
          </m:rPr>
          <m:t>=</m:t>
        </m:r>
        <m:r>
          <m:t>0</m:t>
        </m:r>
      </m:oMath>
      <w:r>
        <w:tab/>
      </w:r>
      <w:r>
        <w:t>(4.5)</w:t>
      </w:r>
    </w:p>
    <w:p>
      <w:pPr>
        <w:pStyle w:val="BodyText"/>
      </w:pPr>
      <w:r>
        <w:rPr>
          <w:rFonts w:hint="eastAsia"/>
        </w:rPr>
        <w:t xml:space="preserve">左辺の第1項は式(4.4)の実現可能収益である。</w:t>
      </w:r>
      <m:oMath>
        <m:r>
          <m:t>κ</m:t>
        </m:r>
        <m:sSub>
          <m:e>
            <m:r>
              <m:t>P</m:t>
            </m:r>
          </m:e>
          <m:sub>
            <m:r>
              <m:rPr>
                <m:sty m:val="p"/>
              </m:rPr>
              <m:t>c</m:t>
            </m:r>
            <m:r>
              <m:rPr>
                <m:sty m:val="p"/>
              </m:rPr>
              <m:t>a</m:t>
            </m:r>
            <m:r>
              <m:rPr>
                <m:sty m:val="p"/>
              </m:rPr>
              <m:t>p</m:t>
            </m:r>
          </m:sub>
        </m:sSub>
      </m:oMath>
      <w:r>
        <w:t xml:space="preserve"> </w:t>
      </w:r>
      <w:r>
        <w:rPr>
          <w:rFonts w:hint="eastAsia"/>
        </w:rPr>
        <w:t xml:space="preserve">は、容量市場の約定価格</w:t>
      </w:r>
      <w:r>
        <w:t xml:space="preserve"> </w:t>
      </w:r>
      <m:oMath>
        <m:sSub>
          <m:e>
            <m:r>
              <m:t>P</m:t>
            </m:r>
          </m:e>
          <m:sub>
            <m:r>
              <m:rPr>
                <m:sty m:val="p"/>
              </m:rPr>
              <m:t>c</m:t>
            </m:r>
            <m:r>
              <m:rPr>
                <m:sty m:val="p"/>
              </m:rPr>
              <m:t>a</m:t>
            </m:r>
            <m:r>
              <m:rPr>
                <m:sty m:val="p"/>
              </m:rPr>
              <m:t>p</m:t>
            </m:r>
          </m:sub>
        </m:sSub>
      </m:oMath>
      <w:r>
        <w:t xml:space="preserve"> </w:t>
      </w:r>
      <w:r>
        <w:rPr>
          <w:rFonts w:hint="eastAsia"/>
        </w:rPr>
        <w:t xml:space="preserve">に調整係数</w:t>
      </w:r>
      <w:r>
        <w:t xml:space="preserve"> </w:t>
      </w:r>
      <m:oMath>
        <m:r>
          <m:t>κ</m:t>
        </m:r>
      </m:oMath>
      <w:r>
        <w:t xml:space="preserve"> </w:t>
      </w:r>
      <w:r>
        <w:rPr>
          <w:rFonts w:hint="eastAsia"/>
        </w:rPr>
        <w:t xml:space="preserve">を掛けた実効容量収入である。主には、2029年度向け北海道の約定価格14,972円/kW</w:t>
      </w:r>
      <w:r>
        <w:t xml:space="preserve"> </w:t>
      </w:r>
      <w:r>
        <w:rPr>
          <w:rFonts w:hint="eastAsia"/>
        </w:rPr>
        <w:t xml:space="preserve">に4時間の蓄電池の調整係数0.836を掛けた12,517円/kW-年を用いる（損益分岐の計算では1.25万円に丸める）。参入必要収益</w:t>
      </w:r>
      <w:r>
        <w:t xml:space="preserve"> </w:t>
      </w:r>
      <m:oMath>
        <m:sSub>
          <m:e>
            <m:r>
              <m:t>c</m:t>
            </m:r>
          </m:e>
          <m:sub>
            <m:r>
              <m:rPr>
                <m:sty m:val="p"/>
              </m:rPr>
              <m:t>r</m:t>
            </m:r>
            <m:r>
              <m:rPr>
                <m:sty m:val="p"/>
              </m:rPr>
              <m:t>e</m:t>
            </m:r>
            <m:r>
              <m:rPr>
                <m:sty m:val="p"/>
              </m:rPr>
              <m:t>q</m:t>
            </m:r>
          </m:sub>
        </m:sSub>
      </m:oMath>
      <w:r>
        <w:t xml:space="preserve"> </w:t>
      </w:r>
      <w:r>
        <w:rPr>
          <w:rFonts w:hint="eastAsia"/>
        </w:rPr>
        <w:t xml:space="preserve">は、資本費</w:t>
      </w:r>
      <w:r>
        <w:t xml:space="preserve"> </w:t>
      </w:r>
      <m:oMath>
        <m:r>
          <m:t>I</m:t>
        </m:r>
      </m:oMath>
      <w:r>
        <w:t xml:space="preserve"> </w:t>
      </w:r>
      <w:r>
        <w:rPr>
          <w:rFonts w:hint="eastAsia"/>
        </w:rPr>
        <w:t xml:space="preserve">を資本回収係数（CRF）で年額にならした等価年額に、年々の固定費</w:t>
      </w:r>
      <w:r>
        <w:t xml:space="preserve"> </w:t>
      </w:r>
      <m:oMath>
        <m:sSub>
          <m:e>
            <m:r>
              <m:t>c</m:t>
            </m:r>
          </m:e>
          <m:sub>
            <m:r>
              <m:rPr>
                <m:sty m:val="p"/>
              </m:rPr>
              <m:t>f</m:t>
            </m:r>
            <m:r>
              <m:rPr>
                <m:sty m:val="p"/>
              </m:rPr>
              <m:t>i</m:t>
            </m:r>
            <m:r>
              <m:rPr>
                <m:sty m:val="p"/>
              </m:rPr>
              <m:t>x</m:t>
            </m:r>
          </m:sub>
        </m:sSub>
      </m:oMath>
      <w:r>
        <w:t xml:space="preserve"> </w:t>
      </w:r>
      <w:r>
        <w:rPr>
          <w:rFonts w:hint="eastAsia"/>
        </w:rPr>
        <w:t xml:space="preserve">を加えたものである。</w:t>
      </w:r>
    </w:p>
    <w:p>
      <w:pPr>
        <w:pStyle w:val="BodyText"/>
        <w:tabs>
          <w:tab w:val="center" w:pos="4393"/>
          <w:tab w:val="right" w:pos="8787"/>
        </w:tabs>
        <w:spacing w:before="120" w:after="120" w:line="240" w:lineRule="auto"/>
        <w:ind w:firstLine="0"/>
      </w:pPr>
      <w:r>
        <w:tab/>
      </w:r>
      <m:oMath>
        <m:sSub>
          <m:e>
            <m:r>
              <m:t>c</m:t>
            </m:r>
          </m:e>
          <m:sub>
            <m:r>
              <m:rPr>
                <m:sty m:val="p"/>
              </m:rPr>
              <m:t>r</m:t>
            </m:r>
            <m:r>
              <m:rPr>
                <m:sty m:val="p"/>
              </m:rPr>
              <m:t>e</m:t>
            </m:r>
            <m:r>
              <m:rPr>
                <m:sty m:val="p"/>
              </m:rPr>
              <m:t>q</m:t>
            </m:r>
          </m:sub>
        </m:sSub>
        <m:r>
          <m:rPr>
            <m:sty m:val="p"/>
          </m:rPr>
          <m:t>=</m:t>
        </m:r>
        <m:r>
          <m:t>I</m:t>
        </m:r>
        <m:r>
          <m:rPr>
            <m:sty m:val="p"/>
          </m:rPr>
          <m:t>⋅</m:t>
        </m:r>
        <m:r>
          <m:rPr>
            <m:sty m:val="p"/>
          </m:rPr>
          <m:t>C</m:t>
        </m:r>
        <m:r>
          <m:rPr>
            <m:sty m:val="p"/>
          </m:rPr>
          <m:t>R</m:t>
        </m:r>
        <m:r>
          <m:rPr>
            <m:sty m:val="p"/>
          </m:rPr>
          <m:t>F</m:t>
        </m:r>
        <m:r>
          <m:rPr>
            <m:sty m:val="p"/>
          </m:rPr>
          <m:t>(</m:t>
        </m:r>
        <m:r>
          <m:t>r</m:t>
        </m:r>
        <m:r>
          <m:rPr>
            <m:sty m:val="p"/>
          </m:rPr>
          <m:t>,</m:t>
        </m:r>
        <m:r>
          <m:t>20</m:t>
        </m:r>
        <m:r>
          <m:rPr>
            <m:sty m:val="p"/>
          </m:rPr>
          <m:t>)</m:t>
        </m:r>
        <m:r>
          <m:rPr>
            <m:sty m:val="p"/>
          </m:rPr>
          <m:t>+</m:t>
        </m:r>
        <m:sSub>
          <m:e>
            <m:r>
              <m:t>c</m:t>
            </m:r>
          </m:e>
          <m:sub>
            <m:r>
              <m:rPr>
                <m:sty m:val="p"/>
              </m:rPr>
              <m:t>f</m:t>
            </m:r>
            <m:r>
              <m:rPr>
                <m:sty m:val="p"/>
              </m:rPr>
              <m:t>i</m:t>
            </m:r>
            <m:r>
              <m:rPr>
                <m:sty m:val="p"/>
              </m:rPr>
              <m:t>x</m:t>
            </m:r>
          </m:sub>
        </m:sSub>
        <m:r>
          <m:rPr>
            <m:sty m:val="p"/>
          </m:rPr>
          <m:t>,</m:t>
        </m:r>
        <m:r>
          <m:t>  </m:t>
        </m:r>
        <m:r>
          <m:rPr>
            <m:sty m:val="p"/>
          </m:rPr>
          <m:t>C</m:t>
        </m:r>
        <m:r>
          <m:rPr>
            <m:sty m:val="p"/>
          </m:rPr>
          <m:t>R</m:t>
        </m:r>
        <m:r>
          <m:rPr>
            <m:sty m:val="p"/>
          </m:rPr>
          <m:t>F</m:t>
        </m:r>
        <m:r>
          <m:rPr>
            <m:sty m:val="p"/>
          </m:rPr>
          <m:t>(</m:t>
        </m:r>
        <m:r>
          <m:t>r</m:t>
        </m:r>
        <m:r>
          <m:rPr>
            <m:sty m:val="p"/>
          </m:rPr>
          <m:t>,</m:t>
        </m:r>
        <m:r>
          <m:t>20</m:t>
        </m:r>
        <m:r>
          <m:rPr>
            <m:sty m:val="p"/>
          </m:rPr>
          <m:t>)</m:t>
        </m:r>
        <m:r>
          <m:rPr>
            <m:sty m:val="p"/>
          </m:rPr>
          <m:t>=</m:t>
        </m:r>
        <m:f>
          <m:fPr>
            <m:type m:val="bar"/>
          </m:fPr>
          <m:num>
            <m:r>
              <m:t>r</m:t>
            </m:r>
          </m:num>
          <m:den>
            <m:r>
              <m:t>1</m:t>
            </m:r>
            <m:r>
              <m:rPr>
                <m:sty m:val="p"/>
              </m:rPr>
              <m:t>−</m:t>
            </m:r>
            <m:r>
              <m:rPr>
                <m:sty m:val="p"/>
              </m:rPr>
              <m:t>(</m:t>
            </m:r>
            <m:r>
              <m:t>1</m:t>
            </m:r>
            <m:r>
              <m:rPr>
                <m:sty m:val="p"/>
              </m:rPr>
              <m:t>+</m:t>
            </m:r>
            <m:r>
              <m:t>r</m:t>
            </m:r>
            <m:sSup>
              <m:e>
                <m:r>
                  <m:rPr>
                    <m:sty m:val="p"/>
                  </m:rPr>
                  <m:t>)</m:t>
                </m:r>
              </m:e>
              <m:sup>
                <m:r>
                  <m:rPr>
                    <m:sty m:val="p"/>
                  </m:rPr>
                  <m:t>−</m:t>
                </m:r>
                <m:r>
                  <m:t>20</m:t>
                </m:r>
              </m:sup>
            </m:sSup>
          </m:den>
        </m:f>
      </m:oMath>
      <w:r>
        <w:tab/>
      </w:r>
      <w:r>
        <w:t>(4.6)</w:t>
      </w:r>
    </w:p>
    <w:p>
      <w:pPr>
        <w:pStyle w:val="BodyText"/>
      </w:pPr>
      <m:oMath>
        <m:r>
          <m:t>I</m:t>
        </m:r>
      </m:oMath>
      <w:r>
        <w:t xml:space="preserve"> </w:t>
      </w:r>
      <w:r>
        <w:rPr>
          <w:rFonts w:hint="eastAsia"/>
        </w:rPr>
        <w:t xml:space="preserve">は4時間分の資本費（6.8万円/kWh×4＝27.2万円/kW）、</w:t>
      </w:r>
      <m:oMath>
        <m:sSub>
          <m:e>
            <m:r>
              <m:t>c</m:t>
            </m:r>
          </m:e>
          <m:sub>
            <m:r>
              <m:rPr>
                <m:sty m:val="p"/>
              </m:rPr>
              <m:t>f</m:t>
            </m:r>
            <m:r>
              <m:rPr>
                <m:sty m:val="p"/>
              </m:rPr>
              <m:t>i</m:t>
            </m:r>
            <m:r>
              <m:rPr>
                <m:sty m:val="p"/>
              </m:rPr>
              <m:t>x</m:t>
            </m:r>
          </m:sub>
        </m:sSub>
      </m:oMath>
      <w:r>
        <w:t xml:space="preserve"> </w:t>
      </w:r>
      <w:r>
        <w:rPr>
          <w:rFonts w:hint="eastAsia"/>
        </w:rPr>
        <w:t xml:space="preserve">は運転維持・廃止の0.53万円と託送等の固定費0.69万円の合計1.22万円/kW-年、</w:t>
      </w:r>
      <m:oMath>
        <m:r>
          <m:t>r</m:t>
        </m:r>
      </m:oMath>
      <w:r>
        <w:t xml:space="preserve"> </w:t>
      </w:r>
      <w:r>
        <w:rPr>
          <w:rFonts w:hint="eastAsia"/>
        </w:rPr>
        <w:t xml:space="preserve">は加重平均資本コスト（WACC）で、寿命は20年である。</w:t>
      </w:r>
      <m:oMath>
        <m:r>
          <m:t>r</m:t>
        </m:r>
        <m:r>
          <m:rPr>
            <m:sty m:val="p"/>
          </m:rPr>
          <m:t>=</m:t>
        </m:r>
        <m:r>
          <m:t>6</m:t>
        </m:r>
        <m:r>
          <m:rPr>
            <m:sty m:val="p"/>
          </m:rPr>
          <m:t>%</m:t>
        </m:r>
      </m:oMath>
      <w:r>
        <w:t xml:space="preserve"> </w:t>
      </w:r>
      <w:r>
        <w:t xml:space="preserve">では</w:t>
      </w:r>
      <w:r>
        <w:t xml:space="preserve"> </w:t>
      </w:r>
      <m:oMath>
        <m:sSub>
          <m:e>
            <m:r>
              <m:t>c</m:t>
            </m:r>
          </m:e>
          <m:sub>
            <m:r>
              <m:rPr>
                <m:sty m:val="p"/>
              </m:rPr>
              <m:t>r</m:t>
            </m:r>
            <m:r>
              <m:rPr>
                <m:sty m:val="p"/>
              </m:rPr>
              <m:t>e</m:t>
            </m:r>
            <m:r>
              <m:rPr>
                <m:sty m:val="p"/>
              </m:rPr>
              <m:t>q</m:t>
            </m:r>
          </m:sub>
        </m:sSub>
      </m:oMath>
      <w:r>
        <w:t xml:space="preserve"> </w:t>
      </w:r>
      <w:r>
        <w:rPr>
          <w:rFonts w:hint="eastAsia"/>
        </w:rPr>
        <w:t xml:space="preserve">は3.59万円/kW-年になる</w:t>
      </w:r>
      <w:r>
        <w:rPr>
          <w:rStyle w:val="FootnoteReference"/>
        </w:rPr>
        <w:footnoteReference w:id="74"/>
      </w:r>
      <w:r>
        <w:t xml:space="preserve">。</w:t>
      </w:r>
      <m:oMath>
        <m:r>
          <m:t>K</m:t>
        </m:r>
        <m:r>
          <m:rPr>
            <m:sty m:val="p"/>
          </m:rPr>
          <m:t>=</m:t>
        </m:r>
        <m:r>
          <m:t>0</m:t>
        </m:r>
      </m:oMath>
      <w:r>
        <w:t xml:space="preserve"> </w:t>
      </w:r>
      <w:r>
        <w:rPr>
          <w:rFonts w:hint="eastAsia"/>
        </w:rPr>
        <w:t xml:space="preserve">でも式(4.5)の左辺が負であれば、参入は起きず、</w:t>
      </w:r>
      <m:oMath>
        <m:sSup>
          <m:e>
            <m:r>
              <m:t>K</m:t>
            </m:r>
          </m:e>
          <m:sup>
            <m:r>
              <m:rPr>
                <m:sty m:val="p"/>
              </m:rPr>
              <m:t>*</m:t>
            </m:r>
          </m:sup>
        </m:sSup>
        <m:r>
          <m:rPr>
            <m:sty m:val="p"/>
          </m:rPr>
          <m:t>=</m:t>
        </m:r>
        <m:r>
          <m:t>0</m:t>
        </m:r>
      </m:oMath>
      <w:r>
        <w:t xml:space="preserve"> </w:t>
      </w:r>
      <w:r>
        <w:t xml:space="preserve">である。</w:t>
      </w:r>
    </w:p>
    <w:p>
      <w:pPr>
        <w:pStyle w:val="BodyText"/>
      </w:pPr>
      <w:r>
        <w:rPr>
          <w:rFonts w:hint="eastAsia"/>
        </w:rPr>
        <w:t xml:space="preserve">収入と費用が20年間一定なら、式(4.5)は、次式で表す限界参入者の</w:t>
      </w:r>
      <w:r>
        <w:t xml:space="preserve"> NPV </w:t>
      </w:r>
      <w:r>
        <w:rPr>
          <w:rFonts w:hint="eastAsia"/>
        </w:rPr>
        <w:t xml:space="preserve">が0になる条件と同値である（付録B.1.2）。</w:t>
      </w:r>
    </w:p>
    <w:p>
      <w:pPr>
        <w:pStyle w:val="BodyText"/>
        <w:tabs>
          <w:tab w:val="center" w:pos="4393"/>
          <w:tab w:val="right" w:pos="8787"/>
        </w:tabs>
        <w:spacing w:before="120" w:after="120" w:line="240" w:lineRule="auto"/>
        <w:ind w:firstLine="0"/>
      </w:pPr>
      <w:r>
        <w:tab/>
      </w:r>
      <m:oMath>
        <m:r>
          <m:rPr>
            <m:sty m:val="p"/>
          </m:rPr>
          <m:t>N</m:t>
        </m:r>
        <m:r>
          <m:rPr>
            <m:sty m:val="p"/>
          </m:rPr>
          <m:t>P</m:t>
        </m:r>
        <m:r>
          <m:rPr>
            <m:sty m:val="p"/>
          </m:rPr>
          <m:t>V</m:t>
        </m:r>
        <m:r>
          <m:rPr>
            <m:sty m:val="p"/>
          </m:rPr>
          <m:t>=</m:t>
        </m:r>
        <m:r>
          <m:rPr>
            <m:sty m:val="p"/>
          </m:rPr>
          <m:t>−</m:t>
        </m:r>
        <m:r>
          <m:t>I</m:t>
        </m:r>
        <m:r>
          <m:rPr>
            <m:sty m:val="p"/>
          </m:rPr>
          <m:t>+</m:t>
        </m:r>
        <m:nary>
          <m:naryPr>
            <m:chr m:val="∑"/>
            <m:limLoc m:val="undOvr"/>
            <m:subHide m:val="off"/>
            <m:supHide m:val="off"/>
          </m:naryPr>
          <m:sub>
            <m:r>
              <m:t>t</m:t>
            </m:r>
            <m:r>
              <m:rPr>
                <m:sty m:val="p"/>
              </m:rPr>
              <m:t>=</m:t>
            </m:r>
            <m:r>
              <m:t>1</m:t>
            </m:r>
          </m:sub>
          <m:sup>
            <m:r>
              <m:t>20</m:t>
            </m:r>
          </m:sup>
          <m:e>
            <m:f>
              <m:fPr>
                <m:type m:val="bar"/>
              </m:fPr>
              <m:num>
                <m:r>
                  <m:t>π</m:t>
                </m:r>
                <m:r>
                  <m:rPr>
                    <m:sty m:val="p"/>
                  </m:rPr>
                  <m:t>(</m:t>
                </m:r>
                <m:r>
                  <m:t>K</m:t>
                </m:r>
                <m:r>
                  <m:rPr>
                    <m:sty m:val="p"/>
                  </m:rPr>
                  <m:t>)</m:t>
                </m:r>
                <m:r>
                  <m:rPr>
                    <m:sty m:val="p"/>
                  </m:rPr>
                  <m:t>+</m:t>
                </m:r>
                <m:r>
                  <m:t>κ</m:t>
                </m:r>
                <m:sSub>
                  <m:e>
                    <m:r>
                      <m:t>P</m:t>
                    </m:r>
                  </m:e>
                  <m:sub>
                    <m:r>
                      <m:rPr>
                        <m:sty m:val="p"/>
                      </m:rPr>
                      <m:t>c</m:t>
                    </m:r>
                    <m:r>
                      <m:rPr>
                        <m:sty m:val="p"/>
                      </m:rPr>
                      <m:t>a</m:t>
                    </m:r>
                    <m:r>
                      <m:rPr>
                        <m:sty m:val="p"/>
                      </m:rPr>
                      <m:t>p</m:t>
                    </m:r>
                  </m:sub>
                </m:sSub>
                <m:r>
                  <m:rPr>
                    <m:sty m:val="p"/>
                  </m:rPr>
                  <m:t>−</m:t>
                </m:r>
                <m:sSub>
                  <m:e>
                    <m:r>
                      <m:t>c</m:t>
                    </m:r>
                  </m:e>
                  <m:sub>
                    <m:r>
                      <m:rPr>
                        <m:sty m:val="p"/>
                      </m:rPr>
                      <m:t>f</m:t>
                    </m:r>
                    <m:r>
                      <m:rPr>
                        <m:sty m:val="p"/>
                      </m:rPr>
                      <m:t>i</m:t>
                    </m:r>
                    <m:r>
                      <m:rPr>
                        <m:sty m:val="p"/>
                      </m:rPr>
                      <m:t>x</m:t>
                    </m:r>
                  </m:sub>
                </m:sSub>
              </m:num>
              <m:den>
                <m:r>
                  <m:rPr>
                    <m:sty m:val="p"/>
                  </m:rPr>
                  <m:t>(</m:t>
                </m:r>
                <m:r>
                  <m:t>1</m:t>
                </m:r>
                <m:r>
                  <m:rPr>
                    <m:sty m:val="p"/>
                  </m:rPr>
                  <m:t>+</m:t>
                </m:r>
                <m:r>
                  <m:t>r</m:t>
                </m:r>
                <m:sSup>
                  <m:e>
                    <m:r>
                      <m:rPr>
                        <m:sty m:val="p"/>
                      </m:rPr>
                      <m:t>)</m:t>
                    </m:r>
                  </m:e>
                  <m:sup>
                    <m:r>
                      <m:t>t</m:t>
                    </m:r>
                  </m:sup>
                </m:sSup>
              </m:den>
            </m:f>
          </m:e>
        </m:nary>
        <m:r>
          <m:rPr>
            <m:sty m:val="p"/>
          </m:rPr>
          <m:t>=</m:t>
        </m:r>
        <m:r>
          <m:t>0</m:t>
        </m:r>
      </m:oMath>
      <w:r>
        <w:tab/>
      </w:r>
      <w:r>
        <w:t>(4.7)</w:t>
      </w:r>
    </w:p>
    <w:p>
      <w:pPr>
        <w:pStyle w:val="BodyText"/>
      </w:pPr>
      <w:r>
        <w:rPr>
          <w:rFonts w:hint="eastAsia"/>
        </w:rPr>
        <w:t xml:space="preserve">ゼロレント条件は、自由参入によって限界参入者の超過収益（正の</w:t>
      </w:r>
      <w:r>
        <w:t xml:space="preserve"> </w:t>
      </w:r>
      <w:r>
        <w:rPr>
          <w:rFonts w:hint="eastAsia"/>
        </w:rPr>
        <w:t xml:space="preserve">NPV）が消える条件であり、Butters</w:t>
      </w:r>
      <w:r>
        <w:t xml:space="preserve"> et </w:t>
      </w:r>
      <w:r>
        <w:rPr>
          <w:rFonts w:hint="eastAsia"/>
        </w:rPr>
        <w:t xml:space="preserve">al.（2025）の動学的な参入均衡を定常・確定的にした版にあたる。限界参入者の粗収益は</w:t>
      </w:r>
      <w:r>
        <w:t xml:space="preserve"> </w:t>
      </w:r>
      <m:oMath>
        <m:r>
          <m:t>θ</m:t>
        </m:r>
      </m:oMath>
      <w:r>
        <w:t xml:space="preserve"> </w:t>
      </w:r>
      <w:r>
        <w:rPr>
          <w:rFonts w:hint="eastAsia"/>
        </w:rPr>
        <w:t xml:space="preserve">にほぼ比例するので（4.2.3項）、</w:t>
      </w:r>
      <m:oMath>
        <m:r>
          <m:t>K</m:t>
        </m:r>
        <m:r>
          <m:rPr>
            <m:sty m:val="p"/>
          </m:rPr>
          <m:t>=</m:t>
        </m:r>
        <m:r>
          <m:t>0</m:t>
        </m:r>
      </m:oMath>
      <w:r>
        <w:t xml:space="preserve"> </w:t>
      </w:r>
      <w:r>
        <w:rPr>
          <w:rFonts w:hint="eastAsia"/>
        </w:rPr>
        <w:t xml:space="preserve">で式(4.5)を満たす価格水準係数は閉じた形で求まる（付録B.1.3）。</w:t>
      </w:r>
    </w:p>
    <w:p>
      <w:pPr>
        <w:pStyle w:val="BodyText"/>
        <w:tabs>
          <w:tab w:val="center" w:pos="4393"/>
          <w:tab w:val="right" w:pos="8787"/>
        </w:tabs>
        <w:spacing w:before="120" w:after="120" w:line="240" w:lineRule="auto"/>
        <w:ind w:firstLine="0"/>
      </w:pPr>
      <w:r>
        <w:tab/>
      </w:r>
      <m:oMath>
        <m:sSup>
          <m:e>
            <m:r>
              <m:t>θ</m:t>
            </m:r>
          </m:e>
          <m:sup>
            <m:r>
              <m:rPr>
                <m:sty m:val="p"/>
              </m:rPr>
              <m:t>*</m:t>
            </m:r>
          </m:sup>
        </m:sSup>
        <m:r>
          <m:rPr>
            <m:sty m:val="p"/>
          </m:rPr>
          <m:t>=</m:t>
        </m:r>
        <m:f>
          <m:fPr>
            <m:type m:val="bar"/>
          </m:fPr>
          <m:num>
            <m:sSub>
              <m:e>
                <m:r>
                  <m:t>c</m:t>
                </m:r>
              </m:e>
              <m:sub>
                <m:r>
                  <m:rPr>
                    <m:sty m:val="p"/>
                  </m:rPr>
                  <m:t>r</m:t>
                </m:r>
                <m:r>
                  <m:rPr>
                    <m:sty m:val="p"/>
                  </m:rPr>
                  <m:t>e</m:t>
                </m:r>
                <m:r>
                  <m:rPr>
                    <m:sty m:val="p"/>
                  </m:rPr>
                  <m:t>q</m:t>
                </m:r>
              </m:sub>
            </m:sSub>
            <m:r>
              <m:rPr>
                <m:sty m:val="p"/>
              </m:rPr>
              <m:t>−</m:t>
            </m:r>
            <m:r>
              <m:t>κ</m:t>
            </m:r>
            <m:sSub>
              <m:e>
                <m:r>
                  <m:t>P</m:t>
                </m:r>
              </m:e>
              <m:sub>
                <m:r>
                  <m:rPr>
                    <m:sty m:val="p"/>
                  </m:rPr>
                  <m:t>c</m:t>
                </m:r>
                <m:r>
                  <m:rPr>
                    <m:sty m:val="p"/>
                  </m:rPr>
                  <m:t>a</m:t>
                </m:r>
                <m:r>
                  <m:rPr>
                    <m:sty m:val="p"/>
                  </m:rPr>
                  <m:t>p</m:t>
                </m:r>
              </m:sub>
            </m:sSub>
            <m:r>
              <m:rPr>
                <m:sty m:val="p"/>
              </m:rPr>
              <m:t>+</m:t>
            </m:r>
            <m:sSub>
              <m:e>
                <m:r>
                  <m:t>w</m:t>
                </m:r>
              </m:e>
              <m:sub>
                <m:r>
                  <m:rPr>
                    <m:sty m:val="p"/>
                  </m:rPr>
                  <m:t>c</m:t>
                </m:r>
                <m:r>
                  <m:rPr>
                    <m:sty m:val="p"/>
                  </m:rPr>
                  <m:t>h</m:t>
                </m:r>
                <m:r>
                  <m:rPr>
                    <m:sty m:val="p"/>
                  </m:rPr>
                  <m:t>g</m:t>
                </m:r>
              </m:sub>
            </m:sSub>
          </m:num>
          <m:den>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den>
        </m:f>
      </m:oMath>
      <w:r>
        <w:tab/>
      </w:r>
      <w:r>
        <w:t>(4.8)</w:t>
      </w:r>
    </w:p>
    <w:p>
      <w:pPr>
        <w:pStyle w:val="BodyText"/>
      </w:pPr>
      <w:r>
        <w:rPr>
          <w:rFonts w:hint="eastAsia"/>
        </w:rPr>
        <w:t xml:space="preserve">分母は</w:t>
      </w:r>
      <w:r>
        <w:t xml:space="preserve"> </w:t>
      </w:r>
      <m:oMath>
        <m:r>
          <m:t>K</m:t>
        </m:r>
        <m:r>
          <m:rPr>
            <m:sty m:val="p"/>
          </m:rPr>
          <m:t>=</m:t>
        </m:r>
        <m:r>
          <m:t>0</m:t>
        </m:r>
      </m:oMath>
      <w:r>
        <w:t xml:space="preserve">・</w:t>
      </w:r>
      <m:oMath>
        <m:r>
          <m:t>θ</m:t>
        </m:r>
        <m:r>
          <m:rPr>
            <m:sty m:val="p"/>
          </m:rPr>
          <m:t>=</m:t>
        </m:r>
        <m:r>
          <m:t>1</m:t>
        </m:r>
      </m:oMath>
      <w:r>
        <w:t xml:space="preserve"> </w:t>
      </w:r>
      <w:r>
        <w:rPr>
          <w:rFonts w:hint="eastAsia"/>
        </w:rPr>
        <w:t xml:space="preserve">での限界参入者の粗収益で、8,427円/kW-年である。</w:t>
      </w:r>
      <m:oMath>
        <m:sSup>
          <m:e>
            <m:r>
              <m:t>θ</m:t>
            </m:r>
          </m:e>
          <m:sup>
            <m:r>
              <m:rPr>
                <m:sty m:val="p"/>
              </m:rPr>
              <m:t>*</m:t>
            </m:r>
          </m:sup>
        </m:sSup>
      </m:oMath>
      <w:r>
        <w:t xml:space="preserve"> </w:t>
      </w:r>
      <w:r>
        <w:t xml:space="preserve">は、NPV </w:t>
      </w:r>
      <w:r>
        <w:rPr>
          <w:rFonts w:hint="eastAsia"/>
        </w:rPr>
        <w:t xml:space="preserve">を0にする価格水準を参入に必要な収入から逆算したものであり、reverse</w:t>
      </w:r>
      <w:r>
        <w:t xml:space="preserve"> DCF </w:t>
      </w:r>
      <w:r>
        <w:rPr>
          <w:rFonts w:hint="eastAsia"/>
        </w:rPr>
        <w:t xml:space="preserve">と同じ考え方である。第9章の負の価格の段差モデルのように収益が</w:t>
      </w:r>
      <w:r>
        <w:t xml:space="preserve"> </w:t>
      </w:r>
      <m:oMath>
        <m:r>
          <m:t>θ</m:t>
        </m:r>
      </m:oMath>
      <w:r>
        <w:t xml:space="preserve"> </w:t>
      </w:r>
      <w:r>
        <w:rPr>
          <w:rFonts w:hint="eastAsia"/>
        </w:rPr>
        <w:t xml:space="preserve">に比例しない場合には、式(4.8)は</w:t>
      </w:r>
      <w:r>
        <w:t xml:space="preserve"> </w:t>
      </w:r>
      <m:oMath>
        <m:sSup>
          <m:e>
            <m:r>
              <m:t>θ</m:t>
            </m:r>
          </m:e>
          <m:sup>
            <m:r>
              <m:rPr>
                <m:sty m:val="p"/>
              </m:rPr>
              <m:t>*</m:t>
            </m:r>
          </m:sup>
        </m:sSup>
      </m:oMath>
      <w:r>
        <w:t xml:space="preserve"> </w:t>
      </w:r>
      <w:r>
        <w:rPr>
          <w:rFonts w:hint="eastAsia"/>
        </w:rPr>
        <w:t xml:space="preserve">を過小に出すので、各</w:t>
      </w:r>
      <w:r>
        <w:t xml:space="preserve"> </w:t>
      </w:r>
      <m:oMath>
        <m:r>
          <m:t>θ</m:t>
        </m:r>
      </m:oMath>
      <w:r>
        <w:t xml:space="preserve"> </w:t>
      </w:r>
      <w:r>
        <w:rPr>
          <w:rFonts w:hint="eastAsia"/>
        </w:rPr>
        <w:t xml:space="preserve">で戦略</w:t>
      </w:r>
      <w:r>
        <w:t xml:space="preserve"> c </w:t>
      </w:r>
      <w:r>
        <w:rPr>
          <w:rFonts w:hint="eastAsia"/>
        </w:rPr>
        <w:t xml:space="preserve">を計算し直し、式(4.5)を</w:t>
      </w:r>
      <w:r>
        <w:t xml:space="preserve"> </w:t>
      </w:r>
      <m:oMath>
        <m:r>
          <m:t>θ</m:t>
        </m:r>
      </m:oMath>
      <w:r>
        <w:t xml:space="preserve"> </w:t>
      </w:r>
      <w:r>
        <w:rPr>
          <w:rFonts w:hint="eastAsia"/>
        </w:rPr>
        <w:t xml:space="preserve">について直接解く。</w:t>
      </w:r>
    </w:p>
    <w:p>
      <w:pPr>
        <w:pStyle w:val="BodyText"/>
      </w:pPr>
      <w:r>
        <w:rPr>
          <w:rFonts w:hint="eastAsia"/>
        </w:rPr>
        <w:t xml:space="preserve">参入者は契約型とマーチャントの2区分とする。長期脱炭素電源オークション（LTDA）や補助金による契約型の容量は外生の</w:t>
      </w:r>
      <w:r>
        <w:t xml:space="preserve"> </w:t>
      </w:r>
      <m:oMath>
        <m:sSub>
          <m:e>
            <m:r>
              <m:t>K</m:t>
            </m:r>
          </m:e>
          <m:sub>
            <m:r>
              <m:rPr>
                <m:sty m:val="p"/>
              </m:rPr>
              <m:t>e</m:t>
            </m:r>
            <m:r>
              <m:rPr>
                <m:sty m:val="p"/>
              </m:rPr>
              <m:t>x</m:t>
            </m:r>
            <m:r>
              <m:rPr>
                <m:sty m:val="p"/>
              </m:rPr>
              <m:t>o</m:t>
            </m:r>
          </m:sub>
        </m:sSub>
      </m:oMath>
      <w:r>
        <w:t xml:space="preserve"> </w:t>
      </w:r>
      <w:r>
        <w:rPr>
          <w:rFonts w:hint="eastAsia"/>
        </w:rPr>
        <w:t xml:space="preserve">として置き、市場収入だけで運営する蓄電池（マーチャント）の容量だけがゼロレント条件に従う。</w:t>
      </w:r>
      <m:oMath>
        <m:sSup>
          <m:e>
            <m:r>
              <m:t>K</m:t>
            </m:r>
          </m:e>
          <m:sup>
            <m:r>
              <m:rPr>
                <m:sty m:val="p"/>
              </m:rPr>
              <m:t>*</m:t>
            </m:r>
          </m:sup>
        </m:sSup>
      </m:oMath>
      <w:r>
        <w:t xml:space="preserve"> </w:t>
      </w:r>
      <w:r>
        <w:t xml:space="preserve">は</w:t>
      </w:r>
      <w:r>
        <w:t xml:space="preserve"> </w:t>
      </w:r>
      <m:oMath>
        <m:sSub>
          <m:e>
            <m:r>
              <m:t>K</m:t>
            </m:r>
          </m:e>
          <m:sub>
            <m:r>
              <m:rPr>
                <m:sty m:val="p"/>
              </m:rPr>
              <m:t>e</m:t>
            </m:r>
            <m:r>
              <m:rPr>
                <m:sty m:val="p"/>
              </m:rPr>
              <m:t>x</m:t>
            </m:r>
            <m:r>
              <m:rPr>
                <m:sty m:val="p"/>
              </m:rPr>
              <m:t>o</m:t>
            </m:r>
          </m:sub>
        </m:sSub>
      </m:oMath>
      <w:r>
        <w:t xml:space="preserve"> </w:t>
      </w:r>
      <w:r>
        <w:rPr>
          <w:rFonts w:hint="eastAsia"/>
        </w:rPr>
        <w:t xml:space="preserve">を含む総容量とし、主結果は</w:t>
      </w:r>
      <w:r>
        <w:t xml:space="preserve"> </w:t>
      </w:r>
      <m:oMath>
        <m:sSub>
          <m:e>
            <m:r>
              <m:t>K</m:t>
            </m:r>
          </m:e>
          <m:sub>
            <m:r>
              <m:rPr>
                <m:sty m:val="p"/>
              </m:rPr>
              <m:t>e</m:t>
            </m:r>
            <m:r>
              <m:rPr>
                <m:sty m:val="p"/>
              </m:rPr>
              <m:t>x</m:t>
            </m:r>
            <m:r>
              <m:rPr>
                <m:sty m:val="p"/>
              </m:rPr>
              <m:t>o</m:t>
            </m:r>
          </m:sub>
        </m:sSub>
        <m:r>
          <m:rPr>
            <m:sty m:val="p"/>
          </m:rPr>
          <m:t>=</m:t>
        </m:r>
        <m:r>
          <m:t>0</m:t>
        </m:r>
      </m:oMath>
      <w:r>
        <w:t xml:space="preserve"> </w:t>
      </w:r>
      <w:r>
        <w:rPr>
          <w:rFonts w:hint="eastAsia"/>
        </w:rPr>
        <w:t xml:space="preserve">で報告する。</w:t>
      </w:r>
      <m:oMath>
        <m:sSub>
          <m:e>
            <m:r>
              <m:t>K</m:t>
            </m:r>
          </m:e>
          <m:sub>
            <m:r>
              <m:rPr>
                <m:sty m:val="p"/>
              </m:rPr>
              <m:t>e</m:t>
            </m:r>
            <m:r>
              <m:rPr>
                <m:sty m:val="p"/>
              </m:rPr>
              <m:t>x</m:t>
            </m:r>
            <m:r>
              <m:rPr>
                <m:sty m:val="p"/>
              </m:rPr>
              <m:t>o</m:t>
            </m:r>
          </m:sub>
        </m:sSub>
      </m:oMath>
      <w:r>
        <w:t xml:space="preserve"> </w:t>
      </w:r>
      <w:r>
        <w:rPr>
          <w:rFonts w:hint="eastAsia"/>
        </w:rPr>
        <w:t xml:space="preserve">を置く感応度は、推定期間の価格に既設の蓄電池の影響が入っているので二重計上を含み、参入に不利な側に偏る。需給調整市場は第3章で述べた根拠によりゼロレントとし、容量市場の価格は主結果では</w:t>
      </w:r>
      <w:r>
        <w:t xml:space="preserve"> </w:t>
      </w:r>
      <m:oMath>
        <m:r>
          <m:t>K</m:t>
        </m:r>
      </m:oMath>
      <w:r>
        <w:t xml:space="preserve"> </w:t>
      </w:r>
      <w:r>
        <w:rPr>
          <w:rFonts w:hint="eastAsia"/>
        </w:rPr>
        <w:t xml:space="preserve">によらない定数とする（感応度は第7章・第8章）。</w:t>
      </w:r>
    </w:p>
    <w:bookmarkEnd w:id="75"/>
    <w:bookmarkStart w:id="76" w:name="仮定の置き方と判定の向き"/>
    <w:p>
      <w:pPr>
        <w:pStyle w:val="Heading3"/>
      </w:pPr>
      <w:r>
        <w:t xml:space="preserve">4.2.6　</w:t>
      </w:r>
      <w:r>
        <w:rPr>
          <w:rFonts w:hint="eastAsia"/>
        </w:rPr>
        <w:t xml:space="preserve">仮定の置き方と判定の向き</w:t>
      </w:r>
    </w:p>
    <w:p>
      <w:pPr>
        <w:pStyle w:val="FirstParagraph"/>
      </w:pPr>
      <w:r>
        <w:rPr>
          <w:rFonts w:hint="eastAsia"/>
        </w:rPr>
        <w:t xml:space="preserve">主たる判定は、参入に有利な側の仮定の下で行う。</w:t>
      </w:r>
      <m:oMath>
        <m:sSub>
          <m:e>
            <m:r>
              <m:t>K</m:t>
            </m:r>
          </m:e>
          <m:sub>
            <m:r>
              <m:rPr>
                <m:sty m:val="p"/>
              </m:rPr>
              <m:t>e</m:t>
            </m:r>
            <m:r>
              <m:rPr>
                <m:sty m:val="p"/>
              </m:rPr>
              <m:t>x</m:t>
            </m:r>
            <m:r>
              <m:rPr>
                <m:sty m:val="p"/>
              </m:rPr>
              <m:t>o</m:t>
            </m:r>
          </m:sub>
        </m:sSub>
        <m:r>
          <m:rPr>
            <m:sty m:val="p"/>
          </m:rPr>
          <m:t>=</m:t>
        </m:r>
        <m:r>
          <m:t>0</m:t>
        </m:r>
      </m:oMath>
      <w:r>
        <w:t xml:space="preserve"> </w:t>
      </w:r>
      <w:r>
        <w:rPr>
          <w:rFonts w:hint="eastAsia"/>
        </w:rPr>
        <w:t xml:space="preserve">は既設・契約型の容量を0と置く評価であり、WACC</w:t>
      </w:r>
      <w:r>
        <w:t xml:space="preserve"> 6% </w:t>
      </w:r>
      <w:r>
        <w:rPr>
          <w:rFonts w:hint="eastAsia"/>
        </w:rPr>
        <w:t xml:space="preserve">は契約型の資本コストの水準で、マーチャントの資産の資本コストにあたる8〜9%（第8章）より低い。静学のゼロレント条件も同じ向きである（7.1.4項）。このように置くと、有利な側の仮定の下でも参入が開かないとき、その結論は仮定を不利な側に動かしても覆らない。ただし、収益の基準（実績整合ケース）と、需給調整市場のレントを0と置くことは、参入に不利な側でありうる。前者の影響は、実績価格の上で実現率を1とした極端な場合（6.8節。</w:t>
      </w:r>
      <m:oMath>
        <m:sSup>
          <m:e>
            <m:r>
              <m:t>θ</m:t>
            </m:r>
          </m:e>
          <m:sup>
            <m:r>
              <m:rPr>
                <m:sty m:val="p"/>
              </m:rPr>
              <m:t>*</m:t>
            </m:r>
          </m:sup>
        </m:sSup>
      </m:oMath>
      <w:r>
        <w:t xml:space="preserve"> </w:t>
      </w:r>
      <w:r>
        <w:rPr>
          <w:rFonts w:hint="eastAsia"/>
        </w:rPr>
        <w:t xml:space="preserve">は第7章の3ケースで2.06〜2.95、式(4.8)で2.44）で上から抑え、後者は7.6節で別に評価する。各章は主たる基準（実績整合ケース、</w:t>
      </w:r>
      <m:oMath>
        <m:sSub>
          <m:e>
            <m:r>
              <m:t>K</m:t>
            </m:r>
          </m:e>
          <m:sub>
            <m:r>
              <m:rPr>
                <m:sty m:val="p"/>
              </m:rPr>
              <m:t>e</m:t>
            </m:r>
            <m:r>
              <m:rPr>
                <m:sty m:val="p"/>
              </m:rPr>
              <m:t>x</m:t>
            </m:r>
            <m:r>
              <m:rPr>
                <m:sty m:val="p"/>
              </m:rPr>
              <m:t>o</m:t>
            </m:r>
          </m:sub>
        </m:sSub>
        <m:r>
          <m:rPr>
            <m:sty m:val="p"/>
          </m:rPr>
          <m:t>=</m:t>
        </m:r>
        <m:r>
          <m:t>0</m:t>
        </m:r>
      </m:oMath>
      <w:r>
        <w:t xml:space="preserve">、WACC </w:t>
      </w:r>
      <w:r>
        <w:rPr>
          <w:rFonts w:hint="eastAsia"/>
        </w:rPr>
        <w:t xml:space="preserve">6%、静学の条件）を明示し、モデル直値、正の</w:t>
      </w:r>
      <w:r>
        <w:t xml:space="preserve"> </w:t>
      </w:r>
      <m:oMath>
        <m:sSub>
          <m:e>
            <m:r>
              <m:t>K</m:t>
            </m:r>
          </m:e>
          <m:sub>
            <m:r>
              <m:rPr>
                <m:sty m:val="p"/>
              </m:rPr>
              <m:t>e</m:t>
            </m:r>
            <m:r>
              <m:rPr>
                <m:sty m:val="p"/>
              </m:rPr>
              <m:t>x</m:t>
            </m:r>
            <m:r>
              <m:rPr>
                <m:sty m:val="p"/>
              </m:rPr>
              <m:t>o</m:t>
            </m:r>
          </m:sub>
        </m:sSub>
      </m:oMath>
      <w:r>
        <w:rPr>
          <w:rFonts w:hint="eastAsia"/>
        </w:rPr>
        <w:t xml:space="preserve">、高い割引率、待機の価値を含む動学的な参入閾値を感応度として併記する。</w:t>
      </w:r>
    </w:p>
    <w:bookmarkEnd w:id="76"/>
    <w:bookmarkEnd w:id="77"/>
    <w:bookmarkStart w:id="78" w:name="ファイナンス金融工学の手法との対応"/>
    <w:p>
      <w:pPr>
        <w:pStyle w:val="Heading2"/>
      </w:pPr>
      <w:r>
        <w:t xml:space="preserve">4.3　</w:t>
      </w:r>
      <w:r>
        <w:rPr>
          <w:rFonts w:hint="eastAsia"/>
        </w:rPr>
        <w:t xml:space="preserve">ファイナンス・金融工学の手法との対応</w:t>
      </w:r>
    </w:p>
    <w:p>
      <w:pPr>
        <w:pStyle w:val="FirstParagraph"/>
      </w:pPr>
      <w:r>
        <w:rPr>
          <w:rFonts w:hint="eastAsia"/>
        </w:rPr>
        <w:t xml:space="preserve">本研究の分析の多くは、ファイナンス（資産評価・金融計量・企業金融）の標準的な手法にあたり、資産の評価、価格の因子と構造の評価、参入の判断、企業金融による契約の評価の四つの場面に整理できる（1.5.2項）。表4.2</w:t>
      </w:r>
      <w:r>
        <w:t xml:space="preserve"> </w:t>
      </w:r>
      <w:r>
        <w:rPr>
          <w:rFonts w:hint="eastAsia"/>
        </w:rPr>
        <w:t xml:space="preserve">は、各分析について、対応する手法の名前と出典、手法を実際に計算した「適用」か考え方を借りただけの「類比」かの区分、本研究での使い方、扱う章を示す。</w:t>
      </w:r>
    </w:p>
    <w:p>
      <w:pPr>
        <w:pStyle w:val="TableCaption"/>
      </w:pPr>
      <w:r>
        <w:rPr>
          <w:rFonts w:hint="eastAsia"/>
        </w:rPr>
        <w:t xml:space="preserve">表4.2</w:t>
      </w:r>
      <w:r>
        <w:t xml:space="preserve">　</w:t>
      </w:r>
      <w:r>
        <w:rPr>
          <w:rFonts w:hint="eastAsia"/>
        </w:rPr>
        <w:t xml:space="preserve">本研究の分析とファイナンス・金融工学の手法</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4.2　本研究の分析とファイナンス・金融工学の手法"/>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本研究の分析</w:t>
            </w:r>
          </w:p>
        </w:tc>
        <w:tc>
          <w:tcPr>
            <w:tcBorders>
              <w:bottom w:val="single" w:sz="6" w:color="000000"/>
            </w:tcBorders>
          </w:tcPr>
          <w:p>
            <w:pPr>
              <w:pStyle w:val="Compact"/>
            </w:pPr>
            <w:r>
              <w:rPr>
                <w:rFonts w:hint="eastAsia"/>
                <w:sz w:val="18"/>
              </w:rPr>
              <w:t xml:space="preserve">名前と出典</w:t>
            </w:r>
          </w:p>
        </w:tc>
        <w:tc>
          <w:tcPr>
            <w:tcBorders>
              <w:bottom w:val="single" w:sz="6" w:color="000000"/>
            </w:tcBorders>
          </w:tcPr>
          <w:p>
            <w:pPr>
              <w:pStyle w:val="Compact"/>
            </w:pPr>
            <w:r>
              <w:rPr>
                <w:rFonts w:hint="eastAsia"/>
                <w:sz w:val="18"/>
              </w:rPr>
              <w:t xml:space="preserve">区分</w:t>
            </w:r>
          </w:p>
        </w:tc>
        <w:tc>
          <w:tcPr>
            <w:tcBorders>
              <w:bottom w:val="single" w:sz="6" w:color="000000"/>
            </w:tcBorders>
          </w:tcPr>
          <w:p>
            <w:pPr>
              <w:pStyle w:val="Compact"/>
            </w:pPr>
            <w:r>
              <w:rPr>
                <w:rFonts w:hint="eastAsia"/>
                <w:sz w:val="18"/>
              </w:rPr>
              <w:t xml:space="preserve">本研究での使い方</w:t>
            </w:r>
          </w:p>
        </w:tc>
        <w:tc>
          <w:tcPr>
            <w:tcBorders>
              <w:bottom w:val="single" w:sz="6" w:color="000000"/>
            </w:tcBorders>
          </w:tcPr>
          <w:p>
            <w:pPr>
              <w:pStyle w:val="Compact"/>
            </w:pPr>
            <w:r>
              <w:rPr>
                <w:rFonts w:hint="eastAsia"/>
                <w:sz w:val="18"/>
              </w:rPr>
              <w:t xml:space="preserve">章</w:t>
            </w:r>
          </w:p>
        </w:tc>
      </w:tr>
      <w:tr>
        <w:tc>
          <w:tcPr/>
          <w:p>
            <w:pPr>
              <w:pStyle w:val="Compact"/>
            </w:pPr>
            <w:r>
              <w:rPr>
                <w:rFonts w:hint="eastAsia"/>
                <w:sz w:val="18"/>
              </w:rPr>
              <w:t xml:space="preserve">日次回帰と系列相関に頑健な推論</w:t>
            </w:r>
          </w:p>
        </w:tc>
        <w:tc>
          <w:tcPr/>
          <w:p>
            <w:pPr>
              <w:pStyle w:val="Compact"/>
            </w:pPr>
            <w:r>
              <w:rPr>
                <w:sz w:val="18"/>
              </w:rPr>
              <w:t xml:space="preserve">Newey and </w:t>
            </w:r>
            <w:r>
              <w:rPr>
                <w:rFonts w:hint="eastAsia"/>
                <w:sz w:val="18"/>
              </w:rPr>
              <w:t xml:space="preserve">West（1987）の</w:t>
            </w:r>
            <w:r>
              <w:rPr>
                <w:sz w:val="18"/>
              </w:rPr>
              <w:t xml:space="preserve"> HAC、Kiefer and </w:t>
            </w:r>
            <w:r>
              <w:rPr>
                <w:rFonts w:hint="eastAsia"/>
                <w:sz w:val="18"/>
              </w:rPr>
              <w:t xml:space="preserve">Vogelsang（2005）の固定</w:t>
            </w:r>
            <w:r>
              <w:rPr>
                <w:sz w:val="18"/>
              </w:rPr>
              <w:t xml:space="preserve"> b </w:t>
            </w:r>
            <w:r>
              <w:rPr>
                <w:rFonts w:hint="eastAsia"/>
                <w:sz w:val="18"/>
              </w:rPr>
              <w:t xml:space="preserve">漸近、Lazarus</w:t>
            </w:r>
            <w:r>
              <w:rPr>
                <w:sz w:val="18"/>
              </w:rPr>
              <w:t xml:space="preserve"> et </w:t>
            </w:r>
            <w:r>
              <w:rPr>
                <w:rFonts w:hint="eastAsia"/>
                <w:sz w:val="18"/>
              </w:rPr>
              <w:t xml:space="preserve">al.（2018）の等重み余弦（EWC）、Bühlmann（1997）のふるいブートストラップ</w:t>
            </w:r>
          </w:p>
        </w:tc>
        <w:tc>
          <w:tcPr/>
          <w:p>
            <w:pPr>
              <w:pStyle w:val="Compact"/>
            </w:pPr>
            <w:r>
              <w:rPr>
                <w:rFonts w:hint="eastAsia"/>
                <w:sz w:val="18"/>
              </w:rPr>
              <w:t xml:space="preserve">適用</w:t>
            </w:r>
          </w:p>
        </w:tc>
        <w:tc>
          <w:tcPr/>
          <w:p>
            <w:pPr>
              <w:pStyle w:val="Compact"/>
            </w:pPr>
            <w:r>
              <w:rPr>
                <w:rFonts w:hint="eastAsia"/>
                <w:sz w:val="18"/>
              </w:rPr>
              <w:t xml:space="preserve">気象で決まる再エネ発電量を外生ショックとして日次の価格指標に回帰する。EWC</w:t>
            </w:r>
            <w:r>
              <w:rPr>
                <w:sz w:val="18"/>
              </w:rPr>
              <w:t xml:space="preserve"> </w:t>
            </w:r>
            <w:r>
              <w:rPr>
                <w:rFonts w:hint="eastAsia"/>
                <w:sz w:val="18"/>
              </w:rPr>
              <w:t xml:space="preserve">を主の推論とし、年月固定効果による同じ月の中の識別を併記する。有意でない係数は95%区間の上限で効果を限る</w:t>
            </w:r>
          </w:p>
        </w:tc>
        <w:tc>
          <w:tcPr/>
          <w:p>
            <w:pPr>
              <w:pStyle w:val="Compact"/>
            </w:pPr>
            <w:r>
              <w:rPr>
                <w:rFonts w:hint="eastAsia"/>
                <w:sz w:val="18"/>
              </w:rPr>
              <w:t xml:space="preserve">第5章</w:t>
            </w:r>
          </w:p>
        </w:tc>
      </w:tr>
      <w:tr>
        <w:tc>
          <w:tcPr/>
          <w:p>
            <w:pPr>
              <w:pStyle w:val="Compact"/>
            </w:pPr>
            <w:r>
              <w:rPr>
                <w:rFonts w:hint="eastAsia"/>
                <w:sz w:val="18"/>
              </w:rPr>
              <w:t xml:space="preserve">帯域分解</w:t>
            </w:r>
          </w:p>
        </w:tc>
        <w:tc>
          <w:tcPr/>
          <w:p>
            <w:pPr>
              <w:pStyle w:val="Compact"/>
            </w:pPr>
            <w:r>
              <w:rPr>
                <w:rFonts w:hint="eastAsia"/>
                <w:sz w:val="18"/>
              </w:rPr>
              <w:t xml:space="preserve">移動平均のカスケードによる時間スケール別の分散分解。実現ボラティリティを日・週・月の成分で表す</w:t>
            </w:r>
            <w:r>
              <w:rPr>
                <w:sz w:val="18"/>
              </w:rPr>
              <w:t xml:space="preserve"> </w:t>
            </w:r>
            <w:r>
              <w:rPr>
                <w:rFonts w:hint="eastAsia"/>
                <w:sz w:val="18"/>
              </w:rPr>
              <w:t xml:space="preserve">Corsi（2009）の</w:t>
            </w:r>
            <w:r>
              <w:rPr>
                <w:sz w:val="18"/>
              </w:rPr>
              <w:t xml:space="preserve"> HAR </w:t>
            </w:r>
            <w:r>
              <w:rPr>
                <w:rFonts w:hint="eastAsia"/>
                <w:sz w:val="18"/>
              </w:rPr>
              <w:t xml:space="preserve">モデルと発想が同型</w:t>
            </w:r>
          </w:p>
        </w:tc>
        <w:tc>
          <w:tcPr/>
          <w:p>
            <w:pPr>
              <w:pStyle w:val="Compact"/>
            </w:pPr>
            <w:r>
              <w:rPr>
                <w:rFonts w:hint="eastAsia"/>
                <w:sz w:val="18"/>
              </w:rPr>
              <w:t xml:space="preserve">類比</w:t>
            </w:r>
          </w:p>
        </w:tc>
        <w:tc>
          <w:tcPr/>
          <w:p>
            <w:pPr>
              <w:pStyle w:val="Compact"/>
            </w:pPr>
            <w:r>
              <w:rPr>
                <w:rFonts w:hint="eastAsia"/>
                <w:sz w:val="18"/>
              </w:rPr>
              <w:t xml:space="preserve">再エネの設備利用率の分散を4つの時間帯域に分ける</w:t>
            </w:r>
          </w:p>
        </w:tc>
        <w:tc>
          <w:tcPr/>
          <w:p>
            <w:pPr>
              <w:pStyle w:val="Compact"/>
            </w:pPr>
            <w:r>
              <w:rPr>
                <w:rFonts w:hint="eastAsia"/>
                <w:sz w:val="18"/>
              </w:rPr>
              <w:t xml:space="preserve">第5章</w:t>
            </w:r>
          </w:p>
        </w:tc>
      </w:tr>
      <w:tr>
        <w:tc>
          <w:tcPr/>
          <w:p>
            <w:pPr>
              <w:pStyle w:val="Compact"/>
            </w:pPr>
            <w:r>
              <w:rPr>
                <w:rFonts w:hint="eastAsia"/>
                <w:sz w:val="18"/>
              </w:rPr>
              <w:t xml:space="preserve">分位点回帰と先行研究の仕様の再現</w:t>
            </w:r>
          </w:p>
        </w:tc>
        <w:tc>
          <w:tcPr/>
          <w:p>
            <w:pPr>
              <w:pStyle w:val="Compact"/>
            </w:pPr>
            <w:r>
              <w:rPr>
                <w:rFonts w:hint="eastAsia"/>
                <w:sz w:val="18"/>
              </w:rPr>
              <w:t xml:space="preserve">分位点回帰（Koenker</w:t>
            </w:r>
            <w:r>
              <w:rPr>
                <w:sz w:val="18"/>
              </w:rPr>
              <w:t xml:space="preserve"> &amp; Bassett, </w:t>
            </w:r>
            <w:r>
              <w:rPr>
                <w:rFonts w:hint="eastAsia"/>
                <w:sz w:val="18"/>
              </w:rPr>
              <w:t xml:space="preserve">1978）、分位の幅による日間変動の代理、移動ブロック・ブートストラップ（Künsch,</w:t>
            </w:r>
            <w:r>
              <w:rPr>
                <w:sz w:val="18"/>
              </w:rPr>
              <w:t xml:space="preserve"> </w:t>
            </w:r>
            <w:r>
              <w:rPr>
                <w:rFonts w:hint="eastAsia"/>
                <w:sz w:val="18"/>
              </w:rPr>
              <w:t xml:space="preserve">1989）</w:t>
            </w:r>
          </w:p>
        </w:tc>
        <w:tc>
          <w:tcPr/>
          <w:p>
            <w:pPr>
              <w:pStyle w:val="Compact"/>
            </w:pPr>
            <w:r>
              <w:rPr>
                <w:rFonts w:hint="eastAsia"/>
                <w:sz w:val="18"/>
              </w:rPr>
              <w:t xml:space="preserve">適用</w:t>
            </w:r>
          </w:p>
        </w:tc>
        <w:tc>
          <w:tcPr/>
          <w:p>
            <w:pPr>
              <w:pStyle w:val="Compact"/>
            </w:pPr>
            <w:r>
              <w:rPr>
                <w:sz w:val="18"/>
              </w:rPr>
              <w:t xml:space="preserve">Sakaguchi and </w:t>
            </w:r>
            <w:r>
              <w:rPr>
                <w:rFonts w:hint="eastAsia"/>
                <w:sz w:val="18"/>
              </w:rPr>
              <w:t xml:space="preserve">Fujii（2021）と</w:t>
            </w:r>
            <w:r>
              <w:rPr>
                <w:sz w:val="18"/>
              </w:rPr>
              <w:t xml:space="preserve"> Fuke and </w:t>
            </w:r>
            <w:r>
              <w:rPr>
                <w:rFonts w:hint="eastAsia"/>
                <w:sz w:val="18"/>
              </w:rPr>
              <w:t xml:space="preserve">Ohashi（2025）の仕様を再現し、被説明変数を日内の指標に替え、期間差を比べる</w:t>
            </w:r>
          </w:p>
        </w:tc>
        <w:tc>
          <w:tcPr/>
          <w:p>
            <w:pPr>
              <w:pStyle w:val="Compact"/>
            </w:pPr>
            <w:r>
              <w:rPr>
                <w:rFonts w:hint="eastAsia"/>
                <w:sz w:val="18"/>
              </w:rPr>
              <w:t xml:space="preserve">第5章</w:t>
            </w:r>
          </w:p>
        </w:tc>
      </w:tr>
      <w:tr>
        <w:tc>
          <w:tcPr/>
          <w:p>
            <w:pPr>
              <w:pStyle w:val="Compact"/>
            </w:pPr>
            <w:r>
              <w:rPr>
                <w:rFonts w:hint="eastAsia"/>
                <w:sz w:val="18"/>
              </w:rPr>
              <w:t xml:space="preserve">空間分散シミュレーション</w:t>
            </w:r>
          </w:p>
        </w:tc>
        <w:tc>
          <w:tcPr/>
          <w:p>
            <w:pPr>
              <w:pStyle w:val="Compact"/>
            </w:pPr>
            <w:r>
              <w:rPr>
                <w:rFonts w:hint="eastAsia"/>
                <w:sz w:val="18"/>
              </w:rPr>
              <w:t xml:space="preserve">ポートフォリオの分散効果（Markowitz,</w:t>
            </w:r>
            <w:r>
              <w:rPr>
                <w:sz w:val="18"/>
              </w:rPr>
              <w:t xml:space="preserve"> </w:t>
            </w:r>
            <w:r>
              <w:rPr>
                <w:rFonts w:hint="eastAsia"/>
                <w:sz w:val="18"/>
              </w:rPr>
              <w:t xml:space="preserve">1952）の考え方。相関の低い資産（ここでは風力の地点）を集約すると、合計の分散は個々の分散の和より小さくなる</w:t>
            </w:r>
          </w:p>
        </w:tc>
        <w:tc>
          <w:tcPr/>
          <w:p>
            <w:pPr>
              <w:pStyle w:val="Compact"/>
            </w:pPr>
            <w:r>
              <w:rPr>
                <w:rFonts w:hint="eastAsia"/>
                <w:sz w:val="18"/>
              </w:rPr>
              <w:t xml:space="preserve">類比</w:t>
            </w:r>
          </w:p>
        </w:tc>
        <w:tc>
          <w:tcPr/>
          <w:p>
            <w:pPr>
              <w:pStyle w:val="Compact"/>
            </w:pPr>
            <w:r>
              <w:rPr>
                <w:rFonts w:hint="eastAsia"/>
                <w:sz w:val="18"/>
              </w:rPr>
              <w:t xml:space="preserve">風力の日内変動を</w:t>
            </w:r>
            <w:r>
              <w:rPr>
                <w:sz w:val="18"/>
              </w:rPr>
              <w:t xml:space="preserve"> St. Martin et </w:t>
            </w:r>
            <w:r>
              <w:rPr>
                <w:rFonts w:hint="eastAsia"/>
                <w:sz w:val="18"/>
              </w:rPr>
              <w:t xml:space="preserve">al.（2015）の相関距離で校正した幅で増幅し（分散効果を除いた集中立地の反実仮想）、価格モデルに通す</w:t>
            </w:r>
          </w:p>
        </w:tc>
        <w:tc>
          <w:tcPr/>
          <w:p>
            <w:pPr>
              <w:pStyle w:val="Compact"/>
            </w:pPr>
            <w:r>
              <w:rPr>
                <w:rFonts w:hint="eastAsia"/>
                <w:sz w:val="18"/>
              </w:rPr>
              <w:t xml:space="preserve">第5章</w:t>
            </w:r>
          </w:p>
        </w:tc>
      </w:tr>
      <w:tr>
        <w:tc>
          <w:tcPr/>
          <w:p>
            <w:pPr>
              <w:pStyle w:val="Compact"/>
            </w:pPr>
            <w:r>
              <w:rPr>
                <w:rFonts w:hint="eastAsia"/>
                <w:sz w:val="18"/>
              </w:rPr>
              <w:t xml:space="preserve">価格カーブの主成分分解と因子エクスポージャー</w:t>
            </w:r>
          </w:p>
        </w:tc>
        <w:tc>
          <w:tcPr/>
          <w:p>
            <w:pPr>
              <w:pStyle w:val="Compact"/>
            </w:pPr>
            <w:r>
              <w:rPr>
                <w:rFonts w:hint="eastAsia"/>
                <w:sz w:val="18"/>
              </w:rPr>
              <w:t xml:space="preserve">期間構造の因子分解（Litterman</w:t>
            </w:r>
            <w:r>
              <w:rPr>
                <w:sz w:val="18"/>
              </w:rPr>
              <w:t xml:space="preserve"> &amp; Scheinkman, </w:t>
            </w:r>
            <w:r>
              <w:rPr>
                <w:rFonts w:hint="eastAsia"/>
                <w:sz w:val="18"/>
              </w:rPr>
              <w:t xml:space="preserve">1991）、電力フォワードカーブの主成分分解（Koekebakker</w:t>
            </w:r>
            <w:r>
              <w:rPr>
                <w:sz w:val="18"/>
              </w:rPr>
              <w:t xml:space="preserve"> &amp; Ollmar, </w:t>
            </w:r>
            <w:r>
              <w:rPr>
                <w:rFonts w:hint="eastAsia"/>
                <w:sz w:val="18"/>
              </w:rPr>
              <w:t xml:space="preserve">2005）、ファクター・デュレーション</w:t>
            </w:r>
          </w:p>
        </w:tc>
        <w:tc>
          <w:tcPr/>
          <w:p>
            <w:pPr>
              <w:pStyle w:val="Compact"/>
            </w:pPr>
            <w:r>
              <w:rPr>
                <w:rFonts w:hint="eastAsia"/>
                <w:sz w:val="18"/>
              </w:rPr>
              <w:t xml:space="preserve">適用</w:t>
            </w:r>
          </w:p>
        </w:tc>
        <w:tc>
          <w:tcPr/>
          <w:p>
            <w:pPr>
              <w:pStyle w:val="Compact"/>
            </w:pPr>
            <w:r>
              <w:rPr>
                <w:rFonts w:hint="eastAsia"/>
                <w:sz w:val="18"/>
              </w:rPr>
              <w:t xml:space="preserve">24時間の価格を短い期間構造とみなして分解し、風力・太陽光の因子への負荷と完全予見粗利の因子エクスポージャーを推定する</w:t>
            </w:r>
          </w:p>
        </w:tc>
        <w:tc>
          <w:tcPr/>
          <w:p>
            <w:pPr>
              <w:pStyle w:val="Compact"/>
            </w:pPr>
            <w:r>
              <w:rPr>
                <w:rFonts w:hint="eastAsia"/>
                <w:sz w:val="18"/>
              </w:rPr>
              <w:t xml:space="preserve">第5章・第6章</w:t>
            </w:r>
          </w:p>
        </w:tc>
      </w:tr>
      <w:tr>
        <w:tc>
          <w:tcPr/>
          <w:p>
            <w:pPr>
              <w:pStyle w:val="Compact"/>
            </w:pPr>
            <w:r>
              <w:rPr>
                <w:rFonts w:hint="eastAsia"/>
                <w:sz w:val="18"/>
              </w:rPr>
              <w:t xml:space="preserve">完全予見バックテスト</w:t>
            </w:r>
          </w:p>
        </w:tc>
        <w:tc>
          <w:tcPr/>
          <w:p>
            <w:pPr>
              <w:pStyle w:val="Compact"/>
            </w:pPr>
            <w:r>
              <w:rPr>
                <w:rFonts w:hint="eastAsia"/>
                <w:sz w:val="18"/>
              </w:rPr>
              <w:t xml:space="preserve">日次スプレッド（交換）オプションの束の事後ペイオフ（Deng</w:t>
            </w:r>
            <w:r>
              <w:rPr>
                <w:sz w:val="18"/>
              </w:rPr>
              <w:t xml:space="preserve"> et al., 2001; Margrabe, </w:t>
            </w:r>
            <w:r>
              <w:rPr>
                <w:rFonts w:hint="eastAsia"/>
                <w:sz w:val="18"/>
              </w:rPr>
              <w:t xml:space="preserve">1978）、ペナルティのない情報緩和による上界（D.</w:t>
            </w:r>
            <w:r>
              <w:rPr>
                <w:sz w:val="18"/>
              </w:rPr>
              <w:t xml:space="preserve"> B. Brown et al., </w:t>
            </w:r>
            <w:r>
              <w:rPr>
                <w:rFonts w:hint="eastAsia"/>
                <w:sz w:val="18"/>
              </w:rPr>
              <w:t xml:space="preserve">2010）</w:t>
            </w:r>
          </w:p>
        </w:tc>
        <w:tc>
          <w:tcPr/>
          <w:p>
            <w:pPr>
              <w:pStyle w:val="Compact"/>
            </w:pPr>
            <w:r>
              <w:rPr>
                <w:rFonts w:hint="eastAsia"/>
                <w:sz w:val="18"/>
              </w:rPr>
              <w:t xml:space="preserve">適用</w:t>
            </w:r>
          </w:p>
        </w:tc>
        <w:tc>
          <w:tcPr/>
          <w:p>
            <w:pPr>
              <w:pStyle w:val="Compact"/>
            </w:pPr>
            <w:r>
              <w:rPr>
                <w:rFonts w:hint="eastAsia"/>
                <w:sz w:val="18"/>
              </w:rPr>
              <w:t xml:space="preserve">式(4.2)の完全予見粗利を求め、放電脚と充電脚に分ける</w:t>
            </w:r>
          </w:p>
        </w:tc>
        <w:tc>
          <w:tcPr/>
          <w:p>
            <w:pPr>
              <w:pStyle w:val="Compact"/>
            </w:pPr>
            <w:r>
              <w:rPr>
                <w:rFonts w:hint="eastAsia"/>
                <w:sz w:val="18"/>
              </w:rPr>
              <w:t xml:space="preserve">第6章</w:t>
            </w:r>
          </w:p>
        </w:tc>
      </w:tr>
      <w:tr>
        <w:tc>
          <w:tcPr/>
          <w:p>
            <w:pPr>
              <w:pStyle w:val="Compact"/>
            </w:pPr>
            <w:r>
              <w:rPr>
                <w:rFonts w:hint="eastAsia"/>
                <w:sz w:val="18"/>
              </w:rPr>
              <w:t xml:space="preserve">完全予見粗利の層分解</w:t>
            </w:r>
          </w:p>
        </w:tc>
        <w:tc>
          <w:tcPr/>
          <w:p>
            <w:pPr>
              <w:pStyle w:val="Compact"/>
            </w:pPr>
            <w:r>
              <w:rPr>
                <w:rFonts w:hint="eastAsia"/>
                <w:sz w:val="18"/>
              </w:rPr>
              <w:t xml:space="preserve">本源的方策の価値と完全情報の価値への分解。ガス貯蔵の評価の</w:t>
            </w:r>
            <w:r>
              <w:rPr>
                <w:sz w:val="18"/>
              </w:rPr>
              <w:t xml:space="preserve"> intrinsic </w:t>
            </w:r>
            <w:r>
              <w:rPr>
                <w:rFonts w:hint="eastAsia"/>
                <w:sz w:val="18"/>
              </w:rPr>
              <w:t xml:space="preserve">の考え方（Lai</w:t>
            </w:r>
            <w:r>
              <w:rPr>
                <w:sz w:val="18"/>
              </w:rPr>
              <w:t xml:space="preserve"> et al., </w:t>
            </w:r>
            <w:r>
              <w:rPr>
                <w:rFonts w:hint="eastAsia"/>
                <w:sz w:val="18"/>
              </w:rPr>
              <w:t xml:space="preserve">2010）</w:t>
            </w:r>
          </w:p>
        </w:tc>
        <w:tc>
          <w:tcPr/>
          <w:p>
            <w:pPr>
              <w:pStyle w:val="Compact"/>
            </w:pPr>
            <w:r>
              <w:rPr>
                <w:rFonts w:hint="eastAsia"/>
                <w:sz w:val="18"/>
              </w:rPr>
              <w:t xml:space="preserve">適用</w:t>
            </w:r>
          </w:p>
        </w:tc>
        <w:tc>
          <w:tcPr/>
          <w:p>
            <w:pPr>
              <w:pStyle w:val="Compact"/>
            </w:pPr>
            <w:r>
              <w:rPr>
                <w:rFonts w:hint="eastAsia"/>
                <w:sz w:val="18"/>
              </w:rPr>
              <w:t xml:space="preserve">戦略</w:t>
            </w:r>
            <w:r>
              <w:rPr>
                <w:sz w:val="18"/>
              </w:rPr>
              <w:t xml:space="preserve"> c </w:t>
            </w:r>
            <w:r>
              <w:rPr>
                <w:rFonts w:hint="eastAsia"/>
                <w:sz w:val="18"/>
              </w:rPr>
              <w:t xml:space="preserve">の固定窓を基準に、本源的方策・休止・窓の選び直しの価値に分ける</w:t>
            </w:r>
          </w:p>
        </w:tc>
        <w:tc>
          <w:tcPr/>
          <w:p>
            <w:pPr>
              <w:pStyle w:val="Compact"/>
            </w:pPr>
            <w:r>
              <w:rPr>
                <w:rFonts w:hint="eastAsia"/>
                <w:sz w:val="18"/>
              </w:rPr>
              <w:t xml:space="preserve">第6章</w:t>
            </w:r>
          </w:p>
        </w:tc>
      </w:tr>
      <w:tr>
        <w:tc>
          <w:tcPr/>
          <w:p>
            <w:pPr>
              <w:pStyle w:val="Compact"/>
            </w:pPr>
            <w:r>
              <w:rPr>
                <w:rFonts w:hint="eastAsia"/>
                <w:sz w:val="18"/>
              </w:rPr>
              <w:t xml:space="preserve">実行可能戦略の検定</w:t>
            </w:r>
          </w:p>
        </w:tc>
        <w:tc>
          <w:tcPr/>
          <w:p>
            <w:pPr>
              <w:pStyle w:val="Compact"/>
            </w:pPr>
            <w:r>
              <w:rPr>
                <w:sz w:val="18"/>
              </w:rPr>
              <w:t xml:space="preserve">Diebold and </w:t>
            </w:r>
            <w:r>
              <w:rPr>
                <w:rFonts w:hint="eastAsia"/>
                <w:sz w:val="18"/>
              </w:rPr>
              <w:t xml:space="preserve">Mariano（1995）の</w:t>
            </w:r>
            <w:r>
              <w:rPr>
                <w:sz w:val="18"/>
              </w:rPr>
              <w:t xml:space="preserve"> DM </w:t>
            </w:r>
            <w:r>
              <w:rPr>
                <w:rFonts w:hint="eastAsia"/>
                <w:sz w:val="18"/>
              </w:rPr>
              <w:t xml:space="preserve">検定、White（2000）の</w:t>
            </w:r>
            <w:r>
              <w:rPr>
                <w:sz w:val="18"/>
              </w:rPr>
              <w:t xml:space="preserve"> Reality </w:t>
            </w:r>
            <w:r>
              <w:rPr>
                <w:rFonts w:hint="eastAsia"/>
                <w:sz w:val="18"/>
              </w:rPr>
              <w:t xml:space="preserve">Check、Hansen（2005）の</w:t>
            </w:r>
            <w:r>
              <w:rPr>
                <w:sz w:val="18"/>
              </w:rPr>
              <w:t xml:space="preserve"> SPA </w:t>
            </w:r>
            <w:r>
              <w:rPr>
                <w:rFonts w:hint="eastAsia"/>
                <w:sz w:val="18"/>
              </w:rPr>
              <w:t xml:space="preserve">検定、Politis</w:t>
            </w:r>
            <w:r>
              <w:rPr>
                <w:sz w:val="18"/>
              </w:rPr>
              <w:t xml:space="preserve"> and </w:t>
            </w:r>
            <w:r>
              <w:rPr>
                <w:rFonts w:hint="eastAsia"/>
                <w:sz w:val="18"/>
              </w:rPr>
              <w:t xml:space="preserve">Romano（1994）の定常ブートストラップ、Diebold</w:t>
            </w:r>
            <w:r>
              <w:rPr>
                <w:sz w:val="18"/>
              </w:rPr>
              <w:t xml:space="preserve"> and </w:t>
            </w:r>
            <w:r>
              <w:rPr>
                <w:rFonts w:hint="eastAsia"/>
                <w:sz w:val="18"/>
              </w:rPr>
              <w:t xml:space="preserve">Li（2006）の動的因子予測</w:t>
            </w:r>
          </w:p>
        </w:tc>
        <w:tc>
          <w:tcPr/>
          <w:p>
            <w:pPr>
              <w:pStyle w:val="Compact"/>
            </w:pPr>
            <w:r>
              <w:rPr>
                <w:rFonts w:hint="eastAsia"/>
                <w:sz w:val="18"/>
              </w:rPr>
              <w:t xml:space="preserve">適用</w:t>
            </w:r>
          </w:p>
        </w:tc>
        <w:tc>
          <w:tcPr/>
          <w:p>
            <w:pPr>
              <w:pStyle w:val="Compact"/>
            </w:pPr>
            <w:r>
              <w:rPr>
                <w:rFonts w:hint="eastAsia"/>
                <w:sz w:val="18"/>
              </w:rPr>
              <w:t xml:space="preserve">9本の戦略の日次粗利の差を、データ・スヌーピングを考慮して検定する</w:t>
            </w:r>
          </w:p>
        </w:tc>
        <w:tc>
          <w:tcPr/>
          <w:p>
            <w:pPr>
              <w:pStyle w:val="Compact"/>
            </w:pPr>
            <w:r>
              <w:rPr>
                <w:rFonts w:hint="eastAsia"/>
                <w:sz w:val="18"/>
              </w:rPr>
              <w:t xml:space="preserve">第6章</w:t>
            </w:r>
          </w:p>
        </w:tc>
      </w:tr>
      <w:tr>
        <w:tc>
          <w:tcPr/>
          <w:p>
            <w:pPr>
              <w:pStyle w:val="Compact"/>
            </w:pPr>
            <w:r>
              <w:rPr>
                <w:rFonts w:hint="eastAsia"/>
                <w:sz w:val="18"/>
              </w:rPr>
              <w:t xml:space="preserve">価格過程モデル</w:t>
            </w:r>
          </w:p>
        </w:tc>
        <w:tc>
          <w:tcPr/>
          <w:p>
            <w:pPr>
              <w:pStyle w:val="Compact"/>
            </w:pPr>
            <w:r>
              <w:rPr>
                <w:rFonts w:hint="eastAsia"/>
                <w:sz w:val="18"/>
              </w:rPr>
              <w:t xml:space="preserve">構造型の電力価格モデル（Barlow,</w:t>
            </w:r>
            <w:r>
              <w:rPr>
                <w:sz w:val="18"/>
              </w:rPr>
              <w:t xml:space="preserve"> 2002; Carmona et al., 2013; Kanamura &amp; Ohashi, </w:t>
            </w:r>
            <w:r>
              <w:rPr>
                <w:rFonts w:hint="eastAsia"/>
                <w:sz w:val="18"/>
              </w:rPr>
              <w:t xml:space="preserve">2007）、レジーム混合、Holm（1979）の多重比較の補正</w:t>
            </w:r>
          </w:p>
        </w:tc>
        <w:tc>
          <w:tcPr/>
          <w:p>
            <w:pPr>
              <w:pStyle w:val="Compact"/>
            </w:pPr>
            <w:r>
              <w:rPr>
                <w:rFonts w:hint="eastAsia"/>
                <w:sz w:val="18"/>
              </w:rPr>
              <w:t xml:space="preserve">適用</w:t>
            </w:r>
          </w:p>
        </w:tc>
        <w:tc>
          <w:tcPr/>
          <w:p>
            <w:pPr>
              <w:pStyle w:val="Compact"/>
            </w:pPr>
            <w:r>
              <w:rPr>
                <w:rFonts w:hint="eastAsia"/>
                <w:sz w:val="18"/>
              </w:rPr>
              <w:t xml:space="preserve">供給曲線</w:t>
            </w:r>
            <w:r>
              <w:rPr>
                <w:sz w:val="18"/>
              </w:rPr>
              <w:t xml:space="preserve"> </w:t>
            </w:r>
            <m:oMath>
              <m:r>
                <m:t>g</m:t>
              </m:r>
            </m:oMath>
            <w:r>
              <w:rPr>
                <w:rFonts w:hint="eastAsia"/>
                <w:sz w:val="18"/>
              </w:rPr>
              <w:t xml:space="preserve">、時刻別の項</w:t>
            </w:r>
            <w:r>
              <w:rPr>
                <w:sz w:val="18"/>
              </w:rPr>
              <w:t xml:space="preserve"> </w:t>
            </w:r>
            <m:oMath>
              <m:r>
                <m:t>μ</m:t>
              </m:r>
            </m:oMath>
            <w:r>
              <w:rPr>
                <w:rFonts w:hint="eastAsia"/>
                <w:sz w:val="18"/>
              </w:rPr>
              <w:t xml:space="preserve">、分断の3レジーム、水準係数</w:t>
            </w:r>
            <w:r>
              <w:rPr>
                <w:sz w:val="18"/>
              </w:rPr>
              <w:t xml:space="preserve"> </w:t>
            </w:r>
            <m:oMath>
              <m:r>
                <m:t>θ</m:t>
              </m:r>
            </m:oMath>
            <w:r>
              <w:rPr>
                <w:sz w:val="18"/>
              </w:rPr>
              <w:t xml:space="preserve"> </w:t>
            </w:r>
            <w:r>
              <w:rPr>
                <w:rFonts w:hint="eastAsia"/>
                <w:sz w:val="18"/>
              </w:rPr>
              <w:t xml:space="preserve">を推定し、風力・太陽光への応答をモデルと実績の差の回帰で検証する</w:t>
            </w:r>
          </w:p>
        </w:tc>
        <w:tc>
          <w:tcPr/>
          <w:p>
            <w:pPr>
              <w:pStyle w:val="Compact"/>
            </w:pPr>
            <w:r>
              <w:rPr>
                <w:rFonts w:hint="eastAsia"/>
                <w:sz w:val="18"/>
              </w:rPr>
              <w:t xml:space="preserve">第7章</w:t>
            </w:r>
          </w:p>
        </w:tc>
      </w:tr>
      <w:tr>
        <w:tc>
          <w:tcPr/>
          <w:p>
            <w:pPr>
              <w:pStyle w:val="Compact"/>
            </w:pPr>
            <w:r>
              <w:rPr>
                <w:rFonts w:hint="eastAsia"/>
                <w:sz w:val="18"/>
              </w:rPr>
              <w:t xml:space="preserve">下限価格の機構</w:t>
            </w:r>
          </w:p>
        </w:tc>
        <w:tc>
          <w:tcPr/>
          <w:p>
            <w:pPr>
              <w:pStyle w:val="Compact"/>
            </w:pPr>
            <w:r>
              <w:rPr>
                <w:rFonts w:hint="eastAsia"/>
                <w:sz w:val="18"/>
              </w:rPr>
              <w:t xml:space="preserve">下限つきの価格を原資産とプットに分けるペイオフの恒等式</w:t>
            </w:r>
            <w:r>
              <w:rPr>
                <w:sz w:val="18"/>
              </w:rPr>
              <w:t xml:space="preserve"> </w:t>
            </w:r>
            <m:oMath>
              <m:r>
                <m:rPr>
                  <m:sty m:val="p"/>
                </m:rPr>
                <m:t>max</m:t>
              </m:r>
              <m:r>
                <m:rPr>
                  <m:sty m:val="p"/>
                </m:rPr>
                <m:t>{</m:t>
              </m:r>
              <m:sSub>
                <m:e>
                  <m:acc>
                    <m:accPr>
                      <m:chr m:val="̃"/>
                    </m:accPr>
                    <m:e>
                      <m:r>
                        <m:t>p</m:t>
                      </m:r>
                    </m:e>
                  </m:acc>
                </m:e>
                <m:sub>
                  <m:r>
                    <m:t>t</m:t>
                  </m:r>
                </m:sub>
              </m:sSub>
              <m:r>
                <m:rPr>
                  <m:sty m:val="p"/>
                </m:rPr>
                <m:t>,</m:t>
              </m:r>
              <m:r>
                <m:t>0.01</m:t>
              </m:r>
              <m:r>
                <m:rPr>
                  <m:sty m:val="p"/>
                </m:rPr>
                <m:t>}</m:t>
              </m:r>
              <m:r>
                <m:rPr>
                  <m:sty m:val="p"/>
                </m:rPr>
                <m:t>=</m:t>
              </m:r>
              <m:sSub>
                <m:e>
                  <m:acc>
                    <m:accPr>
                      <m:chr m:val="̃"/>
                    </m:accPr>
                    <m:e>
                      <m:r>
                        <m:t>p</m:t>
                      </m:r>
                    </m:e>
                  </m:acc>
                </m:e>
                <m:sub>
                  <m:r>
                    <m:t>t</m:t>
                  </m:r>
                </m:sub>
              </m:sSub>
              <m:r>
                <m:rPr>
                  <m:sty m:val="p"/>
                </m:rPr>
                <m:t>+</m:t>
              </m:r>
              <m:r>
                <m:rPr>
                  <m:sty m:val="p"/>
                </m:rPr>
                <m:t>(</m:t>
              </m:r>
              <m:r>
                <m:t>0.01</m:t>
              </m:r>
              <m:r>
                <m:rPr>
                  <m:sty m:val="p"/>
                </m:rPr>
                <m:t>−</m:t>
              </m:r>
              <m:sSub>
                <m:e>
                  <m:acc>
                    <m:accPr>
                      <m:chr m:val="̃"/>
                    </m:accPr>
                    <m:e>
                      <m:r>
                        <m:t>p</m:t>
                      </m:r>
                    </m:e>
                  </m:acc>
                </m:e>
                <m:sub>
                  <m:r>
                    <m:t>t</m:t>
                  </m:r>
                </m:sub>
              </m:sSub>
              <m:sSup>
                <m:e>
                  <m:r>
                    <m:rPr>
                      <m:sty m:val="p"/>
                    </m:rPr>
                    <m:t>)</m:t>
                  </m:r>
                </m:e>
                <m:sup>
                  <m:r>
                    <m:rPr>
                      <m:sty m:val="p"/>
                    </m:rPr>
                    <m:t>+</m:t>
                  </m:r>
                </m:sup>
              </m:sSup>
            </m:oMath>
            <w:r>
              <w:rPr>
                <w:rFonts w:hint="eastAsia"/>
                <w:sz w:val="18"/>
              </w:rPr>
              <w:t xml:space="preserve">（</w:t>
            </w:r>
            <m:oMath>
              <m:sSub>
                <m:e>
                  <m:acc>
                    <m:accPr>
                      <m:chr m:val="̃"/>
                    </m:accPr>
                    <m:e>
                      <m:r>
                        <m:t>p</m:t>
                      </m:r>
                    </m:e>
                  </m:acc>
                </m:e>
                <m:sub>
                  <m:r>
                    <m:t>t</m:t>
                  </m:r>
                </m:sub>
              </m:sSub>
            </m:oMath>
            <w:r>
              <w:rPr>
                <w:sz w:val="18"/>
              </w:rPr>
              <w:t xml:space="preserve"> </w:t>
            </w:r>
            <w:r>
              <w:rPr>
                <w:rFonts w:hint="eastAsia"/>
                <w:sz w:val="18"/>
              </w:rPr>
              <w:t xml:space="preserve">は下限で打ち切る前の潜在価格）。満期のプット・コール・パリティ（Stoll,</w:t>
            </w:r>
            <w:r>
              <w:rPr>
                <w:sz w:val="18"/>
              </w:rPr>
              <w:t xml:space="preserve"> </w:t>
            </w:r>
            <w:r>
              <w:rPr>
                <w:rFonts w:hint="eastAsia"/>
                <w:sz w:val="18"/>
              </w:rPr>
              <w:t xml:space="preserve">1969）を使えば、0.01円と同じ行使価格のコールのペイオフの和とも書ける。充電する蓄電池は、潜在価格で買う場合に比べて行使価格0.01円のプットを売った形になる</w:t>
            </w:r>
          </w:p>
        </w:tc>
        <w:tc>
          <w:tcPr/>
          <w:p>
            <w:pPr>
              <w:pStyle w:val="Compact"/>
            </w:pPr>
            <w:r>
              <w:rPr>
                <w:rFonts w:hint="eastAsia"/>
                <w:sz w:val="18"/>
              </w:rPr>
              <w:t xml:space="preserve">類比</w:t>
            </w:r>
          </w:p>
        </w:tc>
        <w:tc>
          <w:tcPr/>
          <w:p>
            <w:pPr>
              <w:pStyle w:val="Compact"/>
            </w:pPr>
            <w:r>
              <w:rPr>
                <w:rFonts w:hint="eastAsia"/>
                <w:sz w:val="18"/>
              </w:rPr>
              <w:t xml:space="preserve">実績価格の一様な引下げと供給曲線の下端の外挿で下限価格の役割を測り、負の価格の段差モデルで</w:t>
            </w:r>
            <w:r>
              <w:rPr>
                <w:sz w:val="18"/>
              </w:rPr>
              <w:t xml:space="preserve"> </w:t>
            </w:r>
            <m:oMath>
              <m:sSup>
                <m:e>
                  <m:r>
                    <m:t>θ</m:t>
                  </m:r>
                </m:e>
                <m:sup>
                  <m:r>
                    <m:rPr>
                      <m:sty m:val="p"/>
                    </m:rPr>
                    <m:t>*</m:t>
                  </m:r>
                </m:sup>
              </m:sSup>
            </m:oMath>
            <w:r>
              <w:rPr>
                <w:sz w:val="18"/>
              </w:rPr>
              <w:t xml:space="preserve"> </w:t>
            </w:r>
            <w:r>
              <w:rPr>
                <w:rFonts w:hint="eastAsia"/>
                <w:sz w:val="18"/>
              </w:rPr>
              <w:t xml:space="preserve">を直接解く</w:t>
            </w:r>
          </w:p>
        </w:tc>
        <w:tc>
          <w:tcPr/>
          <w:p>
            <w:pPr>
              <w:pStyle w:val="Compact"/>
            </w:pPr>
            <w:r>
              <w:rPr>
                <w:rFonts w:hint="eastAsia"/>
                <w:sz w:val="18"/>
              </w:rPr>
              <w:t xml:space="preserve">第7章・第9章</w:t>
            </w:r>
          </w:p>
        </w:tc>
      </w:tr>
      <w:tr>
        <w:tc>
          <w:tcPr/>
          <w:p>
            <w:pPr>
              <w:pStyle w:val="Compact"/>
            </w:pPr>
            <w:r>
              <w:rPr>
                <w:rFonts w:hint="eastAsia"/>
                <w:sz w:val="18"/>
              </w:rPr>
              <w:t xml:space="preserve">フリートの内生化</w:t>
            </w:r>
          </w:p>
        </w:tc>
        <w:tc>
          <w:tcPr/>
          <w:p>
            <w:pPr>
              <w:pStyle w:val="Compact"/>
            </w:pPr>
            <w:r>
              <w:rPr>
                <w:rFonts w:hint="eastAsia"/>
                <w:sz w:val="18"/>
              </w:rPr>
              <w:t xml:space="preserve">裁定の価格インパクトと裁定の容量。取引量あたりの価格の動きという尺度は</w:t>
            </w:r>
            <w:r>
              <w:rPr>
                <w:sz w:val="18"/>
              </w:rPr>
              <w:t xml:space="preserve"> </w:t>
            </w:r>
            <w:r>
              <w:rPr>
                <w:rFonts w:hint="eastAsia"/>
                <w:sz w:val="18"/>
              </w:rPr>
              <w:t xml:space="preserve">Kyle（1985）のラムダと同じだが、本研究のインパクトは情報の非対称ではなく供給曲線の傾きから生じる</w:t>
            </w:r>
          </w:p>
        </w:tc>
        <w:tc>
          <w:tcPr/>
          <w:p>
            <w:pPr>
              <w:pStyle w:val="Compact"/>
            </w:pPr>
            <w:r>
              <w:rPr>
                <w:rFonts w:hint="eastAsia"/>
                <w:sz w:val="18"/>
              </w:rPr>
              <w:t xml:space="preserve">類比</w:t>
            </w:r>
          </w:p>
        </w:tc>
        <w:tc>
          <w:tcPr/>
          <w:p>
            <w:pPr>
              <w:pStyle w:val="Compact"/>
            </w:pPr>
            <w:r>
              <w:rPr>
                <w:rFonts w:hint="eastAsia"/>
                <w:sz w:val="18"/>
              </w:rPr>
              <w:t xml:space="preserve">増分ディスパッチで実績整合ケースの</w:t>
            </w:r>
            <w:r>
              <w:rPr>
                <w:sz w:val="18"/>
              </w:rPr>
              <w:t xml:space="preserve"> </w:t>
            </w:r>
            <m:oMath>
              <m:r>
                <m:t>π</m:t>
              </m:r>
              <m:r>
                <m:rPr>
                  <m:sty m:val="p"/>
                </m:rPr>
                <m:t>(</m:t>
              </m:r>
              <m:r>
                <m:t>K</m:t>
              </m:r>
              <m:r>
                <m:rPr>
                  <m:sty m:val="p"/>
                </m:rPr>
                <m:t>)</m:t>
              </m:r>
            </m:oMath>
            <w:r>
              <w:rPr>
                <w:sz w:val="18"/>
              </w:rPr>
              <w:t xml:space="preserve"> </w:t>
            </w:r>
            <w:r>
              <w:rPr>
                <w:rFonts w:hint="eastAsia"/>
                <w:sz w:val="18"/>
              </w:rPr>
              <w:t xml:space="preserve">を求める</w:t>
            </w:r>
          </w:p>
        </w:tc>
        <w:tc>
          <w:tcPr/>
          <w:p>
            <w:pPr>
              <w:pStyle w:val="Compact"/>
            </w:pPr>
            <w:r>
              <w:rPr>
                <w:rFonts w:hint="eastAsia"/>
                <w:sz w:val="18"/>
              </w:rPr>
              <w:t xml:space="preserve">第7章</w:t>
            </w:r>
          </w:p>
        </w:tc>
      </w:tr>
      <w:tr>
        <w:tc>
          <w:tcPr/>
          <w:p>
            <w:pPr>
              <w:pStyle w:val="Compact"/>
            </w:pPr>
            <w:r>
              <w:rPr>
                <w:rFonts w:hint="eastAsia"/>
                <w:sz w:val="18"/>
              </w:rPr>
              <w:t xml:space="preserve">ゼロレント条件と損益分岐の水準係数</w:t>
            </w:r>
          </w:p>
        </w:tc>
        <w:tc>
          <w:tcPr/>
          <w:p>
            <w:pPr>
              <w:pStyle w:val="Compact"/>
            </w:pPr>
            <w:r>
              <w:rPr>
                <w:rFonts w:hint="eastAsia"/>
                <w:sz w:val="18"/>
              </w:rPr>
              <w:t xml:space="preserve">NPV＝0</w:t>
            </w:r>
            <w:r>
              <w:rPr>
                <w:sz w:val="18"/>
              </w:rPr>
              <w:t xml:space="preserve"> </w:t>
            </w:r>
            <w:r>
              <w:rPr>
                <w:rFonts w:hint="eastAsia"/>
                <w:sz w:val="18"/>
              </w:rPr>
              <w:t xml:space="preserve">の条件、資本の使用者費用（Jorgenson,</w:t>
            </w:r>
            <w:r>
              <w:rPr>
                <w:sz w:val="18"/>
              </w:rPr>
              <w:t xml:space="preserve"> </w:t>
            </w:r>
            <w:r>
              <w:rPr>
                <w:rFonts w:hint="eastAsia"/>
                <w:sz w:val="18"/>
              </w:rPr>
              <w:t xml:space="preserve">1963）、損益分岐の含意価格水準（reverse</w:t>
            </w:r>
            <w:r>
              <w:rPr>
                <w:sz w:val="18"/>
              </w:rPr>
              <w:t xml:space="preserve"> </w:t>
            </w:r>
            <w:r>
              <w:rPr>
                <w:rFonts w:hint="eastAsia"/>
                <w:sz w:val="18"/>
              </w:rPr>
              <w:t xml:space="preserve">DCF）</w:t>
            </w:r>
          </w:p>
        </w:tc>
        <w:tc>
          <w:tcPr/>
          <w:p>
            <w:pPr>
              <w:pStyle w:val="Compact"/>
            </w:pPr>
            <w:r>
              <w:rPr>
                <w:rFonts w:hint="eastAsia"/>
                <w:sz w:val="18"/>
              </w:rPr>
              <w:t xml:space="preserve">適用</w:t>
            </w:r>
          </w:p>
        </w:tc>
        <w:tc>
          <w:tcPr/>
          <w:p>
            <w:pPr>
              <w:pStyle w:val="Compact"/>
            </w:pPr>
            <w:r>
              <w:rPr>
                <w:rFonts w:hint="eastAsia"/>
                <w:sz w:val="18"/>
              </w:rPr>
              <w:t xml:space="preserve">式(4.5)〜式(4.8)で</w:t>
            </w:r>
            <w:r>
              <w:rPr>
                <w:sz w:val="18"/>
              </w:rPr>
              <w:t xml:space="preserve"> </w:t>
            </w:r>
            <m:oMath>
              <m:sSup>
                <m:e>
                  <m:r>
                    <m:t>K</m:t>
                  </m:r>
                </m:e>
                <m:sup>
                  <m:r>
                    <m:rPr>
                      <m:sty m:val="p"/>
                    </m:rPr>
                    <m:t>*</m:t>
                  </m:r>
                </m:sup>
              </m:sSup>
            </m:oMath>
            <w:r>
              <w:rPr>
                <w:sz w:val="18"/>
              </w:rPr>
              <w:t xml:space="preserve"> </w:t>
            </w:r>
            <w:r>
              <w:rPr>
                <w:sz w:val="18"/>
              </w:rPr>
              <w:t xml:space="preserve">と</w:t>
            </w:r>
            <w:r>
              <w:rPr>
                <w:sz w:val="18"/>
              </w:rPr>
              <w:t xml:space="preserve"> </w:t>
            </w:r>
            <m:oMath>
              <m:sSup>
                <m:e>
                  <m:r>
                    <m:t>θ</m:t>
                  </m:r>
                </m:e>
                <m:sup>
                  <m:r>
                    <m:rPr>
                      <m:sty m:val="p"/>
                    </m:rPr>
                    <m:t>*</m:t>
                  </m:r>
                </m:sup>
              </m:sSup>
            </m:oMath>
            <w:r>
              <w:rPr>
                <w:sz w:val="18"/>
              </w:rPr>
              <w:t xml:space="preserve"> </w:t>
            </w:r>
            <w:r>
              <w:rPr>
                <w:rFonts w:hint="eastAsia"/>
                <w:sz w:val="18"/>
              </w:rPr>
              <w:t xml:space="preserve">を求める</w:t>
            </w:r>
          </w:p>
        </w:tc>
        <w:tc>
          <w:tcPr/>
          <w:p>
            <w:pPr>
              <w:pStyle w:val="Compact"/>
            </w:pPr>
            <w:r>
              <w:rPr>
                <w:rFonts w:hint="eastAsia"/>
                <w:sz w:val="18"/>
              </w:rPr>
              <w:t xml:space="preserve">第7章・第8章</w:t>
            </w:r>
          </w:p>
        </w:tc>
      </w:tr>
      <w:tr>
        <w:tc>
          <w:tcPr/>
          <w:p>
            <w:pPr>
              <w:pStyle w:val="Compact"/>
            </w:pPr>
            <w:r>
              <w:rPr>
                <w:rFonts w:hint="eastAsia"/>
                <w:sz w:val="18"/>
              </w:rPr>
              <w:t xml:space="preserve">不確実性の下での参入閾値</w:t>
            </w:r>
          </w:p>
        </w:tc>
        <w:tc>
          <w:tcPr/>
          <w:p>
            <w:pPr>
              <w:pStyle w:val="Compact"/>
            </w:pPr>
            <w:r>
              <w:rPr>
                <w:rFonts w:hint="eastAsia"/>
                <w:sz w:val="18"/>
              </w:rPr>
              <w:t xml:space="preserve">待機オプション（Dixit</w:t>
            </w:r>
            <w:r>
              <w:rPr>
                <w:sz w:val="18"/>
              </w:rPr>
              <w:t xml:space="preserve"> &amp; Pindyck, 1994; McDonald &amp; Siegel, </w:t>
            </w:r>
            <w:r>
              <w:rPr>
                <w:rFonts w:hint="eastAsia"/>
                <w:sz w:val="18"/>
              </w:rPr>
              <w:t xml:space="preserve">1986）、競争均衡の参入（Leahy,</w:t>
            </w:r>
            <w:r>
              <w:rPr>
                <w:sz w:val="18"/>
              </w:rPr>
              <w:t xml:space="preserve"> </w:t>
            </w:r>
            <w:r>
              <w:rPr>
                <w:rFonts w:hint="eastAsia"/>
                <w:sz w:val="18"/>
              </w:rPr>
              <w:t xml:space="preserve">1993）、2因子モデル（Schwartz</w:t>
            </w:r>
            <w:r>
              <w:rPr>
                <w:sz w:val="18"/>
              </w:rPr>
              <w:t xml:space="preserve"> &amp; Smith, </w:t>
            </w:r>
            <w:r>
              <w:rPr>
                <w:rFonts w:hint="eastAsia"/>
                <w:sz w:val="18"/>
              </w:rPr>
              <w:t xml:space="preserve">2000）、離散監視の補正（Broadie</w:t>
            </w:r>
            <w:r>
              <w:rPr>
                <w:sz w:val="18"/>
              </w:rPr>
              <w:t xml:space="preserve"> et al., </w:t>
            </w:r>
            <w:r>
              <w:rPr>
                <w:rFonts w:hint="eastAsia"/>
                <w:sz w:val="18"/>
              </w:rPr>
              <w:t xml:space="preserve">1997）</w:t>
            </w:r>
          </w:p>
        </w:tc>
        <w:tc>
          <w:tcPr/>
          <w:p>
            <w:pPr>
              <w:pStyle w:val="Compact"/>
            </w:pPr>
            <w:r>
              <w:rPr>
                <w:rFonts w:hint="eastAsia"/>
                <w:sz w:val="18"/>
              </w:rPr>
              <w:t xml:space="preserve">適用</w:t>
            </w:r>
          </w:p>
        </w:tc>
        <w:tc>
          <w:tcPr/>
          <w:p>
            <w:pPr>
              <w:pStyle w:val="Compact"/>
            </w:pPr>
            <w:r>
              <w:rPr>
                <w:rFonts w:hint="eastAsia"/>
                <w:sz w:val="18"/>
              </w:rPr>
              <w:t xml:space="preserve">価格水準を恒久成分と一時成分に分け、静学・単独企業・競争均衡の閾値と参入が開く確率を求める</w:t>
            </w:r>
          </w:p>
        </w:tc>
        <w:tc>
          <w:tcPr/>
          <w:p>
            <w:pPr>
              <w:pStyle w:val="Compact"/>
            </w:pPr>
            <w:r>
              <w:rPr>
                <w:rFonts w:hint="eastAsia"/>
                <w:sz w:val="18"/>
              </w:rPr>
              <w:t xml:space="preserve">第7章</w:t>
            </w:r>
          </w:p>
        </w:tc>
      </w:tr>
      <w:tr>
        <w:tc>
          <w:tcPr/>
          <w:p>
            <w:pPr>
              <w:pStyle w:val="Compact"/>
            </w:pPr>
            <w:r>
              <w:rPr>
                <w:rFonts w:hint="eastAsia"/>
                <w:sz w:val="18"/>
              </w:rPr>
              <w:t xml:space="preserve">事業</w:t>
            </w:r>
            <w:r>
              <w:rPr>
                <w:sz w:val="18"/>
              </w:rPr>
              <w:t xml:space="preserve"> IRR </w:t>
            </w:r>
            <w:r>
              <w:rPr>
                <w:rFonts w:hint="eastAsia"/>
                <w:sz w:val="18"/>
              </w:rPr>
              <w:t xml:space="preserve">と資産の資本コスト</w:t>
            </w:r>
          </w:p>
        </w:tc>
        <w:tc>
          <w:tcPr/>
          <w:p>
            <w:pPr>
              <w:pStyle w:val="Compact"/>
            </w:pPr>
            <w:r>
              <w:rPr>
                <w:sz w:val="18"/>
              </w:rPr>
              <w:t xml:space="preserve">MM </w:t>
            </w:r>
            <w:r>
              <w:rPr>
                <w:rFonts w:hint="eastAsia"/>
                <w:sz w:val="18"/>
              </w:rPr>
              <w:t xml:space="preserve">命題（Modigliani</w:t>
            </w:r>
            <w:r>
              <w:rPr>
                <w:sz w:val="18"/>
              </w:rPr>
              <w:t xml:space="preserve"> &amp; Miller, </w:t>
            </w:r>
            <w:r>
              <w:rPr>
                <w:rFonts w:hint="eastAsia"/>
                <w:sz w:val="18"/>
              </w:rPr>
              <w:t xml:space="preserve">1958）、節税効果（Miles</w:t>
            </w:r>
            <w:r>
              <w:rPr>
                <w:sz w:val="18"/>
              </w:rPr>
              <w:t xml:space="preserve"> &amp; Ezzell, </w:t>
            </w:r>
            <w:r>
              <w:rPr>
                <w:rFonts w:hint="eastAsia"/>
                <w:sz w:val="18"/>
              </w:rPr>
              <w:t xml:space="preserve">1980）</w:t>
            </w:r>
          </w:p>
        </w:tc>
        <w:tc>
          <w:tcPr/>
          <w:p>
            <w:pPr>
              <w:pStyle w:val="Compact"/>
            </w:pPr>
            <w:r>
              <w:rPr>
                <w:rFonts w:hint="eastAsia"/>
                <w:sz w:val="18"/>
              </w:rPr>
              <w:t xml:space="preserve">適用</w:t>
            </w:r>
          </w:p>
        </w:tc>
        <w:tc>
          <w:tcPr/>
          <w:p>
            <w:pPr>
              <w:pStyle w:val="Compact"/>
            </w:pPr>
            <w:r>
              <w:rPr>
                <w:rFonts w:hint="eastAsia"/>
                <w:sz w:val="18"/>
              </w:rPr>
              <w:t xml:space="preserve">無レバレッジ・税前・実質・20年の</w:t>
            </w:r>
            <w:r>
              <w:rPr>
                <w:sz w:val="18"/>
              </w:rPr>
              <w:t xml:space="preserve"> IRR </w:t>
            </w:r>
            <w:r>
              <w:rPr>
                <w:rFonts w:hint="eastAsia"/>
                <w:sz w:val="18"/>
              </w:rPr>
              <w:t xml:space="preserve">と、資産の資本コスト別の</w:t>
            </w:r>
            <w:r>
              <w:rPr>
                <w:sz w:val="18"/>
              </w:rPr>
              <w:t xml:space="preserve"> </w:t>
            </w:r>
            <m:oMath>
              <m:sSup>
                <m:e>
                  <m:r>
                    <m:t>θ</m:t>
                  </m:r>
                </m:e>
                <m:sup>
                  <m:r>
                    <m:rPr>
                      <m:sty m:val="p"/>
                    </m:rPr>
                    <m:t>*</m:t>
                  </m:r>
                </m:sup>
              </m:sSup>
            </m:oMath>
            <w:r>
              <w:rPr>
                <w:sz w:val="18"/>
              </w:rPr>
              <w:t xml:space="preserve"> </w:t>
            </w:r>
            <w:r>
              <w:rPr>
                <w:rFonts w:hint="eastAsia"/>
                <w:sz w:val="18"/>
              </w:rPr>
              <w:t xml:space="preserve">を求める</w:t>
            </w:r>
          </w:p>
        </w:tc>
        <w:tc>
          <w:tcPr/>
          <w:p>
            <w:pPr>
              <w:pStyle w:val="Compact"/>
            </w:pPr>
            <w:r>
              <w:rPr>
                <w:rFonts w:hint="eastAsia"/>
                <w:sz w:val="18"/>
              </w:rPr>
              <w:t xml:space="preserve">第8章</w:t>
            </w:r>
          </w:p>
        </w:tc>
      </w:tr>
      <w:tr>
        <w:tc>
          <w:tcPr/>
          <w:p>
            <w:pPr>
              <w:pStyle w:val="Compact"/>
            </w:pPr>
            <w:r>
              <w:rPr>
                <w:rFonts w:hint="eastAsia"/>
                <w:sz w:val="18"/>
              </w:rPr>
              <w:t xml:space="preserve">調整現在価値とレベニュースワップ</w:t>
            </w:r>
          </w:p>
        </w:tc>
        <w:tc>
          <w:tcPr/>
          <w:p>
            <w:pPr>
              <w:pStyle w:val="Compact"/>
            </w:pPr>
            <w:r>
              <w:rPr>
                <w:rFonts w:hint="eastAsia"/>
                <w:sz w:val="18"/>
              </w:rPr>
              <w:t xml:space="preserve">APV（Myers,</w:t>
            </w:r>
            <w:r>
              <w:rPr>
                <w:sz w:val="18"/>
              </w:rPr>
              <w:t xml:space="preserve"> </w:t>
            </w:r>
            <w:r>
              <w:rPr>
                <w:rFonts w:hint="eastAsia"/>
                <w:sz w:val="18"/>
              </w:rPr>
              <w:t xml:space="preserve">1974）、固定・変動のレベニュースワップ</w:t>
            </w:r>
          </w:p>
        </w:tc>
        <w:tc>
          <w:tcPr/>
          <w:p>
            <w:pPr>
              <w:pStyle w:val="Compact"/>
            </w:pPr>
            <w:r>
              <w:rPr>
                <w:rFonts w:hint="eastAsia"/>
                <w:sz w:val="18"/>
              </w:rPr>
              <w:t xml:space="preserve">適用</w:t>
            </w:r>
          </w:p>
        </w:tc>
        <w:tc>
          <w:tcPr/>
          <w:p>
            <w:pPr>
              <w:pStyle w:val="Compact"/>
            </w:pPr>
            <w:r>
              <w:rPr>
                <w:rFonts w:hint="eastAsia"/>
                <w:sz w:val="18"/>
              </w:rPr>
              <w:t xml:space="preserve">乖離の成分を1kW</w:t>
            </w:r>
            <w:r>
              <w:rPr>
                <w:sz w:val="18"/>
              </w:rPr>
              <w:t xml:space="preserve"> </w:t>
            </w:r>
            <w:r>
              <w:rPr>
                <w:rFonts w:hint="eastAsia"/>
                <w:sz w:val="18"/>
              </w:rPr>
              <w:t xml:space="preserve">あたりの現在価値にそろえ、LTDA</w:t>
            </w:r>
            <w:r>
              <w:rPr>
                <w:sz w:val="18"/>
              </w:rPr>
              <w:t xml:space="preserve"> </w:t>
            </w:r>
            <w:r>
              <w:rPr>
                <w:rFonts w:hint="eastAsia"/>
                <w:sz w:val="18"/>
              </w:rPr>
              <w:t xml:space="preserve">を固定収入と市場収入のスワップとして評価する</w:t>
            </w:r>
          </w:p>
        </w:tc>
        <w:tc>
          <w:tcPr/>
          <w:p>
            <w:pPr>
              <w:pStyle w:val="Compact"/>
            </w:pPr>
            <w:r>
              <w:rPr>
                <w:rFonts w:hint="eastAsia"/>
                <w:sz w:val="18"/>
              </w:rPr>
              <w:t xml:space="preserve">第8章</w:t>
            </w:r>
          </w:p>
        </w:tc>
      </w:tr>
      <w:tr>
        <w:tc>
          <w:tcPr/>
          <w:p>
            <w:pPr>
              <w:pStyle w:val="Compact"/>
            </w:pPr>
            <w:r>
              <w:rPr>
                <w:rFonts w:hint="eastAsia"/>
                <w:sz w:val="18"/>
              </w:rPr>
              <w:t xml:space="preserve">確実性等価</w:t>
            </w:r>
          </w:p>
        </w:tc>
        <w:tc>
          <w:tcPr/>
          <w:p>
            <w:pPr>
              <w:pStyle w:val="Compact"/>
            </w:pPr>
            <w:r>
              <w:rPr>
                <w:rFonts w:hint="eastAsia"/>
                <w:sz w:val="18"/>
              </w:rPr>
              <w:t xml:space="preserve">期ごとに</w:t>
            </w:r>
            <w:r>
              <w:rPr>
                <w:sz w:val="18"/>
              </w:rPr>
              <w:t xml:space="preserve"> CAPM </w:t>
            </w:r>
            <w:r>
              <w:rPr>
                <w:rFonts w:hint="eastAsia"/>
                <w:sz w:val="18"/>
              </w:rPr>
              <w:t xml:space="preserve">で調整する多期間の確実性等価（Fama,</w:t>
            </w:r>
            <w:r>
              <w:rPr>
                <w:sz w:val="18"/>
              </w:rPr>
              <w:t xml:space="preserve"> </w:t>
            </w:r>
            <w:r>
              <w:rPr>
                <w:rFonts w:hint="eastAsia"/>
                <w:sz w:val="18"/>
              </w:rPr>
              <w:t xml:space="preserve">1977）</w:t>
            </w:r>
          </w:p>
        </w:tc>
        <w:tc>
          <w:tcPr/>
          <w:p>
            <w:pPr>
              <w:pStyle w:val="Compact"/>
            </w:pPr>
            <w:r>
              <w:rPr>
                <w:rFonts w:hint="eastAsia"/>
                <w:sz w:val="18"/>
              </w:rPr>
              <w:t xml:space="preserve">適用</w:t>
            </w:r>
          </w:p>
        </w:tc>
        <w:tc>
          <w:tcPr/>
          <w:p>
            <w:pPr>
              <w:pStyle w:val="Compact"/>
            </w:pPr>
            <w:r>
              <w:rPr>
                <w:rFonts w:hint="eastAsia"/>
                <w:sz w:val="18"/>
              </w:rPr>
              <w:t xml:space="preserve">価格水準の各年の価値の更新をリスク調整し、リスク移転の大きさを検算する</w:t>
            </w:r>
          </w:p>
        </w:tc>
        <w:tc>
          <w:tcPr/>
          <w:p>
            <w:pPr>
              <w:pStyle w:val="Compact"/>
            </w:pPr>
            <w:r>
              <w:rPr>
                <w:rFonts w:hint="eastAsia"/>
                <w:sz w:val="18"/>
              </w:rPr>
              <w:t xml:space="preserve">第8章</w:t>
            </w:r>
          </w:p>
        </w:tc>
      </w:tr>
      <w:tr>
        <w:tc>
          <w:tcPr/>
          <w:p>
            <w:pPr>
              <w:pStyle w:val="Compact"/>
            </w:pPr>
            <w:r>
              <w:rPr>
                <w:rFonts w:hint="eastAsia"/>
                <w:sz w:val="18"/>
              </w:rPr>
              <w:t xml:space="preserve">多因子</w:t>
            </w:r>
            <w:r>
              <w:rPr>
                <w:sz w:val="18"/>
              </w:rPr>
              <w:t xml:space="preserve"> Cash-Flow-at-Risk</w:t>
            </w:r>
          </w:p>
        </w:tc>
        <w:tc>
          <w:tcPr/>
          <w:p>
            <w:pPr>
              <w:pStyle w:val="Compact"/>
            </w:pPr>
            <w:r>
              <w:rPr>
                <w:sz w:val="18"/>
              </w:rPr>
              <w:t xml:space="preserve">exposure-based </w:t>
            </w:r>
            <w:r>
              <w:rPr>
                <w:rFonts w:hint="eastAsia"/>
                <w:sz w:val="18"/>
              </w:rPr>
              <w:t xml:space="preserve">CFaR（Andrén</w:t>
            </w:r>
            <w:r>
              <w:rPr>
                <w:sz w:val="18"/>
              </w:rPr>
              <w:t xml:space="preserve"> et al., </w:t>
            </w:r>
            <w:r>
              <w:rPr>
                <w:rFonts w:hint="eastAsia"/>
                <w:sz w:val="18"/>
              </w:rPr>
              <w:t xml:space="preserve">2005）、期待ショートフォール（Acerbi</w:t>
            </w:r>
            <w:r>
              <w:rPr>
                <w:sz w:val="18"/>
              </w:rPr>
              <w:t xml:space="preserve"> &amp; Tasche, 2002; Artzner et al., </w:t>
            </w:r>
            <w:r>
              <w:rPr>
                <w:rFonts w:hint="eastAsia"/>
                <w:sz w:val="18"/>
              </w:rPr>
              <w:t xml:space="preserve">1999）、Shapley</w:t>
            </w:r>
            <w:r>
              <w:rPr>
                <w:sz w:val="18"/>
              </w:rPr>
              <w:t xml:space="preserve"> </w:t>
            </w:r>
            <w:r>
              <w:rPr>
                <w:rFonts w:hint="eastAsia"/>
                <w:sz w:val="18"/>
              </w:rPr>
              <w:t xml:space="preserve">配分（Shapley,</w:t>
            </w:r>
            <w:r>
              <w:rPr>
                <w:sz w:val="18"/>
              </w:rPr>
              <w:t xml:space="preserve"> 1953; Shorrocks, </w:t>
            </w:r>
            <w:r>
              <w:rPr>
                <w:rFonts w:hint="eastAsia"/>
                <w:sz w:val="18"/>
              </w:rPr>
              <w:t xml:space="preserve">2013）</w:t>
            </w:r>
          </w:p>
        </w:tc>
        <w:tc>
          <w:tcPr/>
          <w:p>
            <w:pPr>
              <w:pStyle w:val="Compact"/>
            </w:pPr>
            <w:r>
              <w:rPr>
                <w:rFonts w:hint="eastAsia"/>
                <w:sz w:val="18"/>
              </w:rPr>
              <w:t xml:space="preserve">適用</w:t>
            </w:r>
          </w:p>
        </w:tc>
        <w:tc>
          <w:tcPr/>
          <w:p>
            <w:pPr>
              <w:pStyle w:val="Compact"/>
            </w:pPr>
            <w:r>
              <w:rPr>
                <w:rFonts w:hint="eastAsia"/>
                <w:sz w:val="18"/>
              </w:rPr>
              <w:t xml:space="preserve">5因子で年間の市場収入の分布を組み立て、因子別の寄与を求める</w:t>
            </w:r>
          </w:p>
        </w:tc>
        <w:tc>
          <w:tcPr/>
          <w:p>
            <w:pPr>
              <w:pStyle w:val="Compact"/>
            </w:pPr>
            <w:r>
              <w:rPr>
                <w:rFonts w:hint="eastAsia"/>
                <w:sz w:val="18"/>
              </w:rPr>
              <w:t xml:space="preserve">第8章</w:t>
            </w:r>
          </w:p>
        </w:tc>
      </w:tr>
      <w:tr>
        <w:tc>
          <w:tcPr/>
          <w:p>
            <w:pPr>
              <w:pStyle w:val="Compact"/>
            </w:pPr>
            <w:r>
              <w:rPr>
                <w:rFonts w:hint="eastAsia"/>
                <w:sz w:val="18"/>
              </w:rPr>
              <w:t xml:space="preserve">ヘッジ有効性と市場の非完備</w:t>
            </w:r>
          </w:p>
        </w:tc>
        <w:tc>
          <w:tcPr/>
          <w:p>
            <w:pPr>
              <w:pStyle w:val="Compact"/>
            </w:pPr>
            <w:r>
              <w:rPr>
                <w:rFonts w:hint="eastAsia"/>
                <w:sz w:val="18"/>
              </w:rPr>
              <w:t xml:space="preserve">ヘッジ有効性（Ederington,</w:t>
            </w:r>
            <w:r>
              <w:rPr>
                <w:sz w:val="18"/>
              </w:rPr>
              <w:t xml:space="preserve"> </w:t>
            </w:r>
            <w:r>
              <w:rPr>
                <w:rFonts w:hint="eastAsia"/>
                <w:sz w:val="18"/>
              </w:rPr>
              <w:t xml:space="preserve">1979）、満期構造の不一致（Mello</w:t>
            </w:r>
            <w:r>
              <w:rPr>
                <w:sz w:val="18"/>
              </w:rPr>
              <w:t xml:space="preserve"> &amp; Parsons, </w:t>
            </w:r>
            <w:r>
              <w:rPr>
                <w:rFonts w:hint="eastAsia"/>
                <w:sz w:val="18"/>
              </w:rPr>
              <w:t xml:space="preserve">1995）、非完備市場と長期契約（de</w:t>
            </w:r>
            <w:r>
              <w:rPr>
                <w:sz w:val="18"/>
              </w:rPr>
              <w:t xml:space="preserve"> Maere d’Aertrycke et al., </w:t>
            </w:r>
            <w:r>
              <w:rPr>
                <w:rFonts w:hint="eastAsia"/>
                <w:sz w:val="18"/>
              </w:rPr>
              <w:t xml:space="preserve">2017）</w:t>
            </w:r>
          </w:p>
        </w:tc>
        <w:tc>
          <w:tcPr/>
          <w:p>
            <w:pPr>
              <w:pStyle w:val="Compact"/>
            </w:pPr>
            <w:r>
              <w:rPr>
                <w:rFonts w:hint="eastAsia"/>
                <w:sz w:val="18"/>
              </w:rPr>
              <w:t xml:space="preserve">適用</w:t>
            </w:r>
          </w:p>
        </w:tc>
        <w:tc>
          <w:tcPr/>
          <w:p>
            <w:pPr>
              <w:pStyle w:val="Compact"/>
            </w:pPr>
            <w:r>
              <w:rPr>
                <w:rFonts w:hint="eastAsia"/>
                <w:sz w:val="18"/>
              </w:rPr>
              <w:t xml:space="preserve">東京エリアの月平均価格で北海道の完全予見粗利をヘッジし、上場の期間で消せる20年の収入の分散を求める</w:t>
            </w:r>
          </w:p>
        </w:tc>
        <w:tc>
          <w:tcPr/>
          <w:p>
            <w:pPr>
              <w:pStyle w:val="Compact"/>
            </w:pPr>
            <w:r>
              <w:rPr>
                <w:rFonts w:hint="eastAsia"/>
                <w:sz w:val="18"/>
              </w:rPr>
              <w:t xml:space="preserve">第8章</w:t>
            </w:r>
          </w:p>
        </w:tc>
      </w:tr>
    </w:tbl>
    <w:p>
      <w:pPr>
        <w:pStyle w:val="TableNote"/>
      </w:pPr>
      <w:r>
        <w:rPr>
          <w:rFonts w:hint="eastAsia"/>
        </w:rPr>
        <w:t xml:space="preserve">注）区分の「適用」は、名前と出典に挙げた手法・推定量・検定を本研究のデータで計算したもの、「類比」は、手法の考え方や尺度を解釈に借りるだけで、その手法自体は推定・計算していないものを示す。HAC＝不均一分散と自己相関に頑健な標準誤差、HAR＝異質的自己回帰（heterogeneous</w:t>
      </w:r>
      <w:r>
        <w:t xml:space="preserve"> </w:t>
      </w:r>
      <w:r>
        <w:rPr>
          <w:rFonts w:hint="eastAsia"/>
        </w:rPr>
        <w:t xml:space="preserve">autoregressive）、DM＝Diebold–Mariano、SPA＝superior</w:t>
      </w:r>
      <w:r>
        <w:t xml:space="preserve"> predictive </w:t>
      </w:r>
      <w:r>
        <w:rPr>
          <w:rFonts w:hint="eastAsia"/>
        </w:rPr>
        <w:t xml:space="preserve">ability、MM＝Modigliani–Miller、CAPM＝資本資産価格モデル。各手法の詳細は該当する章の第1節に、導出は付録B</w:t>
      </w:r>
      <w:r>
        <w:t xml:space="preserve"> </w:t>
      </w:r>
      <w:r>
        <w:rPr>
          <w:rFonts w:hint="eastAsia"/>
        </w:rPr>
        <w:t xml:space="preserve">に示す。</w:t>
      </w:r>
    </w:p>
    <w:p>
      <w:pPr>
        <w:pStyle w:val="TableNote"/>
      </w:pPr>
      <w:r>
        <w:rPr>
          <w:rFonts w:hint="eastAsia"/>
        </w:rPr>
        <w:t xml:space="preserve">出所）筆者作成。</w:t>
      </w:r>
    </w:p>
    <w:p>
      <w:pPr>
        <w:pStyle w:val="BodyText"/>
      </w:pPr>
      <w:r>
        <w:rPr>
          <w:rFonts w:hint="eastAsia"/>
        </w:rPr>
        <w:t xml:space="preserve">類比とした4つの分析では、ファイナンスの手法は結果を読むための対応づけであり、その手法を推定したわけではない。帯域分解は</w:t>
      </w:r>
      <w:r>
        <w:t xml:space="preserve"> HAR </w:t>
      </w:r>
      <w:r>
        <w:rPr>
          <w:rFonts w:hint="eastAsia"/>
        </w:rPr>
        <w:t xml:space="preserve">モデルの回帰を行わず、空間分散シミュレーションはポートフォリオの最適化を行わない。フリートの内生化は</w:t>
      </w:r>
      <w:r>
        <w:t xml:space="preserve"> </w:t>
      </w:r>
      <w:r>
        <w:rPr>
          <w:rFonts w:hint="eastAsia"/>
        </w:rPr>
        <w:t xml:space="preserve">Kyle（1985）のラムダを推定せず、価格インパクトを供給曲線から計算する。下限価格の機構でいうプットは、約定価格をペイオフの恒等式で分けたときの1項であり、その価値をオプションとして評価するのではない。適用とした分析でも、本来の使い方との違いは各章の第1節で明示する。例えば、完全予見バックテストで計算するのはスプレッド・オプションの事後のペイオフであり、オプションの価格式は用いない。主成分分解は手法をそのまま用いるが、24時間の価格カーブを期間構造に見立てる点は類比である。層分解でいう完全情報の価値は、流動的な先渡市場で動的に取引して得る</w:t>
      </w:r>
      <w:r>
        <w:t xml:space="preserve"> extrinsic </w:t>
      </w:r>
      <w:r>
        <w:rPr>
          <w:rFonts w:hint="eastAsia"/>
        </w:rPr>
        <w:t xml:space="preserve">価値とは性質が違う。また、北海道エリアの電力先物は上場しておらず、価格水準を複製できる取引商品がないので、実物オプションの評価はリスク中立化を行わず、実物確率の下で</w:t>
      </w:r>
      <w:r>
        <w:t xml:space="preserve"> WACC </w:t>
      </w:r>
      <w:r>
        <w:rPr>
          <w:rFonts w:hint="eastAsia"/>
        </w:rPr>
        <w:t xml:space="preserve">によって割り引く。</w:t>
      </w:r>
    </w:p>
    <w:bookmarkEnd w:id="78"/>
    <w:bookmarkStart w:id="79" w:name="本章のまとめ-1"/>
    <w:p>
      <w:pPr>
        <w:pStyle w:val="Heading2"/>
      </w:pPr>
      <w:r>
        <w:t xml:space="preserve">4.4　</w:t>
      </w:r>
      <w:r>
        <w:rPr>
          <w:rFonts w:hint="eastAsia"/>
        </w:rPr>
        <w:t xml:space="preserve">本章のまとめ</w:t>
      </w:r>
    </w:p>
    <w:p>
      <w:pPr>
        <w:pStyle w:val="FirstParagraph"/>
      </w:pPr>
      <w:r>
        <w:rPr>
          <w:rFonts w:hint="eastAsia"/>
        </w:rPr>
        <w:t xml:space="preserve">本章の要点は3つである。第一に、蓄電池の1日の裁定を日次のスプレッド（交換）オプションとみなし、その事後のペイオフの年間合計である完全予見粗利を上界、戦略</w:t>
      </w:r>
      <w:r>
        <w:t xml:space="preserve"> c </w:t>
      </w:r>
      <w:r>
        <w:rPr>
          <w:rFonts w:hint="eastAsia"/>
        </w:rPr>
        <w:t xml:space="preserve">の実現粗利を下界とする。第二に、限界参入者の収益</w:t>
      </w:r>
      <w:r>
        <w:t xml:space="preserve"> </w:t>
      </w:r>
      <m:oMath>
        <m:r>
          <m:t>π</m:t>
        </m:r>
        <m:r>
          <m:rPr>
            <m:sty m:val="p"/>
          </m:rPr>
          <m:t>(</m:t>
        </m:r>
        <m:r>
          <m:t>K</m:t>
        </m:r>
        <m:r>
          <m:rPr>
            <m:sty m:val="p"/>
          </m:rPr>
          <m:t>)</m:t>
        </m:r>
      </m:oMath>
      <w:r>
        <w:t xml:space="preserve"> </w:t>
      </w:r>
      <w:r>
        <w:rPr>
          <w:rFonts w:hint="eastAsia"/>
        </w:rPr>
        <w:t xml:space="preserve">は、モデル価格の上で戦略</w:t>
      </w:r>
      <w:r>
        <w:t xml:space="preserve"> c </w:t>
      </w:r>
      <w:r>
        <w:rPr>
          <w:rFonts w:hint="eastAsia"/>
        </w:rPr>
        <w:t xml:space="preserve">を直接動かし、</w:t>
      </w:r>
      <m:oMath>
        <m:r>
          <m:t>K</m:t>
        </m:r>
        <m:r>
          <m:rPr>
            <m:sty m:val="p"/>
          </m:rPr>
          <m:t>=</m:t>
        </m:r>
        <m:r>
          <m:t>0</m:t>
        </m:r>
      </m:oMath>
      <w:r>
        <w:t xml:space="preserve"> </w:t>
      </w:r>
      <w:r>
        <w:rPr>
          <w:rFonts w:hint="eastAsia"/>
        </w:rPr>
        <w:t xml:space="preserve">で実績に校正した実績整合ケースで測る。第三に、均衡は限界参入者の</w:t>
      </w:r>
      <w:r>
        <w:t xml:space="preserve"> NPV </w:t>
      </w:r>
      <w:r>
        <w:rPr>
          <w:rFonts w:hint="eastAsia"/>
        </w:rPr>
        <w:t xml:space="preserve">が0になるゼロレント条件で定義し、損益分岐の水準係数</w:t>
      </w:r>
      <w:r>
        <w:t xml:space="preserve"> </w:t>
      </w:r>
      <m:oMath>
        <m:sSup>
          <m:e>
            <m:r>
              <m:t>θ</m:t>
            </m:r>
          </m:e>
          <m:sup>
            <m:r>
              <m:rPr>
                <m:sty m:val="p"/>
              </m:rPr>
              <m:t>*</m:t>
            </m:r>
          </m:sup>
        </m:sSup>
      </m:oMath>
      <w:r>
        <w:t xml:space="preserve"> </w:t>
      </w:r>
      <w:r>
        <w:rPr>
          <w:rFonts w:hint="eastAsia"/>
        </w:rPr>
        <w:t xml:space="preserve">を併せて求め、主たる判定は参入に有利な側の仮定の下で行う。次章では、この枠組みの第一段階として、風力と太陽光が価格の水準・日内形状・多日変動をどう変えるか（RQ1）を検証する。</w:t>
      </w:r>
    </w:p>
    <w:bookmarkEnd w:id="79"/>
    <w:bookmarkEnd w:id="80"/>
    <w:bookmarkStart w:id="131" w:name="第5章-再生可能エネルギーと価格形成"/>
    <w:p>
      <w:pPr>
        <w:pStyle w:val="Heading1"/>
        <w:pageBreakBefore/>
      </w:pPr>
      <w:r>
        <w:rPr>
          <w:rFonts w:hint="eastAsia"/>
        </w:rPr>
        <w:t xml:space="preserve">第5章</w:t>
      </w:r>
      <w:r>
        <w:t xml:space="preserve">　</w:t>
      </w:r>
      <w:r>
        <w:rPr>
          <w:rFonts w:hint="eastAsia"/>
        </w:rPr>
        <w:t xml:space="preserve">再生可能エネルギーと価格形成</w:t>
      </w:r>
    </w:p>
    <w:p>
      <w:pPr>
        <w:pStyle w:val="FirstParagraph"/>
      </w:pPr>
      <w:r>
        <w:rPr>
          <w:rFonts w:hint="eastAsia"/>
        </w:rPr>
        <w:t xml:space="preserve">本章は、第4章で示した枠組みの第一段階として</w:t>
      </w:r>
      <w:r>
        <w:t xml:space="preserve"> </w:t>
      </w:r>
      <w:r>
        <w:rPr>
          <w:rFonts w:hint="eastAsia"/>
        </w:rPr>
        <w:t xml:space="preserve">RQ1、すなわち風力の増加が卸電力価格の水準・日内形状・多日変動をどう変えるか、太陽光と何が違うかに答える。通説は「再生可能エネルギー（再エネ）の増加は価格の変動性を高める」とするが、変動性をどの時間スケールで測るかを指定していない。本章は価格の変動を三つの成分に分け、気象で決まる発電量を外生のショックとみなす日次回帰を系列相関に頑健な推論で評価し、24時間の価格カーブを債券の期間構造と同じ方法で主成分に分解する。ここで得る結果は、第6章以降で蓄電池の裁定価値を測る指標を選ぶ根拠になる。5.1節で方法を述べ、5.2〜5.7節で記述的証拠、日次回帰、分位点回帰、市場分断、空間分散の反実仮想、主成分分解の結果を示す。5.8節で先行研究の日間の指標と同じ標本の上で比べ、5.9節で頑健性を要約して、5.10節で小括する。</w:t>
      </w:r>
    </w:p>
    <w:bookmarkStart w:id="88" w:name="分析の方法"/>
    <w:p>
      <w:pPr>
        <w:pStyle w:val="Heading2"/>
      </w:pPr>
      <w:r>
        <w:t xml:space="preserve">5.1　</w:t>
      </w:r>
      <w:r>
        <w:rPr>
          <w:rFonts w:hint="eastAsia"/>
        </w:rPr>
        <w:t xml:space="preserve">分析の方法</w:t>
      </w:r>
    </w:p>
    <w:bookmarkStart w:id="81" w:name="価格変動の3分解と帯域分解"/>
    <w:p>
      <w:pPr>
        <w:pStyle w:val="Heading3"/>
      </w:pPr>
      <w:r>
        <w:t xml:space="preserve">5.1.1　</w:t>
      </w:r>
      <w:r>
        <w:rPr>
          <w:rFonts w:hint="eastAsia"/>
        </w:rPr>
        <w:t xml:space="preserve">価格変動の3分解と帯域分解</w:t>
      </w:r>
    </w:p>
    <w:p>
      <w:pPr>
        <w:pStyle w:val="FirstParagraph"/>
      </w:pPr>
      <w:r>
        <w:rPr>
          <w:rFonts w:hint="eastAsia"/>
        </w:rPr>
        <w:t xml:space="preserve">本研究は価格の変動を三つの成分に分けて測る。第一は水準（日平均価格）で、再エネが限界費用の高い電源を押し出して価格を下げるメリットオーダー効果（MOE）の対象である。第二は日内形状で、TB4h</w:t>
      </w:r>
      <w:r>
        <w:t xml:space="preserve"> </w:t>
      </w:r>
      <w:r>
        <w:rPr>
          <w:rFonts w:hint="eastAsia"/>
        </w:rPr>
        <w:t xml:space="preserve">スプレッド（日内で価格の高い4時間の平均から低い4時間の平均を引いた値）と日内標準偏差で測る。ダックカーブと蓄電池の裁定原資はこの成分で決まる（TB4h</w:t>
      </w:r>
      <w:r>
        <w:t xml:space="preserve"> </w:t>
      </w:r>
      <w:r>
        <w:rPr>
          <w:rFonts w:hint="eastAsia"/>
        </w:rPr>
        <w:t xml:space="preserve">と水準の関係は5.7.3項で確かめる）。第三は多日変動（日平均価格の日次系列の変動）で、風力の長周期の変動の対象である。先行研究の24時間の価格の分散（Rintamäki</w:t>
      </w:r>
      <w:r>
        <w:t xml:space="preserve"> et al., 2017; Wozabal et al., </w:t>
      </w:r>
      <w:r>
        <w:rPr>
          <w:rFonts w:hint="eastAsia"/>
        </w:rPr>
        <w:t xml:space="preserve">2016）は日内形状に、日間の分位の幅（IQR）や</w:t>
      </w:r>
      <w:r>
        <w:t xml:space="preserve"> GARCH </w:t>
      </w:r>
      <w:r>
        <w:rPr>
          <w:rFonts w:hint="eastAsia"/>
        </w:rPr>
        <w:t xml:space="preserve">の条件付き分散（Fuke</w:t>
      </w:r>
      <w:r>
        <w:t xml:space="preserve"> &amp; Ohashi, 2025; Kyritsis et al., </w:t>
      </w:r>
      <w:r>
        <w:rPr>
          <w:rFonts w:hint="eastAsia"/>
        </w:rPr>
        <w:t xml:space="preserve">2017）は多日変動にあたり、先行研究で符号が割れる一因はこの物差しの違いにある（2.1.2項、5.8節）。</w:t>
      </w:r>
    </w:p>
    <w:p>
      <w:pPr>
        <w:pStyle w:val="BodyText"/>
      </w:pPr>
      <w:r>
        <w:rPr>
          <w:rFonts w:hint="eastAsia"/>
        </w:rPr>
        <w:t xml:space="preserve">再エネ出力の変動の時間スケールは、移動平均のカスケードで分ける。対象は、エリア全体で集約した制御前出力（発電実績＋出力制御量）を月次の導入量で割った設備利用率の系列である。発電量の系列のままでは、導入量の趨勢が長周期の成分に入るためである。系列</w:t>
      </w:r>
      <w:r>
        <w:t xml:space="preserve"> </w:t>
      </w:r>
      <m:oMath>
        <m:r>
          <m:t>x</m:t>
        </m:r>
      </m:oMath>
      <w:r>
        <w:t xml:space="preserve"> </w:t>
      </w:r>
      <w:r>
        <w:rPr>
          <w:rFonts w:hint="eastAsia"/>
        </w:rPr>
        <w:t xml:space="preserve">と、中心化した6時間・24時間・168時間の移動平均</w:t>
      </w:r>
      <w:r>
        <w:t xml:space="preserve"> </w:t>
      </w:r>
      <m:oMath>
        <m:sSub>
          <m:e>
            <m:r>
              <m:rPr>
                <m:sty m:val="p"/>
              </m:rPr>
              <m:t>M</m:t>
            </m:r>
            <m:r>
              <m:rPr>
                <m:sty m:val="p"/>
              </m:rPr>
              <m:t>A</m:t>
            </m:r>
          </m:e>
          <m:sub>
            <m:r>
              <m:t>6</m:t>
            </m:r>
          </m:sub>
        </m:sSub>
      </m:oMath>
      <w:r>
        <w:t xml:space="preserve">、</w:t>
      </w:r>
      <m:oMath>
        <m:sSub>
          <m:e>
            <m:r>
              <m:rPr>
                <m:sty m:val="p"/>
              </m:rPr>
              <m:t>M</m:t>
            </m:r>
            <m:r>
              <m:rPr>
                <m:sty m:val="p"/>
              </m:rPr>
              <m:t>A</m:t>
            </m:r>
          </m:e>
          <m:sub>
            <m:r>
              <m:t>24</m:t>
            </m:r>
          </m:sub>
        </m:sSub>
      </m:oMath>
      <w:r>
        <w:t xml:space="preserve">、</w:t>
      </w:r>
      <m:oMath>
        <m:sSub>
          <m:e>
            <m:r>
              <m:rPr>
                <m:sty m:val="p"/>
              </m:rPr>
              <m:t>M</m:t>
            </m:r>
            <m:r>
              <m:rPr>
                <m:sty m:val="p"/>
              </m:rPr>
              <m:t>A</m:t>
            </m:r>
          </m:e>
          <m:sub>
            <m:r>
              <m:t>168</m:t>
            </m:r>
          </m:sub>
        </m:sSub>
      </m:oMath>
      <w:r>
        <w:t xml:space="preserve"> </w:t>
      </w:r>
      <w:r>
        <w:t xml:space="preserve">から</w:t>
      </w:r>
    </w:p>
    <w:p>
      <w:pPr>
        <w:pStyle w:val="BodyText"/>
        <w:tabs>
          <w:tab w:val="center" w:pos="4393"/>
          <w:tab w:val="right" w:pos="8787"/>
        </w:tabs>
        <w:spacing w:before="120" w:after="120" w:line="240" w:lineRule="auto"/>
        <w:ind w:firstLine="0"/>
      </w:pPr>
      <w:r>
        <w:tab/>
      </w:r>
      <m:oMath>
        <m:r>
          <m:t>x</m:t>
        </m:r>
        <m:r>
          <m:rPr>
            <m:sty m:val="p"/>
          </m:rPr>
          <m:t>−</m:t>
        </m:r>
        <m:acc>
          <m:accPr>
            <m:chr m:val="‾"/>
          </m:accPr>
          <m:e>
            <m:r>
              <m:t>x</m:t>
            </m:r>
          </m:e>
        </m:acc>
        <m:r>
          <m:rPr>
            <m:sty m:val="p"/>
          </m:rPr>
          <m:t>=</m:t>
        </m:r>
        <m:r>
          <m:rPr>
            <m:sty m:val="p"/>
          </m:rPr>
          <m:t>(</m:t>
        </m:r>
        <m:r>
          <m:t>x</m:t>
        </m:r>
        <m:r>
          <m:rPr>
            <m:sty m:val="p"/>
          </m:rPr>
          <m:t>−</m:t>
        </m:r>
        <m:sSub>
          <m:e>
            <m:r>
              <m:rPr>
                <m:sty m:val="p"/>
              </m:rPr>
              <m:t>M</m:t>
            </m:r>
            <m:r>
              <m:rPr>
                <m:sty m:val="p"/>
              </m:rPr>
              <m:t>A</m:t>
            </m:r>
          </m:e>
          <m:sub>
            <m:r>
              <m:t>6</m:t>
            </m:r>
          </m:sub>
        </m:sSub>
        <m:r>
          <m:rPr>
            <m:sty m:val="p"/>
          </m:rPr>
          <m:t>)</m:t>
        </m:r>
        <m:r>
          <m:rPr>
            <m:sty m:val="p"/>
          </m:rPr>
          <m:t>+</m:t>
        </m:r>
        <m:r>
          <m:rPr>
            <m:sty m:val="p"/>
          </m:rPr>
          <m:t>(</m:t>
        </m:r>
        <m:sSub>
          <m:e>
            <m:r>
              <m:rPr>
                <m:sty m:val="p"/>
              </m:rPr>
              <m:t>M</m:t>
            </m:r>
            <m:r>
              <m:rPr>
                <m:sty m:val="p"/>
              </m:rPr>
              <m:t>A</m:t>
            </m:r>
          </m:e>
          <m:sub>
            <m:r>
              <m:t>6</m:t>
            </m:r>
          </m:sub>
        </m:sSub>
        <m:r>
          <m:rPr>
            <m:sty m:val="p"/>
          </m:rPr>
          <m:t>−</m:t>
        </m:r>
        <m:sSub>
          <m:e>
            <m:r>
              <m:rPr>
                <m:sty m:val="p"/>
              </m:rPr>
              <m:t>M</m:t>
            </m:r>
            <m:r>
              <m:rPr>
                <m:sty m:val="p"/>
              </m:rPr>
              <m:t>A</m:t>
            </m:r>
          </m:e>
          <m:sub>
            <m:r>
              <m:t>24</m:t>
            </m:r>
          </m:sub>
        </m:sSub>
        <m:r>
          <m:rPr>
            <m:sty m:val="p"/>
          </m:rPr>
          <m:t>)</m:t>
        </m:r>
        <m:r>
          <m:rPr>
            <m:sty m:val="p"/>
          </m:rPr>
          <m:t>+</m:t>
        </m:r>
        <m:r>
          <m:rPr>
            <m:sty m:val="p"/>
          </m:rPr>
          <m:t>(</m:t>
        </m:r>
        <m:sSub>
          <m:e>
            <m:r>
              <m:rPr>
                <m:sty m:val="p"/>
              </m:rPr>
              <m:t>M</m:t>
            </m:r>
            <m:r>
              <m:rPr>
                <m:sty m:val="p"/>
              </m:rPr>
              <m:t>A</m:t>
            </m:r>
          </m:e>
          <m:sub>
            <m:r>
              <m:t>24</m:t>
            </m:r>
          </m:sub>
        </m:sSub>
        <m:r>
          <m:rPr>
            <m:sty m:val="p"/>
          </m:rPr>
          <m:t>−</m:t>
        </m:r>
        <m:sSub>
          <m:e>
            <m:r>
              <m:rPr>
                <m:sty m:val="p"/>
              </m:rPr>
              <m:t>M</m:t>
            </m:r>
            <m:r>
              <m:rPr>
                <m:sty m:val="p"/>
              </m:rPr>
              <m:t>A</m:t>
            </m:r>
          </m:e>
          <m:sub>
            <m:r>
              <m:t>168</m:t>
            </m:r>
          </m:sub>
        </m:sSub>
        <m:r>
          <m:rPr>
            <m:sty m:val="p"/>
          </m:rPr>
          <m:t>)</m:t>
        </m:r>
        <m:r>
          <m:rPr>
            <m:sty m:val="p"/>
          </m:rPr>
          <m:t>+</m:t>
        </m:r>
        <m:r>
          <m:rPr>
            <m:sty m:val="p"/>
          </m:rPr>
          <m:t>(</m:t>
        </m:r>
        <m:sSub>
          <m:e>
            <m:r>
              <m:rPr>
                <m:sty m:val="p"/>
              </m:rPr>
              <m:t>M</m:t>
            </m:r>
            <m:r>
              <m:rPr>
                <m:sty m:val="p"/>
              </m:rPr>
              <m:t>A</m:t>
            </m:r>
          </m:e>
          <m:sub>
            <m:r>
              <m:t>168</m:t>
            </m:r>
          </m:sub>
        </m:sSub>
        <m:r>
          <m:rPr>
            <m:sty m:val="p"/>
          </m:rPr>
          <m:t>−</m:t>
        </m:r>
        <m:acc>
          <m:accPr>
            <m:chr m:val="‾"/>
          </m:accPr>
          <m:e>
            <m:r>
              <m:t>x</m:t>
            </m:r>
          </m:e>
        </m:acc>
        <m:r>
          <m:rPr>
            <m:sty m:val="p"/>
          </m:rPr>
          <m:t>)</m:t>
        </m:r>
      </m:oMath>
      <w:r>
        <w:tab/>
      </w:r>
      <w:r>
        <w:t>(5.1)</w:t>
      </w:r>
    </w:p>
    <w:p>
      <w:pPr>
        <w:pStyle w:val="BodyText"/>
      </w:pPr>
      <w:r>
        <w:rPr>
          <w:rFonts w:hint="eastAsia"/>
        </w:rPr>
        <w:t xml:space="preserve">の4成分（6時間未満、6〜24時間、1〜7日、7日超の帯域）を作り、各成分の分散を元の系列の分散で割った分散シェアを報告する（発想は</w:t>
      </w:r>
      <w:r>
        <w:t xml:space="preserve"> </w:t>
      </w:r>
      <w:r>
        <w:rPr>
          <w:rFonts w:hint="eastAsia"/>
        </w:rPr>
        <w:t xml:space="preserve">Corsi（2009）の</w:t>
      </w:r>
      <w:r>
        <w:t xml:space="preserve"> HAR </w:t>
      </w:r>
      <w:r>
        <w:rPr>
          <w:rFonts w:hint="eastAsia"/>
        </w:rPr>
        <w:t xml:space="preserve">モデルと同型である）。同じフィルタを北海道と九州の風力・太陽光に当て、FY2023〜25</w:t>
      </w:r>
      <w:r>
        <w:t xml:space="preserve"> </w:t>
      </w:r>
      <w:r>
        <w:rPr>
          <w:rFonts w:hint="eastAsia"/>
        </w:rPr>
        <w:t xml:space="preserve">を主の期間とし、年度別にも計算して帯域の構造の安定性を確かめる。</w:t>
      </w:r>
    </w:p>
    <w:bookmarkEnd w:id="81"/>
    <w:bookmarkStart w:id="83" w:name="日次回帰と推論"/>
    <w:p>
      <w:pPr>
        <w:pStyle w:val="Heading3"/>
      </w:pPr>
      <w:r>
        <w:t xml:space="preserve">5.1.2　</w:t>
      </w:r>
      <w:r>
        <w:rPr>
          <w:rFonts w:hint="eastAsia"/>
        </w:rPr>
        <w:t xml:space="preserve">日次回帰と推論</w:t>
      </w:r>
    </w:p>
    <w:p>
      <w:pPr>
        <w:pStyle w:val="FirstParagraph"/>
      </w:pPr>
      <w:r>
        <w:rPr>
          <w:rFonts w:hint="eastAsia"/>
        </w:rPr>
        <w:t xml:space="preserve">日次の被説明変数</w:t>
      </w:r>
      <w:r>
        <w:t xml:space="preserve"> </w:t>
      </w:r>
      <m:oMath>
        <m:sSub>
          <m:e>
            <m:r>
              <m:t>y</m:t>
            </m:r>
          </m:e>
          <m:sub>
            <m:r>
              <m:t>d</m:t>
            </m:r>
          </m:sub>
        </m:sSub>
      </m:oMath>
      <w:r>
        <w:rPr>
          <w:rFonts w:hint="eastAsia"/>
        </w:rPr>
        <w:t xml:space="preserve">（日平均価格、TB4h、日内標準偏差）を、制御前の太陽光・風力の日次発電量（GWh/日）に回帰する。</w:t>
      </w:r>
    </w:p>
    <w:p>
      <w:pPr>
        <w:pStyle w:val="BodyText"/>
        <w:tabs>
          <w:tab w:val="center" w:pos="4393"/>
          <w:tab w:val="right" w:pos="8787"/>
        </w:tabs>
        <w:spacing w:before="120" w:after="120" w:line="240" w:lineRule="auto"/>
        <w:ind w:firstLine="0"/>
      </w:pPr>
      <w:r>
        <w:tab/>
      </w:r>
      <m:oMath>
        <m:sSub>
          <m:e>
            <m:r>
              <m:t>y</m:t>
            </m:r>
          </m:e>
          <m:sub>
            <m:r>
              <m:t>d</m:t>
            </m:r>
          </m:sub>
        </m:sSub>
        <m:r>
          <m:rPr>
            <m:sty m:val="p"/>
          </m:rPr>
          <m:t>=</m:t>
        </m:r>
        <m:nary>
          <m:naryPr>
            <m:chr m:val="∑"/>
            <m:limLoc m:val="undOvr"/>
            <m:subHide m:val="off"/>
            <m:supHide m:val="on"/>
          </m:naryPr>
          <m:sub>
            <m:r>
              <m:t>s</m:t>
            </m:r>
          </m:sub>
          <m:sup>
            <m:r>
              <m:t>​</m:t>
            </m:r>
          </m:sup>
          <m:e>
            <m:d>
              <m:dPr>
                <m:begChr m:val="("/>
                <m:sepChr m:val=""/>
                <m:endChr m:val=")"/>
                <m:grow/>
              </m:dPr>
              <m:e>
                <m:sSubSup>
                  <m:e>
                    <m:r>
                      <m:t>β</m:t>
                    </m:r>
                  </m:e>
                  <m:sub>
                    <m:r>
                      <m:t>s</m:t>
                    </m:r>
                  </m:sub>
                  <m:sup>
                    <m:r>
                      <m:rPr>
                        <m:sty m:val="p"/>
                      </m:rPr>
                      <m:t>s</m:t>
                    </m:r>
                    <m:r>
                      <m:rPr>
                        <m:sty m:val="p"/>
                      </m:rPr>
                      <m:t>o</m:t>
                    </m:r>
                    <m:r>
                      <m:rPr>
                        <m:sty m:val="p"/>
                      </m:rPr>
                      <m:t>l</m:t>
                    </m:r>
                    <m:r>
                      <m:rPr>
                        <m:sty m:val="p"/>
                      </m:rPr>
                      <m:t>a</m:t>
                    </m:r>
                    <m:r>
                      <m:rPr>
                        <m:sty m:val="p"/>
                      </m:rPr>
                      <m:t>r</m:t>
                    </m:r>
                  </m:sup>
                </m:sSubSup>
                <m:r>
                  <m:t> </m:t>
                </m:r>
                <m:sSub>
                  <m:e>
                    <m:r>
                      <m:rPr>
                        <m:sty m:val="p"/>
                      </m:rPr>
                      <m:t>S</m:t>
                    </m:r>
                    <m:r>
                      <m:rPr>
                        <m:sty m:val="p"/>
                      </m:rPr>
                      <m:t>o</m:t>
                    </m:r>
                    <m:r>
                      <m:rPr>
                        <m:sty m:val="p"/>
                      </m:rPr>
                      <m:t>l</m:t>
                    </m:r>
                    <m:r>
                      <m:rPr>
                        <m:sty m:val="p"/>
                      </m:rPr>
                      <m:t>a</m:t>
                    </m:r>
                    <m:r>
                      <m:rPr>
                        <m:sty m:val="p"/>
                      </m:rPr>
                      <m:t>r</m:t>
                    </m:r>
                  </m:e>
                  <m:sub>
                    <m:r>
                      <m:t>d</m:t>
                    </m:r>
                  </m:sub>
                </m:sSub>
                <m:r>
                  <m:rPr>
                    <m:sty m:val="p"/>
                  </m:rPr>
                  <m:t>+</m:t>
                </m:r>
                <m:sSubSup>
                  <m:e>
                    <m:r>
                      <m:t>β</m:t>
                    </m:r>
                  </m:e>
                  <m:sub>
                    <m:r>
                      <m:t>s</m:t>
                    </m:r>
                  </m:sub>
                  <m:sup>
                    <m:r>
                      <m:rPr>
                        <m:sty m:val="p"/>
                      </m:rPr>
                      <m:t>w</m:t>
                    </m:r>
                    <m:r>
                      <m:rPr>
                        <m:sty m:val="p"/>
                      </m:rPr>
                      <m:t>i</m:t>
                    </m:r>
                    <m:r>
                      <m:rPr>
                        <m:sty m:val="p"/>
                      </m:rPr>
                      <m:t>n</m:t>
                    </m:r>
                    <m:r>
                      <m:rPr>
                        <m:sty m:val="p"/>
                      </m:rPr>
                      <m:t>d</m:t>
                    </m:r>
                  </m:sup>
                </m:sSubSup>
                <m:r>
                  <m:t> </m:t>
                </m:r>
                <m:sSub>
                  <m:e>
                    <m:r>
                      <m:rPr>
                        <m:sty m:val="p"/>
                      </m:rPr>
                      <m:t>W</m:t>
                    </m:r>
                    <m:r>
                      <m:rPr>
                        <m:sty m:val="p"/>
                      </m:rPr>
                      <m:t>i</m:t>
                    </m:r>
                    <m:r>
                      <m:rPr>
                        <m:sty m:val="p"/>
                      </m:rPr>
                      <m:t>n</m:t>
                    </m:r>
                    <m:r>
                      <m:rPr>
                        <m:sty m:val="p"/>
                      </m:rPr>
                      <m:t>d</m:t>
                    </m:r>
                  </m:e>
                  <m:sub>
                    <m:r>
                      <m:t>d</m:t>
                    </m:r>
                  </m:sub>
                </m:sSub>
              </m:e>
            </m:d>
          </m:e>
        </m:nary>
        <m:r>
          <m:rPr>
            <m:sty m:val="b"/>
          </m:rPr>
          <m:t>1</m:t>
        </m:r>
        <m:r>
          <m:rPr>
            <m:sty m:val="p"/>
          </m:rPr>
          <m:t>{</m:t>
        </m:r>
        <m:sSub>
          <m:e>
            <m:r>
              <m:t>s</m:t>
            </m:r>
          </m:e>
          <m:sub>
            <m:r>
              <m:t>d</m:t>
            </m:r>
          </m:sub>
        </m:sSub>
        <m:r>
          <m:rPr>
            <m:sty m:val="p"/>
          </m:rPr>
          <m:t>=</m:t>
        </m:r>
        <m:r>
          <m:t>s</m:t>
        </m:r>
        <m:r>
          <m:rPr>
            <m:sty m:val="p"/>
          </m:rPr>
          <m:t>}</m:t>
        </m:r>
        <m:r>
          <m:rPr>
            <m:sty m:val="p"/>
          </m:rPr>
          <m:t>+</m:t>
        </m:r>
        <m:r>
          <m:t>γ</m:t>
        </m:r>
        <m:r>
          <m:t> </m:t>
        </m:r>
        <m:sSub>
          <m:e>
            <m:r>
              <m:rPr>
                <m:sty m:val="p"/>
              </m:rPr>
              <m:t>D</m:t>
            </m:r>
            <m:r>
              <m:rPr>
                <m:sty m:val="p"/>
              </m:rPr>
              <m:t>e</m:t>
            </m:r>
            <m:r>
              <m:rPr>
                <m:sty m:val="p"/>
              </m:rPr>
              <m:t>m</m:t>
            </m:r>
            <m:r>
              <m:rPr>
                <m:sty m:val="p"/>
              </m:rPr>
              <m:t>a</m:t>
            </m:r>
            <m:r>
              <m:rPr>
                <m:sty m:val="p"/>
              </m:rPr>
              <m:t>n</m:t>
            </m:r>
            <m:r>
              <m:rPr>
                <m:sty m:val="p"/>
              </m:rPr>
              <m:t>d</m:t>
            </m:r>
          </m:e>
          <m:sub>
            <m:r>
              <m:t>d</m:t>
            </m:r>
          </m:sub>
        </m:sSub>
        <m:r>
          <m:rPr>
            <m:sty m:val="p"/>
          </m:rPr>
          <m:t>+</m:t>
        </m:r>
        <m:sSub>
          <m:e>
            <m:r>
              <m:t>α</m:t>
            </m:r>
          </m:e>
          <m:sub>
            <m:r>
              <m:rPr>
                <m:sty m:val="p"/>
              </m:rPr>
              <m:t>F</m:t>
            </m:r>
            <m:r>
              <m:rPr>
                <m:sty m:val="p"/>
              </m:rPr>
              <m:t>Y</m:t>
            </m:r>
          </m:sub>
        </m:sSub>
        <m:r>
          <m:rPr>
            <m:sty m:val="p"/>
          </m:rPr>
          <m:t>+</m:t>
        </m:r>
        <m:sSub>
          <m:e>
            <m:r>
              <m:t>α</m:t>
            </m:r>
          </m:e>
          <m:sub>
            <m:r>
              <m:t>s</m:t>
            </m:r>
          </m:sub>
        </m:sSub>
        <m:r>
          <m:rPr>
            <m:sty m:val="p"/>
          </m:rPr>
          <m:t>+</m:t>
        </m:r>
        <m:sSub>
          <m:e>
            <m:r>
              <m:t>ε</m:t>
            </m:r>
          </m:e>
          <m:sub>
            <m:r>
              <m:t>d</m:t>
            </m:r>
          </m:sub>
        </m:sSub>
      </m:oMath>
      <w:r>
        <w:tab/>
      </w:r>
      <w:r>
        <w:t>(5.2)</w:t>
      </w:r>
    </w:p>
    <w:p>
      <w:pPr>
        <w:pStyle w:val="BodyText"/>
      </w:pPr>
      <m:oMath>
        <m:sSub>
          <m:e>
            <m:r>
              <m:t>s</m:t>
            </m:r>
          </m:e>
          <m:sub>
            <m:r>
              <m:t>d</m:t>
            </m:r>
          </m:sub>
        </m:sSub>
      </m:oMath>
      <w:r>
        <w:t xml:space="preserve"> </w:t>
      </w:r>
      <w:r>
        <w:rPr>
          <w:rFonts w:hint="eastAsia"/>
        </w:rPr>
        <w:t xml:space="preserve">は日</w:t>
      </w:r>
      <w:r>
        <w:t xml:space="preserve"> </w:t>
      </w:r>
      <m:oMath>
        <m:r>
          <m:t>d</m:t>
        </m:r>
      </m:oMath>
      <w:r>
        <w:t xml:space="preserve"> </w:t>
      </w:r>
      <w:r>
        <w:rPr>
          <w:rFonts w:hint="eastAsia"/>
        </w:rPr>
        <w:t xml:space="preserve">の季節で、夏（7〜9月）、冬（12〜2月）、不需要期（3〜6月・10〜11月）の3区分とする</w:t>
      </w:r>
      <w:r>
        <w:rPr>
          <w:rStyle w:val="FootnoteReference"/>
        </w:rPr>
        <w:footnoteReference w:id="82"/>
      </w:r>
      <w:r>
        <w:t xml:space="preserve">。</w:t>
      </w:r>
      <m:oMath>
        <m:r>
          <m:rPr>
            <m:sty m:val="b"/>
          </m:rPr>
          <m:t>1</m:t>
        </m:r>
        <m:r>
          <m:rPr>
            <m:sty m:val="p"/>
          </m:rPr>
          <m:t>{</m:t>
        </m:r>
        <m:sSub>
          <m:e>
            <m:r>
              <m:t>s</m:t>
            </m:r>
          </m:e>
          <m:sub>
            <m:r>
              <m:t>d</m:t>
            </m:r>
          </m:sub>
        </m:sSub>
        <m:r>
          <m:rPr>
            <m:sty m:val="p"/>
          </m:rPr>
          <m:t>=</m:t>
        </m:r>
        <m:r>
          <m:t>s</m:t>
        </m:r>
        <m:r>
          <m:rPr>
            <m:sty m:val="p"/>
          </m:rPr>
          <m:t>}</m:t>
        </m:r>
      </m:oMath>
      <w:r>
        <w:t xml:space="preserve"> </w:t>
      </w:r>
      <w:r>
        <w:rPr>
          <w:rFonts w:hint="eastAsia"/>
        </w:rPr>
        <w:t xml:space="preserve">は日</w:t>
      </w:r>
      <w:r>
        <w:t xml:space="preserve"> </w:t>
      </w:r>
      <m:oMath>
        <m:r>
          <m:t>d</m:t>
        </m:r>
      </m:oMath>
      <w:r>
        <w:t xml:space="preserve"> </w:t>
      </w:r>
      <w:r>
        <w:rPr>
          <w:rFonts w:hint="eastAsia"/>
        </w:rPr>
        <w:t xml:space="preserve">が季節</w:t>
      </w:r>
      <w:r>
        <w:t xml:space="preserve"> </w:t>
      </w:r>
      <m:oMath>
        <m:r>
          <m:t>s</m:t>
        </m:r>
      </m:oMath>
      <w:r>
        <w:t xml:space="preserve"> </w:t>
      </w:r>
      <w:r>
        <w:rPr>
          <w:rFonts w:hint="eastAsia"/>
        </w:rPr>
        <w:t xml:space="preserve">に属するときに1をとる指示関数、</w:t>
      </w:r>
      <m:oMath>
        <m:r>
          <m:t>γ</m:t>
        </m:r>
      </m:oMath>
      <w:r>
        <w:t xml:space="preserve"> </w:t>
      </w:r>
      <w:r>
        <w:rPr>
          <w:rFonts w:hint="eastAsia"/>
        </w:rPr>
        <w:t xml:space="preserve">は需要</w:t>
      </w:r>
      <w:r>
        <w:t xml:space="preserve"> </w:t>
      </w:r>
      <m:oMath>
        <m:sSub>
          <m:e>
            <m:r>
              <m:rPr>
                <m:sty m:val="p"/>
              </m:rPr>
              <m:t>D</m:t>
            </m:r>
            <m:r>
              <m:rPr>
                <m:sty m:val="p"/>
              </m:rPr>
              <m:t>e</m:t>
            </m:r>
            <m:r>
              <m:rPr>
                <m:sty m:val="p"/>
              </m:rPr>
              <m:t>m</m:t>
            </m:r>
            <m:r>
              <m:rPr>
                <m:sty m:val="p"/>
              </m:rPr>
              <m:t>a</m:t>
            </m:r>
            <m:r>
              <m:rPr>
                <m:sty m:val="p"/>
              </m:rPr>
              <m:t>n</m:t>
            </m:r>
            <m:r>
              <m:rPr>
                <m:sty m:val="p"/>
              </m:rPr>
              <m:t>d</m:t>
            </m:r>
          </m:e>
          <m:sub>
            <m:r>
              <m:t>d</m:t>
            </m:r>
          </m:sub>
        </m:sSub>
      </m:oMath>
      <w:r>
        <w:t xml:space="preserve"> </w:t>
      </w:r>
      <w:r>
        <w:rPr>
          <w:rFonts w:hint="eastAsia"/>
        </w:rPr>
        <w:t xml:space="preserve">の係数、</w:t>
      </w:r>
      <m:oMath>
        <m:sSub>
          <m:e>
            <m:r>
              <m:t>α</m:t>
            </m:r>
          </m:e>
          <m:sub>
            <m:r>
              <m:t>s</m:t>
            </m:r>
          </m:sub>
        </m:sSub>
      </m:oMath>
      <w:r>
        <w:t xml:space="preserve"> </w:t>
      </w:r>
      <w:r>
        <w:rPr>
          <w:rFonts w:hint="eastAsia"/>
        </w:rPr>
        <w:t xml:space="preserve">は季節固定効果、</w:t>
      </w:r>
      <m:oMath>
        <m:sSub>
          <m:e>
            <m:r>
              <m:t>ε</m:t>
            </m:r>
          </m:e>
          <m:sub>
            <m:r>
              <m:t>d</m:t>
            </m:r>
          </m:sub>
        </m:sSub>
      </m:oMath>
      <w:r>
        <w:t xml:space="preserve"> </w:t>
      </w:r>
      <w:r>
        <w:rPr>
          <w:rFonts w:hint="eastAsia"/>
        </w:rPr>
        <w:t xml:space="preserve">は誤差項である。本章と第6章の記述統計も同じ区分で集計する。年度固定効果</w:t>
      </w:r>
      <w:r>
        <w:t xml:space="preserve"> </w:t>
      </w:r>
      <m:oMath>
        <m:sSub>
          <m:e>
            <m:r>
              <m:t>α</m:t>
            </m:r>
          </m:e>
          <m:sub>
            <m:r>
              <m:rPr>
                <m:sty m:val="p"/>
              </m:rPr>
              <m:t>F</m:t>
            </m:r>
            <m:r>
              <m:rPr>
                <m:sty m:val="p"/>
              </m:rPr>
              <m:t>Y</m:t>
            </m:r>
          </m:sub>
        </m:sSub>
      </m:oMath>
      <w:r>
        <w:t xml:space="preserve"> </w:t>
      </w:r>
      <w:r>
        <w:rPr>
          <w:rFonts w:hint="eastAsia"/>
        </w:rPr>
        <w:t xml:space="preserve">が燃料価格などによる年次の水準の違いを吸収するので、係数は年度内の日々の変動で識別される。再エネの日次発電量は気象で決まり、日々の価格ショックに対して外生とみなせる。同じ仕様を北海道と、Fuke</w:t>
      </w:r>
      <w:r>
        <w:t xml:space="preserve"> and </w:t>
      </w:r>
      <w:r>
        <w:rPr>
          <w:rFonts w:hint="eastAsia"/>
        </w:rPr>
        <w:t xml:space="preserve">Ohashi（2025）が対象とした九州で推定する。標本は</w:t>
      </w:r>
      <w:r>
        <w:t xml:space="preserve"> FY2016〜25 </w:t>
      </w:r>
      <w:r>
        <w:rPr>
          <w:rFonts w:hint="eastAsia"/>
        </w:rPr>
        <w:t xml:space="preserve">の3,652日から、北海道では胆振東部地震の直後でエリアプライスの24時間がそろわない2018年9月7〜26日の20日を、九州では需要と原子力・火力の発電量が欠測する2019年3月12〜31日の20日を除いた各3,632日である。</w:t>
      </w:r>
    </w:p>
    <w:p>
      <w:pPr>
        <w:pStyle w:val="BodyText"/>
      </w:pPr>
      <w:r>
        <w:rPr>
          <w:rFonts w:hint="eastAsia"/>
          <w:b/>
          <w:bCs/>
        </w:rPr>
        <w:t xml:space="preserve">推論</w:t>
      </w:r>
      <w:r>
        <w:t xml:space="preserve">　</w:t>
      </w:r>
      <w:r>
        <w:rPr>
          <w:rFonts w:hint="eastAsia"/>
        </w:rPr>
        <w:t xml:space="preserve">主仕様の最小二乗残差の1次自己相関は0.76〜0.91と高く、不均一分散だけを考慮する</w:t>
      </w:r>
      <w:r>
        <w:t xml:space="preserve"> HC3 </w:t>
      </w:r>
      <w:r>
        <w:rPr>
          <w:rFonts w:hint="eastAsia"/>
        </w:rPr>
        <w:t xml:space="preserve">標準誤差は、系列相関を考慮した標準誤差の約6割にとどまる。そこで</w:t>
      </w:r>
      <w:r>
        <w:t xml:space="preserve"> Lazarus et </w:t>
      </w:r>
      <w:r>
        <w:rPr>
          <w:rFonts w:hint="eastAsia"/>
        </w:rPr>
        <w:t xml:space="preserve">al.（2018）の等重み余弦（EWC）検定を主の推論法とする。係数の影響関数を</w:t>
      </w:r>
      <w:r>
        <w:t xml:space="preserve"> </w:t>
      </w:r>
      <m:oMath>
        <m:r>
          <m:t>ν</m:t>
        </m:r>
      </m:oMath>
      <w:r>
        <w:t xml:space="preserve"> </w:t>
      </w:r>
      <w:r>
        <w:rPr>
          <w:rFonts w:hint="eastAsia"/>
        </w:rPr>
        <w:t xml:space="preserve">本の離散余弦に射影して分散を求め、</w:t>
      </w:r>
      <m:oMath>
        <m:r>
          <m:t>ν</m:t>
        </m:r>
      </m:oMath>
      <w:r>
        <w:t xml:space="preserve"> </w:t>
      </w:r>
      <w:r>
        <w:rPr>
          <w:rFonts w:hint="eastAsia"/>
        </w:rPr>
        <w:t xml:space="preserve">は同論文の規則で</w:t>
      </w:r>
      <w:r>
        <w:t xml:space="preserve"> FY2016〜25 </w:t>
      </w:r>
      <w:r>
        <w:rPr>
          <w:rFonts w:hint="eastAsia"/>
        </w:rPr>
        <w:t xml:space="preserve">の3,652日で94、FY2023〜25</w:t>
      </w:r>
      <w:r>
        <w:t xml:space="preserve"> </w:t>
      </w:r>
      <w:r>
        <w:rPr>
          <w:rFonts w:hint="eastAsia"/>
        </w:rPr>
        <w:t xml:space="preserve">の1,096日で42とし、自由度</w:t>
      </w:r>
      <w:r>
        <w:t xml:space="preserve"> </w:t>
      </w:r>
      <m:oMath>
        <m:r>
          <m:t>ν</m:t>
        </m:r>
      </m:oMath>
      <w:r>
        <w:t xml:space="preserve"> </w:t>
      </w:r>
      <w:r>
        <w:t xml:space="preserve">の t </w:t>
      </w:r>
      <w:r>
        <w:rPr>
          <w:rFonts w:hint="eastAsia"/>
        </w:rPr>
        <w:t xml:space="preserve">分布の臨界値を使う。比較のため、HC3、Newey</w:t>
      </w:r>
      <w:r>
        <w:t xml:space="preserve"> and </w:t>
      </w:r>
      <w:r>
        <w:rPr>
          <w:rFonts w:hint="eastAsia"/>
        </w:rPr>
        <w:t xml:space="preserve">West（1987）の不均一分散・自己相関に頑健な（HAC）標準誤差、年月クラスタ、固定</w:t>
      </w:r>
      <w:r>
        <w:t xml:space="preserve"> b </w:t>
      </w:r>
      <w:r>
        <w:rPr>
          <w:rFonts w:hint="eastAsia"/>
        </w:rPr>
        <w:t xml:space="preserve">の臨界値（Kiefer</w:t>
      </w:r>
      <w:r>
        <w:t xml:space="preserve"> &amp; Vogelsang, </w:t>
      </w:r>
      <w:r>
        <w:rPr>
          <w:rFonts w:hint="eastAsia"/>
        </w:rPr>
        <w:t xml:space="preserve">2005）による検定を併記する。季節交互作用の設計では</w:t>
      </w:r>
      <w:r>
        <w:t xml:space="preserve"> EWC </w:t>
      </w:r>
      <w:r>
        <w:rPr>
          <w:rFonts w:hint="eastAsia"/>
        </w:rPr>
        <w:t xml:space="preserve">も名目の水準より棄却しやすくなるので、再エネの係数がゼロという帰無仮説の下の被説明変数をふるいブートストラップ（Bühlmann,</w:t>
      </w:r>
      <w:r>
        <w:t xml:space="preserve"> </w:t>
      </w:r>
      <w:r>
        <w:rPr>
          <w:rFonts w:hint="eastAsia"/>
        </w:rPr>
        <w:t xml:space="preserve">1997）で1,999回生成し、EWC</w:t>
      </w:r>
      <w:r>
        <w:t xml:space="preserve"> </w:t>
      </w:r>
      <w:r>
        <w:rPr>
          <w:rFonts w:hint="eastAsia"/>
        </w:rPr>
        <w:t xml:space="preserve">の補正</w:t>
      </w:r>
      <w:r>
        <w:t xml:space="preserve"> p </w:t>
      </w:r>
      <w:r>
        <w:rPr>
          <w:rFonts w:hint="eastAsia"/>
        </w:rPr>
        <w:t xml:space="preserve">値と各推論法の実効的な棄却率を求める（付録B.2.1・B.2.2）。</w:t>
      </w:r>
    </w:p>
    <w:p>
      <w:pPr>
        <w:pStyle w:val="BodyText"/>
      </w:pPr>
      <w:r>
        <w:rPr>
          <w:rFonts w:hint="eastAsia"/>
          <w:b/>
          <w:bCs/>
        </w:rPr>
        <w:t xml:space="preserve">識別</w:t>
      </w:r>
      <w:r>
        <w:t xml:space="preserve">　</w:t>
      </w:r>
      <w:r>
        <w:rPr>
          <w:rFonts w:hint="eastAsia"/>
        </w:rPr>
        <w:t xml:space="preserve">年度・季節固定効果を年月固定効果（120セル）に置き換え、曜日と祝日を統制した仕様を併記する。同じ月の中の日々の気象の違いだけで識別するので、月をまたぐ季節性や燃料価格の推移との交絡を除けるが、1日を超える長周期の風力の変動（表5.1）の一部を捨てるため、主仕様は年度・季節固定効果のままとする。このほか、価格のラグや</w:t>
      </w:r>
      <w:r>
        <w:t xml:space="preserve"> AR(1) </w:t>
      </w:r>
      <w:r>
        <w:rPr>
          <w:rFonts w:hint="eastAsia"/>
        </w:rPr>
        <w:t xml:space="preserve">誤差の実行可能な一般化最小二乗法（FGLS）を加えた仕様、FY2023〜25</w:t>
      </w:r>
      <w:r>
        <w:t xml:space="preserve"> </w:t>
      </w:r>
      <w:r>
        <w:rPr>
          <w:rFonts w:hint="eastAsia"/>
        </w:rPr>
        <w:t xml:space="preserve">への限定、燃料危機期（FY2021〜22）の除外、暦月の4季節（不需要期を春3〜6月と秋10〜11月に分割）による変種と、2021年1月の価格高騰（北海道の</w:t>
      </w:r>
      <w:r>
        <w:t xml:space="preserve"> TB4h </w:t>
      </w:r>
      <w:r>
        <w:rPr>
          <w:rFonts w:hint="eastAsia"/>
        </w:rPr>
        <w:t xml:space="preserve">の月平均は他の年の1月の約8倍）の31日を除いた推定を示す（5.9節）。</w:t>
      </w:r>
    </w:p>
    <w:p>
      <w:pPr>
        <w:pStyle w:val="BodyText"/>
      </w:pPr>
      <w:r>
        <w:rPr>
          <w:rFonts w:hint="eastAsia"/>
          <w:b/>
          <w:bCs/>
        </w:rPr>
        <w:t xml:space="preserve">効果の大きさと形</w:t>
      </w:r>
      <w:r>
        <w:t xml:space="preserve">　</w:t>
      </w:r>
      <w:r>
        <w:rPr>
          <w:rFonts w:hint="eastAsia"/>
        </w:rPr>
        <w:t xml:space="preserve">有意でない係数を効果がないとは読まず、EWC</w:t>
      </w:r>
      <w:r>
        <w:t xml:space="preserve"> </w:t>
      </w:r>
      <w:r>
        <w:rPr>
          <w:rFonts w:hint="eastAsia"/>
        </w:rPr>
        <w:t xml:space="preserve">の95%区間の上限を年度内の日次発電量1標準偏差あたりに直し、季節平均の</w:t>
      </w:r>
      <w:r>
        <w:t xml:space="preserve"> TB4h </w:t>
      </w:r>
      <w:r>
        <w:rPr>
          <w:rFonts w:hint="eastAsia"/>
        </w:rPr>
        <w:t xml:space="preserve">に対する比を効果の上限として示す。冬に風力が上位4時間の価格を下位4時間より多く下げるかは、上位・下位4時間の係数の比の95%集合を</w:t>
      </w:r>
      <w:r>
        <w:t xml:space="preserve"> EWC </w:t>
      </w:r>
      <w:r>
        <w:rPr>
          <w:rFonts w:hint="eastAsia"/>
        </w:rPr>
        <w:t xml:space="preserve">検定の反転で求め（Fieller,</w:t>
      </w:r>
      <w:r>
        <w:t xml:space="preserve"> 1954 </w:t>
      </w:r>
      <w:r>
        <w:rPr>
          <w:rFonts w:hint="eastAsia"/>
        </w:rPr>
        <w:t xml:space="preserve">と同じ考え方）、平行移動（比が1）と、平均価格に比例した引下げ（比が上位・下位4時間の平均価格の比）を検定する（付録B.2.3）。</w:t>
      </w:r>
    </w:p>
    <w:bookmarkEnd w:id="83"/>
    <w:bookmarkStart w:id="84" w:name="分位点回帰と市場分断の分類"/>
    <w:p>
      <w:pPr>
        <w:pStyle w:val="Heading3"/>
      </w:pPr>
      <w:r>
        <w:t xml:space="preserve">5.1.3　</w:t>
      </w:r>
      <w:r>
        <w:rPr>
          <w:rFonts w:hint="eastAsia"/>
        </w:rPr>
        <w:t xml:space="preserve">分位点回帰と市場分断の分類</w:t>
      </w:r>
    </w:p>
    <w:p>
      <w:pPr>
        <w:pStyle w:val="FirstParagraph"/>
      </w:pPr>
      <w:r>
        <w:rPr>
          <w:rFonts w:hint="eastAsia"/>
        </w:rPr>
        <w:t xml:space="preserve">高分位の</w:t>
      </w:r>
      <w:r>
        <w:t xml:space="preserve"> MOE </w:t>
      </w:r>
      <w:r>
        <w:rPr>
          <w:rFonts w:hint="eastAsia"/>
        </w:rPr>
        <w:t xml:space="preserve">の期間比較には、時間別の価格の分位点回帰（Koenker</w:t>
      </w:r>
      <w:r>
        <w:t xml:space="preserve"> &amp; Bassett, </w:t>
      </w:r>
      <w:r>
        <w:rPr>
          <w:rFonts w:hint="eastAsia"/>
        </w:rPr>
        <w:t xml:space="preserve">1978）を用いる。Sakaguchi</w:t>
      </w:r>
      <w:r>
        <w:t xml:space="preserve"> and </w:t>
      </w:r>
      <w:r>
        <w:rPr>
          <w:rFonts w:hint="eastAsia"/>
        </w:rPr>
        <w:t xml:space="preserve">Fujii（2021）の仕様（発電実績の風力・太陽光・需要と定数）は年度の固定効果を含まず、期間をプールした係数が年度間の価格水準の違いを拾う。そこで、制御前の風力・太陽光・需要に季節×時刻・月・年度の固定効果と曜日・祝日を加えた仕様を主とし、価格と相対価格（年度平均価格で割った値）について、北本連系線の増強（2019年3月）の前の</w:t>
      </w:r>
      <w:r>
        <w:t xml:space="preserve"> </w:t>
      </w:r>
      <w:r>
        <w:rPr>
          <w:rFonts w:hint="eastAsia"/>
        </w:rPr>
        <w:t xml:space="preserve">FY2016〜18、増強後で燃料危機期を含む</w:t>
      </w:r>
      <w:r>
        <w:t xml:space="preserve"> </w:t>
      </w:r>
      <w:r>
        <w:rPr>
          <w:rFonts w:hint="eastAsia"/>
        </w:rPr>
        <w:t xml:space="preserve">FY2019〜22、直近の</w:t>
      </w:r>
      <w:r>
        <w:t xml:space="preserve"> FY2023〜25 </w:t>
      </w:r>
      <w:r>
        <w:rPr>
          <w:rFonts w:hint="eastAsia"/>
        </w:rPr>
        <w:t xml:space="preserve">の係数を比べる。95%区間は日単位の14日移動ブロック・ブートストラップ（Künsch,</w:t>
      </w:r>
      <w:r>
        <w:t xml:space="preserve"> </w:t>
      </w:r>
      <w:r>
        <w:rPr>
          <w:rFonts w:hint="eastAsia"/>
        </w:rPr>
        <w:t xml:space="preserve">1989）による。MOE</w:t>
      </w:r>
      <w:r>
        <w:t xml:space="preserve"> </w:t>
      </w:r>
      <w:r>
        <w:rPr>
          <w:rFonts w:hint="eastAsia"/>
        </w:rPr>
        <w:t xml:space="preserve">が減衰したと判定するのは、価格と相対価格の両方で</w:t>
      </w:r>
      <w:r>
        <w:t xml:space="preserve"> τ=0.9 </w:t>
      </w:r>
      <w:r>
        <w:rPr>
          <w:rFonts w:hint="eastAsia"/>
        </w:rPr>
        <w:t xml:space="preserve">の期間差の区間が0を含まず、効果が弱まる向きにある場合に限る。下限価格（0.01円/kWh）による打ち切りは、τ=0.9</w:t>
      </w:r>
      <w:r>
        <w:t xml:space="preserve"> </w:t>
      </w:r>
      <w:r>
        <w:rPr>
          <w:rFonts w:hint="eastAsia"/>
        </w:rPr>
        <w:t xml:space="preserve">の条件付き分位が下限を上回るので、高分位の係数にはほとんど影響しない。</w:t>
      </w:r>
    </w:p>
    <w:p>
      <w:pPr>
        <w:pStyle w:val="BodyText"/>
      </w:pPr>
      <w:r>
        <w:rPr>
          <w:rFonts w:hint="eastAsia"/>
        </w:rPr>
        <w:t xml:space="preserve">市場分断は、3.7節の定義により、システムプライスとの比較（高値・同価格・安値）と北本連系線の分断に分け、二つを組み合わせて分断がどこで生じたかを分ける。システムプライスとの比較による分断には、東北東京間の連系線や東西の周波数変換設備での分断も含まれる。</w:t>
      </w:r>
    </w:p>
    <w:bookmarkEnd w:id="84"/>
    <w:bookmarkStart w:id="85" w:name="空間分散の反実仮想"/>
    <w:p>
      <w:pPr>
        <w:pStyle w:val="Heading3"/>
      </w:pPr>
      <w:r>
        <w:t xml:space="preserve">5.1.4　</w:t>
      </w:r>
      <w:r>
        <w:rPr>
          <w:rFonts w:hint="eastAsia"/>
        </w:rPr>
        <w:t xml:space="preserve">空間分散の反実仮想</w:t>
      </w:r>
    </w:p>
    <w:p>
      <w:pPr>
        <w:pStyle w:val="FirstParagraph"/>
      </w:pPr>
      <w:r>
        <w:rPr>
          <w:rFonts w:hint="eastAsia"/>
        </w:rPr>
        <w:t xml:space="preserve">北海道は広いエリアが単一の価格で約定し、地理的に分散した風力がフリートとして集約されてから価格に効く。この分散効果が日内形状への効果をどこまで抑えているかを、第7章の価格過程モデル（仕様A、水準係数</w:t>
      </w:r>
      <w:r>
        <w:t xml:space="preserve"> </w:t>
      </w:r>
      <m:oMath>
        <m:r>
          <m:t>θ</m:t>
        </m:r>
        <m:r>
          <m:rPr>
            <m:sty m:val="p"/>
          </m:rPr>
          <m:t>=</m:t>
        </m:r>
        <m:r>
          <m:t>1</m:t>
        </m:r>
      </m:oMath>
      <w:r>
        <w:t xml:space="preserve">、FY2023〜25 </w:t>
      </w:r>
      <w:r>
        <w:rPr>
          <w:rFonts w:hint="eastAsia"/>
        </w:rPr>
        <w:t xml:space="preserve">の気象・需要パス。7.1.1項）の上の反実仮想で調べる。実フリートの風力と、日次エネルギーを保ったまま日内の帯域（6時間未満と6〜24時間）の確率的な変動（系統的な日周を除いた部分）を設備利用率のロジット空間で増幅した合成系列（集中立地の反実仮想）を、同じ価格過程に通して比べる。増幅率は、日内帯域の分散の実フリートに対する比（以下、日内分散比）が校正値に一致するよう求める。校正値は、St.</w:t>
      </w:r>
      <w:r>
        <w:t xml:space="preserve"> Martin et </w:t>
      </w:r>
      <w:r>
        <w:rPr>
          <w:rFonts w:hint="eastAsia"/>
        </w:rPr>
        <w:t xml:space="preserve">al.（2015）の相関距離から2通りの方法で帯域ごとの分散の減衰を求め、日内分散比の下限・中央・上限とする（付録B.2.5）。あわせて、系統的な日周を付与した系列を日内分散比をそろえた一様な増幅と比べ、日内の位相の効果を調べる。モデル価格の上の比較なので、風力に対する</w:t>
      </w:r>
      <w:r>
        <w:t xml:space="preserve"> TB4h </w:t>
      </w:r>
      <w:r>
        <w:rPr>
          <w:rFonts w:hint="eastAsia"/>
        </w:rPr>
        <w:t xml:space="preserve">の感応度を実績とモデルで比べて検証する。なお価格ゾーンの構成は動かさないので、単一価格ゾーンの寄与は識別しない。</w:t>
      </w:r>
    </w:p>
    <w:bookmarkEnd w:id="85"/>
    <w:bookmarkStart w:id="86" w:name="価格カーブの主成分分解"/>
    <w:p>
      <w:pPr>
        <w:pStyle w:val="Heading3"/>
      </w:pPr>
      <w:r>
        <w:t xml:space="preserve">5.1.5　</w:t>
      </w:r>
      <w:r>
        <w:rPr>
          <w:rFonts w:hint="eastAsia"/>
        </w:rPr>
        <w:t xml:space="preserve">価格カーブの主成分分解</w:t>
      </w:r>
    </w:p>
    <w:p>
      <w:pPr>
        <w:pStyle w:val="FirstParagraph"/>
      </w:pPr>
      <w:r>
        <w:rPr>
          <w:rFonts w:hint="eastAsia"/>
        </w:rPr>
        <w:t xml:space="preserve">前日スポット市場の24時間の価格は、同じオークションで同時に約定する受渡時刻別の24本の商品の価格である。本研究はこの日次の価格ベクトルを、満期の代わりに受渡時刻が並ぶ短い期間構造とみなし、Litterman</w:t>
      </w:r>
      <w:r>
        <w:t xml:space="preserve"> and </w:t>
      </w:r>
      <w:r>
        <w:rPr>
          <w:rFonts w:hint="eastAsia"/>
        </w:rPr>
        <w:t xml:space="preserve">Scheinkman（1991）の類比として主成分に分解する（電力のフォワードカーブと時間値の価格ベクトルへの応用は</w:t>
      </w:r>
      <w:r>
        <w:t xml:space="preserve"> Koekebakker &amp; Ollmar, 2005; Raviv et al., </w:t>
      </w:r>
      <w:r>
        <w:rPr>
          <w:rFonts w:hint="eastAsia"/>
        </w:rPr>
        <w:t xml:space="preserve">2015）。ただし電力は貯蔵が限られるので、受渡時刻の異なる商品の価格は満期の間の裁定ではなく、需給の共通要因でつながる。</w:t>
      </w:r>
    </w:p>
    <w:p>
      <w:pPr>
        <w:pStyle w:val="BodyText"/>
      </w:pPr>
      <w:r>
        <w:rPr>
          <w:rFonts w:hint="eastAsia"/>
        </w:rPr>
        <w:t xml:space="preserve">分解の対象は、日</w:t>
      </w:r>
      <w:r>
        <w:t xml:space="preserve"> </w:t>
      </w:r>
      <m:oMath>
        <m:r>
          <m:t>d</m:t>
        </m:r>
      </m:oMath>
      <w:r>
        <w:t xml:space="preserve"> </w:t>
      </w:r>
      <w:r>
        <w:rPr>
          <w:rFonts w:hint="eastAsia"/>
        </w:rPr>
        <w:t xml:space="preserve">の価格ベクトル</w:t>
      </w:r>
      <w:r>
        <w:t xml:space="preserve"> </w:t>
      </w:r>
      <m:oMath>
        <m:sSub>
          <m:e>
            <m:r>
              <m:t>p</m:t>
            </m:r>
          </m:e>
          <m:sub>
            <m:r>
              <m:t>d</m:t>
            </m:r>
          </m:sub>
        </m:sSub>
      </m:oMath>
      <w:r>
        <w:t xml:space="preserve"> </w:t>
      </w:r>
      <w:r>
        <w:rPr>
          <w:rFonts w:hint="eastAsia"/>
        </w:rPr>
        <w:t xml:space="preserve">から年度×季節×時刻の平均</w:t>
      </w:r>
      <w:r>
        <w:t xml:space="preserve"> </w:t>
      </w:r>
      <m:oMath>
        <m:sSub>
          <m:e>
            <m:acc>
              <m:accPr>
                <m:chr m:val="‾"/>
              </m:accPr>
              <m:e>
                <m:r>
                  <m:t>p</m:t>
                </m:r>
              </m:e>
            </m:acc>
          </m:e>
          <m:sub>
            <m:r>
              <m:t>d</m:t>
            </m:r>
          </m:sub>
        </m:sSub>
      </m:oMath>
      <w:r>
        <w:t xml:space="preserve"> </w:t>
      </w:r>
      <w:r>
        <w:rPr>
          <w:rFonts w:hint="eastAsia"/>
        </w:rPr>
        <w:t xml:space="preserve">を除いた偏差であり、この中心化は式(5.2)の年度・季節固定効果に対応する（年度×季節の交差まで除く点でやや強い）。負荷</w:t>
      </w:r>
      <w:r>
        <w:t xml:space="preserve"> </w:t>
      </w:r>
      <m:oMath>
        <m:sSub>
          <m:e>
            <m:r>
              <m:t>v</m:t>
            </m:r>
          </m:e>
          <m:sub>
            <m:r>
              <m:t>k</m:t>
            </m:r>
          </m:sub>
        </m:sSub>
      </m:oMath>
      <w:r>
        <w:t xml:space="preserve"> </w:t>
      </w:r>
      <w:r>
        <w:rPr>
          <w:rFonts w:hint="eastAsia"/>
        </w:rPr>
        <w:t xml:space="preserve">を偏差の共分散行列の固有ベクトルとし、第</w:t>
      </w:r>
      <w:r>
        <w:t xml:space="preserve"> </w:t>
      </w:r>
      <m:oMath>
        <m:r>
          <m:t>k</m:t>
        </m:r>
      </m:oMath>
      <w:r>
        <w:t xml:space="preserve"> </w:t>
      </w:r>
      <w:r>
        <w:rPr>
          <w:rFonts w:hint="eastAsia"/>
        </w:rPr>
        <w:t xml:space="preserve">主成分の因子スコアを</w:t>
      </w:r>
    </w:p>
    <w:p>
      <w:pPr>
        <w:pStyle w:val="BodyText"/>
        <w:tabs>
          <w:tab w:val="center" w:pos="4393"/>
          <w:tab w:val="right" w:pos="8787"/>
        </w:tabs>
        <w:spacing w:before="120" w:after="120" w:line="240" w:lineRule="auto"/>
        <w:ind w:firstLine="0"/>
      </w:pPr>
      <w:r>
        <w:tab/>
      </w:r>
      <m:oMath>
        <m:sSub>
          <m:e>
            <m:r>
              <m:t>f</m:t>
            </m:r>
          </m:e>
          <m:sub>
            <m:r>
              <m:t>k</m:t>
            </m:r>
            <m:r>
              <m:rPr>
                <m:sty m:val="p"/>
              </m:rPr>
              <m:t>,</m:t>
            </m:r>
            <m:r>
              <m:t>d</m:t>
            </m:r>
          </m:sub>
        </m:sSub>
        <m:r>
          <m:rPr>
            <m:sty m:val="p"/>
          </m:rPr>
          <m:t>=</m:t>
        </m:r>
        <m:sSubSup>
          <m:e>
            <m:r>
              <m:t>v</m:t>
            </m:r>
          </m:e>
          <m:sub>
            <m:r>
              <m:t>k</m:t>
            </m:r>
          </m:sub>
          <m:sup>
            <m:r>
              <m:rPr>
                <m:sty m:val="p"/>
              </m:rPr>
              <m:t>′</m:t>
            </m:r>
          </m:sup>
        </m:sSubSup>
        <m:d>
          <m:dPr>
            <m:begChr m:val="("/>
            <m:sepChr m:val=""/>
            <m:endChr m:val=")"/>
            <m:grow/>
          </m:dPr>
          <m:e>
            <m:sSub>
              <m:e>
                <m:r>
                  <m:t>p</m:t>
                </m:r>
              </m:e>
              <m:sub>
                <m:r>
                  <m:t>d</m:t>
                </m:r>
              </m:sub>
            </m:sSub>
            <m:r>
              <m:rPr>
                <m:sty m:val="p"/>
              </m:rPr>
              <m:t>−</m:t>
            </m:r>
            <m:sSub>
              <m:e>
                <m:acc>
                  <m:accPr>
                    <m:chr m:val="‾"/>
                  </m:accPr>
                  <m:e>
                    <m:r>
                      <m:t>p</m:t>
                    </m:r>
                  </m:e>
                </m:acc>
              </m:e>
              <m:sub>
                <m:r>
                  <m:t>d</m:t>
                </m:r>
              </m:sub>
            </m:sSub>
          </m:e>
        </m:d>
      </m:oMath>
      <w:r>
        <w:tab/>
      </w:r>
      <w:r>
        <w:t>(5.3)</w:t>
      </w:r>
    </w:p>
    <w:p>
      <w:pPr>
        <w:pStyle w:val="BodyText"/>
      </w:pPr>
      <w:r>
        <w:t xml:space="preserve">とする。</w:t>
      </w:r>
      <m:oMath>
        <m:sSub>
          <m:e>
            <m:r>
              <m:t>f</m:t>
            </m:r>
          </m:e>
          <m:sub>
            <m:r>
              <m:t>k</m:t>
            </m:r>
            <m:r>
              <m:rPr>
                <m:sty m:val="p"/>
              </m:rPr>
              <m:t>,</m:t>
            </m:r>
            <m:r>
              <m:t>d</m:t>
            </m:r>
          </m:sub>
        </m:sSub>
      </m:oMath>
      <w:r>
        <w:t xml:space="preserve"> </w:t>
      </w:r>
      <w:r>
        <w:rPr>
          <w:rFonts w:hint="eastAsia"/>
        </w:rPr>
        <w:t xml:space="preserve">を式(5.2)と同じ右辺に回帰した係数は、24時刻を別々に回帰した係数ベクトル</w:t>
      </w:r>
      <w:r>
        <w:t xml:space="preserve"> </w:t>
      </w:r>
      <m:oMath>
        <m:r>
          <m:t>b</m:t>
        </m:r>
      </m:oMath>
      <w:r>
        <w:t xml:space="preserve"> </w:t>
      </w:r>
      <w:r>
        <w:rPr>
          <w:rFonts w:hint="eastAsia"/>
        </w:rPr>
        <w:t xml:space="preserve">に負荷をかけた</w:t>
      </w:r>
      <w:r>
        <w:t xml:space="preserve"> </w:t>
      </w:r>
      <m:oMath>
        <m:sSubSup>
          <m:e>
            <m:r>
              <m:t>v</m:t>
            </m:r>
          </m:e>
          <m:sub>
            <m:r>
              <m:t>k</m:t>
            </m:r>
          </m:sub>
          <m:sup>
            <m:r>
              <m:rPr>
                <m:sty m:val="p"/>
              </m:rPr>
              <m:t>′</m:t>
            </m:r>
          </m:sup>
        </m:sSubSup>
        <m:r>
          <m:t>b</m:t>
        </m:r>
      </m:oMath>
      <w:r>
        <w:t xml:space="preserve"> </w:t>
      </w:r>
      <w:r>
        <w:rPr>
          <w:rFonts w:hint="eastAsia"/>
        </w:rPr>
        <w:t xml:space="preserve">に等しい。</w:t>
      </w:r>
      <m:oMath>
        <m:r>
          <m:t>b</m:t>
        </m:r>
      </m:oMath>
      <w:r>
        <w:t xml:space="preserve"> </w:t>
      </w:r>
      <w:r>
        <w:rPr>
          <w:rFonts w:hint="eastAsia"/>
        </w:rPr>
        <w:t xml:space="preserve">については、全時刻で等しいという平行シフトと、季節の平均価格プロファイルの定数倍という比例シフトを、多式の</w:t>
      </w:r>
      <w:r>
        <w:t xml:space="preserve"> EWC </w:t>
      </w:r>
      <w:r>
        <w:rPr>
          <w:rFonts w:hint="eastAsia"/>
        </w:rPr>
        <w:t xml:space="preserve">共分散による</w:t>
      </w:r>
      <w:r>
        <w:t xml:space="preserve"> Wald </w:t>
      </w:r>
      <w:r>
        <w:rPr>
          <w:rFonts w:hint="eastAsia"/>
        </w:rPr>
        <w:t xml:space="preserve">検定で検定する（付録B.2.6）。形状の変化は、蓄電池の裁定に直結する二つのコントラスト、夕方（17〜19時）−昼（11〜13時）と夕方−夜（0〜5時）で測る。2021年1月の31日（標本の0.85%）は偏差平方和の約半分を占めるので、この31日を除いた結果を併記する。</w:t>
      </w:r>
    </w:p>
    <w:bookmarkEnd w:id="86"/>
    <w:bookmarkStart w:id="87" w:name="先行研究の指標の再現"/>
    <w:p>
      <w:pPr>
        <w:pStyle w:val="Heading3"/>
      </w:pPr>
      <w:r>
        <w:t xml:space="preserve">5.1.6　</w:t>
      </w:r>
      <w:r>
        <w:rPr>
          <w:rFonts w:hint="eastAsia"/>
        </w:rPr>
        <w:t xml:space="preserve">先行研究の指標の再現</w:t>
      </w:r>
    </w:p>
    <w:p>
      <w:pPr>
        <w:pStyle w:val="FirstParagraph"/>
      </w:pPr>
      <w:r>
        <w:rPr>
          <w:rFonts w:hint="eastAsia"/>
        </w:rPr>
        <w:t xml:space="preserve">先行研究の日間の指標と本研究の日内の指標を同じ標本で比べるため、Fuke</w:t>
      </w:r>
      <w:r>
        <w:t xml:space="preserve"> and </w:t>
      </w:r>
      <w:r>
        <w:rPr>
          <w:rFonts w:hint="eastAsia"/>
        </w:rPr>
        <w:t xml:space="preserve">Ohashi（2025）の仕様を再現する。被説明変数は、太陽光が発電している時間帯の時間値価格の単純平均（以下、昼間平均価格）である。右辺には、同論文の4季節（冬12月16日〜3月15日、春3月16日〜6月30日、夏7月1日〜9月30日、秋10月1日〜12月15日）のダミー、季節ダミーと需要・太陽光・原子力の交互作用、7日分のラグ価格、土日祝のダミーなどを置く。τ=0.1〜0.9</w:t>
      </w:r>
      <w:r>
        <w:t xml:space="preserve"> </w:t>
      </w:r>
      <w:r>
        <w:rPr>
          <w:rFonts w:hint="eastAsia"/>
        </w:rPr>
        <w:t xml:space="preserve">の分位点回帰で、日間の変動性への効果を0.9分位と0.1分位の係数の差</w:t>
      </w:r>
      <w:r>
        <w:t xml:space="preserve"> </w:t>
      </w:r>
      <m:oMath>
        <m:sSub>
          <m:e>
            <m:r>
              <m:t>β</m:t>
            </m:r>
          </m:e>
          <m:sub>
            <m:r>
              <m:t>0.9</m:t>
            </m:r>
          </m:sub>
        </m:sSub>
        <m:r>
          <m:rPr>
            <m:sty m:val="p"/>
          </m:rPr>
          <m:t>−</m:t>
        </m:r>
        <m:sSub>
          <m:e>
            <m:r>
              <m:t>β</m:t>
            </m:r>
          </m:e>
          <m:sub>
            <m:r>
              <m:t>0.1</m:t>
            </m:r>
          </m:sub>
        </m:sSub>
      </m:oMath>
      <w:r>
        <w:rPr>
          <w:rFonts w:hint="eastAsia"/>
        </w:rPr>
        <w:t xml:space="preserve">（以下、IQR</w:t>
      </w:r>
      <w:r>
        <w:t xml:space="preserve"> </w:t>
      </w:r>
      <w:r>
        <w:rPr>
          <w:rFonts w:hint="eastAsia"/>
        </w:rPr>
        <w:t xml:space="preserve">係数）で測り、同じ標本・同じ説明変数のまま被説明変数を</w:t>
      </w:r>
      <w:r>
        <w:t xml:space="preserve"> TB4h </w:t>
      </w:r>
      <w:r>
        <w:rPr>
          <w:rFonts w:hint="eastAsia"/>
        </w:rPr>
        <w:t xml:space="preserve">に替えて最小二乗法でも推定する。前者は多日変動を、後者は日内形状を測るので、両者の符号の違いは時間スケールの違いを表す。九州の</w:t>
      </w:r>
      <w:r>
        <w:t xml:space="preserve"> FY2016〜19 </w:t>
      </w:r>
      <w:r>
        <w:rPr>
          <w:rFonts w:hint="eastAsia"/>
        </w:rPr>
        <w:t xml:space="preserve">で原典の結果を再現したうえで、同じ仕様を</w:t>
      </w:r>
      <w:r>
        <w:t xml:space="preserve"> FY2023〜25 </w:t>
      </w:r>
      <w:r>
        <w:rPr>
          <w:rFonts w:hint="eastAsia"/>
        </w:rPr>
        <w:t xml:space="preserve">と、風力を加えて北海道にも当てる。IQR</w:t>
      </w:r>
      <w:r>
        <w:t xml:space="preserve"> </w:t>
      </w:r>
      <w:r>
        <w:rPr>
          <w:rFonts w:hint="eastAsia"/>
        </w:rPr>
        <w:t xml:space="preserve">係数は日単位の14日移動ブロック・ブートストラップ、TB4h</w:t>
      </w:r>
      <w:r>
        <w:t xml:space="preserve"> </w:t>
      </w:r>
      <w:r>
        <w:rPr>
          <w:rFonts w:hint="eastAsia"/>
        </w:rPr>
        <w:t xml:space="preserve">の係数は</w:t>
      </w:r>
      <w:r>
        <w:t xml:space="preserve"> EWC </w:t>
      </w:r>
      <w:r>
        <w:rPr>
          <w:rFonts w:hint="eastAsia"/>
        </w:rPr>
        <w:t xml:space="preserve">で検定する。右辺のラグ価格は誤差と相関しうるので、この仕様の係数には偏りがありうる（仕様の詳細は付録C.1.6）。</w:t>
      </w:r>
    </w:p>
    <w:bookmarkEnd w:id="87"/>
    <w:bookmarkEnd w:id="88"/>
    <w:bookmarkStart w:id="104" w:name="記述的証拠"/>
    <w:p>
      <w:pPr>
        <w:pStyle w:val="Heading2"/>
      </w:pPr>
      <w:r>
        <w:t xml:space="preserve">5.2　</w:t>
      </w:r>
      <w:r>
        <w:rPr>
          <w:rFonts w:hint="eastAsia"/>
        </w:rPr>
        <w:t xml:space="preserve">記述的証拠</w:t>
      </w:r>
    </w:p>
    <w:bookmarkStart w:id="95" w:name="時刻別の価格カーブ"/>
    <w:p>
      <w:pPr>
        <w:pStyle w:val="Heading3"/>
      </w:pPr>
      <w:r>
        <w:t xml:space="preserve">5.2.1　</w:t>
      </w:r>
      <w:r>
        <w:rPr>
          <w:rFonts w:hint="eastAsia"/>
        </w:rPr>
        <w:t xml:space="preserve">時刻別の価格カーブ</w:t>
      </w:r>
    </w:p>
    <w:p>
      <w:pPr>
        <w:pStyle w:val="FirstParagraph"/>
      </w:pPr>
      <w:r>
        <w:rPr>
          <w:rFonts w:hint="eastAsia"/>
        </w:rPr>
        <w:t xml:space="preserve">図5.1</w:t>
      </w:r>
      <w:r>
        <w:t xml:space="preserve"> は、FY2023〜25 </w:t>
      </w:r>
      <w:r>
        <w:rPr>
          <w:rFonts w:hint="eastAsia"/>
        </w:rPr>
        <w:t xml:space="preserve">の北海道で、各季節内の日次の太陽光発電量が上位3分の1の日と下位3分の1の日の時刻別平均価格を示す。不需要期には、太陽光の多い日の価格が正午に約3.3円/kWh</w:t>
      </w:r>
      <w:r>
        <w:t xml:space="preserve"> </w:t>
      </w:r>
      <w:r>
        <w:rPr>
          <w:rFonts w:hint="eastAsia"/>
        </w:rPr>
        <w:t xml:space="preserve">まで下がり、少ない日との差は正午前後で−4.7円/kWh</w:t>
      </w:r>
      <w:r>
        <w:t xml:space="preserve"> </w:t>
      </w:r>
      <w:r>
        <w:rPr>
          <w:rFonts w:hint="eastAsia"/>
        </w:rPr>
        <w:t xml:space="preserve">に達する。夏と冬では差が小さい。一方、夕方のピークは太陽光の多寡によらず残る。年度×月の中で三分位を作って月の構成の違いを除いても、昼（11〜13時）の差は−3.9〜−1.8円/kWh</w:t>
      </w:r>
      <w:r>
        <w:t xml:space="preserve"> </w:t>
      </w:r>
      <w:r>
        <w:rPr>
          <w:rFonts w:hint="eastAsia"/>
        </w:rPr>
        <w:t xml:space="preserve">で95%区間（日単位の14日移動ブロック・ブートストラップ）は0を含まず、夕方（17〜19時）の差は0と区別できない。太陽光は昼の価格を押し下げるが、夕方の価格を下げる証拠はない。</w:t>
      </w:r>
    </w:p>
    <w:p>
      <w:pPr>
        <w:pStyle w:val="CaptionedFigure"/>
      </w:pPr>
      <w:r>
        <w:drawing>
          <wp:inline>
            <wp:extent cx="5399999" cy="3983606"/>
            <wp:effectExtent b="0" l="0" r="0" t="0"/>
            <wp:docPr descr="図5.1　太陽光の多寡別の時刻別価格（北海道、FY2023〜25）" title="" id="90" name="Picture"/>
            <a:graphic>
              <a:graphicData uri="http://schemas.openxmlformats.org/drawingml/2006/picture">
                <pic:pic>
                  <pic:nvPicPr>
                    <pic:cNvPr descr="../figures/hokkaido/price_curve_shapes_fy2023-25.png" id="91" name="Picture"/>
                    <pic:cNvPicPr>
                      <a:picLocks noChangeArrowheads="1" noChangeAspect="1"/>
                    </pic:cNvPicPr>
                  </pic:nvPicPr>
                  <pic:blipFill>
                    <a:blip r:embed="rId89"/>
                    <a:stretch>
                      <a:fillRect/>
                    </a:stretch>
                  </pic:blipFill>
                  <pic:spPr bwMode="auto">
                    <a:xfrm>
                      <a:off x="0" y="0"/>
                      <a:ext cx="5399999" cy="3983606"/>
                    </a:xfrm>
                    <a:prstGeom prst="rect">
                      <a:avLst/>
                    </a:prstGeom>
                    <a:noFill/>
                    <a:ln w="9525">
                      <a:noFill/>
                      <a:headEnd/>
                      <a:tailEnd/>
                    </a:ln>
                  </pic:spPr>
                </pic:pic>
              </a:graphicData>
            </a:graphic>
          </wp:inline>
        </w:drawing>
      </w:r>
    </w:p>
    <w:p>
      <w:pPr>
        <w:pStyle w:val="ImageCaption"/>
      </w:pPr>
      <w:r>
        <w:rPr>
          <w:rFonts w:hint="eastAsia"/>
        </w:rPr>
        <w:t xml:space="preserve">図5.1</w:t>
      </w:r>
      <w:r>
        <w:t xml:space="preserve">　</w:t>
      </w:r>
      <w:r>
        <w:rPr>
          <w:rFonts w:hint="eastAsia"/>
        </w:rPr>
        <w:t xml:space="preserve">太陽光の多寡別の時刻別価格（北海道、FY2023〜25）</w:t>
      </w:r>
    </w:p>
    <w:p>
      <w:pPr>
        <w:pStyle w:val="TableNote"/>
      </w:pPr>
      <w:r>
        <w:rPr>
          <w:rFonts w:hint="eastAsia"/>
        </w:rPr>
        <w:t xml:space="preserve">注）各季節内で日次の太陽光発電量（制御前）が上位・下位3分の1の日の時刻別平均価格。</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図5.2</w:t>
      </w:r>
      <w:r>
        <w:t xml:space="preserve"> </w:t>
      </w:r>
      <w:r>
        <w:rPr>
          <w:rFonts w:hint="eastAsia"/>
        </w:rPr>
        <w:t xml:space="preserve">は同じ比較を風力について行ったものである。風力の多い日は少ない日より、全時間の平均で価格が1.2〜1.6円/kWh</w:t>
      </w:r>
      <w:r>
        <w:t xml:space="preserve"> </w:t>
      </w:r>
      <w:r>
        <w:rPr>
          <w:rFonts w:hint="eastAsia"/>
        </w:rPr>
        <w:t xml:space="preserve">低く、曲線の形はほぼ変わらない。風力の出力そのものの日内振幅（時刻別平均の最大値と最小値の差を平均で割った値）は季節別に14〜20%にとどまり、太陽光（315〜422%）より1桁以上小さい。風力は一日全体をほぼ一様に押し下げる。ただし厳密な平行移動ではなく、5.7節で見るとおり、価格の高い時間ほど円建てでやや大きく下げる。</w:t>
      </w:r>
    </w:p>
    <w:p>
      <w:pPr>
        <w:pStyle w:val="CaptionedFigure"/>
      </w:pPr>
      <w:r>
        <w:drawing>
          <wp:inline>
            <wp:extent cx="5399999" cy="3983606"/>
            <wp:effectExtent b="0" l="0" r="0" t="0"/>
            <wp:docPr descr="図5.2　風力の多寡別の時刻別価格（北海道、FY2023〜25）" title="" id="93" name="Picture"/>
            <a:graphic>
              <a:graphicData uri="http://schemas.openxmlformats.org/drawingml/2006/picture">
                <pic:pic>
                  <pic:nvPicPr>
                    <pic:cNvPr descr="../figures/hokkaido/wind_price_curves_fy2023-25.png" id="94" name="Picture"/>
                    <pic:cNvPicPr>
                      <a:picLocks noChangeArrowheads="1" noChangeAspect="1"/>
                    </pic:cNvPicPr>
                  </pic:nvPicPr>
                  <pic:blipFill>
                    <a:blip r:embed="rId92"/>
                    <a:stretch>
                      <a:fillRect/>
                    </a:stretch>
                  </pic:blipFill>
                  <pic:spPr bwMode="auto">
                    <a:xfrm>
                      <a:off x="0" y="0"/>
                      <a:ext cx="5399999" cy="3983606"/>
                    </a:xfrm>
                    <a:prstGeom prst="rect">
                      <a:avLst/>
                    </a:prstGeom>
                    <a:noFill/>
                    <a:ln w="9525">
                      <a:noFill/>
                      <a:headEnd/>
                      <a:tailEnd/>
                    </a:ln>
                  </pic:spPr>
                </pic:pic>
              </a:graphicData>
            </a:graphic>
          </wp:inline>
        </w:drawing>
      </w:r>
    </w:p>
    <w:p>
      <w:pPr>
        <w:pStyle w:val="ImageCaption"/>
      </w:pPr>
      <w:r>
        <w:rPr>
          <w:rFonts w:hint="eastAsia"/>
        </w:rPr>
        <w:t xml:space="preserve">図5.2</w:t>
      </w:r>
      <w:r>
        <w:t xml:space="preserve">　</w:t>
      </w:r>
      <w:r>
        <w:rPr>
          <w:rFonts w:hint="eastAsia"/>
        </w:rPr>
        <w:t xml:space="preserve">風力の多寡別の時刻別価格（北海道、FY2023〜25）</w:t>
      </w:r>
    </w:p>
    <w:p>
      <w:pPr>
        <w:pStyle w:val="TableNote"/>
      </w:pPr>
      <w:r>
        <w:rPr>
          <w:rFonts w:hint="eastAsia"/>
        </w:rPr>
        <w:t xml:space="preserve">注）各季節内で日次の風力発電量（制御前）が上位・下位3分の1の日の時刻別平均価格。</w:t>
      </w:r>
    </w:p>
    <w:p>
      <w:pPr>
        <w:pStyle w:val="TableNote"/>
      </w:pPr>
      <w:r>
        <w:rPr>
          <w:rFonts w:hint="eastAsia"/>
        </w:rPr>
        <w:t xml:space="preserve">出所）図5.1</w:t>
      </w:r>
      <w:r>
        <w:t xml:space="preserve"> </w:t>
      </w:r>
      <w:r>
        <w:rPr>
          <w:rFonts w:hint="eastAsia"/>
        </w:rPr>
        <w:t xml:space="preserve">と同じ。</w:t>
      </w:r>
    </w:p>
    <w:bookmarkEnd w:id="95"/>
    <w:bookmarkStart w:id="99" w:name="発電量の帯域分解"/>
    <w:p>
      <w:pPr>
        <w:pStyle w:val="Heading3"/>
      </w:pPr>
      <w:r>
        <w:t xml:space="preserve">5.2.2　</w:t>
      </w:r>
      <w:r>
        <w:rPr>
          <w:rFonts w:hint="eastAsia"/>
        </w:rPr>
        <w:t xml:space="preserve">発電量の帯域分解</w:t>
      </w:r>
    </w:p>
    <w:p>
      <w:pPr>
        <w:pStyle w:val="FirstParagraph"/>
      </w:pPr>
      <w:r>
        <w:rPr>
          <w:rFonts w:hint="eastAsia"/>
        </w:rPr>
        <w:t xml:space="preserve">表5.1</w:t>
      </w:r>
      <w:r>
        <w:t xml:space="preserve"> は FY2023〜25 </w:t>
      </w:r>
      <w:r>
        <w:rPr>
          <w:rFonts w:hint="eastAsia"/>
        </w:rPr>
        <w:t xml:space="preserve">の設備利用率の帯域分解である。北海道の風力は分散の約7割が1日を超える帯域にあり、日内の2帯域の合計は約1割にとどまる。北海道の太陽光は6〜24時間の帯域が約3分の2を占める。九州の風力と太陽光も同じ構造を示し、帯域の構造は地域ではなく電源種の性質である。年度別の分解（図5.3）でも、風力の導入量が約4倍になった10年間に、北海道の風力の帯域シェアはほとんど変わらない。</w:t>
      </w:r>
    </w:p>
    <w:p>
      <w:pPr>
        <w:pStyle w:val="TableCaption"/>
      </w:pPr>
      <w:r>
        <w:rPr>
          <w:rFonts w:hint="eastAsia"/>
        </w:rPr>
        <w:t xml:space="preserve">表5.1</w:t>
      </w:r>
      <w:r>
        <w:t xml:space="preserve">　</w:t>
      </w:r>
      <w:r>
        <w:rPr>
          <w:rFonts w:hint="eastAsia"/>
        </w:rPr>
        <w:t xml:space="preserve">制御前出力の帯域分解（設備利用率、FY2023〜25）</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5.1　制御前出力の帯域分解（設備利用率、FY2023〜25）"/>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帯域</w:t>
            </w:r>
          </w:p>
        </w:tc>
        <w:tc>
          <w:tcPr>
            <w:tcBorders>
              <w:bottom w:val="single" w:sz="6" w:color="000000"/>
            </w:tcBorders>
          </w:tcPr>
          <w:p>
            <w:pPr>
              <w:pStyle w:val="Compact"/>
              <w:jc w:val="right"/>
            </w:pPr>
            <w:r>
              <w:rPr>
                <w:rFonts w:hint="eastAsia"/>
                <w:sz w:val="18"/>
              </w:rPr>
              <w:t xml:space="preserve">北海道・風力</w:t>
            </w:r>
          </w:p>
        </w:tc>
        <w:tc>
          <w:tcPr>
            <w:tcBorders>
              <w:bottom w:val="single" w:sz="6" w:color="000000"/>
            </w:tcBorders>
          </w:tcPr>
          <w:p>
            <w:pPr>
              <w:pStyle w:val="Compact"/>
              <w:jc w:val="right"/>
            </w:pPr>
            <w:r>
              <w:rPr>
                <w:rFonts w:hint="eastAsia"/>
                <w:sz w:val="18"/>
              </w:rPr>
              <w:t xml:space="preserve">北海道・太陽光</w:t>
            </w:r>
          </w:p>
        </w:tc>
        <w:tc>
          <w:tcPr>
            <w:tcBorders>
              <w:bottom w:val="single" w:sz="6" w:color="000000"/>
            </w:tcBorders>
          </w:tcPr>
          <w:p>
            <w:pPr>
              <w:pStyle w:val="Compact"/>
              <w:jc w:val="right"/>
            </w:pPr>
            <w:r>
              <w:rPr>
                <w:rFonts w:hint="eastAsia"/>
                <w:sz w:val="18"/>
              </w:rPr>
              <w:t xml:space="preserve">九州・風力</w:t>
            </w:r>
          </w:p>
        </w:tc>
        <w:tc>
          <w:tcPr>
            <w:tcBorders>
              <w:bottom w:val="single" w:sz="6" w:color="000000"/>
            </w:tcBorders>
          </w:tcPr>
          <w:p>
            <w:pPr>
              <w:pStyle w:val="Compact"/>
              <w:jc w:val="right"/>
            </w:pPr>
            <w:r>
              <w:rPr>
                <w:rFonts w:hint="eastAsia"/>
                <w:sz w:val="18"/>
              </w:rPr>
              <w:t xml:space="preserve">九州・太陽光</w:t>
            </w:r>
          </w:p>
        </w:tc>
      </w:tr>
      <w:tr>
        <w:tc>
          <w:tcPr/>
          <w:p>
            <w:pPr>
              <w:pStyle w:val="Compact"/>
            </w:pPr>
            <w:r>
              <w:rPr>
                <w:rFonts w:hint="eastAsia"/>
                <w:sz w:val="18"/>
              </w:rPr>
              <w:t xml:space="preserve">6時間未満</w:t>
            </w:r>
          </w:p>
        </w:tc>
        <w:tc>
          <w:tcPr/>
          <w:p>
            <w:pPr>
              <w:pStyle w:val="Compact"/>
              <w:jc w:val="right"/>
            </w:pPr>
            <w:r>
              <w:rPr>
                <w:sz w:val="18"/>
              </w:rPr>
              <w:t xml:space="preserve">1.9</w:t>
            </w:r>
          </w:p>
        </w:tc>
        <w:tc>
          <w:tcPr/>
          <w:p>
            <w:pPr>
              <w:pStyle w:val="Compact"/>
              <w:jc w:val="right"/>
            </w:pPr>
            <w:r>
              <w:rPr>
                <w:sz w:val="18"/>
              </w:rPr>
              <w:t xml:space="preserve">6.0</w:t>
            </w:r>
          </w:p>
        </w:tc>
        <w:tc>
          <w:tcPr/>
          <w:p>
            <w:pPr>
              <w:pStyle w:val="Compact"/>
              <w:jc w:val="right"/>
            </w:pPr>
            <w:r>
              <w:rPr>
                <w:sz w:val="18"/>
              </w:rPr>
              <w:t xml:space="preserve">1.9</w:t>
            </w:r>
          </w:p>
        </w:tc>
        <w:tc>
          <w:tcPr/>
          <w:p>
            <w:pPr>
              <w:pStyle w:val="Compact"/>
              <w:jc w:val="right"/>
            </w:pPr>
            <w:r>
              <w:rPr>
                <w:sz w:val="18"/>
              </w:rPr>
              <w:t xml:space="preserve">6.2</w:t>
            </w:r>
          </w:p>
        </w:tc>
      </w:tr>
      <w:tr>
        <w:tc>
          <w:tcPr/>
          <w:p>
            <w:pPr>
              <w:pStyle w:val="Compact"/>
            </w:pPr>
            <w:r>
              <w:rPr>
                <w:rFonts w:hint="eastAsia"/>
                <w:sz w:val="18"/>
              </w:rPr>
              <w:t xml:space="preserve">6〜24時間</w:t>
            </w:r>
          </w:p>
        </w:tc>
        <w:tc>
          <w:tcPr/>
          <w:p>
            <w:pPr>
              <w:pStyle w:val="Compact"/>
              <w:jc w:val="right"/>
            </w:pPr>
            <w:r>
              <w:rPr>
                <w:sz w:val="18"/>
              </w:rPr>
              <w:t xml:space="preserve">8.6</w:t>
            </w:r>
          </w:p>
        </w:tc>
        <w:tc>
          <w:tcPr/>
          <w:p>
            <w:pPr>
              <w:pStyle w:val="Compact"/>
              <w:jc w:val="right"/>
            </w:pPr>
            <w:r>
              <w:rPr>
                <w:sz w:val="18"/>
              </w:rPr>
              <w:t xml:space="preserve">65.6</w:t>
            </w:r>
          </w:p>
        </w:tc>
        <w:tc>
          <w:tcPr/>
          <w:p>
            <w:pPr>
              <w:pStyle w:val="Compact"/>
              <w:jc w:val="right"/>
            </w:pPr>
            <w:r>
              <w:rPr>
                <w:sz w:val="18"/>
              </w:rPr>
              <w:t xml:space="preserve">7.8</w:t>
            </w:r>
          </w:p>
        </w:tc>
        <w:tc>
          <w:tcPr/>
          <w:p>
            <w:pPr>
              <w:pStyle w:val="Compact"/>
              <w:jc w:val="right"/>
            </w:pPr>
            <w:r>
              <w:rPr>
                <w:sz w:val="18"/>
              </w:rPr>
              <w:t xml:space="preserve">65.4</w:t>
            </w:r>
          </w:p>
        </w:tc>
      </w:tr>
      <w:tr>
        <w:tc>
          <w:tcPr/>
          <w:p>
            <w:pPr>
              <w:pStyle w:val="Compact"/>
            </w:pPr>
            <w:r>
              <w:rPr>
                <w:rFonts w:hint="eastAsia"/>
                <w:sz w:val="18"/>
              </w:rPr>
              <w:t xml:space="preserve">1〜7日</w:t>
            </w:r>
          </w:p>
        </w:tc>
        <w:tc>
          <w:tcPr/>
          <w:p>
            <w:pPr>
              <w:pStyle w:val="Compact"/>
              <w:jc w:val="right"/>
            </w:pPr>
            <w:r>
              <w:rPr>
                <w:sz w:val="18"/>
              </w:rPr>
              <w:t xml:space="preserve">40.8</w:t>
            </w:r>
          </w:p>
        </w:tc>
        <w:tc>
          <w:tcPr/>
          <w:p>
            <w:pPr>
              <w:pStyle w:val="Compact"/>
              <w:jc w:val="right"/>
            </w:pPr>
            <w:r>
              <w:rPr>
                <w:sz w:val="18"/>
              </w:rPr>
              <w:t xml:space="preserve">4.2</w:t>
            </w:r>
          </w:p>
        </w:tc>
        <w:tc>
          <w:tcPr/>
          <w:p>
            <w:pPr>
              <w:pStyle w:val="Compact"/>
              <w:jc w:val="right"/>
            </w:pPr>
            <w:r>
              <w:rPr>
                <w:sz w:val="18"/>
              </w:rPr>
              <w:t xml:space="preserve">43.3</w:t>
            </w:r>
          </w:p>
        </w:tc>
        <w:tc>
          <w:tcPr/>
          <w:p>
            <w:pPr>
              <w:pStyle w:val="Compact"/>
              <w:jc w:val="right"/>
            </w:pPr>
            <w:r>
              <w:rPr>
                <w:sz w:val="18"/>
              </w:rPr>
              <w:t xml:space="preserve">4.8</w:t>
            </w:r>
          </w:p>
        </w:tc>
      </w:tr>
      <w:tr>
        <w:tc>
          <w:tcPr/>
          <w:p>
            <w:pPr>
              <w:pStyle w:val="Compact"/>
            </w:pPr>
            <w:r>
              <w:rPr>
                <w:rFonts w:hint="eastAsia"/>
                <w:sz w:val="18"/>
              </w:rPr>
              <w:t xml:space="preserve">7日超</w:t>
            </w:r>
          </w:p>
        </w:tc>
        <w:tc>
          <w:tcPr/>
          <w:p>
            <w:pPr>
              <w:pStyle w:val="Compact"/>
              <w:jc w:val="right"/>
            </w:pPr>
            <w:r>
              <w:rPr>
                <w:sz w:val="18"/>
              </w:rPr>
              <w:t xml:space="preserve">31.2</w:t>
            </w:r>
          </w:p>
        </w:tc>
        <w:tc>
          <w:tcPr/>
          <w:p>
            <w:pPr>
              <w:pStyle w:val="Compact"/>
              <w:jc w:val="right"/>
            </w:pPr>
            <w:r>
              <w:rPr>
                <w:sz w:val="18"/>
              </w:rPr>
              <w:t xml:space="preserve">4.4</w:t>
            </w:r>
          </w:p>
        </w:tc>
        <w:tc>
          <w:tcPr/>
          <w:p>
            <w:pPr>
              <w:pStyle w:val="Compact"/>
              <w:jc w:val="right"/>
            </w:pPr>
            <w:r>
              <w:rPr>
                <w:sz w:val="18"/>
              </w:rPr>
              <w:t xml:space="preserve">29.2</w:t>
            </w:r>
          </w:p>
        </w:tc>
        <w:tc>
          <w:tcPr/>
          <w:p>
            <w:pPr>
              <w:pStyle w:val="Compact"/>
              <w:jc w:val="right"/>
            </w:pPr>
            <w:r>
              <w:rPr>
                <w:sz w:val="18"/>
              </w:rPr>
              <w:t xml:space="preserve">3.2</w:t>
            </w:r>
          </w:p>
        </w:tc>
      </w:tr>
    </w:tbl>
    <w:p>
      <w:pPr>
        <w:pStyle w:val="TableNote"/>
      </w:pPr>
      <w:r>
        <w:rPr>
          <w:rFonts w:hint="eastAsia"/>
        </w:rPr>
        <w:t xml:space="preserve">注）単位は%。式(5.1)の各成分の分散を元の系列の分散で割った値で、成分が直交しないため合計は100%にならない。</w:t>
      </w:r>
    </w:p>
    <w:p>
      <w:pPr>
        <w:pStyle w:val="TableNote"/>
      </w:pPr>
      <w:r>
        <w:rPr>
          <w:rFonts w:hint="eastAsia"/>
        </w:rPr>
        <w:t xml:space="preserve">出所）北海道電力ネットワーク・九州電力送配電『エリア需給実績』、資源エネルギー庁『固定価格買取制度</w:t>
      </w:r>
      <w:r>
        <w:t xml:space="preserve"> </w:t>
      </w:r>
      <w:r>
        <w:rPr>
          <w:rFonts w:hint="eastAsia"/>
        </w:rPr>
        <w:t xml:space="preserve">情報公表用ウェブサイト』より筆者作成。</w:t>
      </w:r>
    </w:p>
    <w:p>
      <w:pPr>
        <w:pStyle w:val="CaptionedFigure"/>
      </w:pPr>
      <w:r>
        <w:drawing>
          <wp:inline>
            <wp:extent cx="5399999" cy="3098360"/>
            <wp:effectExtent b="0" l="0" r="0" t="0"/>
            <wp:docPr descr="図5.3　北海道の風力の帯域分解の年度別推移" title="" id="97" name="Picture"/>
            <a:graphic>
              <a:graphicData uri="http://schemas.openxmlformats.org/drawingml/2006/picture">
                <pic:pic>
                  <pic:nvPicPr>
                    <pic:cNvPr descr="../figures/hokkaido/wind_bands_timeseries.png" id="98" name="Picture"/>
                    <pic:cNvPicPr>
                      <a:picLocks noChangeArrowheads="1" noChangeAspect="1"/>
                    </pic:cNvPicPr>
                  </pic:nvPicPr>
                  <pic:blipFill>
                    <a:blip r:embed="rId96"/>
                    <a:stretch>
                      <a:fillRect/>
                    </a:stretch>
                  </pic:blipFill>
                  <pic:spPr bwMode="auto">
                    <a:xfrm>
                      <a:off x="0" y="0"/>
                      <a:ext cx="5399999" cy="3098360"/>
                    </a:xfrm>
                    <a:prstGeom prst="rect">
                      <a:avLst/>
                    </a:prstGeom>
                    <a:noFill/>
                    <a:ln w="9525">
                      <a:noFill/>
                      <a:headEnd/>
                      <a:tailEnd/>
                    </a:ln>
                  </pic:spPr>
                </pic:pic>
              </a:graphicData>
            </a:graphic>
          </wp:inline>
        </w:drawing>
      </w:r>
    </w:p>
    <w:p>
      <w:pPr>
        <w:pStyle w:val="ImageCaption"/>
      </w:pPr>
      <w:r>
        <w:rPr>
          <w:rFonts w:hint="eastAsia"/>
        </w:rPr>
        <w:t xml:space="preserve">図5.3</w:t>
      </w:r>
      <w:r>
        <w:t xml:space="preserve">　</w:t>
      </w:r>
      <w:r>
        <w:rPr>
          <w:rFonts w:hint="eastAsia"/>
        </w:rPr>
        <w:t xml:space="preserve">北海道の風力の帯域分解の年度別推移</w:t>
      </w:r>
    </w:p>
    <w:p>
      <w:pPr>
        <w:pStyle w:val="TableNote"/>
      </w:pPr>
      <w:r>
        <w:rPr>
          <w:rFonts w:hint="eastAsia"/>
        </w:rPr>
        <w:t xml:space="preserve">注）式(5.1)の分散シェアを年度ごとの系列で計算した値。図の系列は出力制御後の発電量で、制御前の系列で計算した値との差は0.1ポイント以下である。</w:t>
      </w:r>
    </w:p>
    <w:p>
      <w:pPr>
        <w:pStyle w:val="TableNote"/>
      </w:pPr>
      <w:r>
        <w:rPr>
          <w:rFonts w:hint="eastAsia"/>
        </w:rPr>
        <w:t xml:space="preserve">出所）北海道電力ネットワーク『エリア需給実績』より筆者作成。</w:t>
      </w:r>
    </w:p>
    <w:p>
      <w:pPr>
        <w:pStyle w:val="BodyText"/>
      </w:pPr>
      <w:r>
        <w:rPr>
          <w:rFonts w:hint="eastAsia"/>
        </w:rPr>
        <w:t xml:space="preserve">風力の6時間未満の帯域が2%弱と小さいことは、地点間の相関が低い高周波の成分がフリートの集約で相殺されることと整合的である（St.</w:t>
      </w:r>
      <w:r>
        <w:t xml:space="preserve"> Martin et al., </w:t>
      </w:r>
      <w:r>
        <w:rPr>
          <w:rFonts w:hint="eastAsia"/>
        </w:rPr>
        <w:t xml:space="preserve">2015）。出力変動緩和の技術要件のない九州の風力も同じ1.9%である（3.6.4項）。太陽光の6時間未満の帯域は、日の出・日の入りという日周の決定的な形から生じるので、比較の基準にはならない。</w:t>
      </w:r>
    </w:p>
    <w:bookmarkEnd w:id="99"/>
    <w:bookmarkStart w:id="103" w:name="発電量と価格の水準日内形状"/>
    <w:p>
      <w:pPr>
        <w:pStyle w:val="Heading3"/>
      </w:pPr>
      <w:r>
        <w:t xml:space="preserve">5.2.3　</w:t>
      </w:r>
      <w:r>
        <w:rPr>
          <w:rFonts w:hint="eastAsia"/>
        </w:rPr>
        <w:t xml:space="preserve">発電量と価格の水準・日内形状</w:t>
      </w:r>
    </w:p>
    <w:p>
      <w:pPr>
        <w:pStyle w:val="FirstParagraph"/>
      </w:pPr>
      <w:r>
        <w:rPr>
          <w:rFonts w:hint="eastAsia"/>
        </w:rPr>
        <w:t xml:space="preserve">図5.4</w:t>
      </w:r>
      <w:r>
        <w:t xml:space="preserve"> は、FY2023〜25 </w:t>
      </w:r>
      <w:r>
        <w:rPr>
          <w:rFonts w:hint="eastAsia"/>
        </w:rPr>
        <w:t xml:space="preserve">の各季節で日を日次発電量の五分位に分け、日平均価格と</w:t>
      </w:r>
      <w:r>
        <w:t xml:space="preserve"> TB4h </w:t>
      </w:r>
      <w:r>
        <w:rPr>
          <w:rFonts w:hint="eastAsia"/>
        </w:rPr>
        <w:t xml:space="preserve">を示したものである。他の要因を統制しない記述統計である。風力は発電量が増えるほど水準を下げ、冬と不需要期では第1五分位と第5五分位の差の区間が0を含まない。TB4h</w:t>
      </w:r>
      <w:r>
        <w:t xml:space="preserve"> </w:t>
      </w:r>
      <w:r>
        <w:rPr>
          <w:rFonts w:hint="eastAsia"/>
        </w:rPr>
        <w:t xml:space="preserve">は冬と不需要期で縮み、夏は広がるが、区間はいずれも0を含み、記述上の差にとどまる。太陽光は水準を下げるとともに</w:t>
      </w:r>
      <w:r>
        <w:t xml:space="preserve"> TB4h </w:t>
      </w:r>
      <w:r>
        <w:rPr>
          <w:rFonts w:hint="eastAsia"/>
        </w:rPr>
        <w:t xml:space="preserve">を広げ、夏と不需要期の拡大の区間は0を含まない。風力が</w:t>
      </w:r>
      <w:r>
        <w:t xml:space="preserve"> TB4h </w:t>
      </w:r>
      <w:r>
        <w:rPr>
          <w:rFonts w:hint="eastAsia"/>
        </w:rPr>
        <w:t xml:space="preserve">を広げるかどうかの判断は、図ではなく次節の回帰に基づく。</w:t>
      </w:r>
    </w:p>
    <w:p>
      <w:pPr>
        <w:pStyle w:val="CaptionedFigure"/>
      </w:pPr>
      <w:r>
        <w:drawing>
          <wp:inline>
            <wp:extent cx="5399999" cy="6727868"/>
            <wp:effectExtent b="0" l="0" r="0" t="0"/>
            <wp:docPr descr="図5.4　日次発電量の五分位別の日平均価格と TB4h（北海道、FY2023〜25）" title="" id="101" name="Picture"/>
            <a:graphic>
              <a:graphicData uri="http://schemas.openxmlformats.org/drawingml/2006/picture">
                <pic:pic>
                  <pic:nvPicPr>
                    <pic:cNvPr descr="../figures/hokkaido/gen_vs_price_shape_ci.png" id="102" name="Picture"/>
                    <pic:cNvPicPr>
                      <a:picLocks noChangeArrowheads="1" noChangeAspect="1"/>
                    </pic:cNvPicPr>
                  </pic:nvPicPr>
                  <pic:blipFill>
                    <a:blip r:embed="rId100"/>
                    <a:stretch>
                      <a:fillRect/>
                    </a:stretch>
                  </pic:blipFill>
                  <pic:spPr bwMode="auto">
                    <a:xfrm>
                      <a:off x="0" y="0"/>
                      <a:ext cx="5399999" cy="6727868"/>
                    </a:xfrm>
                    <a:prstGeom prst="rect">
                      <a:avLst/>
                    </a:prstGeom>
                    <a:noFill/>
                    <a:ln w="9525">
                      <a:noFill/>
                      <a:headEnd/>
                      <a:tailEnd/>
                    </a:ln>
                  </pic:spPr>
                </pic:pic>
              </a:graphicData>
            </a:graphic>
          </wp:inline>
        </w:drawing>
      </w:r>
    </w:p>
    <w:p>
      <w:pPr>
        <w:pStyle w:val="ImageCaption"/>
      </w:pPr>
      <w:r>
        <w:rPr>
          <w:rFonts w:hint="eastAsia"/>
        </w:rPr>
        <w:t xml:space="preserve">図5.4</w:t>
      </w:r>
      <w:r>
        <w:t xml:space="preserve">　</w:t>
      </w:r>
      <w:r>
        <w:rPr>
          <w:rFonts w:hint="eastAsia"/>
        </w:rPr>
        <w:t xml:space="preserve">日次発電量の五分位別の日平均価格と</w:t>
      </w:r>
      <w:r>
        <w:t xml:space="preserve"> </w:t>
      </w:r>
      <w:r>
        <w:rPr>
          <w:rFonts w:hint="eastAsia"/>
        </w:rPr>
        <w:t xml:space="preserve">TB4h（北海道、FY2023〜25）</w:t>
      </w:r>
    </w:p>
    <w:p>
      <w:pPr>
        <w:pStyle w:val="TableNote"/>
      </w:pPr>
      <w:r>
        <w:rPr>
          <w:rFonts w:hint="eastAsia"/>
        </w:rPr>
        <w:t xml:space="preserve">注）各季節で日次発電量（制御前）の五分位に日を分けた群平均。誤差棒と、各パネルに記した第5五分位と第1五分位の差の</w:t>
      </w:r>
      <w:r>
        <w:t xml:space="preserve"> [ ] </w:t>
      </w:r>
      <w:r>
        <w:rPr>
          <w:rFonts w:hint="eastAsia"/>
        </w:rPr>
        <w:t xml:space="preserve">内は、日単位の14日移動ブロック・ブートストラップ（999回）による95%区間。</w:t>
      </w:r>
    </w:p>
    <w:p>
      <w:pPr>
        <w:pStyle w:val="TableNote"/>
      </w:pPr>
      <w:r>
        <w:rPr>
          <w:rFonts w:hint="eastAsia"/>
        </w:rPr>
        <w:t xml:space="preserve">出所）図5.1</w:t>
      </w:r>
      <w:r>
        <w:t xml:space="preserve"> </w:t>
      </w:r>
      <w:r>
        <w:rPr>
          <w:rFonts w:hint="eastAsia"/>
        </w:rPr>
        <w:t xml:space="preserve">と同じ。</w:t>
      </w:r>
    </w:p>
    <w:bookmarkEnd w:id="103"/>
    <w:bookmarkEnd w:id="104"/>
    <w:bookmarkStart w:id="108" w:name="日次回帰による推定"/>
    <w:p>
      <w:pPr>
        <w:pStyle w:val="Heading2"/>
      </w:pPr>
      <w:r>
        <w:t xml:space="preserve">5.3　</w:t>
      </w:r>
      <w:r>
        <w:rPr>
          <w:rFonts w:hint="eastAsia"/>
        </w:rPr>
        <w:t xml:space="preserve">日次回帰による推定</w:t>
      </w:r>
    </w:p>
    <w:bookmarkStart w:id="105" w:name="北海道の水準と日内形状"/>
    <w:p>
      <w:pPr>
        <w:pStyle w:val="Heading3"/>
      </w:pPr>
      <w:r>
        <w:t xml:space="preserve">5.3.1　</w:t>
      </w:r>
      <w:r>
        <w:rPr>
          <w:rFonts w:hint="eastAsia"/>
        </w:rPr>
        <w:t xml:space="preserve">北海道の水準と日内形状</w:t>
      </w:r>
    </w:p>
    <w:p>
      <w:pPr>
        <w:pStyle w:val="FirstParagraph"/>
      </w:pPr>
      <w:r>
        <w:rPr>
          <w:rFonts w:hint="eastAsia"/>
        </w:rPr>
        <w:t xml:space="preserve">表5.2</w:t>
      </w:r>
      <w:r>
        <w:t xml:space="preserve"> </w:t>
      </w:r>
      <w:r>
        <w:rPr>
          <w:rFonts w:hint="eastAsia"/>
        </w:rPr>
        <w:t xml:space="preserve">は式(5.2)の推定結果である。北海道では、太陽光と風力はいずれも全季節で水準を下げ、太陽光・冬（10%水準）を除いて1%水準で有意である。</w:t>
      </w:r>
    </w:p>
    <w:p>
      <w:pPr>
        <w:pStyle w:val="BodyText"/>
      </w:pPr>
      <w:r>
        <w:rPr>
          <w:rFonts w:hint="eastAsia"/>
        </w:rPr>
        <w:t xml:space="preserve">日内形状への効き方は電源種で分かれる。太陽光は不需要期に</w:t>
      </w:r>
      <w:r>
        <w:t xml:space="preserve"> TB4h </w:t>
      </w:r>
      <w:r>
        <w:rPr>
          <w:rFonts w:hint="eastAsia"/>
        </w:rPr>
        <w:t xml:space="preserve">を広げる。主仕様では系列相関を考慮すると精度が低い（EWC</w:t>
      </w:r>
      <w:r>
        <w:t xml:space="preserve"> の </w:t>
      </w:r>
      <w:r>
        <w:rPr>
          <w:rFonts w:hint="eastAsia"/>
        </w:rPr>
        <w:t xml:space="preserve">p=0.14）が、同じ月の中の日々の変動で識別すると係数は大きくなって1%水準で有意となり（5.9節）、日内標準偏差への係数も主仕様の+0.09（EWC</w:t>
      </w:r>
      <w:r>
        <w:t xml:space="preserve"> の </w:t>
      </w:r>
      <w:r>
        <w:rPr>
          <w:rFonts w:hint="eastAsia"/>
        </w:rPr>
        <w:t xml:space="preserve">p=0.12）から+0.15（1%水準で有意）になる。FY2023〜25</w:t>
      </w:r>
      <w:r>
        <w:t xml:space="preserve"> </w:t>
      </w:r>
      <w:r>
        <w:rPr>
          <w:rFonts w:hint="eastAsia"/>
        </w:rPr>
        <w:t xml:space="preserve">に限ると、不需要期（+0.35）と夏（+0.30）の係数はいずれも1%水準で有意である。主仕様で冬に見られる太陽光の負の係数は、日射の多い2月にスプレッドが小さく、日射の少ない12〜1月に大きいという月の違いと、2021年1月の価格高騰を拾ったもので、頑健でない（年月固定効果の下では正で有意でない）。</w:t>
      </w:r>
    </w:p>
    <w:p>
      <w:pPr>
        <w:pStyle w:val="BodyText"/>
      </w:pPr>
      <w:r>
        <w:rPr>
          <w:rFonts w:hint="eastAsia"/>
        </w:rPr>
        <w:t xml:space="preserve">風力の</w:t>
      </w:r>
      <w:r>
        <w:t xml:space="preserve"> TB4h </w:t>
      </w:r>
      <w:r>
        <w:rPr>
          <w:rFonts w:hint="eastAsia"/>
        </w:rPr>
        <w:t xml:space="preserve">への係数は、冬に負で5%水準で有意、夏と不需要期は有意でない。どの季節でも、風力が</w:t>
      </w:r>
      <w:r>
        <w:t xml:space="preserve"> TB4h </w:t>
      </w:r>
      <w:r>
        <w:rPr>
          <w:rFonts w:hint="eastAsia"/>
        </w:rPr>
        <w:t xml:space="preserve">を広げる頑健な証拠はない。EWC</w:t>
      </w:r>
      <w:r>
        <w:t xml:space="preserve"> </w:t>
      </w:r>
      <w:r>
        <w:rPr>
          <w:rFonts w:hint="eastAsia"/>
        </w:rPr>
        <w:t xml:space="preserve">の95%区間の上限を年度内の日次発電量1標準偏差あたりに直すと、3季節の区分では季節平均</w:t>
      </w:r>
      <w:r>
        <w:t xml:space="preserve"> TB4h </w:t>
      </w:r>
      <w:r>
        <w:rPr>
          <w:rFonts w:hint="eastAsia"/>
        </w:rPr>
        <w:t xml:space="preserve">の3.0〜5.3%（FY2023〜25</w:t>
      </w:r>
      <w:r>
        <w:t xml:space="preserve"> </w:t>
      </w:r>
      <w:r>
        <w:rPr>
          <w:rFonts w:hint="eastAsia"/>
        </w:rPr>
        <w:t xml:space="preserve">の夏だけ10.9%、+1.20円/kWh）であり（FY2016〜25</w:t>
      </w:r>
      <w:r>
        <w:t xml:space="preserve"> </w:t>
      </w:r>
      <w:r>
        <w:rPr>
          <w:rFonts w:hint="eastAsia"/>
        </w:rPr>
        <w:t xml:space="preserve">の冬は区間全体が負）、効果があっても小さい。この区分では、5.9節で比べるどの推論法・仕様・標本でも正に有意にならない。ただし不需要期を暦月の春と秋に分けると、FY2023〜25</w:t>
      </w:r>
      <w:r>
        <w:t xml:space="preserve"> </w:t>
      </w:r>
      <w:r>
        <w:rPr>
          <w:rFonts w:hint="eastAsia"/>
        </w:rPr>
        <w:t xml:space="preserve">の春に境界的な正の係数があり（主仕様で+0.084、EWC</w:t>
      </w:r>
      <w:r>
        <w:t xml:space="preserve"> の </w:t>
      </w:r>
      <w:r>
        <w:rPr>
          <w:rFonts w:hint="eastAsia"/>
        </w:rPr>
        <w:t xml:space="preserve">p=0.13）、上限は春の平均</w:t>
      </w:r>
      <w:r>
        <w:t xml:space="preserve"> TB4h </w:t>
      </w:r>
      <w:r>
        <w:rPr>
          <w:rFonts w:hint="eastAsia"/>
        </w:rPr>
        <w:t xml:space="preserve">の7.4%と、3季節の区分の範囲を上回る。春の係数は、年月固定効果に価格のラグを加えた仕様では5%水準で（p=0.024）、Fuke</w:t>
      </w:r>
      <w:r>
        <w:t xml:space="preserve"> and </w:t>
      </w:r>
      <w:r>
        <w:rPr>
          <w:rFonts w:hint="eastAsia"/>
        </w:rPr>
        <w:t xml:space="preserve">Ohashi（2025）の仕様の春では1%水準で有意となる（5.8節）。ただし、どちらも右辺のラグ価格が誤差と相関しうる仕様である。</w:t>
      </w:r>
    </w:p>
    <w:p>
      <w:pPr>
        <w:pStyle w:val="TableCaption"/>
      </w:pPr>
      <w:r>
        <w:rPr>
          <w:rFonts w:hint="eastAsia"/>
        </w:rPr>
        <w:t xml:space="preserve">表5.2</w:t>
      </w:r>
      <w:r>
        <w:t xml:space="preserve">　</w:t>
      </w:r>
      <w:r>
        <w:rPr>
          <w:rFonts w:hint="eastAsia"/>
        </w:rPr>
        <w:t xml:space="preserve">日次回帰の係数</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5.2　日次回帰の係数"/>
      </w:tblPr>
      <w:tblGrid>
        <w:gridCol w:w="1584"/>
        <w:gridCol w:w="1584"/>
        <w:gridCol w:w="1584"/>
        <w:gridCol w:w="1584"/>
        <w:gridCol w:w="1584"/>
      </w:tblGrid>
      <w:tr>
        <w:trPr>
          <w:tblHeader w:val="on"/>
        </w:trPr>
        <w:tc>
          <w:tcPr>
            <w:tcBorders>
              <w:bottom w:val="single" w:sz="6" w:color="000000"/>
            </w:tcBorders>
          </w:tcPr>
          <w:p>
            <w:pPr>
              <w:pStyle w:val="Compact"/>
            </w:pPr>
          </w:p>
        </w:tc>
        <w:tc>
          <w:tcPr>
            <w:tcBorders>
              <w:bottom w:val="single" w:sz="6" w:color="000000"/>
            </w:tcBorders>
          </w:tcPr>
          <w:p>
            <w:pPr>
              <w:pStyle w:val="Compact"/>
              <w:jc w:val="right"/>
            </w:pPr>
            <w:r>
              <w:rPr>
                <w:sz w:val="18"/>
              </w:rPr>
              <w:t xml:space="preserve">(1)</w:t>
            </w:r>
          </w:p>
        </w:tc>
        <w:tc>
          <w:tcPr>
            <w:tcBorders>
              <w:bottom w:val="single" w:sz="6" w:color="000000"/>
            </w:tcBorders>
          </w:tcPr>
          <w:p>
            <w:pPr>
              <w:pStyle w:val="Compact"/>
              <w:jc w:val="right"/>
            </w:pPr>
            <w:r>
              <w:rPr>
                <w:sz w:val="18"/>
              </w:rPr>
              <w:t xml:space="preserve">(2)</w:t>
            </w:r>
          </w:p>
        </w:tc>
        <w:tc>
          <w:tcPr>
            <w:tcBorders>
              <w:bottom w:val="single" w:sz="6" w:color="000000"/>
            </w:tcBorders>
          </w:tcPr>
          <w:p>
            <w:pPr>
              <w:pStyle w:val="Compact"/>
              <w:jc w:val="right"/>
            </w:pPr>
            <w:r>
              <w:rPr>
                <w:sz w:val="18"/>
              </w:rPr>
              <w:t xml:space="preserve">(3)</w:t>
            </w:r>
          </w:p>
        </w:tc>
        <w:tc>
          <w:tcPr>
            <w:tcBorders>
              <w:bottom w:val="single" w:sz="6" w:color="000000"/>
            </w:tcBorders>
          </w:tcPr>
          <w:p>
            <w:pPr>
              <w:pStyle w:val="Compact"/>
              <w:jc w:val="right"/>
            </w:pPr>
            <w:r>
              <w:rPr>
                <w:sz w:val="18"/>
              </w:rPr>
              <w:t xml:space="preserve">(4)</w:t>
            </w:r>
          </w:p>
        </w:tc>
      </w:tr>
      <w:tr>
        <w:tc>
          <w:tcPr/>
          <w:p>
            <w:pPr>
              <w:pStyle w:val="Compact"/>
            </w:pPr>
            <w:r>
              <w:rPr>
                <w:sz w:val="18"/>
              </w:rPr>
              <w:t xml:space="preserve">エリア</w:t>
            </w:r>
          </w:p>
        </w:tc>
        <w:tc>
          <w:tcPr/>
          <w:p>
            <w:pPr>
              <w:pStyle w:val="Compact"/>
              <w:jc w:val="right"/>
            </w:pPr>
            <w:r>
              <w:rPr>
                <w:rFonts w:hint="eastAsia"/>
                <w:sz w:val="18"/>
              </w:rPr>
              <w:t xml:space="preserve">北海道</w:t>
            </w:r>
          </w:p>
        </w:tc>
        <w:tc>
          <w:tcPr/>
          <w:p>
            <w:pPr>
              <w:pStyle w:val="Compact"/>
              <w:jc w:val="right"/>
            </w:pPr>
            <w:r>
              <w:rPr>
                <w:rFonts w:hint="eastAsia"/>
                <w:sz w:val="18"/>
              </w:rPr>
              <w:t xml:space="preserve">北海道</w:t>
            </w:r>
          </w:p>
        </w:tc>
        <w:tc>
          <w:tcPr/>
          <w:p>
            <w:pPr>
              <w:pStyle w:val="Compact"/>
              <w:jc w:val="right"/>
            </w:pPr>
            <w:r>
              <w:rPr>
                <w:rFonts w:hint="eastAsia"/>
                <w:sz w:val="18"/>
              </w:rPr>
              <w:t xml:space="preserve">九州</w:t>
            </w:r>
          </w:p>
        </w:tc>
        <w:tc>
          <w:tcPr/>
          <w:p>
            <w:pPr>
              <w:pStyle w:val="Compact"/>
              <w:jc w:val="right"/>
            </w:pPr>
            <w:r>
              <w:rPr>
                <w:rFonts w:hint="eastAsia"/>
                <w:sz w:val="18"/>
              </w:rPr>
              <w:t xml:space="preserve">九州</w:t>
            </w:r>
          </w:p>
        </w:tc>
      </w:tr>
      <w:tr>
        <w:tc>
          <w:tcPr/>
          <w:p>
            <w:pPr>
              <w:pStyle w:val="Compact"/>
            </w:pPr>
            <w:r>
              <w:rPr>
                <w:rFonts w:hint="eastAsia"/>
                <w:sz w:val="18"/>
              </w:rPr>
              <w:t xml:space="preserve">被説明変数</w:t>
            </w:r>
          </w:p>
        </w:tc>
        <w:tc>
          <w:tcPr/>
          <w:p>
            <w:pPr>
              <w:pStyle w:val="Compact"/>
              <w:jc w:val="right"/>
            </w:pPr>
            <w:r>
              <w:rPr>
                <w:rFonts w:hint="eastAsia"/>
                <w:sz w:val="18"/>
              </w:rPr>
              <w:t xml:space="preserve">水準</w:t>
            </w:r>
          </w:p>
        </w:tc>
        <w:tc>
          <w:tcPr/>
          <w:p>
            <w:pPr>
              <w:pStyle w:val="Compact"/>
              <w:jc w:val="right"/>
            </w:pPr>
            <w:r>
              <w:rPr>
                <w:sz w:val="18"/>
              </w:rPr>
              <w:t xml:space="preserve">TB4h</w:t>
            </w:r>
          </w:p>
        </w:tc>
        <w:tc>
          <w:tcPr/>
          <w:p>
            <w:pPr>
              <w:pStyle w:val="Compact"/>
              <w:jc w:val="right"/>
            </w:pPr>
            <w:r>
              <w:rPr>
                <w:rFonts w:hint="eastAsia"/>
                <w:sz w:val="18"/>
              </w:rPr>
              <w:t xml:space="preserve">水準</w:t>
            </w:r>
          </w:p>
        </w:tc>
        <w:tc>
          <w:tcPr/>
          <w:p>
            <w:pPr>
              <w:pStyle w:val="Compact"/>
              <w:jc w:val="right"/>
            </w:pPr>
            <w:r>
              <w:rPr>
                <w:sz w:val="18"/>
              </w:rPr>
              <w:t xml:space="preserve">TB4h</w:t>
            </w:r>
          </w:p>
        </w:tc>
      </w:tr>
      <w:tr>
        <w:tc>
          <w:tcPr/>
          <w:p>
            <w:pPr>
              <w:pStyle w:val="Compact"/>
            </w:pPr>
            <w:r>
              <w:rPr>
                <w:rFonts w:hint="eastAsia"/>
                <w:sz w:val="18"/>
              </w:rPr>
              <w:t xml:space="preserve">太陽光・夏</w:t>
            </w:r>
          </w:p>
        </w:tc>
        <w:tc>
          <w:tcPr/>
          <w:p>
            <w:pPr>
              <w:pStyle w:val="Compact"/>
              <w:jc w:val="right"/>
            </w:pPr>
            <w:r>
              <w:rPr>
                <w:sz w:val="18"/>
              </w:rPr>
              <w:t xml:space="preserve">−0.406***</w:t>
            </w:r>
          </w:p>
        </w:tc>
        <w:tc>
          <w:tcPr/>
          <w:p>
            <w:pPr>
              <w:pStyle w:val="Compact"/>
              <w:jc w:val="right"/>
            </w:pPr>
            <w:r>
              <w:rPr>
                <w:sz w:val="18"/>
              </w:rPr>
              <w:t xml:space="preserve">0.033</w:t>
            </w:r>
          </w:p>
        </w:tc>
        <w:tc>
          <w:tcPr/>
          <w:p>
            <w:pPr>
              <w:pStyle w:val="Compact"/>
              <w:jc w:val="right"/>
            </w:pPr>
            <w:r>
              <w:rPr>
                <w:sz w:val="18"/>
              </w:rPr>
              <w:t xml:space="preserve">−0.100***</w:t>
            </w:r>
          </w:p>
        </w:tc>
        <w:tc>
          <w:tcPr/>
          <w:p>
            <w:pPr>
              <w:pStyle w:val="Compact"/>
              <w:jc w:val="right"/>
            </w:pPr>
            <w:r>
              <w:rPr>
                <w:sz w:val="18"/>
              </w:rPr>
              <w:t xml:space="preserve">−0.014</w:t>
            </w:r>
          </w:p>
        </w:tc>
      </w:tr>
      <w:tr>
        <w:tc>
          <w:tcPr/>
          <w:p>
            <w:pPr>
              <w:pStyle w:val="Compact"/>
            </w:pPr>
          </w:p>
        </w:tc>
        <w:tc>
          <w:tcPr/>
          <w:p>
            <w:pPr>
              <w:pStyle w:val="Compact"/>
              <w:jc w:val="right"/>
            </w:pPr>
            <w:r>
              <w:rPr>
                <w:sz w:val="18"/>
              </w:rPr>
              <w:t xml:space="preserve">(0.098)</w:t>
            </w:r>
          </w:p>
        </w:tc>
        <w:tc>
          <w:tcPr/>
          <w:p>
            <w:pPr>
              <w:pStyle w:val="Compact"/>
              <w:jc w:val="right"/>
            </w:pPr>
            <w:r>
              <w:rPr>
                <w:sz w:val="18"/>
              </w:rPr>
              <w:t xml:space="preserve">(0.158)</w:t>
            </w:r>
          </w:p>
        </w:tc>
        <w:tc>
          <w:tcPr/>
          <w:p>
            <w:pPr>
              <w:pStyle w:val="Compact"/>
              <w:jc w:val="right"/>
            </w:pPr>
            <w:r>
              <w:rPr>
                <w:sz w:val="18"/>
              </w:rPr>
              <w:t xml:space="preserve">(0.030)</w:t>
            </w:r>
          </w:p>
        </w:tc>
        <w:tc>
          <w:tcPr/>
          <w:p>
            <w:pPr>
              <w:pStyle w:val="Compact"/>
              <w:jc w:val="right"/>
            </w:pPr>
            <w:r>
              <w:rPr>
                <w:sz w:val="18"/>
              </w:rPr>
              <w:t xml:space="preserve">(0.035)</w:t>
            </w:r>
          </w:p>
        </w:tc>
      </w:tr>
      <w:tr>
        <w:tc>
          <w:tcPr/>
          <w:p>
            <w:pPr>
              <w:pStyle w:val="Compact"/>
            </w:pPr>
            <w:r>
              <w:rPr>
                <w:rFonts w:hint="eastAsia"/>
                <w:sz w:val="18"/>
              </w:rPr>
              <w:t xml:space="preserve">太陽光・冬</w:t>
            </w:r>
          </w:p>
        </w:tc>
        <w:tc>
          <w:tcPr/>
          <w:p>
            <w:pPr>
              <w:pStyle w:val="Compact"/>
              <w:jc w:val="right"/>
            </w:pPr>
            <w:r>
              <w:rPr>
                <w:sz w:val="18"/>
              </w:rPr>
              <w:t xml:space="preserve">−0.761*†</w:t>
            </w:r>
          </w:p>
        </w:tc>
        <w:tc>
          <w:tcPr/>
          <w:p>
            <w:pPr>
              <w:pStyle w:val="Compact"/>
              <w:jc w:val="right"/>
            </w:pPr>
            <w:r>
              <w:rPr>
                <w:sz w:val="18"/>
              </w:rPr>
              <w:t xml:space="preserve">−0.807**†</w:t>
            </w:r>
          </w:p>
        </w:tc>
        <w:tc>
          <w:tcPr/>
          <w:p>
            <w:pPr>
              <w:pStyle w:val="Compact"/>
              <w:jc w:val="right"/>
            </w:pPr>
            <w:r>
              <w:rPr>
                <w:sz w:val="18"/>
              </w:rPr>
              <w:t xml:space="preserve">−0.071***†</w:t>
            </w:r>
          </w:p>
        </w:tc>
        <w:tc>
          <w:tcPr/>
          <w:p>
            <w:pPr>
              <w:pStyle w:val="Compact"/>
              <w:jc w:val="right"/>
            </w:pPr>
            <w:r>
              <w:rPr>
                <w:sz w:val="18"/>
              </w:rPr>
              <w:t xml:space="preserve">0.112***</w:t>
            </w:r>
          </w:p>
        </w:tc>
      </w:tr>
      <w:tr>
        <w:tc>
          <w:tcPr/>
          <w:p>
            <w:pPr>
              <w:pStyle w:val="Compact"/>
            </w:pPr>
          </w:p>
        </w:tc>
        <w:tc>
          <w:tcPr/>
          <w:p>
            <w:pPr>
              <w:pStyle w:val="Compact"/>
              <w:jc w:val="right"/>
            </w:pPr>
            <w:r>
              <w:rPr>
                <w:sz w:val="18"/>
              </w:rPr>
              <w:t xml:space="preserve">(0.385)</w:t>
            </w:r>
          </w:p>
        </w:tc>
        <w:tc>
          <w:tcPr/>
          <w:p>
            <w:pPr>
              <w:pStyle w:val="Compact"/>
              <w:jc w:val="right"/>
            </w:pPr>
            <w:r>
              <w:rPr>
                <w:sz w:val="18"/>
              </w:rPr>
              <w:t xml:space="preserve">(0.402)</w:t>
            </w:r>
          </w:p>
        </w:tc>
        <w:tc>
          <w:tcPr/>
          <w:p>
            <w:pPr>
              <w:pStyle w:val="Compact"/>
              <w:jc w:val="right"/>
            </w:pPr>
            <w:r>
              <w:rPr>
                <w:sz w:val="18"/>
              </w:rPr>
              <w:t xml:space="preserve">(0.023)</w:t>
            </w:r>
          </w:p>
        </w:tc>
        <w:tc>
          <w:tcPr/>
          <w:p>
            <w:pPr>
              <w:pStyle w:val="Compact"/>
              <w:jc w:val="right"/>
            </w:pPr>
            <w:r>
              <w:rPr>
                <w:sz w:val="18"/>
              </w:rPr>
              <w:t xml:space="preserve">(0.033)</w:t>
            </w:r>
          </w:p>
        </w:tc>
      </w:tr>
      <w:tr>
        <w:tc>
          <w:tcPr/>
          <w:p>
            <w:pPr>
              <w:pStyle w:val="Compact"/>
            </w:pPr>
            <w:r>
              <w:rPr>
                <w:rFonts w:hint="eastAsia"/>
                <w:sz w:val="18"/>
              </w:rPr>
              <w:t xml:space="preserve">太陽光・不需要期</w:t>
            </w:r>
          </w:p>
        </w:tc>
        <w:tc>
          <w:tcPr/>
          <w:p>
            <w:pPr>
              <w:pStyle w:val="Compact"/>
              <w:jc w:val="right"/>
            </w:pPr>
            <w:r>
              <w:rPr>
                <w:sz w:val="18"/>
              </w:rPr>
              <w:t xml:space="preserve">−0.351***</w:t>
            </w:r>
          </w:p>
        </w:tc>
        <w:tc>
          <w:tcPr/>
          <w:p>
            <w:pPr>
              <w:pStyle w:val="Compact"/>
              <w:jc w:val="right"/>
            </w:pPr>
            <w:r>
              <w:rPr>
                <w:sz w:val="18"/>
              </w:rPr>
              <w:t xml:space="preserve">0.233</w:t>
            </w:r>
          </w:p>
        </w:tc>
        <w:tc>
          <w:tcPr/>
          <w:p>
            <w:pPr>
              <w:pStyle w:val="Compact"/>
              <w:jc w:val="right"/>
            </w:pPr>
            <w:r>
              <w:rPr>
                <w:sz w:val="18"/>
              </w:rPr>
              <w:t xml:space="preserve">−0.058***</w:t>
            </w:r>
          </w:p>
        </w:tc>
        <w:tc>
          <w:tcPr/>
          <w:p>
            <w:pPr>
              <w:pStyle w:val="Compact"/>
              <w:jc w:val="right"/>
            </w:pPr>
            <w:r>
              <w:rPr>
                <w:sz w:val="18"/>
              </w:rPr>
              <w:t xml:space="preserve">0.101***</w:t>
            </w:r>
          </w:p>
        </w:tc>
      </w:tr>
      <w:tr>
        <w:tc>
          <w:tcPr/>
          <w:p>
            <w:pPr>
              <w:pStyle w:val="Compact"/>
            </w:pPr>
          </w:p>
        </w:tc>
        <w:tc>
          <w:tcPr/>
          <w:p>
            <w:pPr>
              <w:pStyle w:val="Compact"/>
              <w:jc w:val="right"/>
            </w:pPr>
            <w:r>
              <w:rPr>
                <w:sz w:val="18"/>
              </w:rPr>
              <w:t xml:space="preserve">(0.091)</w:t>
            </w:r>
          </w:p>
        </w:tc>
        <w:tc>
          <w:tcPr/>
          <w:p>
            <w:pPr>
              <w:pStyle w:val="Compact"/>
              <w:jc w:val="right"/>
            </w:pPr>
            <w:r>
              <w:rPr>
                <w:sz w:val="18"/>
              </w:rPr>
              <w:t xml:space="preserve">(0.156)</w:t>
            </w:r>
          </w:p>
        </w:tc>
        <w:tc>
          <w:tcPr/>
          <w:p>
            <w:pPr>
              <w:pStyle w:val="Compact"/>
              <w:jc w:val="right"/>
            </w:pPr>
            <w:r>
              <w:rPr>
                <w:sz w:val="18"/>
              </w:rPr>
              <w:t xml:space="preserve">(0.010)</w:t>
            </w:r>
          </w:p>
        </w:tc>
        <w:tc>
          <w:tcPr/>
          <w:p>
            <w:pPr>
              <w:pStyle w:val="Compact"/>
              <w:jc w:val="right"/>
            </w:pPr>
            <w:r>
              <w:rPr>
                <w:sz w:val="18"/>
              </w:rPr>
              <w:t xml:space="preserve">(0.020)</w:t>
            </w:r>
          </w:p>
        </w:tc>
      </w:tr>
      <w:tr>
        <w:tc>
          <w:tcPr/>
          <w:p>
            <w:pPr>
              <w:pStyle w:val="Compact"/>
            </w:pPr>
            <w:r>
              <w:rPr>
                <w:rFonts w:hint="eastAsia"/>
                <w:sz w:val="18"/>
              </w:rPr>
              <w:t xml:space="preserve">風力・夏</w:t>
            </w:r>
          </w:p>
        </w:tc>
        <w:tc>
          <w:tcPr/>
          <w:p>
            <w:pPr>
              <w:pStyle w:val="Compact"/>
              <w:jc w:val="right"/>
            </w:pPr>
            <w:r>
              <w:rPr>
                <w:sz w:val="18"/>
              </w:rPr>
              <w:t xml:space="preserve">−0.245***</w:t>
            </w:r>
          </w:p>
        </w:tc>
        <w:tc>
          <w:tcPr/>
          <w:p>
            <w:pPr>
              <w:pStyle w:val="Compact"/>
              <w:jc w:val="right"/>
            </w:pPr>
            <w:r>
              <w:rPr>
                <w:sz w:val="18"/>
              </w:rPr>
              <w:t xml:space="preserve">−0.156</w:t>
            </w:r>
          </w:p>
        </w:tc>
        <w:tc>
          <w:tcPr/>
          <w:p>
            <w:pPr>
              <w:pStyle w:val="Compact"/>
              <w:jc w:val="right"/>
            </w:pPr>
            <w:r>
              <w:rPr>
                <w:sz w:val="18"/>
              </w:rPr>
              <w:t xml:space="preserve">−0.048</w:t>
            </w:r>
          </w:p>
        </w:tc>
        <w:tc>
          <w:tcPr/>
          <w:p>
            <w:pPr>
              <w:pStyle w:val="Compact"/>
              <w:jc w:val="right"/>
            </w:pPr>
            <w:r>
              <w:rPr>
                <w:sz w:val="18"/>
              </w:rPr>
              <w:t xml:space="preserve">0.085</w:t>
            </w:r>
          </w:p>
        </w:tc>
      </w:tr>
      <w:tr>
        <w:tc>
          <w:tcPr/>
          <w:p>
            <w:pPr>
              <w:pStyle w:val="Compact"/>
            </w:pPr>
          </w:p>
        </w:tc>
        <w:tc>
          <w:tcPr/>
          <w:p>
            <w:pPr>
              <w:pStyle w:val="Compact"/>
              <w:jc w:val="right"/>
            </w:pPr>
            <w:r>
              <w:rPr>
                <w:sz w:val="18"/>
              </w:rPr>
              <w:t xml:space="preserve">(0.067)</w:t>
            </w:r>
          </w:p>
        </w:tc>
        <w:tc>
          <w:tcPr/>
          <w:p>
            <w:pPr>
              <w:pStyle w:val="Compact"/>
              <w:jc w:val="right"/>
            </w:pPr>
            <w:r>
              <w:rPr>
                <w:sz w:val="18"/>
              </w:rPr>
              <w:t xml:space="preserve">(0.163)</w:t>
            </w:r>
          </w:p>
        </w:tc>
        <w:tc>
          <w:tcPr/>
          <w:p>
            <w:pPr>
              <w:pStyle w:val="Compact"/>
              <w:jc w:val="right"/>
            </w:pPr>
            <w:r>
              <w:rPr>
                <w:sz w:val="18"/>
              </w:rPr>
              <w:t xml:space="preserve">(0.135)</w:t>
            </w:r>
          </w:p>
        </w:tc>
        <w:tc>
          <w:tcPr/>
          <w:p>
            <w:pPr>
              <w:pStyle w:val="Compact"/>
              <w:jc w:val="right"/>
            </w:pPr>
            <w:r>
              <w:rPr>
                <w:sz w:val="18"/>
              </w:rPr>
              <w:t xml:space="preserve">(0.354)</w:t>
            </w:r>
          </w:p>
        </w:tc>
      </w:tr>
      <w:tr>
        <w:tc>
          <w:tcPr/>
          <w:p>
            <w:pPr>
              <w:pStyle w:val="Compact"/>
            </w:pPr>
            <w:r>
              <w:rPr>
                <w:rFonts w:hint="eastAsia"/>
                <w:sz w:val="18"/>
              </w:rPr>
              <w:t xml:space="preserve">風力・冬</w:t>
            </w:r>
          </w:p>
        </w:tc>
        <w:tc>
          <w:tcPr/>
          <w:p>
            <w:pPr>
              <w:pStyle w:val="Compact"/>
              <w:jc w:val="right"/>
            </w:pPr>
            <w:r>
              <w:rPr>
                <w:sz w:val="18"/>
              </w:rPr>
              <w:t xml:space="preserve">−0.353***</w:t>
            </w:r>
          </w:p>
        </w:tc>
        <w:tc>
          <w:tcPr/>
          <w:p>
            <w:pPr>
              <w:pStyle w:val="Compact"/>
              <w:jc w:val="right"/>
            </w:pPr>
            <w:r>
              <w:rPr>
                <w:sz w:val="18"/>
              </w:rPr>
              <w:t xml:space="preserve">−0.363**†</w:t>
            </w:r>
          </w:p>
        </w:tc>
        <w:tc>
          <w:tcPr/>
          <w:p>
            <w:pPr>
              <w:pStyle w:val="Compact"/>
              <w:jc w:val="right"/>
            </w:pPr>
            <w:r>
              <w:rPr>
                <w:sz w:val="18"/>
              </w:rPr>
              <w:t xml:space="preserve">−0.369</w:t>
            </w:r>
          </w:p>
        </w:tc>
        <w:tc>
          <w:tcPr/>
          <w:p>
            <w:pPr>
              <w:pStyle w:val="Compact"/>
              <w:jc w:val="right"/>
            </w:pPr>
            <w:r>
              <w:rPr>
                <w:sz w:val="18"/>
              </w:rPr>
              <w:t xml:space="preserve">−0.463</w:t>
            </w:r>
          </w:p>
        </w:tc>
      </w:tr>
      <w:tr>
        <w:tc>
          <w:tcPr/>
          <w:p>
            <w:pPr>
              <w:pStyle w:val="Compact"/>
            </w:pPr>
          </w:p>
        </w:tc>
        <w:tc>
          <w:tcPr/>
          <w:p>
            <w:pPr>
              <w:pStyle w:val="Compact"/>
              <w:jc w:val="right"/>
            </w:pPr>
            <w:r>
              <w:rPr>
                <w:sz w:val="18"/>
              </w:rPr>
              <w:t xml:space="preserve">(0.102)</w:t>
            </w:r>
          </w:p>
        </w:tc>
        <w:tc>
          <w:tcPr/>
          <w:p>
            <w:pPr>
              <w:pStyle w:val="Compact"/>
              <w:jc w:val="right"/>
            </w:pPr>
            <w:r>
              <w:rPr>
                <w:sz w:val="18"/>
              </w:rPr>
              <w:t xml:space="preserve">(0.174)</w:t>
            </w:r>
          </w:p>
        </w:tc>
        <w:tc>
          <w:tcPr/>
          <w:p>
            <w:pPr>
              <w:pStyle w:val="Compact"/>
              <w:jc w:val="right"/>
            </w:pPr>
            <w:r>
              <w:rPr>
                <w:sz w:val="18"/>
              </w:rPr>
              <w:t xml:space="preserve">(0.287)</w:t>
            </w:r>
          </w:p>
        </w:tc>
        <w:tc>
          <w:tcPr/>
          <w:p>
            <w:pPr>
              <w:pStyle w:val="Compact"/>
              <w:jc w:val="right"/>
            </w:pPr>
            <w:r>
              <w:rPr>
                <w:sz w:val="18"/>
              </w:rPr>
              <w:t xml:space="preserve">(0.488)</w:t>
            </w:r>
          </w:p>
        </w:tc>
      </w:tr>
      <w:tr>
        <w:tc>
          <w:tcPr/>
          <w:p>
            <w:pPr>
              <w:pStyle w:val="Compact"/>
            </w:pPr>
            <w:r>
              <w:rPr>
                <w:rFonts w:hint="eastAsia"/>
                <w:sz w:val="18"/>
              </w:rPr>
              <w:t xml:space="preserve">風力・不需要期</w:t>
            </w:r>
          </w:p>
        </w:tc>
        <w:tc>
          <w:tcPr/>
          <w:p>
            <w:pPr>
              <w:pStyle w:val="Compact"/>
              <w:jc w:val="right"/>
            </w:pPr>
            <w:r>
              <w:rPr>
                <w:sz w:val="18"/>
              </w:rPr>
              <w:t xml:space="preserve">−0.355***</w:t>
            </w:r>
          </w:p>
        </w:tc>
        <w:tc>
          <w:tcPr/>
          <w:p>
            <w:pPr>
              <w:pStyle w:val="Compact"/>
              <w:jc w:val="right"/>
            </w:pPr>
            <w:r>
              <w:rPr>
                <w:sz w:val="18"/>
              </w:rPr>
              <w:t xml:space="preserve">−0.067</w:t>
            </w:r>
          </w:p>
        </w:tc>
        <w:tc>
          <w:tcPr/>
          <w:p>
            <w:pPr>
              <w:pStyle w:val="Compact"/>
              <w:jc w:val="right"/>
            </w:pPr>
            <w:r>
              <w:rPr>
                <w:sz w:val="18"/>
              </w:rPr>
              <w:t xml:space="preserve">−0.021</w:t>
            </w:r>
          </w:p>
        </w:tc>
        <w:tc>
          <w:tcPr/>
          <w:p>
            <w:pPr>
              <w:pStyle w:val="Compact"/>
              <w:jc w:val="right"/>
            </w:pPr>
            <w:r>
              <w:rPr>
                <w:sz w:val="18"/>
              </w:rPr>
              <w:t xml:space="preserve">0.173</w:t>
            </w:r>
          </w:p>
        </w:tc>
      </w:tr>
      <w:tr>
        <w:tc>
          <w:tcPr/>
          <w:p>
            <w:pPr>
              <w:pStyle w:val="Compact"/>
            </w:pPr>
          </w:p>
        </w:tc>
        <w:tc>
          <w:tcPr/>
          <w:p>
            <w:pPr>
              <w:pStyle w:val="Compact"/>
              <w:jc w:val="right"/>
            </w:pPr>
            <w:r>
              <w:rPr>
                <w:sz w:val="18"/>
              </w:rPr>
              <w:t xml:space="preserve">(0.061)</w:t>
            </w:r>
          </w:p>
        </w:tc>
        <w:tc>
          <w:tcPr/>
          <w:p>
            <w:pPr>
              <w:pStyle w:val="Compact"/>
              <w:jc w:val="right"/>
            </w:pPr>
            <w:r>
              <w:rPr>
                <w:sz w:val="18"/>
              </w:rPr>
              <w:t xml:space="preserve">(0.100)</w:t>
            </w:r>
          </w:p>
        </w:tc>
        <w:tc>
          <w:tcPr/>
          <w:p>
            <w:pPr>
              <w:pStyle w:val="Compact"/>
              <w:jc w:val="right"/>
            </w:pPr>
            <w:r>
              <w:rPr>
                <w:sz w:val="18"/>
              </w:rPr>
              <w:t xml:space="preserve">(0.111)</w:t>
            </w:r>
          </w:p>
        </w:tc>
        <w:tc>
          <w:tcPr/>
          <w:p>
            <w:pPr>
              <w:pStyle w:val="Compact"/>
              <w:jc w:val="right"/>
            </w:pPr>
            <w:r>
              <w:rPr>
                <w:sz w:val="18"/>
              </w:rPr>
              <w:t xml:space="preserve">(0.172)</w:t>
            </w:r>
          </w:p>
        </w:tc>
      </w:tr>
      <w:tr>
        <w:tc>
          <w:tcPr/>
          <w:p>
            <w:pPr>
              <w:pStyle w:val="Compact"/>
            </w:pPr>
            <w:r>
              <w:rPr>
                <w:rFonts w:hint="eastAsia"/>
                <w:sz w:val="18"/>
              </w:rPr>
              <w:t xml:space="preserve">観測数（日）</w:t>
            </w:r>
          </w:p>
        </w:tc>
        <w:tc>
          <w:tcPr/>
          <w:p>
            <w:pPr>
              <w:pStyle w:val="Compact"/>
              <w:jc w:val="right"/>
            </w:pPr>
            <w:r>
              <w:rPr>
                <w:sz w:val="18"/>
              </w:rPr>
              <w:t xml:space="preserve">3,632</w:t>
            </w:r>
          </w:p>
        </w:tc>
        <w:tc>
          <w:tcPr/>
          <w:p>
            <w:pPr>
              <w:pStyle w:val="Compact"/>
              <w:jc w:val="right"/>
            </w:pPr>
            <w:r>
              <w:rPr>
                <w:sz w:val="18"/>
              </w:rPr>
              <w:t xml:space="preserve">3,632</w:t>
            </w:r>
          </w:p>
        </w:tc>
        <w:tc>
          <w:tcPr/>
          <w:p>
            <w:pPr>
              <w:pStyle w:val="Compact"/>
              <w:jc w:val="right"/>
            </w:pPr>
            <w:r>
              <w:rPr>
                <w:sz w:val="18"/>
              </w:rPr>
              <w:t xml:space="preserve">3,632</w:t>
            </w:r>
          </w:p>
        </w:tc>
        <w:tc>
          <w:tcPr/>
          <w:p>
            <w:pPr>
              <w:pStyle w:val="Compact"/>
              <w:jc w:val="right"/>
            </w:pPr>
            <w:r>
              <w:rPr>
                <w:sz w:val="18"/>
              </w:rPr>
              <w:t xml:space="preserve">3,632</w:t>
            </w:r>
          </w:p>
        </w:tc>
      </w:tr>
    </w:tbl>
    <w:p>
      <w:pPr>
        <w:pStyle w:val="TableNote"/>
      </w:pPr>
      <w:r>
        <w:rPr>
          <w:rFonts w:hint="eastAsia"/>
        </w:rPr>
        <w:t xml:space="preserve">注）単位は円/kWh</w:t>
      </w:r>
      <w:r>
        <w:t xml:space="preserve"> per </w:t>
      </w:r>
      <w:r>
        <w:rPr>
          <w:rFonts w:hint="eastAsia"/>
        </w:rPr>
        <w:t xml:space="preserve">GWh/日。水準は日平均価格。年度固定効果・季節固定効果と需要を統制。括弧内は</w:t>
      </w:r>
      <w:r>
        <w:t xml:space="preserve"> EWC </w:t>
      </w:r>
      <w:r>
        <w:rPr>
          <w:rFonts w:hint="eastAsia"/>
        </w:rPr>
        <w:t xml:space="preserve">標準誤差（</w:t>
      </w:r>
      <m:oMath>
        <m:r>
          <m:t>ν</m:t>
        </m:r>
        <m:r>
          <m:rPr>
            <m:sty m:val="p"/>
          </m:rPr>
          <m:t>=</m:t>
        </m:r>
        <m:r>
          <m:t>94</m:t>
        </m:r>
      </m:oMath>
      <w:r>
        <w:rPr>
          <w:rFonts w:hint="eastAsia"/>
        </w:rPr>
        <w:t xml:space="preserve">）。***、**、*</w:t>
      </w:r>
      <w:r>
        <w:t xml:space="preserve"> </w:t>
      </w:r>
      <w:r>
        <w:rPr>
          <w:rFonts w:hint="eastAsia"/>
        </w:rPr>
        <w:t xml:space="preserve">はそれぞれ1%、5%、10%水準で有意（自由度94の</w:t>
      </w:r>
      <w:r>
        <w:t xml:space="preserve"> t </w:t>
      </w:r>
      <w:r>
        <w:rPr>
          <w:rFonts w:hint="eastAsia"/>
        </w:rPr>
        <w:t xml:space="preserve">分布）。†は、ふるいブートストラップの補正</w:t>
      </w:r>
      <w:r>
        <w:t xml:space="preserve"> p </w:t>
      </w:r>
      <w:r>
        <w:rPr>
          <w:rFonts w:hint="eastAsia"/>
        </w:rPr>
        <w:t xml:space="preserve">値で有意水準が1段以上下がる係数。</w:t>
      </w:r>
    </w:p>
    <w:p>
      <w:pPr>
        <w:pStyle w:val="TableNote"/>
      </w:pPr>
      <w:r>
        <w:rPr>
          <w:rFonts w:hint="eastAsia"/>
        </w:rPr>
        <w:t xml:space="preserve">出所）日本卸電力取引所『スポット市場取引結果』、北海道電力ネットワーク・九州電力送配電『エリア需給実績』より筆者作成。</w:t>
      </w:r>
    </w:p>
    <w:p>
      <w:pPr>
        <w:pStyle w:val="BodyText"/>
      </w:pPr>
      <w:r>
        <w:rPr>
          <w:rFonts w:hint="eastAsia"/>
        </w:rPr>
        <w:t xml:space="preserve">電源種の非対称は、効果の相対的な大きさでは、Wozabal</w:t>
      </w:r>
      <w:r>
        <w:t xml:space="preserve"> et </w:t>
      </w:r>
      <w:r>
        <w:rPr>
          <w:rFonts w:hint="eastAsia"/>
        </w:rPr>
        <w:t xml:space="preserve">al.（2016）がドイツの日内の分散で示した結果（太陽光の効果が風力の約12倍）と同じである。同論文では太陽光が日内の分散を下げており符号は逆であるが、同論文が示す日内の分散と残余需要のU字の関係でいえば、この違いは市場がU字のどの位置にあるかの違いと解釈できる。北海道では夕方のピークが太陽光の多寡によらず残り（5.2.1項）、太陽光は昼の価格を下げて夕方との差を開く側に働く。Kyritsis</w:t>
      </w:r>
      <w:r>
        <w:t xml:space="preserve"> et </w:t>
      </w:r>
      <w:r>
        <w:rPr>
          <w:rFonts w:hint="eastAsia"/>
        </w:rPr>
        <w:t xml:space="preserve">al.（2017）の「太陽光は変動性を下げ、風力は上げる」とも逆に見えるが、彼らの変動性は日次系列の条件付き分散、すなわち多日変動であり、対象が異なる（5.8節）。</w:t>
      </w:r>
    </w:p>
    <w:bookmarkEnd w:id="105"/>
    <w:bookmarkStart w:id="106" w:name="冬の上位下位4時間への分解"/>
    <w:p>
      <w:pPr>
        <w:pStyle w:val="Heading3"/>
      </w:pPr>
      <w:r>
        <w:t xml:space="preserve">5.3.2　</w:t>
      </w:r>
      <w:r>
        <w:rPr>
          <w:rFonts w:hint="eastAsia"/>
        </w:rPr>
        <w:t xml:space="preserve">冬の上位・下位4時間への分解</w:t>
      </w:r>
    </w:p>
    <w:p>
      <w:pPr>
        <w:pStyle w:val="FirstParagraph"/>
      </w:pPr>
      <w:r>
        <w:rPr>
          <w:rFonts w:hint="eastAsia"/>
        </w:rPr>
        <w:t xml:space="preserve">冬に風力が</w:t>
      </w:r>
      <w:r>
        <w:t xml:space="preserve"> TB4h </w:t>
      </w:r>
      <w:r>
        <w:rPr>
          <w:rFonts w:hint="eastAsia"/>
        </w:rPr>
        <w:t xml:space="preserve">を縮めるかを、TB4h</w:t>
      </w:r>
      <w:r>
        <w:t xml:space="preserve"> </w:t>
      </w:r>
      <w:r>
        <w:rPr>
          <w:rFonts w:hint="eastAsia"/>
        </w:rPr>
        <w:t xml:space="preserve">を上位4時間と下位4時間の平均価格に分けて調べる（表C.1）。冬の風力は、点推定では上位4時間の価格を下位4時間より多く下げ（主仕様で−0.59</w:t>
      </w:r>
      <w:r>
        <w:t xml:space="preserve"> </w:t>
      </w:r>
      <w:r>
        <w:rPr>
          <w:rFonts w:hint="eastAsia"/>
        </w:rPr>
        <w:t xml:space="preserve">と−0.23）、この引下げは上位・下位4時間の冬の平均価格に比例した引下げと矛盾しない（EWC</w:t>
      </w:r>
      <w:r>
        <w:t xml:space="preserve"> の </w:t>
      </w:r>
      <w:r>
        <w:rPr>
          <w:rFonts w:hint="eastAsia"/>
        </w:rPr>
        <w:t xml:space="preserve">p=0.52〜0.99）が、平行移動とも頑健には区別できない。平行（比が1）の検定は</w:t>
      </w:r>
      <w:r>
        <w:t xml:space="preserve"> TB4h </w:t>
      </w:r>
      <w:r>
        <w:rPr>
          <w:rFonts w:hint="eastAsia"/>
        </w:rPr>
        <w:t xml:space="preserve">の係数がゼロという検定と同じであり、FY2016〜25</w:t>
      </w:r>
      <w:r>
        <w:t xml:space="preserve"> </w:t>
      </w:r>
      <w:r>
        <w:rPr>
          <w:rFonts w:hint="eastAsia"/>
        </w:rPr>
        <w:t xml:space="preserve">の主仕様では</w:t>
      </w:r>
      <w:r>
        <w:t xml:space="preserve"> EWC </w:t>
      </w:r>
      <w:r>
        <w:rPr>
          <w:rFonts w:hint="eastAsia"/>
        </w:rPr>
        <w:t xml:space="preserve">で5%水準で棄却されるが、補正</w:t>
      </w:r>
      <w:r>
        <w:t xml:space="preserve"> p </w:t>
      </w:r>
      <w:r>
        <w:rPr>
          <w:rFonts w:hint="eastAsia"/>
        </w:rPr>
        <w:t xml:space="preserve">値（0.099）ではどの仕様でも5%水準で棄却されない。TB4h</w:t>
      </w:r>
      <w:r>
        <w:t xml:space="preserve"> </w:t>
      </w:r>
      <w:r>
        <w:rPr>
          <w:rFonts w:hint="eastAsia"/>
        </w:rPr>
        <w:t xml:space="preserve">の係数は同じ月の中では半減し、FY2023〜25</w:t>
      </w:r>
      <w:r>
        <w:t xml:space="preserve"> </w:t>
      </w:r>
      <w:r>
        <w:rPr>
          <w:rFonts w:hint="eastAsia"/>
        </w:rPr>
        <w:t xml:space="preserve">では有意でない。したがって「冬に風力がスプレッドを縮める」は弱い結果であり、頑健にいえるのは風力がスプレッドを広げる証拠がないことまでである。太陽光は、同じ月の中では冬の下位4時間だけを下げる（−0.33、5%水準で有意）ので、「冬に太陽光がスプレッドを縮める」は支持されない。</w:t>
      </w:r>
    </w:p>
    <w:bookmarkEnd w:id="106"/>
    <w:bookmarkStart w:id="107" w:name="九州との比較"/>
    <w:p>
      <w:pPr>
        <w:pStyle w:val="Heading3"/>
      </w:pPr>
      <w:r>
        <w:t xml:space="preserve">5.3.3　</w:t>
      </w:r>
      <w:r>
        <w:rPr>
          <w:rFonts w:hint="eastAsia"/>
        </w:rPr>
        <w:t xml:space="preserve">九州との比較</w:t>
      </w:r>
    </w:p>
    <w:p>
      <w:pPr>
        <w:pStyle w:val="FirstParagraph"/>
      </w:pPr>
      <w:r>
        <w:rPr>
          <w:rFonts w:hint="eastAsia"/>
        </w:rPr>
        <w:t xml:space="preserve">九州では、太陽光が冬と不需要期に日内スプレッドを1%水準で有意に広げる（表5.2</w:t>
      </w:r>
      <w:r>
        <w:t xml:space="preserve"> </w:t>
      </w:r>
      <w:r>
        <w:rPr>
          <w:rFonts w:hint="eastAsia"/>
        </w:rPr>
        <w:t xml:space="preserve">の列(4)）。夏は有意でないが、FY2023〜25</w:t>
      </w:r>
      <w:r>
        <w:t xml:space="preserve"> </w:t>
      </w:r>
      <w:r>
        <w:rPr>
          <w:rFonts w:hint="eastAsia"/>
        </w:rPr>
        <w:t xml:space="preserve">に限ると5%水準で有意に正となる。水準への効果は北海道より小さい。市場とフリートの規模が大きいことに加え、昼の価格が下限価格に張り付く時間が長く、それ以上は下がらないためと考えられる。風力は導入量が小さく、水準への有意な効果は検出されない。日内形状への風力の係数はどの季節でも有意でなく、標本と仕様によって符号も有意性も変わるので（5.9節）、九州の風力が日内形状を広げるという解釈はとらない。</w:t>
      </w:r>
    </w:p>
    <w:bookmarkEnd w:id="107"/>
    <w:bookmarkEnd w:id="108"/>
    <w:bookmarkStart w:id="112" w:name="分位点回帰による高分位の効果"/>
    <w:p>
      <w:pPr>
        <w:pStyle w:val="Heading2"/>
      </w:pPr>
      <w:r>
        <w:t xml:space="preserve">5.4　</w:t>
      </w:r>
      <w:r>
        <w:rPr>
          <w:rFonts w:hint="eastAsia"/>
        </w:rPr>
        <w:t xml:space="preserve">分位点回帰による高分位の効果</w:t>
      </w:r>
    </w:p>
    <w:p>
      <w:pPr>
        <w:pStyle w:val="FirstParagraph"/>
      </w:pPr>
      <w:r>
        <w:t xml:space="preserve">Sakaguchi and </w:t>
      </w:r>
      <w:r>
        <w:rPr>
          <w:rFonts w:hint="eastAsia"/>
        </w:rPr>
        <w:t xml:space="preserve">Fujii（2021）型の統制のない仕様を本研究で再推定すると、τ=0.9</w:t>
      </w:r>
      <w:r>
        <w:t xml:space="preserve"> </w:t>
      </w:r>
      <w:r>
        <w:rPr>
          <w:rFonts w:hint="eastAsia"/>
        </w:rPr>
        <w:t xml:space="preserve">の風力の係数の絶対値は</w:t>
      </w:r>
      <w:r>
        <w:t xml:space="preserve"> FY2023〜25 のほうが FY2016〜19 </w:t>
      </w:r>
      <w:r>
        <w:rPr>
          <w:rFonts w:hint="eastAsia"/>
        </w:rPr>
        <w:t xml:space="preserve">より小さいが、差の95%区間は0を含む（表C.2</w:t>
      </w:r>
      <w:r>
        <w:t xml:space="preserve"> </w:t>
      </w:r>
      <w:r>
        <w:rPr>
          <w:rFonts w:hint="eastAsia"/>
        </w:rPr>
        <w:t xml:space="preserve">の最下行）。この仕様は年度間の価格水準の違いを拾い、年度別の係数も大きく振れるので、この比較から</w:t>
      </w:r>
      <w:r>
        <w:t xml:space="preserve"> MOE </w:t>
      </w:r>
      <w:r>
        <w:rPr>
          <w:rFonts w:hint="eastAsia"/>
        </w:rPr>
        <w:t xml:space="preserve">の減衰は読めない。</w:t>
      </w:r>
    </w:p>
    <w:p>
      <w:pPr>
        <w:pStyle w:val="BodyText"/>
      </w:pPr>
      <w:r>
        <w:rPr>
          <w:rFonts w:hint="eastAsia"/>
        </w:rPr>
        <w:t xml:space="preserve">固定効果で統制した主仕様では、FY2023〜25</w:t>
      </w:r>
      <w:r>
        <w:t xml:space="preserve"> と FY2016〜18 の τ=0.9 </w:t>
      </w:r>
      <w:r>
        <w:rPr>
          <w:rFonts w:hint="eastAsia"/>
        </w:rPr>
        <w:t xml:space="preserve">の差は負に有意だが、この差は</w:t>
      </w:r>
      <w:r>
        <w:t xml:space="preserve"> </w:t>
      </w:r>
      <w:r>
        <w:rPr>
          <w:rFonts w:hint="eastAsia"/>
        </w:rPr>
        <w:t xml:space="preserve">FY2018（胆振東部地震の年度）を含むことに依存し、FY2016〜17</w:t>
      </w:r>
      <w:r>
        <w:t xml:space="preserve"> </w:t>
      </w:r>
      <w:r>
        <w:rPr>
          <w:rFonts w:hint="eastAsia"/>
        </w:rPr>
        <w:t xml:space="preserve">と比べた差は0を含む。FY2019〜22</w:t>
      </w:r>
      <w:r>
        <w:t xml:space="preserve"> </w:t>
      </w:r>
      <w:r>
        <w:rPr>
          <w:rFonts w:hint="eastAsia"/>
        </w:rPr>
        <w:t xml:space="preserve">の大きな値は燃料危機期によるもので、増強直後の</w:t>
      </w:r>
      <w:r>
        <w:t xml:space="preserve"> FY2019〜20 だけでは FY2016〜17 </w:t>
      </w:r>
      <w:r>
        <w:rPr>
          <w:rFonts w:hint="eastAsia"/>
        </w:rPr>
        <w:t xml:space="preserve">とほぼ等しい（表C.3）。価格と相対価格のどちらでも、どの期間の組でも、τ=0.9</w:t>
      </w:r>
      <w:r>
        <w:t xml:space="preserve"> で MOE </w:t>
      </w:r>
      <w:r>
        <w:rPr>
          <w:rFonts w:hint="eastAsia"/>
        </w:rPr>
        <w:t xml:space="preserve">が弱まった証拠はない。ただし、北本連系線の増強そのものの効果はこの比較からは識別できない。</w:t>
      </w:r>
    </w:p>
    <w:p>
      <w:pPr>
        <w:pStyle w:val="BodyText"/>
      </w:pPr>
      <w:r>
        <w:rPr>
          <w:rFonts w:hint="eastAsia"/>
        </w:rPr>
        <w:t xml:space="preserve">図5.5</w:t>
      </w:r>
      <w:r>
        <w:t xml:space="preserve"> </w:t>
      </w:r>
      <w:r>
        <w:rPr>
          <w:rFonts w:hint="eastAsia"/>
        </w:rPr>
        <w:t xml:space="preserve">は、統制付きの仕様の風力の係数を分位と期間ごとに示したものである。FY2023〜25</w:t>
      </w:r>
      <w:r>
        <w:t xml:space="preserve"> </w:t>
      </w:r>
      <w:r>
        <w:rPr>
          <w:rFonts w:hint="eastAsia"/>
        </w:rPr>
        <w:t xml:space="preserve">の係数は全分位で負に有意で、τ=0.1</w:t>
      </w:r>
      <w:r>
        <w:t xml:space="preserve"> の−3.84 から τ=0.9 の−5.28 </w:t>
      </w:r>
      <w:r>
        <w:rPr>
          <w:rFonts w:hint="eastAsia"/>
        </w:rPr>
        <w:t xml:space="preserve">へと高分位ほど負に大きい。FY2016〜18</w:t>
      </w:r>
      <w:r>
        <w:t xml:space="preserve"> </w:t>
      </w:r>
      <w:r>
        <w:rPr>
          <w:rFonts w:hint="eastAsia"/>
        </w:rPr>
        <w:t xml:space="preserve">の係数は−1.8〜−0.8</w:t>
      </w:r>
      <w:r>
        <w:t xml:space="preserve"> </w:t>
      </w:r>
      <w:r>
        <w:rPr>
          <w:rFonts w:hint="eastAsia"/>
        </w:rPr>
        <w:t xml:space="preserve">と小さく、τ=0.8</w:t>
      </w:r>
      <w:r>
        <w:t xml:space="preserve"> </w:t>
      </w:r>
      <w:r>
        <w:rPr>
          <w:rFonts w:hint="eastAsia"/>
        </w:rPr>
        <w:t xml:space="preserve">以上では95%区間が0を含む。FY2019〜22</w:t>
      </w:r>
      <w:r>
        <w:t xml:space="preserve"> </w:t>
      </w:r>
      <w:r>
        <w:rPr>
          <w:rFonts w:hint="eastAsia"/>
        </w:rPr>
        <w:t xml:space="preserve">は高分位で負に大きいが、区間は広い。相対価格でも期間の並びは変わらず、高分位の効果が直近の期間に弱まった形は見られない。期間差の点推定と区間は表C.2</w:t>
      </w:r>
      <w:r>
        <w:t xml:space="preserve"> </w:t>
      </w:r>
      <w:r>
        <w:rPr>
          <w:rFonts w:hint="eastAsia"/>
        </w:rPr>
        <w:t xml:space="preserve">に示す。</w:t>
      </w:r>
    </w:p>
    <w:p>
      <w:pPr>
        <w:pStyle w:val="CaptionedFigure"/>
      </w:pPr>
      <w:r>
        <w:drawing>
          <wp:inline>
            <wp:extent cx="5399999" cy="3098360"/>
            <wp:effectExtent b="0" l="0" r="0" t="0"/>
            <wp:docPr descr="図5.5　分位点回帰による北海道の風力の係数（分位別・期間別）" title="" id="110" name="Picture"/>
            <a:graphic>
              <a:graphicData uri="http://schemas.openxmlformats.org/drawingml/2006/picture">
                <pic:pic>
                  <pic:nvPicPr>
                    <pic:cNvPr descr="../figures/hokkaido/quantile_moe_v3.png" id="111" name="Picture"/>
                    <pic:cNvPicPr>
                      <a:picLocks noChangeArrowheads="1" noChangeAspect="1"/>
                    </pic:cNvPicPr>
                  </pic:nvPicPr>
                  <pic:blipFill>
                    <a:blip r:embed="rId109"/>
                    <a:stretch>
                      <a:fillRect/>
                    </a:stretch>
                  </pic:blipFill>
                  <pic:spPr bwMode="auto">
                    <a:xfrm>
                      <a:off x="0" y="0"/>
                      <a:ext cx="5399999" cy="3098360"/>
                    </a:xfrm>
                    <a:prstGeom prst="rect">
                      <a:avLst/>
                    </a:prstGeom>
                    <a:noFill/>
                    <a:ln w="9525">
                      <a:noFill/>
                      <a:headEnd/>
                      <a:tailEnd/>
                    </a:ln>
                  </pic:spPr>
                </pic:pic>
              </a:graphicData>
            </a:graphic>
          </wp:inline>
        </w:drawing>
      </w:r>
    </w:p>
    <w:p>
      <w:pPr>
        <w:pStyle w:val="ImageCaption"/>
      </w:pPr>
      <w:r>
        <w:rPr>
          <w:rFonts w:hint="eastAsia"/>
        </w:rPr>
        <w:t xml:space="preserve">図5.5</w:t>
      </w:r>
      <w:r>
        <w:t xml:space="preserve">　</w:t>
      </w:r>
      <w:r>
        <w:rPr>
          <w:rFonts w:hint="eastAsia"/>
        </w:rPr>
        <w:t xml:space="preserve">分位点回帰による北海道の風力の係数（分位別・期間別）</w:t>
      </w:r>
    </w:p>
    <w:p>
      <w:pPr>
        <w:pStyle w:val="TableNote"/>
      </w:pPr>
      <w:r>
        <w:rPr>
          <w:rFonts w:hint="eastAsia"/>
        </w:rPr>
        <w:t xml:space="preserve">注）時間値。(a)</w:t>
      </w:r>
      <w:r>
        <w:t xml:space="preserve"> </w:t>
      </w:r>
      <w:r>
        <w:rPr>
          <w:rFonts w:hint="eastAsia"/>
        </w:rPr>
        <w:t xml:space="preserve">は価格（円/kWh</w:t>
      </w:r>
      <w:r>
        <w:t xml:space="preserve"> per </w:t>
      </w:r>
      <w:r>
        <w:rPr>
          <w:rFonts w:hint="eastAsia"/>
        </w:rPr>
        <w:t xml:space="preserve">GW）、(b)</w:t>
      </w:r>
      <w:r>
        <w:t xml:space="preserve"> </w:t>
      </w:r>
      <w:r>
        <w:rPr>
          <w:rFonts w:hint="eastAsia"/>
        </w:rPr>
        <w:t xml:space="preserve">は相対価格（価格を年度平均で割った値）を被説明変数とする。統制付きの仕様（制御前の風力・太陽光・需要に、季節×時刻・月・年度の固定効果と曜日・祝日を加えたもの）の係数で、帯は日単位の14日移動ブロック・ブートストラップ（499回）による95%区間。</w:t>
      </w:r>
    </w:p>
    <w:p>
      <w:pPr>
        <w:pStyle w:val="TableNote"/>
      </w:pPr>
      <w:r>
        <w:rPr>
          <w:rFonts w:hint="eastAsia"/>
        </w:rPr>
        <w:t xml:space="preserve">出所）日本卸電力取引所『スポット市場取引結果』、北海道電力ネットワーク『エリア需給実績』より筆者作成。</w:t>
      </w:r>
    </w:p>
    <w:bookmarkEnd w:id="112"/>
    <w:bookmarkStart w:id="113" w:name="市場分断の構成"/>
    <w:p>
      <w:pPr>
        <w:pStyle w:val="Heading2"/>
      </w:pPr>
      <w:r>
        <w:t xml:space="preserve">5.5　</w:t>
      </w:r>
      <w:r>
        <w:rPr>
          <w:rFonts w:hint="eastAsia"/>
        </w:rPr>
        <w:t xml:space="preserve">市場分断の構成</w:t>
      </w:r>
    </w:p>
    <w:p>
      <w:pPr>
        <w:pStyle w:val="FirstParagraph"/>
      </w:pPr>
      <w:r>
        <w:rPr>
          <w:rFonts w:hint="eastAsia"/>
        </w:rPr>
        <w:t xml:space="preserve">北本連系線の増強による市場統合は、北海道と東北のエリアプライスの関係に表れている（表5.3</w:t>
      </w:r>
      <w:r>
        <w:t xml:space="preserve"> </w:t>
      </w:r>
      <w:r>
        <w:rPr>
          <w:rFonts w:hint="eastAsia"/>
        </w:rPr>
        <w:t xml:space="preserve">のパネルB）。北海道と東北が同価格のコマは</w:t>
      </w:r>
      <w:r>
        <w:t xml:space="preserve"> FY2016〜19 </w:t>
      </w:r>
      <w:r>
        <w:rPr>
          <w:rFonts w:hint="eastAsia"/>
        </w:rPr>
        <w:t xml:space="preserve">の約3割から</w:t>
      </w:r>
      <w:r>
        <w:t xml:space="preserve"> FY2023〜25 </w:t>
      </w:r>
      <w:r>
        <w:rPr>
          <w:rFonts w:hint="eastAsia"/>
        </w:rPr>
        <w:t xml:space="preserve">の約8割へ増え、北海道が東北より高いコマは、増強をはさんで</w:t>
      </w:r>
      <w:r>
        <w:t xml:space="preserve"> FY2018 の91%から FY2020 </w:t>
      </w:r>
      <w:r>
        <w:rPr>
          <w:rFonts w:hint="eastAsia"/>
        </w:rPr>
        <w:t xml:space="preserve">の13%へ下がった。システムプライスとの比較（パネルA）でも高値が減り安値が増えたが、FY2023〜25</w:t>
      </w:r>
      <w:r>
        <w:t xml:space="preserve"> </w:t>
      </w:r>
      <w:r>
        <w:rPr>
          <w:rFonts w:hint="eastAsia"/>
        </w:rPr>
        <w:t xml:space="preserve">の高値のうち北本連系線で分断したのは16.6%にすぎず、高値全体の75.7%は北海道・東北・東京が同価格でシステムプライスを上回る東西の分断であり、安値も68.5%は北海道と東北が同価格のまま東日本側で生じている。</w:t>
      </w:r>
    </w:p>
    <w:p>
      <w:pPr>
        <w:pStyle w:val="TableCaption"/>
      </w:pPr>
      <w:r>
        <w:rPr>
          <w:rFonts w:hint="eastAsia"/>
        </w:rPr>
        <w:t xml:space="preserve">表5.3</w:t>
      </w:r>
      <w:r>
        <w:t xml:space="preserve">　</w:t>
      </w:r>
      <w:r>
        <w:rPr>
          <w:rFonts w:hint="eastAsia"/>
        </w:rPr>
        <w:t xml:space="preserve">北海道エリアプライスの分断の構成</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5.3　北海道エリアプライスの分断の構成"/>
      </w:tblPr>
      <w:tblGrid>
        <w:gridCol w:w="1584"/>
        <w:gridCol w:w="2112"/>
        <w:gridCol w:w="2112"/>
        <w:gridCol w:w="2112"/>
      </w:tblGrid>
      <w:tr>
        <w:trPr>
          <w:tblHeader w:val="on"/>
        </w:trPr>
        <w:tc>
          <w:tcPr>
            <w:tcBorders>
              <w:bottom w:val="single" w:sz="6" w:color="000000"/>
            </w:tcBorders>
          </w:tcPr>
          <w:p>
            <w:pPr>
              <w:pStyle w:val="Compact"/>
            </w:pPr>
            <w:r>
              <w:rPr>
                <w:rFonts w:hint="eastAsia"/>
                <w:sz w:val="18"/>
              </w:rPr>
              <w:t xml:space="preserve">区分</w:t>
            </w:r>
          </w:p>
        </w:tc>
        <w:tc>
          <w:tcPr>
            <w:tcBorders>
              <w:bottom w:val="single" w:sz="6" w:color="000000"/>
            </w:tcBorders>
          </w:tcPr>
          <w:p>
            <w:pPr>
              <w:pStyle w:val="Compact"/>
              <w:jc w:val="right"/>
            </w:pPr>
            <w:r>
              <w:rPr>
                <w:sz w:val="18"/>
              </w:rPr>
              <w:t xml:space="preserve">FY2016〜19</w:t>
            </w:r>
          </w:p>
        </w:tc>
        <w:tc>
          <w:tcPr>
            <w:tcBorders>
              <w:bottom w:val="single" w:sz="6" w:color="000000"/>
            </w:tcBorders>
          </w:tcPr>
          <w:p>
            <w:pPr>
              <w:pStyle w:val="Compact"/>
              <w:jc w:val="right"/>
            </w:pPr>
            <w:r>
              <w:rPr>
                <w:sz w:val="18"/>
              </w:rPr>
              <w:t xml:space="preserve">FY2020〜22</w:t>
            </w:r>
          </w:p>
        </w:tc>
        <w:tc>
          <w:tcPr>
            <w:tcBorders>
              <w:bottom w:val="single" w:sz="6" w:color="000000"/>
            </w:tcBorders>
          </w:tcPr>
          <w:p>
            <w:pPr>
              <w:pStyle w:val="Compact"/>
              <w:jc w:val="right"/>
            </w:pPr>
            <w:r>
              <w:rPr>
                <w:sz w:val="18"/>
              </w:rPr>
              <w:t xml:space="preserve">FY2023〜25</w:t>
            </w:r>
          </w:p>
        </w:tc>
      </w:tr>
      <w:tr>
        <w:tc>
          <w:tcPr/>
          <w:p>
            <w:pPr>
              <w:pStyle w:val="Compact"/>
            </w:pPr>
            <w:r>
              <w:rPr>
                <w:rFonts w:hint="eastAsia"/>
                <w:b/>
                <w:bCs/>
                <w:sz w:val="18"/>
              </w:rPr>
              <w:t xml:space="preserve">パネルA：システムプライスとの比較</w:t>
            </w:r>
          </w:p>
        </w:tc>
        <w:tc>
          <w:tcPr/>
          <w:p>
            <w:pPr>
              <w:pStyle w:val="Compact"/>
            </w:pPr>
          </w:p>
        </w:tc>
        <w:tc>
          <w:tcPr/>
          <w:p>
            <w:pPr>
              <w:pStyle w:val="Compact"/>
            </w:pPr>
          </w:p>
        </w:tc>
        <w:tc>
          <w:tcPr/>
          <w:p>
            <w:pPr>
              <w:pStyle w:val="Compact"/>
            </w:pPr>
          </w:p>
        </w:tc>
      </w:tr>
      <w:tr>
        <w:tc>
          <w:tcPr/>
          <w:p>
            <w:pPr>
              <w:pStyle w:val="Compact"/>
            </w:pPr>
            <w:r>
              <w:rPr>
                <w:rFonts w:hint="eastAsia"/>
                <w:sz w:val="18"/>
              </w:rPr>
              <w:t xml:space="preserve">高値（北海道＞システム）</w:t>
            </w:r>
          </w:p>
        </w:tc>
        <w:tc>
          <w:tcPr/>
          <w:p>
            <w:pPr>
              <w:pStyle w:val="Compact"/>
              <w:jc w:val="right"/>
            </w:pPr>
            <w:r>
              <w:rPr>
                <w:rFonts w:hint="eastAsia"/>
                <w:sz w:val="18"/>
              </w:rPr>
              <w:t xml:space="preserve">90.7（87.2〜97.7）</w:t>
            </w:r>
          </w:p>
        </w:tc>
        <w:tc>
          <w:tcPr/>
          <w:p>
            <w:pPr>
              <w:pStyle w:val="Compact"/>
              <w:jc w:val="right"/>
            </w:pPr>
            <w:r>
              <w:rPr>
                <w:rFonts w:hint="eastAsia"/>
                <w:sz w:val="18"/>
              </w:rPr>
              <w:t xml:space="preserve">54.8（37.1〜65.4）</w:t>
            </w:r>
          </w:p>
        </w:tc>
        <w:tc>
          <w:tcPr/>
          <w:p>
            <w:pPr>
              <w:pStyle w:val="Compact"/>
              <w:jc w:val="right"/>
            </w:pPr>
            <w:r>
              <w:rPr>
                <w:rFonts w:hint="eastAsia"/>
                <w:sz w:val="18"/>
              </w:rPr>
              <w:t xml:space="preserve">61.6（59.3〜64.6）</w:t>
            </w:r>
          </w:p>
        </w:tc>
      </w:tr>
      <w:tr>
        <w:tc>
          <w:tcPr/>
          <w:p>
            <w:pPr>
              <w:pStyle w:val="Compact"/>
            </w:pPr>
            <w:r>
              <w:rPr>
                <w:rFonts w:hint="eastAsia"/>
                <w:sz w:val="18"/>
              </w:rPr>
              <w:t xml:space="preserve">同価格</w:t>
            </w:r>
          </w:p>
        </w:tc>
        <w:tc>
          <w:tcPr/>
          <w:p>
            <w:pPr>
              <w:pStyle w:val="Compact"/>
              <w:jc w:val="right"/>
            </w:pPr>
            <w:r>
              <w:rPr>
                <w:rFonts w:hint="eastAsia"/>
                <w:sz w:val="18"/>
              </w:rPr>
              <w:t xml:space="preserve">6.8（1.0〜11.6）</w:t>
            </w:r>
          </w:p>
        </w:tc>
        <w:tc>
          <w:tcPr/>
          <w:p>
            <w:pPr>
              <w:pStyle w:val="Compact"/>
              <w:jc w:val="right"/>
            </w:pPr>
            <w:r>
              <w:rPr>
                <w:rFonts w:hint="eastAsia"/>
                <w:sz w:val="18"/>
              </w:rPr>
              <w:t xml:space="preserve">20.2（15.7〜27.6）</w:t>
            </w:r>
          </w:p>
        </w:tc>
        <w:tc>
          <w:tcPr/>
          <w:p>
            <w:pPr>
              <w:pStyle w:val="Compact"/>
              <w:jc w:val="right"/>
            </w:pPr>
            <w:r>
              <w:rPr>
                <w:rFonts w:hint="eastAsia"/>
                <w:sz w:val="18"/>
              </w:rPr>
              <w:t xml:space="preserve">11.3（9.2〜14.9）</w:t>
            </w:r>
          </w:p>
        </w:tc>
      </w:tr>
      <w:tr>
        <w:tc>
          <w:tcPr/>
          <w:p>
            <w:pPr>
              <w:pStyle w:val="Compact"/>
            </w:pPr>
            <w:r>
              <w:rPr>
                <w:rFonts w:hint="eastAsia"/>
                <w:sz w:val="18"/>
              </w:rPr>
              <w:t xml:space="preserve">安値（北海道＜システム）</w:t>
            </w:r>
          </w:p>
        </w:tc>
        <w:tc>
          <w:tcPr/>
          <w:p>
            <w:pPr>
              <w:pStyle w:val="Compact"/>
              <w:jc w:val="right"/>
            </w:pPr>
            <w:r>
              <w:rPr>
                <w:rFonts w:hint="eastAsia"/>
                <w:sz w:val="18"/>
              </w:rPr>
              <w:t xml:space="preserve">2.5（1.1〜5.0）</w:t>
            </w:r>
          </w:p>
        </w:tc>
        <w:tc>
          <w:tcPr/>
          <w:p>
            <w:pPr>
              <w:pStyle w:val="Compact"/>
              <w:jc w:val="right"/>
            </w:pPr>
            <w:r>
              <w:rPr>
                <w:rFonts w:hint="eastAsia"/>
                <w:sz w:val="18"/>
              </w:rPr>
              <w:t xml:space="preserve">25.0（18.9〜35.3）</w:t>
            </w:r>
          </w:p>
        </w:tc>
        <w:tc>
          <w:tcPr/>
          <w:p>
            <w:pPr>
              <w:pStyle w:val="Compact"/>
              <w:jc w:val="right"/>
            </w:pPr>
            <w:r>
              <w:rPr>
                <w:rFonts w:hint="eastAsia"/>
                <w:sz w:val="18"/>
              </w:rPr>
              <w:t xml:space="preserve">27.1（20.5〜30.9）</w:t>
            </w:r>
          </w:p>
        </w:tc>
      </w:tr>
      <w:tr>
        <w:tc>
          <w:tcPr/>
          <w:p>
            <w:pPr>
              <w:pStyle w:val="Compact"/>
            </w:pPr>
            <w:r>
              <w:rPr>
                <w:rFonts w:hint="eastAsia"/>
                <w:b/>
                <w:bCs/>
                <w:sz w:val="18"/>
              </w:rPr>
              <w:t xml:space="preserve">パネルB：北海道と東北（北本連系線）</w:t>
            </w:r>
          </w:p>
        </w:tc>
        <w:tc>
          <w:tcPr/>
          <w:p>
            <w:pPr>
              <w:pStyle w:val="Compact"/>
            </w:pPr>
          </w:p>
        </w:tc>
        <w:tc>
          <w:tcPr/>
          <w:p>
            <w:pPr>
              <w:pStyle w:val="Compact"/>
            </w:pPr>
          </w:p>
        </w:tc>
        <w:tc>
          <w:tcPr/>
          <w:p>
            <w:pPr>
              <w:pStyle w:val="Compact"/>
            </w:pPr>
          </w:p>
        </w:tc>
      </w:tr>
      <w:tr>
        <w:tc>
          <w:tcPr/>
          <w:p>
            <w:pPr>
              <w:pStyle w:val="Compact"/>
            </w:pPr>
            <w:r>
              <w:rPr>
                <w:rFonts w:hint="eastAsia"/>
                <w:sz w:val="18"/>
              </w:rPr>
              <w:t xml:space="preserve">北海道＞東北</w:t>
            </w:r>
          </w:p>
        </w:tc>
        <w:tc>
          <w:tcPr/>
          <w:p>
            <w:pPr>
              <w:pStyle w:val="Compact"/>
              <w:jc w:val="right"/>
            </w:pPr>
            <w:r>
              <w:rPr>
                <w:rFonts w:hint="eastAsia"/>
                <w:sz w:val="18"/>
              </w:rPr>
              <w:t xml:space="preserve">70.1（40.8〜90.9）</w:t>
            </w:r>
          </w:p>
        </w:tc>
        <w:tc>
          <w:tcPr/>
          <w:p>
            <w:pPr>
              <w:pStyle w:val="Compact"/>
              <w:jc w:val="right"/>
            </w:pPr>
            <w:r>
              <w:rPr>
                <w:rFonts w:hint="eastAsia"/>
                <w:sz w:val="18"/>
              </w:rPr>
              <w:t xml:space="preserve">9.6（5.0〜13.0）</w:t>
            </w:r>
          </w:p>
        </w:tc>
        <w:tc>
          <w:tcPr/>
          <w:p>
            <w:pPr>
              <w:pStyle w:val="Compact"/>
              <w:jc w:val="right"/>
            </w:pPr>
            <w:r>
              <w:rPr>
                <w:rFonts w:hint="eastAsia"/>
                <w:sz w:val="18"/>
              </w:rPr>
              <w:t xml:space="preserve">9.6（5.3〜14.9）</w:t>
            </w:r>
          </w:p>
        </w:tc>
      </w:tr>
      <w:tr>
        <w:tc>
          <w:tcPr/>
          <w:p>
            <w:pPr>
              <w:pStyle w:val="Compact"/>
            </w:pPr>
            <w:r>
              <w:rPr>
                <w:rFonts w:hint="eastAsia"/>
                <w:sz w:val="18"/>
              </w:rPr>
              <w:t xml:space="preserve">同価格</w:t>
            </w:r>
          </w:p>
        </w:tc>
        <w:tc>
          <w:tcPr/>
          <w:p>
            <w:pPr>
              <w:pStyle w:val="Compact"/>
              <w:jc w:val="right"/>
            </w:pPr>
            <w:r>
              <w:rPr>
                <w:rFonts w:hint="eastAsia"/>
                <w:sz w:val="18"/>
              </w:rPr>
              <w:t xml:space="preserve">29.2（7.6〜58.3）</w:t>
            </w:r>
          </w:p>
        </w:tc>
        <w:tc>
          <w:tcPr/>
          <w:p>
            <w:pPr>
              <w:pStyle w:val="Compact"/>
              <w:jc w:val="right"/>
            </w:pPr>
            <w:r>
              <w:rPr>
                <w:rFonts w:hint="eastAsia"/>
                <w:sz w:val="18"/>
              </w:rPr>
              <w:t xml:space="preserve">86.0（84.1〜89.1）</w:t>
            </w:r>
          </w:p>
        </w:tc>
        <w:tc>
          <w:tcPr/>
          <w:p>
            <w:pPr>
              <w:pStyle w:val="Compact"/>
              <w:jc w:val="right"/>
            </w:pPr>
            <w:r>
              <w:rPr>
                <w:rFonts w:hint="eastAsia"/>
                <w:sz w:val="18"/>
              </w:rPr>
              <w:t xml:space="preserve">80.9（71.3〜91.6）</w:t>
            </w:r>
          </w:p>
        </w:tc>
      </w:tr>
      <w:tr>
        <w:tc>
          <w:tcPr/>
          <w:p>
            <w:pPr>
              <w:pStyle w:val="Compact"/>
            </w:pPr>
            <w:r>
              <w:rPr>
                <w:rFonts w:hint="eastAsia"/>
                <w:sz w:val="18"/>
              </w:rPr>
              <w:t xml:space="preserve">北海道＜東北</w:t>
            </w:r>
          </w:p>
        </w:tc>
        <w:tc>
          <w:tcPr/>
          <w:p>
            <w:pPr>
              <w:pStyle w:val="Compact"/>
              <w:jc w:val="right"/>
            </w:pPr>
            <w:r>
              <w:rPr>
                <w:rFonts w:hint="eastAsia"/>
                <w:sz w:val="18"/>
              </w:rPr>
              <w:t xml:space="preserve">0.6（0.1〜1.4）</w:t>
            </w:r>
          </w:p>
        </w:tc>
        <w:tc>
          <w:tcPr/>
          <w:p>
            <w:pPr>
              <w:pStyle w:val="Compact"/>
              <w:jc w:val="right"/>
            </w:pPr>
            <w:r>
              <w:rPr>
                <w:rFonts w:hint="eastAsia"/>
                <w:sz w:val="18"/>
              </w:rPr>
              <w:t xml:space="preserve">4.4（2.2〜6.0）</w:t>
            </w:r>
          </w:p>
        </w:tc>
        <w:tc>
          <w:tcPr/>
          <w:p>
            <w:pPr>
              <w:pStyle w:val="Compact"/>
              <w:jc w:val="right"/>
            </w:pPr>
            <w:r>
              <w:rPr>
                <w:rFonts w:hint="eastAsia"/>
                <w:sz w:val="18"/>
              </w:rPr>
              <w:t xml:space="preserve">9.4（3.1〜13.8）</w:t>
            </w:r>
          </w:p>
        </w:tc>
      </w:tr>
    </w:tbl>
    <w:p>
      <w:pPr>
        <w:pStyle w:val="TableNote"/>
      </w:pPr>
      <w:r>
        <w:rPr>
          <w:rFonts w:hint="eastAsia"/>
        </w:rPr>
        <w:t xml:space="preserve">注）30分コマの構成比（%）。括弧内は年度別の値の範囲。価格差が±0.01円/kWh</w:t>
      </w:r>
      <w:r>
        <w:t xml:space="preserve"> </w:t>
      </w:r>
      <w:r>
        <w:rPr>
          <w:rFonts w:hint="eastAsia"/>
        </w:rPr>
        <w:t xml:space="preserve">以内を同価格とする。北海道の価格が欠測する960コマを除く。</w:t>
      </w:r>
    </w:p>
    <w:p>
      <w:pPr>
        <w:pStyle w:val="TableNote"/>
      </w:pPr>
      <w:r>
        <w:rPr>
          <w:rFonts w:hint="eastAsia"/>
        </w:rPr>
        <w:t xml:space="preserve">出所）日本卸電力取引所『スポット市場取引結果』より筆者作成。</w:t>
      </w:r>
    </w:p>
    <w:p>
      <w:pPr>
        <w:pStyle w:val="BodyText"/>
      </w:pPr>
      <w:r>
        <w:rPr>
          <w:rFonts w:hint="eastAsia"/>
        </w:rPr>
        <w:t xml:space="preserve">風力の多い日には安値のコマが増える。FY2023〜25</w:t>
      </w:r>
      <w:r>
        <w:t xml:space="preserve"> </w:t>
      </w:r>
      <w:r>
        <w:rPr>
          <w:rFonts w:hint="eastAsia"/>
        </w:rPr>
        <w:t xml:space="preserve">の季節内の風力三分位で比べると、安値の時間は夏7.2→10.7、冬3.1→8.3、不需要期4.8→9.2</w:t>
      </w:r>
      <w:r>
        <w:t xml:space="preserve"> </w:t>
      </w:r>
      <w:r>
        <w:rPr>
          <w:rFonts w:hint="eastAsia"/>
        </w:rPr>
        <w:t xml:space="preserve">時間/日に増え、増加の95%区間はいずれも0を含まない。この増加のうち北本連系線が拘束する時間（北海道が東北より安い時間）は、夏で約4分の3、不需要期で約半分、冬で2割弱である。残りは北海道と東北が同価格のままシステムプライスを下回る時間で、両エリアの風力は同じ気象で動くため、北海道の風力の効果とは識別できない。風力は現時点で、価格を下限価格に張り付かせる前に安値の分断を増やしているが、北本連系線での輸出の飽和による道内価格の切り離しといえるのはその一部である。</w:t>
      </w:r>
    </w:p>
    <w:bookmarkEnd w:id="113"/>
    <w:bookmarkStart w:id="117" w:name="空間分散の反実仮想-1"/>
    <w:p>
      <w:pPr>
        <w:pStyle w:val="Heading2"/>
      </w:pPr>
      <w:r>
        <w:t xml:space="preserve">5.6　</w:t>
      </w:r>
      <w:r>
        <w:rPr>
          <w:rFonts w:hint="eastAsia"/>
        </w:rPr>
        <w:t xml:space="preserve">空間分散の反実仮想</w:t>
      </w:r>
    </w:p>
    <w:p>
      <w:pPr>
        <w:pStyle w:val="FirstParagraph"/>
      </w:pPr>
      <w:r>
        <w:rPr>
          <w:rFonts w:hint="eastAsia"/>
        </w:rPr>
        <w:t xml:space="preserve">5.1.4項の集中立地の反実仮想の結果を表5.4</w:t>
      </w:r>
      <w:r>
        <w:t xml:space="preserve"> </w:t>
      </w:r>
      <w:r>
        <w:rPr>
          <w:rFonts w:hint="eastAsia"/>
        </w:rPr>
        <w:t xml:space="preserve">と図5.6</w:t>
      </w:r>
      <w:r>
        <w:t xml:space="preserve"> </w:t>
      </w:r>
      <w:r>
        <w:rPr>
          <w:rFonts w:hint="eastAsia"/>
        </w:rPr>
        <w:t xml:space="preserve">に示す。校正の上限は北海道全域を約32km</w:t>
      </w:r>
      <w:r>
        <w:t xml:space="preserve"> </w:t>
      </w:r>
      <w:r>
        <w:rPr>
          <w:rFonts w:hint="eastAsia"/>
        </w:rPr>
        <w:t xml:space="preserve">間隔の独立な地点で埋め尽くした場合の理論値で、実際のフリートの配置から測った日内分散比は2.9〜3.9で、下限〜中央に近い（校正の詳細は表C.4）。</w:t>
      </w:r>
    </w:p>
    <w:p>
      <w:pPr>
        <w:pStyle w:val="BodyText"/>
      </w:pPr>
      <w:r>
        <w:rPr>
          <w:rFonts w:hint="eastAsia"/>
        </w:rPr>
        <w:t xml:space="preserve">中央の校正では、TB4h</w:t>
      </w:r>
      <w:r>
        <w:t xml:space="preserve"> </w:t>
      </w:r>
      <w:r>
        <w:rPr>
          <w:rFonts w:hint="eastAsia"/>
        </w:rPr>
        <w:t xml:space="preserve">の中央値は3%、完全予見粗利（4.2.1項）は4.5%増えるにとどまり、下限張り付き時間はほとんど変わらない。増幅された確率的な変動には系統的な日内の位相がなく、日ごとの上位4時間と下位4時間の差にあまり寄与しないためである。上限では完全予見粗利は19%増え、モデル価格の上で風力が</w:t>
      </w:r>
      <w:r>
        <w:t xml:space="preserve"> TB4h </w:t>
      </w:r>
      <w:r>
        <w:rPr>
          <w:rFonts w:hint="eastAsia"/>
        </w:rPr>
        <w:t xml:space="preserve">に与える夏と冬の係数は正に転じる（EWC</w:t>
      </w:r>
      <w:r>
        <w:t xml:space="preserve"> の </w:t>
      </w:r>
      <w:r>
        <w:rPr>
          <w:rFonts w:hint="eastAsia"/>
        </w:rPr>
        <w:t xml:space="preserve">p=0.04、0.005）。日周まで増幅した版や帯域別に増幅した版でも、実現した日内分散比が同じなら結果はほぼ同じであり（表C.5）、価格の応答を決めるのは、増幅の作り方ではなく実現した日内分散の大きさである。</w:t>
      </w:r>
    </w:p>
    <w:p>
      <w:pPr>
        <w:pStyle w:val="BodyText"/>
      </w:pPr>
      <w:r>
        <w:rPr>
          <w:rFonts w:hint="eastAsia"/>
        </w:rPr>
        <w:t xml:space="preserve">日内分散の大きさが同じでも、系統的な日周の位相は効果を大きく変える。実フリートに振幅0.3の日周を付与すると、完全予見粗利はピークの時刻によって+3.6%から−6.1%まで動き（表5.4）、同じ日内分散比の一様な増幅（+0.8〜1.3%）と比べて絶対値で2〜7倍で、符号も変わる（ピーク時刻を動かした結果は表C.6）。モデルの上では、日内形状への効果を決めるのは分散の大きさより位相である。位相が既存の安値の時間（未明〜昼）に重なればスプレッドを広げ、夕方〜深夜に重なれば縮める。</w:t>
      </w:r>
    </w:p>
    <w:p>
      <w:pPr>
        <w:pStyle w:val="TableCaption"/>
      </w:pPr>
      <w:r>
        <w:rPr>
          <w:rFonts w:hint="eastAsia"/>
        </w:rPr>
        <w:t xml:space="preserve">表5.4</w:t>
      </w:r>
      <w:r>
        <w:t xml:space="preserve">　</w:t>
      </w:r>
      <w:r>
        <w:rPr>
          <w:rFonts w:hint="eastAsia"/>
        </w:rPr>
        <w:t xml:space="preserve">集中立地の反実仮想の主な結果（北海道の風力、FY2023〜25）</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5.4　集中立地の反実仮想の主な結果（北海道の風力、FY2023〜25）"/>
      </w:tblPr>
      <w:tblGrid>
        <w:gridCol w:w="1033"/>
        <w:gridCol w:w="1377"/>
        <w:gridCol w:w="1377"/>
        <w:gridCol w:w="1377"/>
        <w:gridCol w:w="1377"/>
        <w:gridCol w:w="1377"/>
      </w:tblGrid>
      <w:tr>
        <w:trPr>
          <w:tblHeader w:val="on"/>
        </w:trPr>
        <w:tc>
          <w:tcPr>
            <w:tcBorders>
              <w:bottom w:val="single" w:sz="6" w:color="000000"/>
            </w:tcBorders>
          </w:tcPr>
          <w:p>
            <w:pPr>
              <w:pStyle w:val="Compact"/>
            </w:pPr>
            <w:r>
              <w:rPr>
                <w:rFonts w:hint="eastAsia"/>
                <w:sz w:val="18"/>
              </w:rPr>
              <w:t xml:space="preserve">系列</w:t>
            </w:r>
          </w:p>
        </w:tc>
        <w:tc>
          <w:tcPr>
            <w:tcBorders>
              <w:bottom w:val="single" w:sz="6" w:color="000000"/>
            </w:tcBorders>
          </w:tcPr>
          <w:p>
            <w:pPr>
              <w:pStyle w:val="Compact"/>
              <w:jc w:val="right"/>
            </w:pPr>
            <w:r>
              <w:rPr>
                <w:rFonts w:hint="eastAsia"/>
                <w:sz w:val="18"/>
              </w:rPr>
              <w:t xml:space="preserve">日内分散比</w:t>
            </w:r>
          </w:p>
        </w:tc>
        <w:tc>
          <w:tcPr>
            <w:tcBorders>
              <w:bottom w:val="single" w:sz="6" w:color="000000"/>
            </w:tcBorders>
          </w:tcPr>
          <w:p>
            <w:pPr>
              <w:pStyle w:val="Compact"/>
              <w:jc w:val="right"/>
            </w:pPr>
            <w:r>
              <w:rPr>
                <w:rFonts w:hint="eastAsia"/>
                <w:sz w:val="18"/>
              </w:rPr>
              <w:t xml:space="preserve">下限張り付き（時間/年）</w:t>
            </w:r>
          </w:p>
        </w:tc>
        <w:tc>
          <w:tcPr>
            <w:tcBorders>
              <w:bottom w:val="single" w:sz="6" w:color="000000"/>
            </w:tcBorders>
          </w:tcPr>
          <w:p>
            <w:pPr>
              <w:pStyle w:val="Compact"/>
              <w:jc w:val="right"/>
            </w:pPr>
            <w:r>
              <w:rPr>
                <w:sz w:val="18"/>
              </w:rPr>
              <w:t xml:space="preserve">TB4h </w:t>
            </w:r>
            <w:r>
              <w:rPr>
                <w:rFonts w:hint="eastAsia"/>
                <w:sz w:val="18"/>
              </w:rPr>
              <w:t xml:space="preserve">中央値（円/kWh）</w:t>
            </w:r>
          </w:p>
        </w:tc>
        <w:tc>
          <w:tcPr>
            <w:tcBorders>
              <w:bottom w:val="single" w:sz="6" w:color="000000"/>
            </w:tcBorders>
          </w:tcPr>
          <w:p>
            <w:pPr>
              <w:pStyle w:val="Compact"/>
              <w:jc w:val="right"/>
            </w:pPr>
            <w:r>
              <w:rPr>
                <w:rFonts w:hint="eastAsia"/>
                <w:sz w:val="18"/>
              </w:rPr>
              <w:t xml:space="preserve">完全予見粗利（円/kW-年）</w:t>
            </w:r>
          </w:p>
        </w:tc>
        <w:tc>
          <w:tcPr>
            <w:tcBorders>
              <w:bottom w:val="single" w:sz="6" w:color="000000"/>
            </w:tcBorders>
          </w:tcPr>
          <w:p>
            <w:pPr>
              <w:pStyle w:val="Compact"/>
              <w:jc w:val="right"/>
            </w:pPr>
            <w:r>
              <w:rPr>
                <w:rFonts w:hint="eastAsia"/>
                <w:sz w:val="18"/>
              </w:rPr>
              <w:t xml:space="preserve">風力→TB4h（夏／冬／不需要期）</w:t>
            </w:r>
          </w:p>
        </w:tc>
      </w:tr>
      <w:tr>
        <w:tc>
          <w:tcPr/>
          <w:p>
            <w:pPr>
              <w:pStyle w:val="Compact"/>
            </w:pPr>
            <w:r>
              <w:rPr>
                <w:rFonts w:hint="eastAsia"/>
                <w:sz w:val="18"/>
              </w:rPr>
              <w:t xml:space="preserve">実フリート</w:t>
            </w:r>
          </w:p>
        </w:tc>
        <w:tc>
          <w:tcPr/>
          <w:p>
            <w:pPr>
              <w:pStyle w:val="Compact"/>
              <w:jc w:val="right"/>
            </w:pPr>
            <w:r>
              <w:rPr>
                <w:sz w:val="18"/>
              </w:rPr>
              <w:t xml:space="preserve">1.00</w:t>
            </w:r>
          </w:p>
        </w:tc>
        <w:tc>
          <w:tcPr/>
          <w:p>
            <w:pPr>
              <w:pStyle w:val="Compact"/>
              <w:jc w:val="right"/>
            </w:pPr>
            <w:r>
              <w:rPr>
                <w:sz w:val="18"/>
              </w:rPr>
              <w:t xml:space="preserve">115</w:t>
            </w:r>
          </w:p>
        </w:tc>
        <w:tc>
          <w:tcPr/>
          <w:p>
            <w:pPr>
              <w:pStyle w:val="Compact"/>
              <w:jc w:val="right"/>
            </w:pPr>
            <w:r>
              <w:rPr>
                <w:sz w:val="18"/>
              </w:rPr>
              <w:t xml:space="preserve">7.96</w:t>
            </w:r>
          </w:p>
        </w:tc>
        <w:tc>
          <w:tcPr/>
          <w:p>
            <w:pPr>
              <w:pStyle w:val="Compact"/>
              <w:jc w:val="right"/>
            </w:pPr>
            <w:r>
              <w:rPr>
                <w:sz w:val="18"/>
              </w:rPr>
              <w:t xml:space="preserve">8,266</w:t>
            </w:r>
          </w:p>
        </w:tc>
        <w:tc>
          <w:tcPr/>
          <w:p>
            <w:pPr>
              <w:pStyle w:val="Compact"/>
              <w:jc w:val="right"/>
            </w:pPr>
            <w:r>
              <w:rPr>
                <w:rFonts w:hint="eastAsia"/>
                <w:sz w:val="18"/>
              </w:rPr>
              <w:t xml:space="preserve">−0.040／−0.019／+0.141</w:t>
            </w:r>
          </w:p>
        </w:tc>
      </w:tr>
      <w:tr>
        <w:tc>
          <w:tcPr/>
          <w:p>
            <w:pPr>
              <w:pStyle w:val="Compact"/>
            </w:pPr>
            <w:r>
              <w:rPr>
                <w:rFonts w:hint="eastAsia"/>
                <w:sz w:val="18"/>
              </w:rPr>
              <w:t xml:space="preserve">一様な増幅：下限</w:t>
            </w:r>
          </w:p>
        </w:tc>
        <w:tc>
          <w:tcPr/>
          <w:p>
            <w:pPr>
              <w:pStyle w:val="Compact"/>
              <w:jc w:val="right"/>
            </w:pPr>
            <w:r>
              <w:rPr>
                <w:sz w:val="18"/>
              </w:rPr>
              <w:t xml:space="preserve">2.81</w:t>
            </w:r>
          </w:p>
        </w:tc>
        <w:tc>
          <w:tcPr/>
          <w:p>
            <w:pPr>
              <w:pStyle w:val="Compact"/>
              <w:jc w:val="right"/>
            </w:pPr>
            <w:r>
              <w:rPr>
                <w:sz w:val="18"/>
              </w:rPr>
              <w:t xml:space="preserve">115</w:t>
            </w:r>
          </w:p>
        </w:tc>
        <w:tc>
          <w:tcPr/>
          <w:p>
            <w:pPr>
              <w:pStyle w:val="Compact"/>
              <w:jc w:val="right"/>
            </w:pPr>
            <w:r>
              <w:rPr>
                <w:sz w:val="18"/>
              </w:rPr>
              <w:t xml:space="preserve">8.10</w:t>
            </w:r>
          </w:p>
        </w:tc>
        <w:tc>
          <w:tcPr/>
          <w:p>
            <w:pPr>
              <w:pStyle w:val="Compact"/>
              <w:jc w:val="right"/>
            </w:pPr>
            <w:r>
              <w:rPr>
                <w:rFonts w:hint="eastAsia"/>
                <w:sz w:val="18"/>
              </w:rPr>
              <w:t xml:space="preserve">8,463（+2.4%）</w:t>
            </w:r>
          </w:p>
        </w:tc>
        <w:tc>
          <w:tcPr/>
          <w:p>
            <w:pPr>
              <w:pStyle w:val="Compact"/>
              <w:jc w:val="right"/>
            </w:pPr>
            <w:r>
              <w:rPr>
                <w:rFonts w:hint="eastAsia"/>
                <w:sz w:val="18"/>
              </w:rPr>
              <w:t xml:space="preserve">−0.025／−0.005／+0.146</w:t>
            </w:r>
          </w:p>
        </w:tc>
      </w:tr>
      <w:tr>
        <w:tc>
          <w:tcPr/>
          <w:p>
            <w:pPr>
              <w:pStyle w:val="Compact"/>
            </w:pPr>
            <w:r>
              <w:rPr>
                <w:rFonts w:hint="eastAsia"/>
                <w:sz w:val="18"/>
              </w:rPr>
              <w:t xml:space="preserve">一様な増幅：中央</w:t>
            </w:r>
          </w:p>
        </w:tc>
        <w:tc>
          <w:tcPr/>
          <w:p>
            <w:pPr>
              <w:pStyle w:val="Compact"/>
              <w:jc w:val="right"/>
            </w:pPr>
            <w:r>
              <w:rPr>
                <w:sz w:val="18"/>
              </w:rPr>
              <w:t xml:space="preserve">4.40</w:t>
            </w:r>
          </w:p>
        </w:tc>
        <w:tc>
          <w:tcPr/>
          <w:p>
            <w:pPr>
              <w:pStyle w:val="Compact"/>
              <w:jc w:val="right"/>
            </w:pPr>
            <w:r>
              <w:rPr>
                <w:sz w:val="18"/>
              </w:rPr>
              <w:t xml:space="preserve">116</w:t>
            </w:r>
          </w:p>
        </w:tc>
        <w:tc>
          <w:tcPr/>
          <w:p>
            <w:pPr>
              <w:pStyle w:val="Compact"/>
              <w:jc w:val="right"/>
            </w:pPr>
            <w:r>
              <w:rPr>
                <w:sz w:val="18"/>
              </w:rPr>
              <w:t xml:space="preserve">8.20</w:t>
            </w:r>
          </w:p>
        </w:tc>
        <w:tc>
          <w:tcPr/>
          <w:p>
            <w:pPr>
              <w:pStyle w:val="Compact"/>
              <w:jc w:val="right"/>
            </w:pPr>
            <w:r>
              <w:rPr>
                <w:rFonts w:hint="eastAsia"/>
                <w:sz w:val="18"/>
              </w:rPr>
              <w:t xml:space="preserve">8,640（+4.5%）</w:t>
            </w:r>
          </w:p>
        </w:tc>
        <w:tc>
          <w:tcPr/>
          <w:p>
            <w:pPr>
              <w:pStyle w:val="Compact"/>
              <w:jc w:val="right"/>
            </w:pPr>
            <w:r>
              <w:rPr>
                <w:rFonts w:hint="eastAsia"/>
                <w:sz w:val="18"/>
              </w:rPr>
              <w:t xml:space="preserve">−0.009／+0.007／+0.148</w:t>
            </w:r>
          </w:p>
        </w:tc>
      </w:tr>
      <w:tr>
        <w:tc>
          <w:tcPr/>
          <w:p>
            <w:pPr>
              <w:pStyle w:val="Compact"/>
            </w:pPr>
            <w:r>
              <w:rPr>
                <w:rFonts w:hint="eastAsia"/>
                <w:sz w:val="18"/>
              </w:rPr>
              <w:t xml:space="preserve">一様な増幅：上限</w:t>
            </w:r>
          </w:p>
        </w:tc>
        <w:tc>
          <w:tcPr/>
          <w:p>
            <w:pPr>
              <w:pStyle w:val="Compact"/>
              <w:jc w:val="right"/>
            </w:pPr>
            <w:r>
              <w:rPr>
                <w:sz w:val="18"/>
              </w:rPr>
              <w:t xml:space="preserve">16.88</w:t>
            </w:r>
          </w:p>
        </w:tc>
        <w:tc>
          <w:tcPr/>
          <w:p>
            <w:pPr>
              <w:pStyle w:val="Compact"/>
              <w:jc w:val="right"/>
            </w:pPr>
            <w:r>
              <w:rPr>
                <w:sz w:val="18"/>
              </w:rPr>
              <w:t xml:space="preserve">140</w:t>
            </w:r>
          </w:p>
        </w:tc>
        <w:tc>
          <w:tcPr/>
          <w:p>
            <w:pPr>
              <w:pStyle w:val="Compact"/>
              <w:jc w:val="right"/>
            </w:pPr>
            <w:r>
              <w:rPr>
                <w:sz w:val="18"/>
              </w:rPr>
              <w:t xml:space="preserve">9.03</w:t>
            </w:r>
          </w:p>
        </w:tc>
        <w:tc>
          <w:tcPr/>
          <w:p>
            <w:pPr>
              <w:pStyle w:val="Compact"/>
              <w:jc w:val="right"/>
            </w:pPr>
            <w:r>
              <w:rPr>
                <w:rFonts w:hint="eastAsia"/>
                <w:sz w:val="18"/>
              </w:rPr>
              <w:t xml:space="preserve">9,819（+18.8%）</w:t>
            </w:r>
          </w:p>
        </w:tc>
        <w:tc>
          <w:tcPr/>
          <w:p>
            <w:pPr>
              <w:pStyle w:val="Compact"/>
              <w:jc w:val="right"/>
            </w:pPr>
            <w:r>
              <w:rPr>
                <w:rFonts w:hint="eastAsia"/>
                <w:sz w:val="18"/>
              </w:rPr>
              <w:t xml:space="preserve">+0.104／+0.087／+0.175</w:t>
            </w:r>
          </w:p>
        </w:tc>
      </w:tr>
      <w:tr>
        <w:tc>
          <w:tcPr/>
          <w:p>
            <w:pPr>
              <w:pStyle w:val="Compact"/>
            </w:pPr>
            <w:r>
              <w:rPr>
                <w:rFonts w:hint="eastAsia"/>
                <w:sz w:val="18"/>
              </w:rPr>
              <w:t xml:space="preserve">日周の付与：未明（3時）</w:t>
            </w:r>
          </w:p>
        </w:tc>
        <w:tc>
          <w:tcPr/>
          <w:p>
            <w:pPr>
              <w:pStyle w:val="Compact"/>
              <w:jc w:val="right"/>
            </w:pPr>
            <w:r>
              <w:rPr>
                <w:sz w:val="18"/>
              </w:rPr>
              <w:t xml:space="preserve">2.00</w:t>
            </w:r>
          </w:p>
        </w:tc>
        <w:tc>
          <w:tcPr/>
          <w:p>
            <w:pPr>
              <w:pStyle w:val="Compact"/>
              <w:jc w:val="right"/>
            </w:pPr>
            <w:r>
              <w:rPr>
                <w:sz w:val="18"/>
              </w:rPr>
              <w:t xml:space="preserve">98</w:t>
            </w:r>
          </w:p>
        </w:tc>
        <w:tc>
          <w:tcPr/>
          <w:p>
            <w:pPr>
              <w:pStyle w:val="Compact"/>
              <w:jc w:val="right"/>
            </w:pPr>
            <w:r>
              <w:rPr>
                <w:sz w:val="18"/>
              </w:rPr>
              <w:t xml:space="preserve">8.17</w:t>
            </w:r>
          </w:p>
        </w:tc>
        <w:tc>
          <w:tcPr/>
          <w:p>
            <w:pPr>
              <w:pStyle w:val="Compact"/>
              <w:jc w:val="right"/>
            </w:pPr>
            <w:r>
              <w:rPr>
                <w:rFonts w:hint="eastAsia"/>
                <w:sz w:val="18"/>
              </w:rPr>
              <w:t xml:space="preserve">8,482（+2.6%）</w:t>
            </w:r>
          </w:p>
        </w:tc>
        <w:tc>
          <w:tcPr/>
          <w:p>
            <w:pPr>
              <w:pStyle w:val="Compact"/>
              <w:jc w:val="right"/>
            </w:pPr>
            <w:r>
              <w:rPr>
                <w:sz w:val="18"/>
              </w:rPr>
              <w:t xml:space="preserve">—</w:t>
            </w:r>
          </w:p>
        </w:tc>
      </w:tr>
      <w:tr>
        <w:tc>
          <w:tcPr/>
          <w:p>
            <w:pPr>
              <w:pStyle w:val="Compact"/>
            </w:pPr>
            <w:r>
              <w:rPr>
                <w:rFonts w:hint="eastAsia"/>
                <w:sz w:val="18"/>
              </w:rPr>
              <w:t xml:space="preserve">日周の付与：昼（13時）</w:t>
            </w:r>
          </w:p>
        </w:tc>
        <w:tc>
          <w:tcPr/>
          <w:p>
            <w:pPr>
              <w:pStyle w:val="Compact"/>
              <w:jc w:val="right"/>
            </w:pPr>
            <w:r>
              <w:rPr>
                <w:sz w:val="18"/>
              </w:rPr>
              <w:t xml:space="preserve">1.85</w:t>
            </w:r>
          </w:p>
        </w:tc>
        <w:tc>
          <w:tcPr/>
          <w:p>
            <w:pPr>
              <w:pStyle w:val="Compact"/>
              <w:jc w:val="right"/>
            </w:pPr>
            <w:r>
              <w:rPr>
                <w:sz w:val="18"/>
              </w:rPr>
              <w:t xml:space="preserve">154</w:t>
            </w:r>
          </w:p>
        </w:tc>
        <w:tc>
          <w:tcPr/>
          <w:p>
            <w:pPr>
              <w:pStyle w:val="Compact"/>
              <w:jc w:val="right"/>
            </w:pPr>
            <w:r>
              <w:rPr>
                <w:sz w:val="18"/>
              </w:rPr>
              <w:t xml:space="preserve">8.06</w:t>
            </w:r>
          </w:p>
        </w:tc>
        <w:tc>
          <w:tcPr/>
          <w:p>
            <w:pPr>
              <w:pStyle w:val="Compact"/>
              <w:jc w:val="right"/>
            </w:pPr>
            <w:r>
              <w:rPr>
                <w:rFonts w:hint="eastAsia"/>
                <w:sz w:val="18"/>
              </w:rPr>
              <w:t xml:space="preserve">8,564（+3.6%）</w:t>
            </w:r>
          </w:p>
        </w:tc>
        <w:tc>
          <w:tcPr/>
          <w:p>
            <w:pPr>
              <w:pStyle w:val="Compact"/>
              <w:jc w:val="right"/>
            </w:pPr>
            <w:r>
              <w:rPr>
                <w:sz w:val="18"/>
              </w:rPr>
              <w:t xml:space="preserve">—</w:t>
            </w:r>
          </w:p>
        </w:tc>
      </w:tr>
      <w:tr>
        <w:tc>
          <w:tcPr/>
          <w:p>
            <w:pPr>
              <w:pStyle w:val="Compact"/>
            </w:pPr>
            <w:r>
              <w:rPr>
                <w:rFonts w:hint="eastAsia"/>
                <w:sz w:val="18"/>
              </w:rPr>
              <w:t xml:space="preserve">日周の付与：夕方（18時）</w:t>
            </w:r>
          </w:p>
        </w:tc>
        <w:tc>
          <w:tcPr/>
          <w:p>
            <w:pPr>
              <w:pStyle w:val="Compact"/>
              <w:jc w:val="right"/>
            </w:pPr>
            <w:r>
              <w:rPr>
                <w:sz w:val="18"/>
              </w:rPr>
              <w:t xml:space="preserve">1.96</w:t>
            </w:r>
          </w:p>
        </w:tc>
        <w:tc>
          <w:tcPr/>
          <w:p>
            <w:pPr>
              <w:pStyle w:val="Compact"/>
              <w:jc w:val="right"/>
            </w:pPr>
            <w:r>
              <w:rPr>
                <w:sz w:val="18"/>
              </w:rPr>
              <w:t xml:space="preserve">106</w:t>
            </w:r>
          </w:p>
        </w:tc>
        <w:tc>
          <w:tcPr/>
          <w:p>
            <w:pPr>
              <w:pStyle w:val="Compact"/>
              <w:jc w:val="right"/>
            </w:pPr>
            <w:r>
              <w:rPr>
                <w:sz w:val="18"/>
              </w:rPr>
              <w:t xml:space="preserve">7.48</w:t>
            </w:r>
          </w:p>
        </w:tc>
        <w:tc>
          <w:tcPr/>
          <w:p>
            <w:pPr>
              <w:pStyle w:val="Compact"/>
              <w:jc w:val="right"/>
            </w:pPr>
            <w:r>
              <w:rPr>
                <w:rFonts w:hint="eastAsia"/>
                <w:sz w:val="18"/>
              </w:rPr>
              <w:t xml:space="preserve">7,760（−6.1%）</w:t>
            </w:r>
          </w:p>
        </w:tc>
        <w:tc>
          <w:tcPr/>
          <w:p>
            <w:pPr>
              <w:pStyle w:val="Compact"/>
              <w:jc w:val="right"/>
            </w:pPr>
            <w:r>
              <w:rPr>
                <w:sz w:val="18"/>
              </w:rPr>
              <w:t xml:space="preserve">—</w:t>
            </w:r>
          </w:p>
        </w:tc>
      </w:tr>
      <w:tr>
        <w:tc>
          <w:tcPr/>
          <w:p>
            <w:pPr>
              <w:pStyle w:val="Compact"/>
            </w:pPr>
            <w:r>
              <w:rPr>
                <w:rFonts w:hint="eastAsia"/>
                <w:sz w:val="18"/>
              </w:rPr>
              <w:t xml:space="preserve">参考：実績の価格</w:t>
            </w:r>
          </w:p>
        </w:tc>
        <w:tc>
          <w:tcPr/>
          <w:p>
            <w:pPr>
              <w:pStyle w:val="Compact"/>
              <w:jc w:val="right"/>
            </w:pPr>
            <w:r>
              <w:rPr>
                <w:sz w:val="18"/>
              </w:rPr>
              <w:t xml:space="preserve">—</w:t>
            </w:r>
          </w:p>
        </w:tc>
        <w:tc>
          <w:tcPr/>
          <w:p>
            <w:pPr>
              <w:pStyle w:val="Compact"/>
              <w:jc w:val="right"/>
            </w:pPr>
            <w:r>
              <w:rPr>
                <w:sz w:val="18"/>
              </w:rPr>
              <w:t xml:space="preserve">203</w:t>
            </w:r>
          </w:p>
        </w:tc>
        <w:tc>
          <w:tcPr/>
          <w:p>
            <w:pPr>
              <w:pStyle w:val="Compact"/>
              <w:jc w:val="right"/>
            </w:pPr>
            <w:r>
              <w:rPr>
                <w:sz w:val="18"/>
              </w:rPr>
              <w:t xml:space="preserve">8.85</w:t>
            </w:r>
          </w:p>
        </w:tc>
        <w:tc>
          <w:tcPr/>
          <w:p>
            <w:pPr>
              <w:pStyle w:val="Compact"/>
              <w:jc w:val="right"/>
            </w:pPr>
            <w:r>
              <w:rPr>
                <w:sz w:val="18"/>
              </w:rPr>
              <w:t xml:space="preserve">10,317</w:t>
            </w:r>
          </w:p>
        </w:tc>
        <w:tc>
          <w:tcPr/>
          <w:p>
            <w:pPr>
              <w:pStyle w:val="Compact"/>
              <w:jc w:val="right"/>
            </w:pPr>
            <w:r>
              <w:rPr>
                <w:rFonts w:hint="eastAsia"/>
                <w:sz w:val="18"/>
              </w:rPr>
              <w:t xml:space="preserve">+0.088／−0.112／−0.025</w:t>
            </w:r>
          </w:p>
        </w:tc>
      </w:tr>
    </w:tbl>
    <w:p>
      <w:pPr>
        <w:pStyle w:val="TableNote"/>
      </w:pPr>
      <w:r>
        <w:rPr>
          <w:rFonts w:hint="eastAsia"/>
        </w:rPr>
        <w:t xml:space="preserve">注）実績の価格の行を除き、価格は第7章の価格過程モデル（仕様A、</w:t>
      </w:r>
      <m:oMath>
        <m:r>
          <m:t>θ</m:t>
        </m:r>
        <m:r>
          <m:rPr>
            <m:sty m:val="p"/>
          </m:rPr>
          <m:t>=</m:t>
        </m:r>
        <m:r>
          <m:t>1</m:t>
        </m:r>
      </m:oMath>
      <w:r>
        <w:rPr>
          <w:rFonts w:hint="eastAsia"/>
        </w:rPr>
        <w:t xml:space="preserve">）による。日内分散比は、一様な増幅では確率成分、日周の付与（振幅0.3）では全成分で測った値。括弧内は実フリートに対する変化率。風力→TB4h</w:t>
      </w:r>
      <w:r>
        <w:t xml:space="preserve"> </w:t>
      </w:r>
      <w:r>
        <w:rPr>
          <w:rFonts w:hint="eastAsia"/>
        </w:rPr>
        <w:t xml:space="preserve">は式(5.2)の</w:t>
      </w:r>
      <w:r>
        <w:t xml:space="preserve"> TB4h </w:t>
      </w:r>
      <w:r>
        <w:rPr>
          <w:rFonts w:hint="eastAsia"/>
        </w:rPr>
        <w:t xml:space="preserve">の風力の係数（円/kWh</w:t>
      </w:r>
      <w:r>
        <w:t xml:space="preserve"> per </w:t>
      </w:r>
      <w:r>
        <w:rPr>
          <w:rFonts w:hint="eastAsia"/>
        </w:rPr>
        <w:t xml:space="preserve">GWh/日）。</w:t>
      </w:r>
    </w:p>
    <w:p>
      <w:pPr>
        <w:pStyle w:val="TableNote"/>
      </w:pPr>
      <w:r>
        <w:rPr>
          <w:rFonts w:hint="eastAsia"/>
        </w:rPr>
        <w:t xml:space="preserve">出所）表5.2</w:t>
      </w:r>
      <w:r>
        <w:t xml:space="preserve"> </w:t>
      </w:r>
      <w:r>
        <w:rPr>
          <w:rFonts w:hint="eastAsia"/>
        </w:rPr>
        <w:t xml:space="preserve">と同じ資料と</w:t>
      </w:r>
      <w:r>
        <w:t xml:space="preserve"> St. Martin et </w:t>
      </w:r>
      <w:r>
        <w:rPr>
          <w:rFonts w:hint="eastAsia"/>
        </w:rPr>
        <w:t xml:space="preserve">al.（2015）の相関距離をもとに筆者推計。</w:t>
      </w:r>
    </w:p>
    <w:p>
      <w:pPr>
        <w:pStyle w:val="CaptionedFigure"/>
      </w:pPr>
      <w:r>
        <w:drawing>
          <wp:inline>
            <wp:extent cx="5039999" cy="7105573"/>
            <wp:effectExtent b="0" l="0" r="0" t="0"/>
            <wp:docPr descr="図5.6　集中立地と日周位相の反実仮想" title="" id="115" name="Picture"/>
            <a:graphic>
              <a:graphicData uri="http://schemas.openxmlformats.org/drawingml/2006/picture">
                <pic:pic>
                  <pic:nvPicPr>
                    <pic:cNvPr descr="../figures/hokkaido/spatial_dispersion_v3.png" id="116" name="Picture"/>
                    <pic:cNvPicPr>
                      <a:picLocks noChangeArrowheads="1" noChangeAspect="1"/>
                    </pic:cNvPicPr>
                  </pic:nvPicPr>
                  <pic:blipFill>
                    <a:blip r:embed="rId114"/>
                    <a:stretch>
                      <a:fillRect/>
                    </a:stretch>
                  </pic:blipFill>
                  <pic:spPr bwMode="auto">
                    <a:xfrm>
                      <a:off x="0" y="0"/>
                      <a:ext cx="5039999" cy="7105573"/>
                    </a:xfrm>
                    <a:prstGeom prst="rect">
                      <a:avLst/>
                    </a:prstGeom>
                    <a:noFill/>
                    <a:ln w="9525">
                      <a:noFill/>
                      <a:headEnd/>
                      <a:tailEnd/>
                    </a:ln>
                  </pic:spPr>
                </pic:pic>
              </a:graphicData>
            </a:graphic>
          </wp:inline>
        </w:drawing>
      </w:r>
    </w:p>
    <w:p>
      <w:pPr>
        <w:pStyle w:val="ImageCaption"/>
      </w:pPr>
      <w:r>
        <w:rPr>
          <w:rFonts w:hint="eastAsia"/>
        </w:rPr>
        <w:t xml:space="preserve">図5.6</w:t>
      </w:r>
      <w:r>
        <w:t xml:space="preserve">　</w:t>
      </w:r>
      <w:r>
        <w:rPr>
          <w:rFonts w:hint="eastAsia"/>
        </w:rPr>
        <w:t xml:space="preserve">集中立地と日周位相の反実仮想</w:t>
      </w:r>
    </w:p>
    <w:p>
      <w:pPr>
        <w:pStyle w:val="TableNote"/>
      </w:pPr>
      <w:r>
        <w:rPr>
          <w:rFonts w:hint="eastAsia"/>
        </w:rPr>
        <w:t xml:space="preserve">注）(a)</w:t>
      </w:r>
      <w:r>
        <w:t xml:space="preserve"> </w:t>
      </w:r>
      <w:r>
        <w:rPr>
          <w:rFonts w:hint="eastAsia"/>
        </w:rPr>
        <w:t xml:space="preserve">は日内分散比（対数目盛）と完全予見粗利の変化、(b)</w:t>
      </w:r>
      <w:r>
        <w:t xml:space="preserve"> </w:t>
      </w:r>
      <w:r>
        <w:rPr>
          <w:rFonts w:hint="eastAsia"/>
        </w:rPr>
        <w:t xml:space="preserve">は日内分散比とモデル価格の上の風力の</w:t>
      </w:r>
      <w:r>
        <w:t xml:space="preserve"> TB4h </w:t>
      </w:r>
      <w:r>
        <w:rPr>
          <w:rFonts w:hint="eastAsia"/>
        </w:rPr>
        <w:t xml:space="preserve">への係数。縦の線は校正の下限・中央・上限。日内分散比は、「確率成分」の系列では確率成分で、その他の系列では全成分で測った値である。主の「一様な増幅・確率成分」では日周を実フリートの水準のままとし、日周の付与の振幅は0.1〜0.3</w:t>
      </w:r>
      <w:r>
        <w:t xml:space="preserve"> </w:t>
      </w:r>
      <w:r>
        <w:rPr>
          <w:rFonts w:hint="eastAsia"/>
        </w:rPr>
        <w:t xml:space="preserve">である。灰色の四角は、日内帯域を加法で増やして0と設備容量で打ち切る作り方による参考値で、添えた数字はその名目の倍率である（表C.5）。</w:t>
      </w:r>
    </w:p>
    <w:p>
      <w:pPr>
        <w:pStyle w:val="TableNote"/>
      </w:pPr>
      <w:r>
        <w:rPr>
          <w:rFonts w:hint="eastAsia"/>
        </w:rPr>
        <w:t xml:space="preserve">出所）表5.4</w:t>
      </w:r>
      <w:r>
        <w:t xml:space="preserve"> </w:t>
      </w:r>
      <w:r>
        <w:rPr>
          <w:rFonts w:hint="eastAsia"/>
        </w:rPr>
        <w:t xml:space="preserve">と同じ。</w:t>
      </w:r>
    </w:p>
    <w:p>
      <w:pPr>
        <w:pStyle w:val="BodyText"/>
      </w:pPr>
      <w:r>
        <w:rPr>
          <w:rFonts w:hint="eastAsia"/>
        </w:rPr>
        <w:t xml:space="preserve">この反実仮想はモデル価格の上の比較なので、モデルの感応度を実績と比べた（表C.7）。モデルは実績に比べ、下限張り付き時間と完全予見粗利を小さく出す（表5.4</w:t>
      </w:r>
      <w:r>
        <w:t xml:space="preserve"> </w:t>
      </w:r>
      <w:r>
        <w:rPr>
          <w:rFonts w:hint="eastAsia"/>
        </w:rPr>
        <w:t xml:space="preserve">の第1行と最下行）。風力の日次発電量に対する</w:t>
      </w:r>
      <w:r>
        <w:t xml:space="preserve"> TB4h </w:t>
      </w:r>
      <w:r>
        <w:rPr>
          <w:rFonts w:hint="eastAsia"/>
        </w:rPr>
        <w:t xml:space="preserve">の係数は、不需要期だけ実績とモデルの差が有意であり（−0.166、p=0.02）、表5.4</w:t>
      </w:r>
      <w:r>
        <w:t xml:space="preserve"> </w:t>
      </w:r>
      <w:r>
        <w:rPr>
          <w:rFonts w:hint="eastAsia"/>
        </w:rPr>
        <w:t xml:space="preserve">の不需要期の係数は水準ではなく行の間の差で読む。風力の日内変動に対する</w:t>
      </w:r>
      <w:r>
        <w:t xml:space="preserve"> TB4h </w:t>
      </w:r>
      <w:r>
        <w:rPr>
          <w:rFonts w:hint="eastAsia"/>
        </w:rPr>
        <w:t xml:space="preserve">の感応度は、夏に実績がモデルの4.7倍で差は有意である（p=0.007）。この差は主に9月によって生じており、台風や前線の通過で風と価格が同時に動く交絡を含みうる。この比でモデルの夏の完全予見粗利の増分を補正すると、参考値として中央の校正で+6.7%、上限で+32%になるが、Fieller</w:t>
      </w:r>
      <w:r>
        <w:t xml:space="preserve"> </w:t>
      </w:r>
      <w:r>
        <w:rPr>
          <w:rFonts w:hint="eastAsia"/>
        </w:rPr>
        <w:t xml:space="preserve">型の区間は上側に長い（上限で22〜123%。表C.8）。</w:t>
      </w:r>
    </w:p>
    <w:p>
      <w:pPr>
        <w:pStyle w:val="BodyText"/>
      </w:pPr>
      <w:r>
        <w:rPr>
          <w:rFonts w:hint="eastAsia"/>
        </w:rPr>
        <w:t xml:space="preserve">以上から、この比較の上では、北海道の風力が日内形状を広げる頑健な証拠がないことの主因は、風力に系統的な日内のサイクルがないことにあり、広域の単一価格ゾーンの下でのフリートの集約は補助的な機構と位置づけられる（10.3.1項）。ただし、これは仕様A</w:t>
      </w:r>
      <w:r>
        <w:t xml:space="preserve"> </w:t>
      </w:r>
      <w:r>
        <w:rPr>
          <w:rFonts w:hint="eastAsia"/>
        </w:rPr>
        <w:t xml:space="preserve">の上の比較であり、仕様A′（7.2.2項）の上では確かめていない。また校正の上限では、補正後の完全予見粗利の増分は点推定で32%に達し、上限側の効果は無視できるとはいえない。ドイツで風力が日内の変動性を高める（Paraschiv</w:t>
      </w:r>
      <w:r>
        <w:t xml:space="preserve"> et al., 2014; Rintamäki et al., </w:t>
      </w:r>
      <w:r>
        <w:rPr>
          <w:rFonts w:hint="eastAsia"/>
        </w:rPr>
        <w:t xml:space="preserve">2017）のは夜間に偏った系統的な日内の位相があるためであり、豪州で風力が価格の条件付き分散を高めるという結果（Mwampashi</w:t>
      </w:r>
      <w:r>
        <w:t xml:space="preserve"> et al., </w:t>
      </w:r>
      <w:r>
        <w:rPr>
          <w:rFonts w:hint="eastAsia"/>
        </w:rPr>
        <w:t xml:space="preserve">2021）は多日変動の指標によるもので、日内形状とは対象が異なる。</w:t>
      </w:r>
    </w:p>
    <w:bookmarkEnd w:id="117"/>
    <w:bookmarkStart w:id="124" w:name="価格カーブの主成分分解-1"/>
    <w:p>
      <w:pPr>
        <w:pStyle w:val="Heading2"/>
      </w:pPr>
      <w:r>
        <w:t xml:space="preserve">5.7　</w:t>
      </w:r>
      <w:r>
        <w:rPr>
          <w:rFonts w:hint="eastAsia"/>
        </w:rPr>
        <w:t xml:space="preserve">価格カーブの主成分分解</w:t>
      </w:r>
    </w:p>
    <w:bookmarkStart w:id="121" w:name="因子の構造"/>
    <w:p>
      <w:pPr>
        <w:pStyle w:val="Heading3"/>
      </w:pPr>
      <w:r>
        <w:t xml:space="preserve">5.7.1　</w:t>
      </w:r>
      <w:r>
        <w:rPr>
          <w:rFonts w:hint="eastAsia"/>
        </w:rPr>
        <w:t xml:space="preserve">因子の構造</w:t>
      </w:r>
    </w:p>
    <w:p>
      <w:pPr>
        <w:pStyle w:val="FirstParagraph"/>
      </w:pPr>
      <w:r>
        <w:t xml:space="preserve">FY2016〜25 </w:t>
      </w:r>
      <w:r>
        <w:rPr>
          <w:rFonts w:hint="eastAsia"/>
        </w:rPr>
        <w:t xml:space="preserve">の年度・季節内の日々の変動のうち、第1〜第3主成分が78.3%、7.2%、4.9%を説明する。寄与率は2021年1月の31日に強く引っ張られているが、負荷の形は安定している（付録C.1.5）。第1主成分は負荷が全時刻で正で、日平均価格との相関が0.995</w:t>
      </w:r>
      <w:r>
        <w:t xml:space="preserve"> </w:t>
      </w:r>
      <w:r>
        <w:rPr>
          <w:rFonts w:hint="eastAsia"/>
        </w:rPr>
        <w:t xml:space="preserve">の、期間構造の水準にあたる因子である。ただし負荷は夕方に偏っており、価格の高い日ほど夕方が大きく上がるという供給曲線の凸性と整合的である。第2主成分は9〜15時が負、17〜19時が正の、昼と夕方の差の因子で、ダックカーブの深さにあたる。債券の傾きの因子と違って負荷は単調でなく、昼だけが負の窪みの形をしている。第3主成分は夜と夕方の差の因子である（図5.7</w:t>
      </w:r>
      <w:r>
        <w:t xml:space="preserve"> </w:t>
      </w:r>
      <w:r>
        <w:rPr>
          <w:rFonts w:hint="eastAsia"/>
        </w:rPr>
        <w:t xml:space="preserve">の上段）。FY2023〜25</w:t>
      </w:r>
      <w:r>
        <w:t xml:space="preserve"> </w:t>
      </w:r>
      <w:r>
        <w:rPr>
          <w:rFonts w:hint="eastAsia"/>
        </w:rPr>
        <w:t xml:space="preserve">では、第1主成分の寄与率が57.0%に下がり、第2主成分が17.2%に上がる。</w:t>
      </w:r>
    </w:p>
    <w:p>
      <w:pPr>
        <w:pStyle w:val="CaptionedFigure"/>
      </w:pPr>
      <w:r>
        <w:drawing>
          <wp:inline>
            <wp:extent cx="5039999" cy="7270819"/>
            <wp:effectExtent b="0" l="0" r="0" t="0"/>
            <wp:docPr descr="図5.7　24時間価格カーブの主成分負荷と、風力・太陽光の時刻別係数" title="" id="119" name="Picture"/>
            <a:graphic>
              <a:graphicData uri="http://schemas.openxmlformats.org/drawingml/2006/picture">
                <pic:pic>
                  <pic:nvPicPr>
                    <pic:cNvPr descr="../figures/hokkaido/price_curve_pca_v3.png" id="120" name="Picture"/>
                    <pic:cNvPicPr>
                      <a:picLocks noChangeArrowheads="1" noChangeAspect="1"/>
                    </pic:cNvPicPr>
                  </pic:nvPicPr>
                  <pic:blipFill>
                    <a:blip r:embed="rId118"/>
                    <a:stretch>
                      <a:fillRect/>
                    </a:stretch>
                  </pic:blipFill>
                  <pic:spPr bwMode="auto">
                    <a:xfrm>
                      <a:off x="0" y="0"/>
                      <a:ext cx="5039999" cy="7270819"/>
                    </a:xfrm>
                    <a:prstGeom prst="rect">
                      <a:avLst/>
                    </a:prstGeom>
                    <a:noFill/>
                    <a:ln w="9525">
                      <a:noFill/>
                      <a:headEnd/>
                      <a:tailEnd/>
                    </a:ln>
                  </pic:spPr>
                </pic:pic>
              </a:graphicData>
            </a:graphic>
          </wp:inline>
        </w:drawing>
      </w:r>
    </w:p>
    <w:p>
      <w:pPr>
        <w:pStyle w:val="ImageCaption"/>
      </w:pPr>
      <w:r>
        <w:rPr>
          <w:rFonts w:hint="eastAsia"/>
        </w:rPr>
        <w:t xml:space="preserve">図5.7</w:t>
      </w:r>
      <w:r>
        <w:t xml:space="preserve">　</w:t>
      </w:r>
      <w:r>
        <w:rPr>
          <w:rFonts w:hint="eastAsia"/>
        </w:rPr>
        <w:t xml:space="preserve">24時間価格カーブの主成分負荷と、風力・太陽光の時刻別係数</w:t>
      </w:r>
    </w:p>
    <w:p>
      <w:pPr>
        <w:pStyle w:val="TableNote"/>
      </w:pPr>
      <w:r>
        <w:rPr>
          <w:rFonts w:hint="eastAsia"/>
        </w:rPr>
        <w:t xml:space="preserve">注）上段は年度×季節×時刻の平均を除いた偏差の主成分負荷で、寄与率は第1〜第3主成分の順に</w:t>
      </w:r>
      <w:r>
        <w:t xml:space="preserve"> FY2016〜25 で78%・7%・5%、FY2023〜25 </w:t>
      </w:r>
      <w:r>
        <w:rPr>
          <w:rFonts w:hint="eastAsia"/>
        </w:rPr>
        <w:t xml:space="preserve">で57%・17%・7%である。中段（FY2016〜25）と下段（FY2023〜25）は式(5.2)と同じ右辺で24時刻を別々に回帰した係数と</w:t>
      </w:r>
      <w:r>
        <w:t xml:space="preserve"> EWC </w:t>
      </w:r>
      <w:r>
        <w:rPr>
          <w:rFonts w:hint="eastAsia"/>
        </w:rPr>
        <w:t xml:space="preserve">の95%帯。点線は風力の係数に季節の平均価格プロファイルの定数倍を当てはめたもの。灰色の帯は夜（0〜5時）・昼（11〜13時）・夕方（17〜19時）。夕方−昼・夕方−夜の差と形の検定の値は表C.9</w:t>
      </w:r>
      <w:r>
        <w:t xml:space="preserve"> </w:t>
      </w:r>
      <w:r>
        <w:rPr>
          <w:rFonts w:hint="eastAsia"/>
        </w:rPr>
        <w:t xml:space="preserve">に示す。</w:t>
      </w:r>
    </w:p>
    <w:p>
      <w:pPr>
        <w:pStyle w:val="TableNote"/>
      </w:pPr>
      <w:r>
        <w:rPr>
          <w:rFonts w:hint="eastAsia"/>
        </w:rPr>
        <w:t xml:space="preserve">出所）表5.2</w:t>
      </w:r>
      <w:r>
        <w:t xml:space="preserve"> </w:t>
      </w:r>
      <w:r>
        <w:rPr>
          <w:rFonts w:hint="eastAsia"/>
        </w:rPr>
        <w:t xml:space="preserve">と同じ（北海道のみ）。</w:t>
      </w:r>
    </w:p>
    <w:p>
      <w:pPr>
        <w:pStyle w:val="BodyText"/>
      </w:pPr>
      <w:r>
        <w:rPr>
          <w:rFonts w:hint="eastAsia"/>
        </w:rPr>
        <w:t xml:space="preserve">因子スコアを式(5.2)の右辺に回帰すると、風力と太陽光はいずれも第1主成分を全季節で下げる（5%水準で有意。ただし太陽光・冬は</w:t>
      </w:r>
      <w:r>
        <w:t xml:space="preserve"> p=0.047 </w:t>
      </w:r>
      <w:r>
        <w:rPr>
          <w:rFonts w:hint="eastAsia"/>
        </w:rPr>
        <w:t xml:space="preserve">で境界的）。第2主成分は太陽光が全季節で押し上げる（5%水準で有意）。発電量の年度内の1標準偏差あたりで、太陽光は第2主成分を0.10〜0.31標準偏差動かすのに対し、風力は0.02〜0.11標準偏差にとどまる。風力の第2主成分の係数は不需要期に1%水準で有意（+0.46）だが、負荷の和が0でないために生じる一様な値下がりの寄与を除くと、15時前後の小さな効果（+0.21〜+0.31）にとどまる。太陽光は水準と形状の両方の因子に負荷し、風力は主に水準の因子に負荷する。</w:t>
      </w:r>
    </w:p>
    <w:bookmarkEnd w:id="121"/>
    <w:bookmarkStart w:id="122" w:name="時刻別係数の形とコントラスト"/>
    <w:p>
      <w:pPr>
        <w:pStyle w:val="Heading3"/>
      </w:pPr>
      <w:r>
        <w:t xml:space="preserve">5.7.2　</w:t>
      </w:r>
      <w:r>
        <w:rPr>
          <w:rFonts w:hint="eastAsia"/>
        </w:rPr>
        <w:t xml:space="preserve">時刻別係数の形とコントラスト</w:t>
      </w:r>
    </w:p>
    <w:p>
      <w:pPr>
        <w:pStyle w:val="FirstParagraph"/>
      </w:pPr>
      <w:r>
        <w:rPr>
          <w:rFonts w:hint="eastAsia"/>
        </w:rPr>
        <w:t xml:space="preserve">図5.7</w:t>
      </w:r>
      <w:r>
        <w:t xml:space="preserve"> </w:t>
      </w:r>
      <w:r>
        <w:rPr>
          <w:rFonts w:hint="eastAsia"/>
        </w:rPr>
        <w:t xml:space="preserve">の中段と下段は、24時刻を別々に回帰した風力・太陽光の係数ベクトルである。風力の時刻別係数は全時刻で負で、変動係数は太陽光より小さく、風力は一日をほぼ一様に押し下げる。ただし厳密な平行移動ではない。FY2016〜25</w:t>
      </w:r>
      <w:r>
        <w:t xml:space="preserve"> </w:t>
      </w:r>
      <w:r>
        <w:rPr>
          <w:rFonts w:hint="eastAsia"/>
        </w:rPr>
        <w:t xml:space="preserve">では平行シフトが全季節で棄却され、価格の高い時間ほど円建てで大きく下がる。冬の係数ベクトルは冬の平均価格プロファイルの定数倍に近い（余弦の絶対値0.99）が、比例シフトも棄却されるので、24時刻の形としては比例に近いという記述にとどめる。FY2023〜25</w:t>
      </w:r>
      <w:r>
        <w:t xml:space="preserve"> </w:t>
      </w:r>
      <w:r>
        <w:rPr>
          <w:rFonts w:hint="eastAsia"/>
        </w:rPr>
        <w:t xml:space="preserve">の風力の係数はさらに平坦で、夏は平行シフトも棄却できない。係数の範囲・変動係数・コントラストと、平行・比例シフトの検定の値は表C.9</w:t>
      </w:r>
      <w:r>
        <w:t xml:space="preserve"> </w:t>
      </w:r>
      <w:r>
        <w:rPr>
          <w:rFonts w:hint="eastAsia"/>
        </w:rPr>
        <w:t xml:space="preserve">に、2021年1月を除いた標本の結果は表C.10</w:t>
      </w:r>
      <w:r>
        <w:t xml:space="preserve"> </w:t>
      </w:r>
      <w:r>
        <w:rPr>
          <w:rFonts w:hint="eastAsia"/>
        </w:rPr>
        <w:t xml:space="preserve">に示す。</w:t>
      </w:r>
    </w:p>
    <w:p>
      <w:pPr>
        <w:pStyle w:val="BodyText"/>
      </w:pPr>
      <w:r>
        <w:rPr>
          <w:rFonts w:hint="eastAsia"/>
        </w:rPr>
        <w:t xml:space="preserve">蓄電池の裁定原資に直結するのは時刻の間の差である。風力が夕方−昼の差を広げる証拠はない。FY2016〜25</w:t>
      </w:r>
      <w:r>
        <w:t xml:space="preserve"> </w:t>
      </w:r>
      <w:r>
        <w:rPr>
          <w:rFonts w:hint="eastAsia"/>
        </w:rPr>
        <w:t xml:space="preserve">の冬は負だが10%水準にとどまり（補正</w:t>
      </w:r>
      <w:r>
        <w:t xml:space="preserve"> p </w:t>
      </w:r>
      <w:r>
        <w:rPr>
          <w:rFonts w:hint="eastAsia"/>
        </w:rPr>
        <w:t xml:space="preserve">値は0.14）、FY2023〜25</w:t>
      </w:r>
      <w:r>
        <w:t xml:space="preserve"> </w:t>
      </w:r>
      <w:r>
        <w:rPr>
          <w:rFonts w:hint="eastAsia"/>
        </w:rPr>
        <w:t xml:space="preserve">は全季節で有意でない。一方、夜は風力による下がり方が他の時間より小さいので、風力は夕方−夜の差を縮める。安値の時間が主に夜にあった</w:t>
      </w:r>
      <w:r>
        <w:t xml:space="preserve"> FY2016〜22 </w:t>
      </w:r>
      <w:r>
        <w:rPr>
          <w:rFonts w:hint="eastAsia"/>
        </w:rPr>
        <w:t xml:space="preserve">の冬（日ごとの最安4時間のうち平均2.3時間が0〜5時）には、この縮小は裁定原資を削る側に働いたが、安値が昼に移った</w:t>
      </w:r>
      <w:r>
        <w:t xml:space="preserve"> FY2023〜25 </w:t>
      </w:r>
      <w:r>
        <w:rPr>
          <w:rFonts w:hint="eastAsia"/>
        </w:rPr>
        <w:t xml:space="preserve">の冬（平均3.1時間が9〜15時）には、夕方−夜の係数も有意でない。太陽光は夏と不需要期に夕方−昼の差を広げ、FY2023〜25</w:t>
      </w:r>
      <w:r>
        <w:t xml:space="preserve"> </w:t>
      </w:r>
      <w:r>
        <w:rPr>
          <w:rFonts w:hint="eastAsia"/>
        </w:rPr>
        <w:t xml:space="preserve">では冬にも広げる。</w:t>
      </w:r>
    </w:p>
    <w:bookmarkEnd w:id="122"/>
    <w:bookmarkStart w:id="123" w:name="tb4h-と水準の因子"/>
    <w:p>
      <w:pPr>
        <w:pStyle w:val="Heading3"/>
      </w:pPr>
      <w:r>
        <w:t xml:space="preserve">5.7.3　TB4h </w:t>
      </w:r>
      <w:r>
        <w:rPr>
          <w:rFonts w:hint="eastAsia"/>
        </w:rPr>
        <w:t xml:space="preserve">と水準の因子</w:t>
      </w:r>
    </w:p>
    <w:p>
      <w:pPr>
        <w:pStyle w:val="FirstParagraph"/>
      </w:pPr>
      <w:r>
        <w:t xml:space="preserve">FY2016〜25 </w:t>
      </w:r>
      <w:r>
        <w:rPr>
          <w:rFonts w:hint="eastAsia"/>
        </w:rPr>
        <w:t xml:space="preserve">の年度・季節内では、TB4h</w:t>
      </w:r>
      <w:r>
        <w:t xml:space="preserve"> </w:t>
      </w:r>
      <w:r>
        <w:rPr>
          <w:rFonts w:hint="eastAsia"/>
        </w:rPr>
        <w:t xml:space="preserve">の変動の68.5%（2021年1月を除くと51.2%）が第1主成分だけで説明され、TB4h</w:t>
      </w:r>
      <w:r>
        <w:t xml:space="preserve"> </w:t>
      </w:r>
      <w:r>
        <w:rPr>
          <w:rFonts w:hint="eastAsia"/>
        </w:rPr>
        <w:t xml:space="preserve">は供給曲線の凸性を通じて水準と連動する。風力が冬に</w:t>
      </w:r>
      <w:r>
        <w:t xml:space="preserve"> TB4h </w:t>
      </w:r>
      <w:r>
        <w:rPr>
          <w:rFonts w:hint="eastAsia"/>
        </w:rPr>
        <w:t xml:space="preserve">を下げる係数（−0.363）を欠落変数の公式で分解すると、第1主成分を経由する部分が−0.451、第2〜第5主成分（形状）を経由する部分が+0.048、残差が+0.040</w:t>
      </w:r>
      <w:r>
        <w:t xml:space="preserve"> </w:t>
      </w:r>
      <w:r>
        <w:rPr>
          <w:rFonts w:hint="eastAsia"/>
        </w:rPr>
        <w:t xml:space="preserve">であり、冬の縮小の点推定はほぼ全量が水準の因子を経由している。これは上位4時間をより多く下げるという5.3.2項の点推定と整合的である。これに対し</w:t>
      </w:r>
      <w:r>
        <w:t xml:space="preserve"> FY2023〜25 </w:t>
      </w:r>
      <w:r>
        <w:rPr>
          <w:rFonts w:hint="eastAsia"/>
        </w:rPr>
        <w:t xml:space="preserve">の主成分で測ると、TB4h</w:t>
      </w:r>
      <w:r>
        <w:t xml:space="preserve"> </w:t>
      </w:r>
      <w:r>
        <w:rPr>
          <w:rFonts w:hint="eastAsia"/>
        </w:rPr>
        <w:t xml:space="preserve">の変動のうち第1主成分で説明される部分は1.0%にすぎず、現行の構造では</w:t>
      </w:r>
      <w:r>
        <w:t xml:space="preserve"> TB4h </w:t>
      </w:r>
      <w:r>
        <w:rPr>
          <w:rFonts w:hint="eastAsia"/>
        </w:rPr>
        <w:t xml:space="preserve">はほぼ形状の指標として働く。</w:t>
      </w:r>
    </w:p>
    <w:p>
      <w:pPr>
        <w:pStyle w:val="BodyText"/>
      </w:pPr>
      <w:r>
        <w:rPr>
          <w:rFonts w:hint="eastAsia"/>
        </w:rPr>
        <w:t xml:space="preserve">本節の結果は、日平均価格と</w:t>
      </w:r>
      <w:r>
        <w:t xml:space="preserve"> TB4h </w:t>
      </w:r>
      <w:r>
        <w:rPr>
          <w:rFonts w:hint="eastAsia"/>
        </w:rPr>
        <w:t xml:space="preserve">で得た水準と形状の分離が、要約指標の選び方に依存しないことを裏付ける。ただし太陽光は水準の因子にも強く効き、風力の効果は厳密な平行シフトではなく、夕方と夜の差をやや縮める。</w:t>
      </w:r>
    </w:p>
    <w:bookmarkEnd w:id="123"/>
    <w:bookmarkEnd w:id="124"/>
    <w:bookmarkStart w:id="125" w:name="先行研究の指標との比較"/>
    <w:p>
      <w:pPr>
        <w:pStyle w:val="Heading2"/>
      </w:pPr>
      <w:r>
        <w:t xml:space="preserve">5.8　</w:t>
      </w:r>
      <w:r>
        <w:rPr>
          <w:rFonts w:hint="eastAsia"/>
        </w:rPr>
        <w:t xml:space="preserve">先行研究の指標との比較</w:t>
      </w:r>
    </w:p>
    <w:p>
      <w:pPr>
        <w:pStyle w:val="FirstParagraph"/>
      </w:pPr>
      <w:r>
        <w:rPr>
          <w:rFonts w:hint="eastAsia"/>
        </w:rPr>
        <w:t xml:space="preserve">5.3節と5.7節では、太陽光が日内のスプレッドを広げ、風力は主に水準を下げることを示した。このうち太陽光の結果は、日をまたぐ価格の散らばりで変動性を測った先行研究とは逆に見える。とくに</w:t>
      </w:r>
      <w:r>
        <w:t xml:space="preserve"> Fuke and </w:t>
      </w:r>
      <w:r>
        <w:rPr>
          <w:rFonts w:hint="eastAsia"/>
        </w:rPr>
        <w:t xml:space="preserve">Ohashi（2025）は、九州で太陽光が価格の変動性を下げると報告している。本節は5.1.6項の方法により、二つの結果が同じデータの上で両立するかを確かめる。</w:t>
      </w:r>
    </w:p>
    <w:p>
      <w:pPr>
        <w:pStyle w:val="BodyText"/>
      </w:pPr>
      <w:r>
        <w:rPr>
          <w:rFonts w:hint="eastAsia"/>
        </w:rPr>
        <w:t xml:space="preserve">九州の</w:t>
      </w:r>
      <w:r>
        <w:t xml:space="preserve"> FY2016〜19 </w:t>
      </w:r>
      <w:r>
        <w:rPr>
          <w:rFonts w:hint="eastAsia"/>
        </w:rPr>
        <w:t xml:space="preserve">で同論文の仕様を再現すると、日間の</w:t>
      </w:r>
      <w:r>
        <w:t xml:space="preserve"> IQR </w:t>
      </w:r>
      <w:r>
        <w:rPr>
          <w:rFonts w:hint="eastAsia"/>
        </w:rPr>
        <w:t xml:space="preserve">係数の符号は全季節で原典と一致し、有意な係数（夏の需要と春の太陽光）も同じである（表C.11）。同じ標本と説明変数のまま被説明変数を</w:t>
      </w:r>
      <w:r>
        <w:t xml:space="preserve"> TB4h </w:t>
      </w:r>
      <w:r>
        <w:rPr>
          <w:rFonts w:hint="eastAsia"/>
        </w:rPr>
        <w:t xml:space="preserve">に替えると、太陽光の効果の符号が分かれる（表5.5</w:t>
      </w:r>
      <w:r>
        <w:t xml:space="preserve"> </w:t>
      </w:r>
      <w:r>
        <w:rPr>
          <w:rFonts w:hint="eastAsia"/>
        </w:rPr>
        <w:t xml:space="preserve">のパネルA）。春の太陽光は日間の</w:t>
      </w:r>
      <w:r>
        <w:t xml:space="preserve"> IQR </w:t>
      </w:r>
      <w:r>
        <w:rPr>
          <w:rFonts w:hint="eastAsia"/>
        </w:rPr>
        <w:t xml:space="preserve">を5%水準で有意に縮める一方、TB4h</w:t>
      </w:r>
      <w:r>
        <w:t xml:space="preserve"> </w:t>
      </w:r>
      <w:r>
        <w:rPr>
          <w:rFonts w:hint="eastAsia"/>
        </w:rPr>
        <w:t xml:space="preserve">への係数は正であり、冬と秋には</w:t>
      </w:r>
      <w:r>
        <w:t xml:space="preserve"> TB4h </w:t>
      </w:r>
      <w:r>
        <w:rPr>
          <w:rFonts w:hint="eastAsia"/>
        </w:rPr>
        <w:t xml:space="preserve">を5%水準で有意に広げる。FY2023〜25</w:t>
      </w:r>
      <w:r>
        <w:t xml:space="preserve"> </w:t>
      </w:r>
      <w:r>
        <w:rPr>
          <w:rFonts w:hint="eastAsia"/>
        </w:rPr>
        <w:t xml:space="preserve">では乖離がさらに明瞭であり、北海道でも同じ形が現れる。太陽光は昼間平均価格を日々安定させながら、昼と夕方の差を開いている。「太陽光は変動性を下げる」（Fuke</w:t>
      </w:r>
      <w:r>
        <w:t xml:space="preserve"> &amp; Ohashi, </w:t>
      </w:r>
      <w:r>
        <w:rPr>
          <w:rFonts w:hint="eastAsia"/>
        </w:rPr>
        <w:t xml:space="preserve">2025）と「太陽光は日内スプレッドを広げる」は、同じデータの上で同時に成立する別の量の記述である。主仕様（式(5.2)）とこの仕様は季節の区分と単位が異なるので係数の大きさは直接比べられないが、太陽光が日内のスプレッドを広げるという符号は両仕様で共通である。欧州でも、変動型の再エネの増加が価格の分散を必ずしも高めないことが報告されている（Schöniger</w:t>
      </w:r>
      <w:r>
        <w:t xml:space="preserve"> &amp; Morawetz, </w:t>
      </w:r>
      <w:r>
        <w:rPr>
          <w:rFonts w:hint="eastAsia"/>
        </w:rPr>
        <w:t xml:space="preserve">2022）。</w:t>
      </w:r>
    </w:p>
    <w:p>
      <w:pPr>
        <w:pStyle w:val="TableCaption"/>
      </w:pPr>
      <w:r>
        <w:rPr>
          <w:rFonts w:hint="eastAsia"/>
        </w:rPr>
        <w:t xml:space="preserve">表5.5</w:t>
      </w:r>
      <w:r>
        <w:t xml:space="preserve">　</w:t>
      </w:r>
      <w:r>
        <w:rPr>
          <w:rFonts w:hint="eastAsia"/>
        </w:rPr>
        <w:t xml:space="preserve">先行研究の仕様による日間</w:t>
      </w:r>
      <w:r>
        <w:t xml:space="preserve"> IQR </w:t>
      </w:r>
      <w:r>
        <w:rPr>
          <w:rFonts w:hint="eastAsia"/>
        </w:rPr>
        <w:t xml:space="preserve">係数と</w:t>
      </w:r>
      <w:r>
        <w:t xml:space="preserve"> TB4h </w:t>
      </w:r>
      <w:r>
        <w:rPr>
          <w:rFonts w:hint="eastAsia"/>
        </w:rPr>
        <w:t xml:space="preserve">への係数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5.5　先行研究の仕様による日間 IQR 係数と TB4h への係数"/>
      </w:tblPr>
      <w:tblGrid>
        <w:gridCol w:w="1250"/>
        <w:gridCol w:w="1667"/>
        <w:gridCol w:w="1667"/>
        <w:gridCol w:w="1667"/>
        <w:gridCol w:w="1667"/>
      </w:tblGrid>
      <w:tr>
        <w:trPr>
          <w:tblHeader w:val="on"/>
        </w:trPr>
        <w:tc>
          <w:tcPr>
            <w:tcBorders>
              <w:bottom w:val="single" w:sz="6" w:color="000000"/>
            </w:tcBorders>
          </w:tcPr>
          <w:p>
            <w:pPr>
              <w:pStyle w:val="Compact"/>
            </w:pPr>
            <w:r>
              <w:rPr>
                <w:rFonts w:hint="eastAsia"/>
                <w:sz w:val="18"/>
              </w:rPr>
              <w:t xml:space="preserve">標本・指標</w:t>
            </w:r>
          </w:p>
        </w:tc>
        <w:tc>
          <w:tcPr>
            <w:tcBorders>
              <w:bottom w:val="single" w:sz="6" w:color="000000"/>
            </w:tcBorders>
          </w:tcPr>
          <w:p>
            <w:pPr>
              <w:pStyle w:val="Compact"/>
              <w:jc w:val="right"/>
            </w:pPr>
            <w:r>
              <w:rPr>
                <w:rFonts w:hint="eastAsia"/>
                <w:sz w:val="18"/>
              </w:rPr>
              <w:t xml:space="preserve">冬</w:t>
            </w:r>
          </w:p>
        </w:tc>
        <w:tc>
          <w:tcPr>
            <w:tcBorders>
              <w:bottom w:val="single" w:sz="6" w:color="000000"/>
            </w:tcBorders>
          </w:tcPr>
          <w:p>
            <w:pPr>
              <w:pStyle w:val="Compact"/>
              <w:jc w:val="right"/>
            </w:pPr>
            <w:r>
              <w:rPr>
                <w:rFonts w:hint="eastAsia"/>
                <w:sz w:val="18"/>
              </w:rPr>
              <w:t xml:space="preserve">春</w:t>
            </w:r>
          </w:p>
        </w:tc>
        <w:tc>
          <w:tcPr>
            <w:tcBorders>
              <w:bottom w:val="single" w:sz="6" w:color="000000"/>
            </w:tcBorders>
          </w:tcPr>
          <w:p>
            <w:pPr>
              <w:pStyle w:val="Compact"/>
              <w:jc w:val="right"/>
            </w:pPr>
            <w:r>
              <w:rPr>
                <w:rFonts w:hint="eastAsia"/>
                <w:sz w:val="18"/>
              </w:rPr>
              <w:t xml:space="preserve">夏</w:t>
            </w:r>
          </w:p>
        </w:tc>
        <w:tc>
          <w:tcPr>
            <w:tcBorders>
              <w:bottom w:val="single" w:sz="6" w:color="000000"/>
            </w:tcBorders>
          </w:tcPr>
          <w:p>
            <w:pPr>
              <w:pStyle w:val="Compact"/>
              <w:jc w:val="right"/>
            </w:pPr>
            <w:r>
              <w:rPr>
                <w:rFonts w:hint="eastAsia"/>
                <w:sz w:val="18"/>
              </w:rPr>
              <w:t xml:space="preserve">秋</w:t>
            </w:r>
          </w:p>
        </w:tc>
      </w:tr>
      <w:tr>
        <w:tc>
          <w:tcPr/>
          <w:p>
            <w:pPr>
              <w:pStyle w:val="Compact"/>
            </w:pPr>
            <w:r>
              <w:rPr>
                <w:rFonts w:hint="eastAsia"/>
                <w:b/>
                <w:bCs/>
                <w:sz w:val="18"/>
              </w:rPr>
              <w:t xml:space="preserve">パネルA：太陽光</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九州</w:t>
            </w:r>
            <w:r>
              <w:rPr>
                <w:sz w:val="18"/>
              </w:rPr>
              <w:t xml:space="preserve"> </w:t>
            </w:r>
            <w:r>
              <w:rPr>
                <w:rFonts w:hint="eastAsia"/>
                <w:sz w:val="18"/>
              </w:rPr>
              <w:t xml:space="preserve">FY2016〜19：日間</w:t>
            </w:r>
            <w:r>
              <w:rPr>
                <w:sz w:val="18"/>
              </w:rPr>
              <w:t xml:space="preserve"> IQR</w:t>
            </w:r>
          </w:p>
        </w:tc>
        <w:tc>
          <w:tcPr/>
          <w:p>
            <w:pPr>
              <w:pStyle w:val="Compact"/>
              <w:jc w:val="right"/>
            </w:pPr>
            <w:r>
              <w:rPr>
                <w:sz w:val="18"/>
              </w:rPr>
              <w:t xml:space="preserve">−0.100</w:t>
            </w:r>
          </w:p>
        </w:tc>
        <w:tc>
          <w:tcPr/>
          <w:p>
            <w:pPr>
              <w:pStyle w:val="Compact"/>
              <w:jc w:val="right"/>
            </w:pPr>
            <w:r>
              <w:rPr>
                <w:sz w:val="18"/>
              </w:rPr>
              <w:t xml:space="preserve">−0.259**</w:t>
            </w:r>
          </w:p>
        </w:tc>
        <w:tc>
          <w:tcPr/>
          <w:p>
            <w:pPr>
              <w:pStyle w:val="Compact"/>
              <w:jc w:val="right"/>
            </w:pPr>
            <w:r>
              <w:rPr>
                <w:sz w:val="18"/>
              </w:rPr>
              <w:t xml:space="preserve">−0.421</w:t>
            </w:r>
          </w:p>
        </w:tc>
        <w:tc>
          <w:tcPr/>
          <w:p>
            <w:pPr>
              <w:pStyle w:val="Compact"/>
              <w:jc w:val="right"/>
            </w:pPr>
            <w:r>
              <w:rPr>
                <w:sz w:val="18"/>
              </w:rPr>
              <w:t xml:space="preserve">−0.189</w:t>
            </w:r>
          </w:p>
        </w:tc>
      </w:tr>
      <w:tr>
        <w:tc>
          <w:tcPr/>
          <w:p>
            <w:pPr>
              <w:pStyle w:val="Compact"/>
            </w:pPr>
            <w:r>
              <w:rPr>
                <w:rFonts w:hint="eastAsia"/>
                <w:sz w:val="18"/>
              </w:rPr>
              <w:t xml:space="preserve">九州</w:t>
            </w:r>
            <w:r>
              <w:rPr>
                <w:sz w:val="18"/>
              </w:rPr>
              <w:t xml:space="preserve"> </w:t>
            </w:r>
            <w:r>
              <w:rPr>
                <w:rFonts w:hint="eastAsia"/>
                <w:sz w:val="18"/>
              </w:rPr>
              <w:t xml:space="preserve">FY2016〜19：日内</w:t>
            </w:r>
            <w:r>
              <w:rPr>
                <w:sz w:val="18"/>
              </w:rPr>
              <w:t xml:space="preserve"> TB4h</w:t>
            </w:r>
          </w:p>
        </w:tc>
        <w:tc>
          <w:tcPr/>
          <w:p>
            <w:pPr>
              <w:pStyle w:val="Compact"/>
              <w:jc w:val="right"/>
            </w:pPr>
            <w:r>
              <w:rPr>
                <w:sz w:val="18"/>
              </w:rPr>
              <w:t xml:space="preserve">+0.739**</w:t>
            </w:r>
          </w:p>
        </w:tc>
        <w:tc>
          <w:tcPr/>
          <w:p>
            <w:pPr>
              <w:pStyle w:val="Compact"/>
              <w:jc w:val="right"/>
            </w:pPr>
            <w:r>
              <w:rPr>
                <w:sz w:val="18"/>
              </w:rPr>
              <w:t xml:space="preserve">+0.284</w:t>
            </w:r>
          </w:p>
        </w:tc>
        <w:tc>
          <w:tcPr/>
          <w:p>
            <w:pPr>
              <w:pStyle w:val="Compact"/>
              <w:jc w:val="right"/>
            </w:pPr>
            <w:r>
              <w:rPr>
                <w:sz w:val="18"/>
              </w:rPr>
              <w:t xml:space="preserve">+0.016</w:t>
            </w:r>
          </w:p>
        </w:tc>
        <w:tc>
          <w:tcPr/>
          <w:p>
            <w:pPr>
              <w:pStyle w:val="Compact"/>
              <w:jc w:val="right"/>
            </w:pPr>
            <w:r>
              <w:rPr>
                <w:sz w:val="18"/>
              </w:rPr>
              <w:t xml:space="preserve">+0.913**</w:t>
            </w:r>
          </w:p>
        </w:tc>
      </w:tr>
      <w:tr>
        <w:tc>
          <w:tcPr/>
          <w:p>
            <w:pPr>
              <w:pStyle w:val="Compact"/>
            </w:pPr>
            <w:r>
              <w:rPr>
                <w:rFonts w:hint="eastAsia"/>
                <w:sz w:val="18"/>
              </w:rPr>
              <w:t xml:space="preserve">九州</w:t>
            </w:r>
            <w:r>
              <w:rPr>
                <w:sz w:val="18"/>
              </w:rPr>
              <w:t xml:space="preserve"> </w:t>
            </w:r>
            <w:r>
              <w:rPr>
                <w:rFonts w:hint="eastAsia"/>
                <w:sz w:val="18"/>
              </w:rPr>
              <w:t xml:space="preserve">FY2023〜25：日間</w:t>
            </w:r>
            <w:r>
              <w:rPr>
                <w:sz w:val="18"/>
              </w:rPr>
              <w:t xml:space="preserve"> IQR</w:t>
            </w:r>
          </w:p>
        </w:tc>
        <w:tc>
          <w:tcPr/>
          <w:p>
            <w:pPr>
              <w:pStyle w:val="Compact"/>
              <w:jc w:val="right"/>
            </w:pPr>
            <w:r>
              <w:rPr>
                <w:sz w:val="18"/>
              </w:rPr>
              <w:t xml:space="preserve">−0.542***</w:t>
            </w:r>
          </w:p>
        </w:tc>
        <w:tc>
          <w:tcPr/>
          <w:p>
            <w:pPr>
              <w:pStyle w:val="Compact"/>
              <w:jc w:val="right"/>
            </w:pPr>
            <w:r>
              <w:rPr>
                <w:sz w:val="18"/>
              </w:rPr>
              <w:t xml:space="preserve">−0.738***</w:t>
            </w:r>
          </w:p>
        </w:tc>
        <w:tc>
          <w:tcPr/>
          <w:p>
            <w:pPr>
              <w:pStyle w:val="Compact"/>
              <w:jc w:val="right"/>
            </w:pPr>
            <w:r>
              <w:rPr>
                <w:sz w:val="18"/>
              </w:rPr>
              <w:t xml:space="preserve">−0.478</w:t>
            </w:r>
          </w:p>
        </w:tc>
        <w:tc>
          <w:tcPr/>
          <w:p>
            <w:pPr>
              <w:pStyle w:val="Compact"/>
              <w:jc w:val="right"/>
            </w:pPr>
            <w:r>
              <w:rPr>
                <w:sz w:val="18"/>
              </w:rPr>
              <w:t xml:space="preserve">−0.423</w:t>
            </w:r>
          </w:p>
        </w:tc>
      </w:tr>
      <w:tr>
        <w:tc>
          <w:tcPr/>
          <w:p>
            <w:pPr>
              <w:pStyle w:val="Compact"/>
            </w:pPr>
            <w:r>
              <w:rPr>
                <w:rFonts w:hint="eastAsia"/>
                <w:sz w:val="18"/>
              </w:rPr>
              <w:t xml:space="preserve">九州</w:t>
            </w:r>
            <w:r>
              <w:rPr>
                <w:sz w:val="18"/>
              </w:rPr>
              <w:t xml:space="preserve"> </w:t>
            </w:r>
            <w:r>
              <w:rPr>
                <w:rFonts w:hint="eastAsia"/>
                <w:sz w:val="18"/>
              </w:rPr>
              <w:t xml:space="preserve">FY2023〜25：日内</w:t>
            </w:r>
            <w:r>
              <w:rPr>
                <w:sz w:val="18"/>
              </w:rPr>
              <w:t xml:space="preserve"> TB4h</w:t>
            </w:r>
          </w:p>
        </w:tc>
        <w:tc>
          <w:tcPr/>
          <w:p>
            <w:pPr>
              <w:pStyle w:val="Compact"/>
              <w:jc w:val="right"/>
            </w:pPr>
            <w:r>
              <w:rPr>
                <w:sz w:val="18"/>
              </w:rPr>
              <w:t xml:space="preserve">+2.111***</w:t>
            </w:r>
          </w:p>
        </w:tc>
        <w:tc>
          <w:tcPr/>
          <w:p>
            <w:pPr>
              <w:pStyle w:val="Compact"/>
              <w:jc w:val="right"/>
            </w:pPr>
            <w:r>
              <w:rPr>
                <w:sz w:val="18"/>
              </w:rPr>
              <w:t xml:space="preserve">+1.678***</w:t>
            </w:r>
          </w:p>
        </w:tc>
        <w:tc>
          <w:tcPr/>
          <w:p>
            <w:pPr>
              <w:pStyle w:val="Compact"/>
              <w:jc w:val="right"/>
            </w:pPr>
            <w:r>
              <w:rPr>
                <w:sz w:val="18"/>
              </w:rPr>
              <w:t xml:space="preserve">+0.770*</w:t>
            </w:r>
          </w:p>
        </w:tc>
        <w:tc>
          <w:tcPr/>
          <w:p>
            <w:pPr>
              <w:pStyle w:val="Compact"/>
              <w:jc w:val="right"/>
            </w:pPr>
            <w:r>
              <w:rPr>
                <w:sz w:val="18"/>
              </w:rPr>
              <w:t xml:space="preserve">+2.152***</w:t>
            </w:r>
          </w:p>
        </w:tc>
      </w:tr>
      <w:tr>
        <w:tc>
          <w:tcPr/>
          <w:p>
            <w:pPr>
              <w:pStyle w:val="Compact"/>
            </w:pPr>
            <w:r>
              <w:rPr>
                <w:rFonts w:hint="eastAsia"/>
                <w:sz w:val="18"/>
              </w:rPr>
              <w:t xml:space="preserve">北海道</w:t>
            </w:r>
            <w:r>
              <w:rPr>
                <w:sz w:val="18"/>
              </w:rPr>
              <w:t xml:space="preserve"> </w:t>
            </w:r>
            <w:r>
              <w:rPr>
                <w:rFonts w:hint="eastAsia"/>
                <w:sz w:val="18"/>
              </w:rPr>
              <w:t xml:space="preserve">FY2023〜25：日間</w:t>
            </w:r>
            <w:r>
              <w:rPr>
                <w:sz w:val="18"/>
              </w:rPr>
              <w:t xml:space="preserve"> IQR</w:t>
            </w:r>
          </w:p>
        </w:tc>
        <w:tc>
          <w:tcPr/>
          <w:p>
            <w:pPr>
              <w:pStyle w:val="Compact"/>
              <w:jc w:val="right"/>
            </w:pPr>
            <w:r>
              <w:rPr>
                <w:sz w:val="18"/>
              </w:rPr>
              <w:t xml:space="preserve">−1.964</w:t>
            </w:r>
          </w:p>
        </w:tc>
        <w:tc>
          <w:tcPr/>
          <w:p>
            <w:pPr>
              <w:pStyle w:val="Compact"/>
              <w:jc w:val="right"/>
            </w:pPr>
            <w:r>
              <w:rPr>
                <w:sz w:val="18"/>
              </w:rPr>
              <w:t xml:space="preserve">−2.909*</w:t>
            </w:r>
          </w:p>
        </w:tc>
        <w:tc>
          <w:tcPr/>
          <w:p>
            <w:pPr>
              <w:pStyle w:val="Compact"/>
              <w:jc w:val="right"/>
            </w:pPr>
            <w:r>
              <w:rPr>
                <w:sz w:val="18"/>
              </w:rPr>
              <w:t xml:space="preserve">+0.773</w:t>
            </w:r>
          </w:p>
        </w:tc>
        <w:tc>
          <w:tcPr/>
          <w:p>
            <w:pPr>
              <w:pStyle w:val="Compact"/>
              <w:jc w:val="right"/>
            </w:pPr>
            <w:r>
              <w:rPr>
                <w:sz w:val="18"/>
              </w:rPr>
              <w:t xml:space="preserve">−3.864*</w:t>
            </w:r>
          </w:p>
        </w:tc>
      </w:tr>
      <w:tr>
        <w:tc>
          <w:tcPr/>
          <w:p>
            <w:pPr>
              <w:pStyle w:val="Compact"/>
            </w:pPr>
            <w:r>
              <w:rPr>
                <w:rFonts w:hint="eastAsia"/>
                <w:sz w:val="18"/>
              </w:rPr>
              <w:t xml:space="preserve">北海道</w:t>
            </w:r>
            <w:r>
              <w:rPr>
                <w:sz w:val="18"/>
              </w:rPr>
              <w:t xml:space="preserve"> </w:t>
            </w:r>
            <w:r>
              <w:rPr>
                <w:rFonts w:hint="eastAsia"/>
                <w:sz w:val="18"/>
              </w:rPr>
              <w:t xml:space="preserve">FY2023〜25：日内</w:t>
            </w:r>
            <w:r>
              <w:rPr>
                <w:sz w:val="18"/>
              </w:rPr>
              <w:t xml:space="preserve"> TB4h</w:t>
            </w:r>
          </w:p>
        </w:tc>
        <w:tc>
          <w:tcPr/>
          <w:p>
            <w:pPr>
              <w:pStyle w:val="Compact"/>
              <w:jc w:val="right"/>
            </w:pPr>
            <w:r>
              <w:rPr>
                <w:sz w:val="18"/>
              </w:rPr>
              <w:t xml:space="preserve">+4.399**</w:t>
            </w:r>
          </w:p>
        </w:tc>
        <w:tc>
          <w:tcPr/>
          <w:p>
            <w:pPr>
              <w:pStyle w:val="Compact"/>
              <w:jc w:val="right"/>
            </w:pPr>
            <w:r>
              <w:rPr>
                <w:sz w:val="18"/>
              </w:rPr>
              <w:t xml:space="preserve">+7.716***</w:t>
            </w:r>
          </w:p>
        </w:tc>
        <w:tc>
          <w:tcPr/>
          <w:p>
            <w:pPr>
              <w:pStyle w:val="Compact"/>
              <w:jc w:val="right"/>
            </w:pPr>
            <w:r>
              <w:rPr>
                <w:sz w:val="18"/>
              </w:rPr>
              <w:t xml:space="preserve">+4.974**</w:t>
            </w:r>
          </w:p>
        </w:tc>
        <w:tc>
          <w:tcPr/>
          <w:p>
            <w:pPr>
              <w:pStyle w:val="Compact"/>
              <w:jc w:val="right"/>
            </w:pPr>
            <w:r>
              <w:rPr>
                <w:sz w:val="18"/>
              </w:rPr>
              <w:t xml:space="preserve">+4.747**</w:t>
            </w:r>
          </w:p>
        </w:tc>
      </w:tr>
      <w:tr>
        <w:tc>
          <w:tcPr/>
          <w:p>
            <w:pPr>
              <w:pStyle w:val="Compact"/>
            </w:pPr>
            <w:r>
              <w:rPr>
                <w:rFonts w:hint="eastAsia"/>
                <w:b/>
                <w:bCs/>
                <w:sz w:val="18"/>
              </w:rPr>
              <w:t xml:space="preserve">パネルB：風力（北海道）</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FY2023〜25：日間</w:t>
            </w:r>
            <w:r>
              <w:rPr>
                <w:sz w:val="18"/>
              </w:rPr>
              <w:t xml:space="preserve"> IQR</w:t>
            </w:r>
          </w:p>
        </w:tc>
        <w:tc>
          <w:tcPr/>
          <w:p>
            <w:pPr>
              <w:pStyle w:val="Compact"/>
              <w:jc w:val="right"/>
            </w:pPr>
            <w:r>
              <w:rPr>
                <w:sz w:val="18"/>
              </w:rPr>
              <w:t xml:space="preserve">−3.166***</w:t>
            </w:r>
          </w:p>
        </w:tc>
        <w:tc>
          <w:tcPr/>
          <w:p>
            <w:pPr>
              <w:pStyle w:val="Compact"/>
              <w:jc w:val="right"/>
            </w:pPr>
            <w:r>
              <w:rPr>
                <w:sz w:val="18"/>
              </w:rPr>
              <w:t xml:space="preserve">−0.994</w:t>
            </w:r>
          </w:p>
        </w:tc>
        <w:tc>
          <w:tcPr/>
          <w:p>
            <w:pPr>
              <w:pStyle w:val="Compact"/>
              <w:jc w:val="right"/>
            </w:pPr>
            <w:r>
              <w:rPr>
                <w:sz w:val="18"/>
              </w:rPr>
              <w:t xml:space="preserve">+2.822</w:t>
            </w:r>
          </w:p>
        </w:tc>
        <w:tc>
          <w:tcPr/>
          <w:p>
            <w:pPr>
              <w:pStyle w:val="Compact"/>
              <w:jc w:val="right"/>
            </w:pPr>
            <w:r>
              <w:rPr>
                <w:sz w:val="18"/>
              </w:rPr>
              <w:t xml:space="preserve">−3.870</w:t>
            </w:r>
          </w:p>
        </w:tc>
      </w:tr>
      <w:tr>
        <w:tc>
          <w:tcPr/>
          <w:p>
            <w:pPr>
              <w:pStyle w:val="Compact"/>
            </w:pPr>
            <w:r>
              <w:rPr>
                <w:rFonts w:hint="eastAsia"/>
                <w:sz w:val="18"/>
              </w:rPr>
              <w:t xml:space="preserve">FY2023〜25：日内</w:t>
            </w:r>
            <w:r>
              <w:rPr>
                <w:sz w:val="18"/>
              </w:rPr>
              <w:t xml:space="preserve"> TB4h</w:t>
            </w:r>
          </w:p>
        </w:tc>
        <w:tc>
          <w:tcPr/>
          <w:p>
            <w:pPr>
              <w:pStyle w:val="Compact"/>
              <w:jc w:val="right"/>
            </w:pPr>
            <w:r>
              <w:rPr>
                <w:sz w:val="18"/>
              </w:rPr>
              <w:t xml:space="preserve">−1.477</w:t>
            </w:r>
          </w:p>
        </w:tc>
        <w:tc>
          <w:tcPr/>
          <w:p>
            <w:pPr>
              <w:pStyle w:val="Compact"/>
              <w:jc w:val="right"/>
            </w:pPr>
            <w:r>
              <w:rPr>
                <w:sz w:val="18"/>
              </w:rPr>
              <w:t xml:space="preserve">+5.025***</w:t>
            </w:r>
          </w:p>
        </w:tc>
        <w:tc>
          <w:tcPr/>
          <w:p>
            <w:pPr>
              <w:pStyle w:val="Compact"/>
              <w:jc w:val="right"/>
            </w:pPr>
            <w:r>
              <w:rPr>
                <w:sz w:val="18"/>
              </w:rPr>
              <w:t xml:space="preserve">+3.481</w:t>
            </w:r>
          </w:p>
        </w:tc>
        <w:tc>
          <w:tcPr/>
          <w:p>
            <w:pPr>
              <w:pStyle w:val="Compact"/>
              <w:jc w:val="right"/>
            </w:pPr>
            <w:r>
              <w:rPr>
                <w:sz w:val="18"/>
              </w:rPr>
              <w:t xml:space="preserve">−2.133</w:t>
            </w:r>
          </w:p>
        </w:tc>
      </w:tr>
    </w:tbl>
    <w:p>
      <w:pPr>
        <w:pStyle w:val="TableNote"/>
      </w:pPr>
      <w:r>
        <w:rPr>
          <w:rFonts w:hint="eastAsia"/>
        </w:rPr>
        <w:t xml:space="preserve">注）単位は円/kWh</w:t>
      </w:r>
      <w:r>
        <w:t xml:space="preserve"> per GW。Fuke and </w:t>
      </w:r>
      <w:r>
        <w:rPr>
          <w:rFonts w:hint="eastAsia"/>
        </w:rPr>
        <w:t xml:space="preserve">Ohashi（2025）の仕様と季節の区分（5.1.6項）による。日間</w:t>
      </w:r>
      <w:r>
        <w:t xml:space="preserve"> IQR </w:t>
      </w:r>
      <w:r>
        <w:rPr>
          <w:rFonts w:hint="eastAsia"/>
        </w:rPr>
        <w:t xml:space="preserve">は昼間平均価格の分位点回帰の</w:t>
      </w:r>
      <w:r>
        <w:t xml:space="preserve"> IQR </w:t>
      </w:r>
      <w:r>
        <w:rPr>
          <w:rFonts w:hint="eastAsia"/>
        </w:rPr>
        <w:t xml:space="preserve">係数</w:t>
      </w:r>
      <w:r>
        <w:t xml:space="preserve"> </w:t>
      </w:r>
      <m:oMath>
        <m:sSub>
          <m:e>
            <m:r>
              <m:t>β</m:t>
            </m:r>
          </m:e>
          <m:sub>
            <m:r>
              <m:t>0.9</m:t>
            </m:r>
          </m:sub>
        </m:sSub>
        <m:r>
          <m:rPr>
            <m:sty m:val="p"/>
          </m:rPr>
          <m:t>−</m:t>
        </m:r>
        <m:sSub>
          <m:e>
            <m:r>
              <m:t>β</m:t>
            </m:r>
          </m:e>
          <m:sub>
            <m:r>
              <m:t>0.1</m:t>
            </m:r>
          </m:sub>
        </m:sSub>
      </m:oMath>
      <w:r>
        <w:rPr>
          <w:rFonts w:hint="eastAsia"/>
        </w:rPr>
        <w:t xml:space="preserve">、日内</w:t>
      </w:r>
      <w:r>
        <w:t xml:space="preserve"> TB4h </w:t>
      </w:r>
      <w:r>
        <w:rPr>
          <w:rFonts w:hint="eastAsia"/>
        </w:rPr>
        <w:t xml:space="preserve">は同じ標本・同じ説明変数で被説明変数を</w:t>
      </w:r>
      <w:r>
        <w:t xml:space="preserve"> TB4h </w:t>
      </w:r>
      <w:r>
        <w:rPr>
          <w:rFonts w:hint="eastAsia"/>
        </w:rPr>
        <w:t xml:space="preserve">に替えた最小二乗推定の係数。IQR</w:t>
      </w:r>
      <w:r>
        <w:t xml:space="preserve"> </w:t>
      </w:r>
      <w:r>
        <w:rPr>
          <w:rFonts w:hint="eastAsia"/>
        </w:rPr>
        <w:t xml:space="preserve">係数の星は日単位の14日移動ブロック・ブートストラップ（299回）の標準誤差による正規近似、TB4h</w:t>
      </w:r>
      <w:r>
        <w:t xml:space="preserve"> </w:t>
      </w:r>
      <w:r>
        <w:rPr>
          <w:rFonts w:hint="eastAsia"/>
        </w:rPr>
        <w:t xml:space="preserve">の星は</w:t>
      </w:r>
      <w:r>
        <w:t xml:space="preserve"> </w:t>
      </w:r>
      <w:r>
        <w:rPr>
          <w:rFonts w:hint="eastAsia"/>
        </w:rPr>
        <w:t xml:space="preserve">EWC（暦日の格子、FY2016〜19</w:t>
      </w:r>
      <w:r>
        <w:t xml:space="preserve"> は</w:t>
      </w:r>
      <w:r>
        <w:t xml:space="preserve"> </w:t>
      </w:r>
      <m:oMath>
        <m:r>
          <m:t>ν</m:t>
        </m:r>
        <m:r>
          <m:rPr>
            <m:sty m:val="p"/>
          </m:rPr>
          <m:t>=</m:t>
        </m:r>
        <m:r>
          <m:t>51</m:t>
        </m:r>
      </m:oMath>
      <w:r>
        <w:t xml:space="preserve">、FY2023〜25 は</w:t>
      </w:r>
      <w:r>
        <w:t xml:space="preserve"> </w:t>
      </w:r>
      <m:oMath>
        <m:r>
          <m:t>ν</m:t>
        </m:r>
        <m:r>
          <m:rPr>
            <m:sty m:val="p"/>
          </m:rPr>
          <m:t>=</m:t>
        </m:r>
        <m:r>
          <m:t>42</m:t>
        </m:r>
      </m:oMath>
      <w:r>
        <w:rPr>
          <w:rFonts w:hint="eastAsia"/>
        </w:rPr>
        <w:t xml:space="preserve">）により、***、**、*</w:t>
      </w:r>
      <w:r>
        <w:t xml:space="preserve"> </w:t>
      </w:r>
      <w:r>
        <w:rPr>
          <w:rFonts w:hint="eastAsia"/>
        </w:rPr>
        <w:t xml:space="preserve">はそれぞれ1%、5%、10%水準で有意。北海道の</w:t>
      </w:r>
      <w:r>
        <w:t xml:space="preserve"> FY2016〜19 </w:t>
      </w:r>
      <w:r>
        <w:rPr>
          <w:rFonts w:hint="eastAsia"/>
        </w:rPr>
        <w:t xml:space="preserve">を含む全結果は表C.12・表C.13</w:t>
      </w:r>
      <w:r>
        <w:t xml:space="preserve"> </w:t>
      </w:r>
      <w:r>
        <w:rPr>
          <w:rFonts w:hint="eastAsia"/>
        </w:rPr>
        <w:t xml:space="preserve">に示す。</w:t>
      </w:r>
    </w:p>
    <w:p>
      <w:pPr>
        <w:pStyle w:val="TableNote"/>
      </w:pPr>
      <w:r>
        <w:rPr>
          <w:rFonts w:hint="eastAsia"/>
        </w:rPr>
        <w:t xml:space="preserve">出所）表5.2</w:t>
      </w:r>
      <w:r>
        <w:t xml:space="preserve"> </w:t>
      </w:r>
      <w:r>
        <w:rPr>
          <w:rFonts w:hint="eastAsia"/>
        </w:rPr>
        <w:t xml:space="preserve">と同じ。</w:t>
      </w:r>
    </w:p>
    <w:p>
      <w:pPr>
        <w:pStyle w:val="BodyText"/>
      </w:pPr>
      <w:r>
        <w:rPr>
          <w:rFonts w:hint="eastAsia"/>
        </w:rPr>
        <w:t xml:space="preserve">風力について北海道で同じ比較をすると（表5.5</w:t>
      </w:r>
      <w:r>
        <w:t xml:space="preserve"> </w:t>
      </w:r>
      <w:r>
        <w:rPr>
          <w:rFonts w:hint="eastAsia"/>
        </w:rPr>
        <w:t xml:space="preserve">のパネルB）、日間では</w:t>
      </w:r>
      <w:r>
        <w:t xml:space="preserve"> FY2023〜25 </w:t>
      </w:r>
      <w:r>
        <w:rPr>
          <w:rFonts w:hint="eastAsia"/>
        </w:rPr>
        <w:t xml:space="preserve">の冬に</w:t>
      </w:r>
      <w:r>
        <w:t xml:space="preserve"> IQR </w:t>
      </w:r>
      <w:r>
        <w:rPr>
          <w:rFonts w:hint="eastAsia"/>
        </w:rPr>
        <w:t xml:space="preserve">を縮め（1%水準で有意）、上側の裾を圧縮する高分位の</w:t>
      </w:r>
      <w:r>
        <w:t xml:space="preserve"> </w:t>
      </w:r>
      <w:r>
        <w:rPr>
          <w:rFonts w:hint="eastAsia"/>
        </w:rPr>
        <w:t xml:space="preserve">MOE（5.4節）と整合的である。日内では、FY2016〜19</w:t>
      </w:r>
      <w:r>
        <w:t xml:space="preserve"> </w:t>
      </w:r>
      <w:r>
        <w:rPr>
          <w:rFonts w:hint="eastAsia"/>
        </w:rPr>
        <w:t xml:space="preserve">に春・夏とも負（表C.13）で、FY2023〜25</w:t>
      </w:r>
      <w:r>
        <w:t xml:space="preserve"> </w:t>
      </w:r>
      <w:r>
        <w:rPr>
          <w:rFonts w:hint="eastAsia"/>
        </w:rPr>
        <w:t xml:space="preserve">の春に正である（1%水準で有意。GWh/日あたりに直すと約+0.21）。ただし、この仕様は7日分のラグ価格を右辺に含むので係数に偏りがありうる。主仕様で不需要期を暦月の春に分けた係数は、5.3.1項と5.9節のとおり境界的な証拠にとどまり、純需要の低い日に集中する証拠もない（付録C.1.8）。供給曲線の下端の急勾配で安い時間ほど大きく下がるという機構は、第7章の価格モデルの上では働くが、標本内では確かめられず、風力への応答と実績との差が標本内で有意でなくなるよう修正した仕様A′（風力への応答はなお実績の約2倍）の上では、風力が3倍でも実行可能な戦略</w:t>
      </w:r>
      <w:r>
        <w:t xml:space="preserve"> c </w:t>
      </w:r>
      <w:r>
        <w:rPr>
          <w:rFonts w:hint="eastAsia"/>
        </w:rPr>
        <w:t xml:space="preserve">の粗利はむしろ下がる（7.3節）。</w:t>
      </w:r>
    </w:p>
    <w:p>
      <w:pPr>
        <w:pStyle w:val="BodyText"/>
      </w:pPr>
      <w:r>
        <w:rPr>
          <w:rFonts w:hint="eastAsia"/>
        </w:rPr>
        <w:t xml:space="preserve">したがって、同じ標本でも、多日変動と日内形状のどちらを測るかで太陽光の効果の符号は逆になる。再エネが価格の変動性を高めるかは、時間スケールを指定しなければ判定できない。</w:t>
      </w:r>
    </w:p>
    <w:bookmarkEnd w:id="125"/>
    <w:bookmarkStart w:id="129" w:name="頑健性の確認"/>
    <w:p>
      <w:pPr>
        <w:pStyle w:val="Heading2"/>
      </w:pPr>
      <w:r>
        <w:t xml:space="preserve">5.9　</w:t>
      </w:r>
      <w:r>
        <w:rPr>
          <w:rFonts w:hint="eastAsia"/>
        </w:rPr>
        <w:t xml:space="preserve">頑健性の確認</w:t>
      </w:r>
    </w:p>
    <w:p>
      <w:pPr>
        <w:pStyle w:val="FirstParagraph"/>
      </w:pPr>
      <w:r>
        <w:rPr>
          <w:rFonts w:hint="eastAsia"/>
        </w:rPr>
        <w:t xml:space="preserve">表5.6</w:t>
      </w:r>
      <w:r>
        <w:t xml:space="preserve"> </w:t>
      </w:r>
      <w:r>
        <w:rPr>
          <w:rFonts w:hint="eastAsia"/>
        </w:rPr>
        <w:t xml:space="preserve">は主要な係数を、推論法・仕様・標本の間で比べたものであり、図5.8</w:t>
      </w:r>
      <w:r>
        <w:t xml:space="preserve"> </w:t>
      </w:r>
      <w:r>
        <w:rPr>
          <w:rFonts w:hint="eastAsia"/>
        </w:rPr>
        <w:t xml:space="preserve">は同じ係数の95%区間を推論法と仕様の間で比べたものである。ふるいブートストラップで求めた名目5%の検定の実効的な棄却率は、HC3</w:t>
      </w:r>
      <w:r>
        <w:t xml:space="preserve"> </w:t>
      </w:r>
      <w:r>
        <w:rPr>
          <w:rFonts w:hint="eastAsia"/>
        </w:rPr>
        <w:t xml:space="preserve">の37〜42%に対し</w:t>
      </w:r>
      <w:r>
        <w:t xml:space="preserve"> EWC </w:t>
      </w:r>
      <w:r>
        <w:rPr>
          <w:rFonts w:hint="eastAsia"/>
        </w:rPr>
        <w:t xml:space="preserve">では8〜10%であり、主仕様では比較した推論法の中で</w:t>
      </w:r>
      <w:r>
        <w:t xml:space="preserve"> EWC </w:t>
      </w:r>
      <w:r>
        <w:rPr>
          <w:rFonts w:hint="eastAsia"/>
        </w:rPr>
        <w:t xml:space="preserve">の歪みが最も小さい（付録C.1.10）。表5.2</w:t>
      </w:r>
      <w:r>
        <w:t xml:space="preserve"> </w:t>
      </w:r>
      <w:r>
        <w:rPr>
          <w:rFonts w:hint="eastAsia"/>
        </w:rPr>
        <w:t xml:space="preserve">の24係数のうち5%水準で有意なものは、HC3</w:t>
      </w:r>
      <w:r>
        <w:t xml:space="preserve"> では14、EWC </w:t>
      </w:r>
      <w:r>
        <w:rPr>
          <w:rFonts w:hint="eastAsia"/>
        </w:rPr>
        <w:t xml:space="preserve">では12、補正</w:t>
      </w:r>
      <w:r>
        <w:t xml:space="preserve"> p </w:t>
      </w:r>
      <w:r>
        <w:rPr>
          <w:rFonts w:hint="eastAsia"/>
        </w:rPr>
        <w:t xml:space="preserve">値では10である。</w:t>
      </w:r>
    </w:p>
    <w:p>
      <w:pPr>
        <w:pStyle w:val="BodyText"/>
      </w:pPr>
      <w:r>
        <w:rPr>
          <w:rFonts w:hint="eastAsia"/>
        </w:rPr>
        <w:t xml:space="preserve">本章の主な結論は、いずれの変種でも保たれる。第一に、北海道の風力が水準を下げる効果は、どの仕様・標本でも全季節で1%水準で有意である。第二に、北海道の風力の</w:t>
      </w:r>
      <w:r>
        <w:t xml:space="preserve"> TB4h </w:t>
      </w:r>
      <w:r>
        <w:rPr>
          <w:rFonts w:hint="eastAsia"/>
        </w:rPr>
        <w:t xml:space="preserve">への係数は、3季節の区分ではどの仕様・標本でも正に有意にならない。暦月の春の正の係数（5.3.1項）は、補正</w:t>
      </w:r>
      <w:r>
        <w:t xml:space="preserve"> p </w:t>
      </w:r>
      <w:r>
        <w:rPr>
          <w:rFonts w:hint="eastAsia"/>
        </w:rPr>
        <w:t xml:space="preserve">値で5%を下回る仕様がなく、有意となる仕様はいずれも誤差と相関しうる価格のラグを含むので、境界的な証拠として扱う。第三に、風力が冬に</w:t>
      </w:r>
      <w:r>
        <w:t xml:space="preserve"> TB4h </w:t>
      </w:r>
      <w:r>
        <w:rPr>
          <w:rFonts w:hint="eastAsia"/>
        </w:rPr>
        <w:t xml:space="preserve">を縮める効果は、同月内の識別で半減し、FY2023〜25</w:t>
      </w:r>
      <w:r>
        <w:t xml:space="preserve"> </w:t>
      </w:r>
      <w:r>
        <w:rPr>
          <w:rFonts w:hint="eastAsia"/>
        </w:rPr>
        <w:t xml:space="preserve">では有意でない。第四に、太陽光が不需要期に</w:t>
      </w:r>
      <w:r>
        <w:t xml:space="preserve"> TB4h </w:t>
      </w:r>
      <w:r>
        <w:rPr>
          <w:rFonts w:hint="eastAsia"/>
        </w:rPr>
        <w:t xml:space="preserve">を広げる効果は同月内の識別でむしろ強まり、冬の負の係数は同月内の識別や</w:t>
      </w:r>
      <w:r>
        <w:t xml:space="preserve"> FY2023〜25 </w:t>
      </w:r>
      <w:r>
        <w:rPr>
          <w:rFonts w:hint="eastAsia"/>
        </w:rPr>
        <w:t xml:space="preserve">では消える。第五に、九州の風力の係数は仕様と標本で符号も有意性も変わる一方、九州の太陽光が冬と不需要期に</w:t>
      </w:r>
      <w:r>
        <w:t xml:space="preserve"> TB4h </w:t>
      </w:r>
      <w:r>
        <w:rPr>
          <w:rFonts w:hint="eastAsia"/>
        </w:rPr>
        <w:t xml:space="preserve">を広げる効果は、どの変種でも有意である。燃料危機期を除くと北海道の水準への効果の絶対値は小さくなるが、相対価格で比べるとその差は小さい（表C.14）。</w:t>
      </w:r>
    </w:p>
    <w:p>
      <w:pPr>
        <w:pStyle w:val="TableCaption"/>
      </w:pPr>
      <w:r>
        <w:rPr>
          <w:rFonts w:hint="eastAsia"/>
        </w:rPr>
        <w:t xml:space="preserve">表5.6</w:t>
      </w:r>
      <w:r>
        <w:t xml:space="preserve">　</w:t>
      </w:r>
      <w:r>
        <w:rPr>
          <w:rFonts w:hint="eastAsia"/>
        </w:rPr>
        <w:t xml:space="preserve">主要な係数の頑健性</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5.6　主要な係数の頑健性"/>
      </w:tblPr>
      <w:tblGrid>
        <w:gridCol w:w="678"/>
        <w:gridCol w:w="905"/>
        <w:gridCol w:w="905"/>
        <w:gridCol w:w="905"/>
        <w:gridCol w:w="905"/>
        <w:gridCol w:w="905"/>
        <w:gridCol w:w="905"/>
        <w:gridCol w:w="905"/>
        <w:gridCol w:w="905"/>
      </w:tblGrid>
      <w:tr>
        <w:trPr>
          <w:tblHeader w:val="on"/>
        </w:trPr>
        <w:tc>
          <w:tcPr>
            <w:tcBorders>
              <w:bottom w:val="single" w:sz="6" w:color="000000"/>
            </w:tcBorders>
          </w:tcPr>
          <w:p>
            <w:pPr>
              <w:pStyle w:val="Compact"/>
            </w:pPr>
            <w:r>
              <w:rPr>
                <w:rFonts w:hint="eastAsia"/>
                <w:sz w:val="18"/>
              </w:rPr>
              <w:t xml:space="preserve">係数</w:t>
            </w:r>
          </w:p>
        </w:tc>
        <w:tc>
          <w:tcPr>
            <w:tcBorders>
              <w:bottom w:val="single" w:sz="6" w:color="000000"/>
            </w:tcBorders>
          </w:tcPr>
          <w:p>
            <w:pPr>
              <w:pStyle w:val="Compact"/>
              <w:jc w:val="right"/>
            </w:pPr>
            <w:r>
              <w:rPr>
                <w:rFonts w:hint="eastAsia"/>
                <w:sz w:val="18"/>
              </w:rPr>
              <w:t xml:space="preserve">主仕様</w:t>
            </w:r>
          </w:p>
        </w:tc>
        <w:tc>
          <w:tcPr>
            <w:tcBorders>
              <w:bottom w:val="single" w:sz="6" w:color="000000"/>
            </w:tcBorders>
          </w:tcPr>
          <w:p>
            <w:pPr>
              <w:pStyle w:val="Compact"/>
              <w:jc w:val="right"/>
            </w:pPr>
            <w:r>
              <w:rPr>
                <w:rFonts w:hint="eastAsia"/>
                <w:sz w:val="18"/>
              </w:rPr>
              <w:t xml:space="preserve">p（HC3）</w:t>
            </w:r>
          </w:p>
        </w:tc>
        <w:tc>
          <w:tcPr>
            <w:tcBorders>
              <w:bottom w:val="single" w:sz="6" w:color="000000"/>
            </w:tcBorders>
          </w:tcPr>
          <w:p>
            <w:pPr>
              <w:pStyle w:val="Compact"/>
              <w:jc w:val="right"/>
            </w:pPr>
            <w:r>
              <w:rPr>
                <w:rFonts w:hint="eastAsia"/>
                <w:sz w:val="18"/>
              </w:rPr>
              <w:t xml:space="preserve">p（EWC）</w:t>
            </w:r>
          </w:p>
        </w:tc>
        <w:tc>
          <w:tcPr>
            <w:tcBorders>
              <w:bottom w:val="single" w:sz="6" w:color="000000"/>
            </w:tcBorders>
          </w:tcPr>
          <w:p>
            <w:pPr>
              <w:pStyle w:val="Compact"/>
              <w:jc w:val="right"/>
            </w:pPr>
            <w:r>
              <w:rPr>
                <w:rFonts w:hint="eastAsia"/>
                <w:sz w:val="18"/>
              </w:rPr>
              <w:t xml:space="preserve">p（補正）</w:t>
            </w:r>
          </w:p>
        </w:tc>
        <w:tc>
          <w:tcPr>
            <w:tcBorders>
              <w:bottom w:val="single" w:sz="6" w:color="000000"/>
            </w:tcBorders>
          </w:tcPr>
          <w:p>
            <w:pPr>
              <w:pStyle w:val="Compact"/>
              <w:jc w:val="right"/>
            </w:pPr>
            <w:r>
              <w:rPr>
                <w:rFonts w:hint="eastAsia"/>
                <w:sz w:val="18"/>
              </w:rPr>
              <w:t xml:space="preserve">年月FE</w:t>
            </w:r>
          </w:p>
        </w:tc>
        <w:tc>
          <w:tcPr>
            <w:tcBorders>
              <w:bottom w:val="single" w:sz="6" w:color="000000"/>
            </w:tcBorders>
          </w:tcPr>
          <w:p>
            <w:pPr>
              <w:pStyle w:val="Compact"/>
              <w:jc w:val="right"/>
            </w:pPr>
            <w:r>
              <w:rPr>
                <w:sz w:val="18"/>
              </w:rPr>
              <w:t xml:space="preserve">FY2023〜25</w:t>
            </w:r>
          </w:p>
        </w:tc>
        <w:tc>
          <w:tcPr>
            <w:tcBorders>
              <w:bottom w:val="single" w:sz="6" w:color="000000"/>
            </w:tcBorders>
          </w:tcPr>
          <w:p>
            <w:pPr>
              <w:pStyle w:val="Compact"/>
              <w:jc w:val="right"/>
            </w:pPr>
            <w:r>
              <w:rPr>
                <w:rFonts w:hint="eastAsia"/>
                <w:sz w:val="18"/>
              </w:rPr>
              <w:t xml:space="preserve">燃料危機期を除く</w:t>
            </w:r>
          </w:p>
        </w:tc>
        <w:tc>
          <w:tcPr>
            <w:tcBorders>
              <w:bottom w:val="single" w:sz="6" w:color="000000"/>
            </w:tcBorders>
          </w:tcPr>
          <w:p>
            <w:pPr>
              <w:pStyle w:val="Compact"/>
              <w:jc w:val="right"/>
            </w:pPr>
            <w:r>
              <w:rPr>
                <w:rFonts w:hint="eastAsia"/>
                <w:sz w:val="18"/>
              </w:rPr>
              <w:t xml:space="preserve">2021年1月を除く</w:t>
            </w:r>
          </w:p>
        </w:tc>
      </w:tr>
      <w:tr>
        <w:tc>
          <w:tcPr/>
          <w:p>
            <w:pPr>
              <w:pStyle w:val="Compact"/>
            </w:pPr>
            <w:r>
              <w:rPr>
                <w:rFonts w:hint="eastAsia"/>
                <w:b/>
                <w:bCs/>
                <w:sz w:val="18"/>
              </w:rPr>
              <w:t xml:space="preserve">パネルA：北海道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水準・風力・冬</w:t>
            </w:r>
          </w:p>
        </w:tc>
        <w:tc>
          <w:tcPr/>
          <w:p>
            <w:pPr>
              <w:pStyle w:val="Compact"/>
              <w:jc w:val="right"/>
            </w:pPr>
            <w:r>
              <w:rPr>
                <w:sz w:val="18"/>
              </w:rPr>
              <w:t xml:space="preserve">−0.353</w:t>
            </w:r>
          </w:p>
        </w:tc>
        <w:tc>
          <w:tcPr/>
          <w:p>
            <w:pPr>
              <w:pStyle w:val="Compact"/>
              <w:jc w:val="right"/>
            </w:pPr>
            <w:r>
              <w:rPr>
                <w:sz w:val="18"/>
              </w:rPr>
              <w:t xml:space="preserve">&lt;0.001</w:t>
            </w:r>
          </w:p>
        </w:tc>
        <w:tc>
          <w:tcPr/>
          <w:p>
            <w:pPr>
              <w:pStyle w:val="Compact"/>
              <w:jc w:val="right"/>
            </w:pPr>
            <w:r>
              <w:rPr>
                <w:sz w:val="18"/>
              </w:rPr>
              <w:t xml:space="preserve">0.001</w:t>
            </w:r>
          </w:p>
        </w:tc>
        <w:tc>
          <w:tcPr/>
          <w:p>
            <w:pPr>
              <w:pStyle w:val="Compact"/>
              <w:jc w:val="right"/>
            </w:pPr>
            <w:r>
              <w:rPr>
                <w:sz w:val="18"/>
              </w:rPr>
              <w:t xml:space="preserve">0.006</w:t>
            </w:r>
          </w:p>
        </w:tc>
        <w:tc>
          <w:tcPr/>
          <w:p>
            <w:pPr>
              <w:pStyle w:val="Compact"/>
              <w:jc w:val="right"/>
            </w:pPr>
            <w:r>
              <w:rPr>
                <w:sz w:val="18"/>
              </w:rPr>
              <w:t xml:space="preserve">−0.256***</w:t>
            </w:r>
          </w:p>
        </w:tc>
        <w:tc>
          <w:tcPr/>
          <w:p>
            <w:pPr>
              <w:pStyle w:val="Compact"/>
              <w:jc w:val="right"/>
            </w:pPr>
            <w:r>
              <w:rPr>
                <w:sz w:val="18"/>
              </w:rPr>
              <w:t xml:space="preserve">−0.161***</w:t>
            </w:r>
          </w:p>
        </w:tc>
        <w:tc>
          <w:tcPr/>
          <w:p>
            <w:pPr>
              <w:pStyle w:val="Compact"/>
              <w:jc w:val="right"/>
            </w:pPr>
            <w:r>
              <w:rPr>
                <w:sz w:val="18"/>
              </w:rPr>
              <w:t xml:space="preserve">−0.302***†</w:t>
            </w:r>
          </w:p>
        </w:tc>
        <w:tc>
          <w:tcPr/>
          <w:p>
            <w:pPr>
              <w:pStyle w:val="Compact"/>
              <w:jc w:val="right"/>
            </w:pPr>
            <w:r>
              <w:rPr>
                <w:sz w:val="18"/>
              </w:rPr>
              <w:t xml:space="preserve">−0.269***</w:t>
            </w:r>
          </w:p>
        </w:tc>
      </w:tr>
      <w:tr>
        <w:tc>
          <w:tcPr/>
          <w:p>
            <w:pPr>
              <w:pStyle w:val="Compact"/>
            </w:pPr>
            <w:r>
              <w:rPr>
                <w:rFonts w:hint="eastAsia"/>
                <w:sz w:val="18"/>
              </w:rPr>
              <w:t xml:space="preserve">TB4h・風力・夏</w:t>
            </w:r>
          </w:p>
        </w:tc>
        <w:tc>
          <w:tcPr/>
          <w:p>
            <w:pPr>
              <w:pStyle w:val="Compact"/>
              <w:jc w:val="right"/>
            </w:pPr>
            <w:r>
              <w:rPr>
                <w:sz w:val="18"/>
              </w:rPr>
              <w:t xml:space="preserve">−0.156</w:t>
            </w:r>
          </w:p>
        </w:tc>
        <w:tc>
          <w:tcPr/>
          <w:p>
            <w:pPr>
              <w:pStyle w:val="Compact"/>
              <w:jc w:val="right"/>
            </w:pPr>
            <w:r>
              <w:rPr>
                <w:sz w:val="18"/>
              </w:rPr>
              <w:t xml:space="preserve">0.119</w:t>
            </w:r>
          </w:p>
        </w:tc>
        <w:tc>
          <w:tcPr/>
          <w:p>
            <w:pPr>
              <w:pStyle w:val="Compact"/>
              <w:jc w:val="right"/>
            </w:pPr>
            <w:r>
              <w:rPr>
                <w:sz w:val="18"/>
              </w:rPr>
              <w:t xml:space="preserve">0.339</w:t>
            </w:r>
          </w:p>
        </w:tc>
        <w:tc>
          <w:tcPr/>
          <w:p>
            <w:pPr>
              <w:pStyle w:val="Compact"/>
              <w:jc w:val="right"/>
            </w:pPr>
            <w:r>
              <w:rPr>
                <w:sz w:val="18"/>
              </w:rPr>
              <w:t xml:space="preserve">0.414</w:t>
            </w:r>
          </w:p>
        </w:tc>
        <w:tc>
          <w:tcPr/>
          <w:p>
            <w:pPr>
              <w:pStyle w:val="Compact"/>
              <w:jc w:val="right"/>
            </w:pPr>
            <w:r>
              <w:rPr>
                <w:sz w:val="18"/>
              </w:rPr>
              <w:t xml:space="preserve">−0.075</w:t>
            </w:r>
          </w:p>
        </w:tc>
        <w:tc>
          <w:tcPr/>
          <w:p>
            <w:pPr>
              <w:pStyle w:val="Compact"/>
              <w:jc w:val="right"/>
            </w:pPr>
            <w:r>
              <w:rPr>
                <w:sz w:val="18"/>
              </w:rPr>
              <w:t xml:space="preserve">0.088</w:t>
            </w:r>
          </w:p>
        </w:tc>
        <w:tc>
          <w:tcPr/>
          <w:p>
            <w:pPr>
              <w:pStyle w:val="Compact"/>
              <w:jc w:val="right"/>
            </w:pPr>
            <w:r>
              <w:rPr>
                <w:sz w:val="18"/>
              </w:rPr>
              <w:t xml:space="preserve">−0.053</w:t>
            </w:r>
          </w:p>
        </w:tc>
        <w:tc>
          <w:tcPr/>
          <w:p>
            <w:pPr>
              <w:pStyle w:val="Compact"/>
              <w:jc w:val="right"/>
            </w:pPr>
            <w:r>
              <w:rPr>
                <w:sz w:val="18"/>
              </w:rPr>
              <w:t xml:space="preserve">−0.163</w:t>
            </w:r>
          </w:p>
        </w:tc>
      </w:tr>
      <w:tr>
        <w:tc>
          <w:tcPr/>
          <w:p>
            <w:pPr>
              <w:pStyle w:val="Compact"/>
            </w:pPr>
            <w:r>
              <w:rPr>
                <w:rFonts w:hint="eastAsia"/>
                <w:sz w:val="18"/>
              </w:rPr>
              <w:t xml:space="preserve">TB4h・風力・冬</w:t>
            </w:r>
          </w:p>
        </w:tc>
        <w:tc>
          <w:tcPr/>
          <w:p>
            <w:pPr>
              <w:pStyle w:val="Compact"/>
              <w:jc w:val="right"/>
            </w:pPr>
            <w:r>
              <w:rPr>
                <w:sz w:val="18"/>
              </w:rPr>
              <w:t xml:space="preserve">−0.363</w:t>
            </w:r>
          </w:p>
        </w:tc>
        <w:tc>
          <w:tcPr/>
          <w:p>
            <w:pPr>
              <w:pStyle w:val="Compact"/>
              <w:jc w:val="right"/>
            </w:pPr>
            <w:r>
              <w:rPr>
                <w:sz w:val="18"/>
              </w:rPr>
              <w:t xml:space="preserve">&lt;0.001</w:t>
            </w:r>
          </w:p>
        </w:tc>
        <w:tc>
          <w:tcPr/>
          <w:p>
            <w:pPr>
              <w:pStyle w:val="Compact"/>
              <w:jc w:val="right"/>
            </w:pPr>
            <w:r>
              <w:rPr>
                <w:sz w:val="18"/>
              </w:rPr>
              <w:t xml:space="preserve">0.040</w:t>
            </w:r>
          </w:p>
        </w:tc>
        <w:tc>
          <w:tcPr/>
          <w:p>
            <w:pPr>
              <w:pStyle w:val="Compact"/>
              <w:jc w:val="right"/>
            </w:pPr>
            <w:r>
              <w:rPr>
                <w:sz w:val="18"/>
              </w:rPr>
              <w:t xml:space="preserve">0.099</w:t>
            </w:r>
          </w:p>
        </w:tc>
        <w:tc>
          <w:tcPr/>
          <w:p>
            <w:pPr>
              <w:pStyle w:val="Compact"/>
              <w:jc w:val="right"/>
            </w:pPr>
            <w:r>
              <w:rPr>
                <w:sz w:val="18"/>
              </w:rPr>
              <w:t xml:space="preserve">−0.181**</w:t>
            </w:r>
          </w:p>
        </w:tc>
        <w:tc>
          <w:tcPr/>
          <w:p>
            <w:pPr>
              <w:pStyle w:val="Compact"/>
              <w:jc w:val="right"/>
            </w:pPr>
            <w:r>
              <w:rPr>
                <w:sz w:val="18"/>
              </w:rPr>
              <w:t xml:space="preserve">−0.112</w:t>
            </w:r>
          </w:p>
        </w:tc>
        <w:tc>
          <w:tcPr/>
          <w:p>
            <w:pPr>
              <w:pStyle w:val="Compact"/>
              <w:jc w:val="right"/>
            </w:pPr>
            <w:r>
              <w:rPr>
                <w:sz w:val="18"/>
              </w:rPr>
              <w:t xml:space="preserve">−0.388**†</w:t>
            </w:r>
          </w:p>
        </w:tc>
        <w:tc>
          <w:tcPr/>
          <w:p>
            <w:pPr>
              <w:pStyle w:val="Compact"/>
              <w:jc w:val="right"/>
            </w:pPr>
            <w:r>
              <w:rPr>
                <w:sz w:val="18"/>
              </w:rPr>
              <w:t xml:space="preserve">−0.232*</w:t>
            </w:r>
          </w:p>
        </w:tc>
      </w:tr>
      <w:tr>
        <w:tc>
          <w:tcPr/>
          <w:p>
            <w:pPr>
              <w:pStyle w:val="Compact"/>
            </w:pPr>
            <w:r>
              <w:rPr>
                <w:rFonts w:hint="eastAsia"/>
                <w:sz w:val="18"/>
              </w:rPr>
              <w:t xml:space="preserve">TB4h・風力・不需要期</w:t>
            </w:r>
          </w:p>
        </w:tc>
        <w:tc>
          <w:tcPr/>
          <w:p>
            <w:pPr>
              <w:pStyle w:val="Compact"/>
              <w:jc w:val="right"/>
            </w:pPr>
            <w:r>
              <w:rPr>
                <w:sz w:val="18"/>
              </w:rPr>
              <w:t xml:space="preserve">−0.067</w:t>
            </w:r>
          </w:p>
        </w:tc>
        <w:tc>
          <w:tcPr/>
          <w:p>
            <w:pPr>
              <w:pStyle w:val="Compact"/>
              <w:jc w:val="right"/>
            </w:pPr>
            <w:r>
              <w:rPr>
                <w:sz w:val="18"/>
              </w:rPr>
              <w:t xml:space="preserve">0.243</w:t>
            </w:r>
          </w:p>
        </w:tc>
        <w:tc>
          <w:tcPr/>
          <w:p>
            <w:pPr>
              <w:pStyle w:val="Compact"/>
              <w:jc w:val="right"/>
            </w:pPr>
            <w:r>
              <w:rPr>
                <w:sz w:val="18"/>
              </w:rPr>
              <w:t xml:space="preserve">0.504</w:t>
            </w:r>
          </w:p>
        </w:tc>
        <w:tc>
          <w:tcPr/>
          <w:p>
            <w:pPr>
              <w:pStyle w:val="Compact"/>
              <w:jc w:val="right"/>
            </w:pPr>
            <w:r>
              <w:rPr>
                <w:sz w:val="18"/>
              </w:rPr>
              <w:t xml:space="preserve">0.567</w:t>
            </w:r>
          </w:p>
        </w:tc>
        <w:tc>
          <w:tcPr/>
          <w:p>
            <w:pPr>
              <w:pStyle w:val="Compact"/>
              <w:jc w:val="right"/>
            </w:pPr>
            <w:r>
              <w:rPr>
                <w:sz w:val="18"/>
              </w:rPr>
              <w:t xml:space="preserve">−0.030</w:t>
            </w:r>
          </w:p>
        </w:tc>
        <w:tc>
          <w:tcPr/>
          <w:p>
            <w:pPr>
              <w:pStyle w:val="Compact"/>
              <w:jc w:val="right"/>
            </w:pPr>
            <w:r>
              <w:rPr>
                <w:sz w:val="18"/>
              </w:rPr>
              <w:t xml:space="preserve">−0.025</w:t>
            </w:r>
          </w:p>
        </w:tc>
        <w:tc>
          <w:tcPr/>
          <w:p>
            <w:pPr>
              <w:pStyle w:val="Compact"/>
              <w:jc w:val="right"/>
            </w:pPr>
            <w:r>
              <w:rPr>
                <w:sz w:val="18"/>
              </w:rPr>
              <w:t xml:space="preserve">−0.015</w:t>
            </w:r>
          </w:p>
        </w:tc>
        <w:tc>
          <w:tcPr/>
          <w:p>
            <w:pPr>
              <w:pStyle w:val="Compact"/>
              <w:jc w:val="right"/>
            </w:pPr>
            <w:r>
              <w:rPr>
                <w:sz w:val="18"/>
              </w:rPr>
              <w:t xml:space="preserve">−0.054</w:t>
            </w:r>
          </w:p>
        </w:tc>
      </w:tr>
      <w:tr>
        <w:tc>
          <w:tcPr/>
          <w:p>
            <w:pPr>
              <w:pStyle w:val="Compact"/>
            </w:pPr>
            <w:r>
              <w:rPr>
                <w:rFonts w:hint="eastAsia"/>
                <w:sz w:val="18"/>
              </w:rPr>
              <w:t xml:space="preserve">TB4h・太陽光・冬</w:t>
            </w:r>
          </w:p>
        </w:tc>
        <w:tc>
          <w:tcPr/>
          <w:p>
            <w:pPr>
              <w:pStyle w:val="Compact"/>
              <w:jc w:val="right"/>
            </w:pPr>
            <w:r>
              <w:rPr>
                <w:sz w:val="18"/>
              </w:rPr>
              <w:t xml:space="preserve">−0.807</w:t>
            </w:r>
          </w:p>
        </w:tc>
        <w:tc>
          <w:tcPr/>
          <w:p>
            <w:pPr>
              <w:pStyle w:val="Compact"/>
              <w:jc w:val="right"/>
            </w:pPr>
            <w:r>
              <w:rPr>
                <w:sz w:val="18"/>
              </w:rPr>
              <w:t xml:space="preserve">0.005</w:t>
            </w:r>
          </w:p>
        </w:tc>
        <w:tc>
          <w:tcPr/>
          <w:p>
            <w:pPr>
              <w:pStyle w:val="Compact"/>
              <w:jc w:val="right"/>
            </w:pPr>
            <w:r>
              <w:rPr>
                <w:sz w:val="18"/>
              </w:rPr>
              <w:t xml:space="preserve">0.048</w:t>
            </w:r>
          </w:p>
        </w:tc>
        <w:tc>
          <w:tcPr/>
          <w:p>
            <w:pPr>
              <w:pStyle w:val="Compact"/>
              <w:jc w:val="right"/>
            </w:pPr>
            <w:r>
              <w:rPr>
                <w:sz w:val="18"/>
              </w:rPr>
              <w:t xml:space="preserve">0.123</w:t>
            </w:r>
          </w:p>
        </w:tc>
        <w:tc>
          <w:tcPr/>
          <w:p>
            <w:pPr>
              <w:pStyle w:val="Compact"/>
              <w:jc w:val="right"/>
            </w:pPr>
            <w:r>
              <w:rPr>
                <w:sz w:val="18"/>
              </w:rPr>
              <w:t xml:space="preserve">0.371</w:t>
            </w:r>
          </w:p>
        </w:tc>
        <w:tc>
          <w:tcPr/>
          <w:p>
            <w:pPr>
              <w:pStyle w:val="Compact"/>
              <w:jc w:val="right"/>
            </w:pPr>
            <w:r>
              <w:rPr>
                <w:sz w:val="18"/>
              </w:rPr>
              <w:t xml:space="preserve">0.044</w:t>
            </w:r>
          </w:p>
        </w:tc>
        <w:tc>
          <w:tcPr/>
          <w:p>
            <w:pPr>
              <w:pStyle w:val="Compact"/>
              <w:jc w:val="right"/>
            </w:pPr>
            <w:r>
              <w:rPr>
                <w:sz w:val="18"/>
              </w:rPr>
              <w:t xml:space="preserve">−0.565</w:t>
            </w:r>
          </w:p>
        </w:tc>
        <w:tc>
          <w:tcPr/>
          <w:p>
            <w:pPr>
              <w:pStyle w:val="Compact"/>
              <w:jc w:val="right"/>
            </w:pPr>
            <w:r>
              <w:rPr>
                <w:sz w:val="18"/>
              </w:rPr>
              <w:t xml:space="preserve">−0.592**</w:t>
            </w:r>
          </w:p>
        </w:tc>
      </w:tr>
      <w:tr>
        <w:tc>
          <w:tcPr/>
          <w:p>
            <w:pPr>
              <w:pStyle w:val="Compact"/>
            </w:pPr>
            <w:r>
              <w:rPr>
                <w:rFonts w:hint="eastAsia"/>
                <w:sz w:val="18"/>
              </w:rPr>
              <w:t xml:space="preserve">TB4h・太陽光・不需要期</w:t>
            </w:r>
          </w:p>
        </w:tc>
        <w:tc>
          <w:tcPr/>
          <w:p>
            <w:pPr>
              <w:pStyle w:val="Compact"/>
              <w:jc w:val="right"/>
            </w:pPr>
            <w:r>
              <w:rPr>
                <w:sz w:val="18"/>
              </w:rPr>
              <w:t xml:space="preserve">0.233</w:t>
            </w:r>
          </w:p>
        </w:tc>
        <w:tc>
          <w:tcPr/>
          <w:p>
            <w:pPr>
              <w:pStyle w:val="Compact"/>
              <w:jc w:val="right"/>
            </w:pPr>
            <w:r>
              <w:rPr>
                <w:sz w:val="18"/>
              </w:rPr>
              <w:t xml:space="preserve">&lt;0.001</w:t>
            </w:r>
          </w:p>
        </w:tc>
        <w:tc>
          <w:tcPr/>
          <w:p>
            <w:pPr>
              <w:pStyle w:val="Compact"/>
              <w:jc w:val="right"/>
            </w:pPr>
            <w:r>
              <w:rPr>
                <w:sz w:val="18"/>
              </w:rPr>
              <w:t xml:space="preserve">0.140</w:t>
            </w:r>
          </w:p>
        </w:tc>
        <w:tc>
          <w:tcPr/>
          <w:p>
            <w:pPr>
              <w:pStyle w:val="Compact"/>
              <w:jc w:val="right"/>
            </w:pPr>
            <w:r>
              <w:rPr>
                <w:sz w:val="18"/>
              </w:rPr>
              <w:t xml:space="preserve">0.214</w:t>
            </w:r>
          </w:p>
        </w:tc>
        <w:tc>
          <w:tcPr/>
          <w:p>
            <w:pPr>
              <w:pStyle w:val="Compact"/>
              <w:jc w:val="right"/>
            </w:pPr>
            <w:r>
              <w:rPr>
                <w:sz w:val="18"/>
              </w:rPr>
              <w:t xml:space="preserve">0.392***</w:t>
            </w:r>
          </w:p>
        </w:tc>
        <w:tc>
          <w:tcPr/>
          <w:p>
            <w:pPr>
              <w:pStyle w:val="Compact"/>
              <w:jc w:val="right"/>
            </w:pPr>
            <w:r>
              <w:rPr>
                <w:sz w:val="18"/>
              </w:rPr>
              <w:t xml:space="preserve">0.350***</w:t>
            </w:r>
          </w:p>
        </w:tc>
        <w:tc>
          <w:tcPr/>
          <w:p>
            <w:pPr>
              <w:pStyle w:val="Compact"/>
              <w:jc w:val="right"/>
            </w:pPr>
            <w:r>
              <w:rPr>
                <w:sz w:val="18"/>
              </w:rPr>
              <w:t xml:space="preserve">0.314**</w:t>
            </w:r>
          </w:p>
        </w:tc>
        <w:tc>
          <w:tcPr/>
          <w:p>
            <w:pPr>
              <w:pStyle w:val="Compact"/>
              <w:jc w:val="right"/>
            </w:pPr>
            <w:r>
              <w:rPr>
                <w:sz w:val="18"/>
              </w:rPr>
              <w:t xml:space="preserve">0.230</w:t>
            </w:r>
          </w:p>
        </w:tc>
      </w:tr>
      <w:tr>
        <w:tc>
          <w:tcPr/>
          <w:p>
            <w:pPr>
              <w:pStyle w:val="Compact"/>
            </w:pPr>
            <w:r>
              <w:rPr>
                <w:rFonts w:hint="eastAsia"/>
                <w:b/>
                <w:bCs/>
                <w:sz w:val="18"/>
              </w:rPr>
              <w:t xml:space="preserve">パネルB：九州</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TB4h・風力・不需要期</w:t>
            </w:r>
          </w:p>
        </w:tc>
        <w:tc>
          <w:tcPr/>
          <w:p>
            <w:pPr>
              <w:pStyle w:val="Compact"/>
              <w:jc w:val="right"/>
            </w:pPr>
            <w:r>
              <w:rPr>
                <w:sz w:val="18"/>
              </w:rPr>
              <w:t xml:space="preserve">0.173</w:t>
            </w:r>
          </w:p>
        </w:tc>
        <w:tc>
          <w:tcPr/>
          <w:p>
            <w:pPr>
              <w:pStyle w:val="Compact"/>
              <w:jc w:val="right"/>
            </w:pPr>
            <w:r>
              <w:rPr>
                <w:sz w:val="18"/>
              </w:rPr>
              <w:t xml:space="preserve">0.124</w:t>
            </w:r>
          </w:p>
        </w:tc>
        <w:tc>
          <w:tcPr/>
          <w:p>
            <w:pPr>
              <w:pStyle w:val="Compact"/>
              <w:jc w:val="right"/>
            </w:pPr>
            <w:r>
              <w:rPr>
                <w:sz w:val="18"/>
              </w:rPr>
              <w:t xml:space="preserve">0.317</w:t>
            </w:r>
          </w:p>
        </w:tc>
        <w:tc>
          <w:tcPr/>
          <w:p>
            <w:pPr>
              <w:pStyle w:val="Compact"/>
              <w:jc w:val="right"/>
            </w:pPr>
            <w:r>
              <w:rPr>
                <w:sz w:val="18"/>
              </w:rPr>
              <w:t xml:space="preserve">0.384</w:t>
            </w:r>
          </w:p>
        </w:tc>
        <w:tc>
          <w:tcPr/>
          <w:p>
            <w:pPr>
              <w:pStyle w:val="Compact"/>
              <w:jc w:val="right"/>
            </w:pPr>
            <w:r>
              <w:rPr>
                <w:sz w:val="18"/>
              </w:rPr>
              <w:t xml:space="preserve">−0.020</w:t>
            </w:r>
          </w:p>
        </w:tc>
        <w:tc>
          <w:tcPr/>
          <w:p>
            <w:pPr>
              <w:pStyle w:val="Compact"/>
              <w:jc w:val="right"/>
            </w:pPr>
            <w:r>
              <w:rPr>
                <w:sz w:val="18"/>
              </w:rPr>
              <w:t xml:space="preserve">0.113</w:t>
            </w:r>
          </w:p>
        </w:tc>
        <w:tc>
          <w:tcPr/>
          <w:p>
            <w:pPr>
              <w:pStyle w:val="Compact"/>
              <w:jc w:val="right"/>
            </w:pPr>
            <w:r>
              <w:rPr>
                <w:sz w:val="18"/>
              </w:rPr>
              <w:t xml:space="preserve">0.049</w:t>
            </w:r>
          </w:p>
        </w:tc>
        <w:tc>
          <w:tcPr/>
          <w:p>
            <w:pPr>
              <w:pStyle w:val="Compact"/>
              <w:jc w:val="right"/>
            </w:pPr>
            <w:r>
              <w:rPr>
                <w:sz w:val="18"/>
              </w:rPr>
              <w:t xml:space="preserve">0.256*</w:t>
            </w:r>
          </w:p>
        </w:tc>
      </w:tr>
      <w:tr>
        <w:tc>
          <w:tcPr/>
          <w:p>
            <w:pPr>
              <w:pStyle w:val="Compact"/>
            </w:pPr>
            <w:r>
              <w:rPr>
                <w:rFonts w:hint="eastAsia"/>
                <w:sz w:val="18"/>
              </w:rPr>
              <w:t xml:space="preserve">TB4h・太陽光・冬</w:t>
            </w:r>
          </w:p>
        </w:tc>
        <w:tc>
          <w:tcPr/>
          <w:p>
            <w:pPr>
              <w:pStyle w:val="Compact"/>
              <w:jc w:val="right"/>
            </w:pPr>
            <w:r>
              <w:rPr>
                <w:sz w:val="18"/>
              </w:rPr>
              <w:t xml:space="preserve">0.112</w:t>
            </w:r>
          </w:p>
        </w:tc>
        <w:tc>
          <w:tcPr/>
          <w:p>
            <w:pPr>
              <w:pStyle w:val="Compact"/>
              <w:jc w:val="right"/>
            </w:pPr>
            <w:r>
              <w:rPr>
                <w:sz w:val="18"/>
              </w:rPr>
              <w:t xml:space="preserve">&lt;0.001</w:t>
            </w:r>
          </w:p>
        </w:tc>
        <w:tc>
          <w:tcPr/>
          <w:p>
            <w:pPr>
              <w:pStyle w:val="Compact"/>
              <w:jc w:val="right"/>
            </w:pPr>
            <w:r>
              <w:rPr>
                <w:sz w:val="18"/>
              </w:rPr>
              <w:t xml:space="preserve">0.001</w:t>
            </w:r>
          </w:p>
        </w:tc>
        <w:tc>
          <w:tcPr/>
          <w:p>
            <w:pPr>
              <w:pStyle w:val="Compact"/>
              <w:jc w:val="right"/>
            </w:pPr>
            <w:r>
              <w:rPr>
                <w:sz w:val="18"/>
              </w:rPr>
              <w:t xml:space="preserve">0.009</w:t>
            </w:r>
          </w:p>
        </w:tc>
        <w:tc>
          <w:tcPr/>
          <w:p>
            <w:pPr>
              <w:pStyle w:val="Compact"/>
              <w:jc w:val="right"/>
            </w:pPr>
            <w:r>
              <w:rPr>
                <w:sz w:val="18"/>
              </w:rPr>
              <w:t xml:space="preserve">0.187***</w:t>
            </w:r>
          </w:p>
        </w:tc>
        <w:tc>
          <w:tcPr/>
          <w:p>
            <w:pPr>
              <w:pStyle w:val="Compact"/>
              <w:jc w:val="right"/>
            </w:pPr>
            <w:r>
              <w:rPr>
                <w:sz w:val="18"/>
              </w:rPr>
              <w:t xml:space="preserve">0.183***</w:t>
            </w:r>
          </w:p>
        </w:tc>
        <w:tc>
          <w:tcPr/>
          <w:p>
            <w:pPr>
              <w:pStyle w:val="Compact"/>
              <w:jc w:val="right"/>
            </w:pPr>
            <w:r>
              <w:rPr>
                <w:sz w:val="18"/>
              </w:rPr>
              <w:t xml:space="preserve">0.077**</w:t>
            </w:r>
          </w:p>
        </w:tc>
        <w:tc>
          <w:tcPr/>
          <w:p>
            <w:pPr>
              <w:pStyle w:val="Compact"/>
              <w:jc w:val="right"/>
            </w:pPr>
            <w:r>
              <w:rPr>
                <w:sz w:val="18"/>
              </w:rPr>
              <w:t xml:space="preserve">0.105***</w:t>
            </w:r>
          </w:p>
        </w:tc>
      </w:tr>
      <w:tr>
        <w:tc>
          <w:tcPr/>
          <w:p>
            <w:pPr>
              <w:pStyle w:val="Compact"/>
            </w:pPr>
            <w:r>
              <w:rPr>
                <w:rFonts w:hint="eastAsia"/>
                <w:sz w:val="18"/>
              </w:rPr>
              <w:t xml:space="preserve">TB4h・太陽光・不需要期</w:t>
            </w:r>
          </w:p>
        </w:tc>
        <w:tc>
          <w:tcPr/>
          <w:p>
            <w:pPr>
              <w:pStyle w:val="Compact"/>
              <w:jc w:val="right"/>
            </w:pPr>
            <w:r>
              <w:rPr>
                <w:sz w:val="18"/>
              </w:rPr>
              <w:t xml:space="preserve">0.101</w:t>
            </w:r>
          </w:p>
        </w:tc>
        <w:tc>
          <w:tcPr/>
          <w:p>
            <w:pPr>
              <w:pStyle w:val="Compact"/>
              <w:jc w:val="right"/>
            </w:pPr>
            <w:r>
              <w:rPr>
                <w:sz w:val="18"/>
              </w:rPr>
              <w:t xml:space="preserve">&lt;0.001</w:t>
            </w:r>
          </w:p>
        </w:tc>
        <w:tc>
          <w:tcPr/>
          <w:p>
            <w:pPr>
              <w:pStyle w:val="Compact"/>
              <w:jc w:val="right"/>
            </w:pPr>
            <w:r>
              <w:rPr>
                <w:sz w:val="18"/>
              </w:rPr>
              <w:t xml:space="preserve">&lt;0.001</w:t>
            </w:r>
          </w:p>
        </w:tc>
        <w:tc>
          <w:tcPr/>
          <w:p>
            <w:pPr>
              <w:pStyle w:val="Compact"/>
              <w:jc w:val="right"/>
            </w:pPr>
            <w:r>
              <w:rPr>
                <w:sz w:val="18"/>
              </w:rPr>
              <w:t xml:space="preserve">&lt;0.001</w:t>
            </w:r>
          </w:p>
        </w:tc>
        <w:tc>
          <w:tcPr/>
          <w:p>
            <w:pPr>
              <w:pStyle w:val="Compact"/>
              <w:jc w:val="right"/>
            </w:pPr>
            <w:r>
              <w:rPr>
                <w:sz w:val="18"/>
              </w:rPr>
              <w:t xml:space="preserve">0.101***</w:t>
            </w:r>
          </w:p>
        </w:tc>
        <w:tc>
          <w:tcPr/>
          <w:p>
            <w:pPr>
              <w:pStyle w:val="Compact"/>
              <w:jc w:val="right"/>
            </w:pPr>
            <w:r>
              <w:rPr>
                <w:sz w:val="18"/>
              </w:rPr>
              <w:t xml:space="preserve">0.123***</w:t>
            </w:r>
          </w:p>
        </w:tc>
        <w:tc>
          <w:tcPr/>
          <w:p>
            <w:pPr>
              <w:pStyle w:val="Compact"/>
              <w:jc w:val="right"/>
            </w:pPr>
            <w:r>
              <w:rPr>
                <w:sz w:val="18"/>
              </w:rPr>
              <w:t xml:space="preserve">0.083***</w:t>
            </w:r>
          </w:p>
        </w:tc>
        <w:tc>
          <w:tcPr/>
          <w:p>
            <w:pPr>
              <w:pStyle w:val="Compact"/>
              <w:jc w:val="right"/>
            </w:pPr>
            <w:r>
              <w:rPr>
                <w:sz w:val="18"/>
              </w:rPr>
              <w:t xml:space="preserve">0.108***</w:t>
            </w:r>
          </w:p>
        </w:tc>
      </w:tr>
    </w:tbl>
    <w:p>
      <w:pPr>
        <w:pStyle w:val="TableNote"/>
      </w:pPr>
      <w:r>
        <w:rPr>
          <w:rFonts w:hint="eastAsia"/>
        </w:rPr>
        <w:t xml:space="preserve">注）単位は円/kWh</w:t>
      </w:r>
      <w:r>
        <w:t xml:space="preserve"> per </w:t>
      </w:r>
      <w:r>
        <w:rPr>
          <w:rFonts w:hint="eastAsia"/>
        </w:rPr>
        <w:t xml:space="preserve">GWh/日。主仕様は表5.2。p（補正）は、ふるいブートストラップ（1,999回）で求めた</w:t>
      </w:r>
      <w:r>
        <w:t xml:space="preserve"> EWC の p </w:t>
      </w:r>
      <w:r>
        <w:rPr>
          <w:rFonts w:hint="eastAsia"/>
        </w:rPr>
        <w:t xml:space="preserve">値。年月FE</w:t>
      </w:r>
      <w:r>
        <w:t xml:space="preserve"> </w:t>
      </w:r>
      <w:r>
        <w:rPr>
          <w:rFonts w:hint="eastAsia"/>
        </w:rPr>
        <w:t xml:space="preserve">は需要・曜日・祝日と年月固定効果の仕様、燃料危機期を除くは</w:t>
      </w:r>
      <w:r>
        <w:t xml:space="preserve"> FY2021〜22 </w:t>
      </w:r>
      <w:r>
        <w:rPr>
          <w:rFonts w:hint="eastAsia"/>
        </w:rPr>
        <w:t xml:space="preserve">を除いた標本（2,902日）、2021年1月を除くはその31日を除いた標本（3,601日）。星は</w:t>
      </w:r>
      <w:r>
        <w:t xml:space="preserve"> EWC </w:t>
      </w:r>
      <w:r>
        <w:rPr>
          <w:rFonts w:hint="eastAsia"/>
        </w:rPr>
        <w:t xml:space="preserve">による（FY2023〜25</w:t>
      </w:r>
      <w:r>
        <w:t xml:space="preserve"> は</w:t>
      </w:r>
      <w:r>
        <w:t xml:space="preserve"> </w:t>
      </w:r>
      <m:oMath>
        <m:r>
          <m:t>ν</m:t>
        </m:r>
        <m:r>
          <m:rPr>
            <m:sty m:val="p"/>
          </m:rPr>
          <m:t>=</m:t>
        </m:r>
        <m:r>
          <m:t>42</m:t>
        </m:r>
      </m:oMath>
      <w:r>
        <w:rPr>
          <w:rFonts w:hint="eastAsia"/>
        </w:rPr>
        <w:t xml:space="preserve">、他は</w:t>
      </w:r>
      <w:r>
        <w:t xml:space="preserve"> </w:t>
      </w:r>
      <m:oMath>
        <m:r>
          <m:t>ν</m:t>
        </m:r>
        <m:r>
          <m:rPr>
            <m:sty m:val="p"/>
          </m:rPr>
          <m:t>=</m:t>
        </m:r>
        <m:r>
          <m:t>94</m:t>
        </m:r>
      </m:oMath>
      <w:r>
        <w:rPr>
          <w:rFonts w:hint="eastAsia"/>
        </w:rPr>
        <w:t xml:space="preserve">。記号と†は表5.2</w:t>
      </w:r>
      <w:r>
        <w:t xml:space="preserve"> </w:t>
      </w:r>
      <w:r>
        <w:rPr>
          <w:rFonts w:hint="eastAsia"/>
        </w:rPr>
        <w:t xml:space="preserve">と同じ）。他の変種は表C.15</w:t>
      </w:r>
      <w:r>
        <w:t xml:space="preserve"> </w:t>
      </w:r>
      <w:r>
        <w:rPr>
          <w:rFonts w:hint="eastAsia"/>
        </w:rPr>
        <w:t xml:space="preserve">と表C.16</w:t>
      </w:r>
      <w:r>
        <w:t xml:space="preserve"> </w:t>
      </w:r>
      <w:r>
        <w:rPr>
          <w:rFonts w:hint="eastAsia"/>
        </w:rPr>
        <w:t xml:space="preserve">に示す。</w:t>
      </w:r>
    </w:p>
    <w:p>
      <w:pPr>
        <w:pStyle w:val="TableNote"/>
      </w:pPr>
      <w:r>
        <w:rPr>
          <w:rFonts w:hint="eastAsia"/>
        </w:rPr>
        <w:t xml:space="preserve">出所）表5.2</w:t>
      </w:r>
      <w:r>
        <w:t xml:space="preserve"> </w:t>
      </w:r>
      <w:r>
        <w:rPr>
          <w:rFonts w:hint="eastAsia"/>
        </w:rPr>
        <w:t xml:space="preserve">と同じ。</w:t>
      </w:r>
    </w:p>
    <w:p>
      <w:pPr>
        <w:pStyle w:val="CaptionedFigure"/>
      </w:pPr>
      <w:r>
        <w:drawing>
          <wp:inline>
            <wp:extent cx="5399999" cy="5939407"/>
            <wp:effectExtent b="0" l="0" r="0" t="0"/>
            <wp:docPr descr="図5.8　推論法と仕様による TB4h の係数の95%区間（北海道）" title="" id="127" name="Picture"/>
            <a:graphic>
              <a:graphicData uri="http://schemas.openxmlformats.org/drawingml/2006/picture">
                <pic:pic>
                  <pic:nvPicPr>
                    <pic:cNvPr descr="../figures/hokkaido/robust_inference_ci.png" id="128" name="Picture"/>
                    <pic:cNvPicPr>
                      <a:picLocks noChangeArrowheads="1" noChangeAspect="1"/>
                    </pic:cNvPicPr>
                  </pic:nvPicPr>
                  <pic:blipFill>
                    <a:blip r:embed="rId126"/>
                    <a:stretch>
                      <a:fillRect/>
                    </a:stretch>
                  </pic:blipFill>
                  <pic:spPr bwMode="auto">
                    <a:xfrm>
                      <a:off x="0" y="0"/>
                      <a:ext cx="5399999" cy="5939407"/>
                    </a:xfrm>
                    <a:prstGeom prst="rect">
                      <a:avLst/>
                    </a:prstGeom>
                    <a:noFill/>
                    <a:ln w="9525">
                      <a:noFill/>
                      <a:headEnd/>
                      <a:tailEnd/>
                    </a:ln>
                  </pic:spPr>
                </pic:pic>
              </a:graphicData>
            </a:graphic>
          </wp:inline>
        </w:drawing>
      </w:r>
    </w:p>
    <w:p>
      <w:pPr>
        <w:pStyle w:val="ImageCaption"/>
      </w:pPr>
      <w:r>
        <w:rPr>
          <w:rFonts w:hint="eastAsia"/>
        </w:rPr>
        <w:t xml:space="preserve">図5.8</w:t>
      </w:r>
      <w:r>
        <w:t xml:space="preserve">　</w:t>
      </w:r>
      <w:r>
        <w:rPr>
          <w:rFonts w:hint="eastAsia"/>
        </w:rPr>
        <w:t xml:space="preserve">推論法と仕様による</w:t>
      </w:r>
      <w:r>
        <w:t xml:space="preserve"> TB4h </w:t>
      </w:r>
      <w:r>
        <w:rPr>
          <w:rFonts w:hint="eastAsia"/>
        </w:rPr>
        <w:t xml:space="preserve">の係数の95%区間（北海道）</w:t>
      </w:r>
    </w:p>
    <w:p>
      <w:pPr>
        <w:pStyle w:val="TableNote"/>
      </w:pPr>
      <w:r>
        <w:rPr>
          <w:rFonts w:hint="eastAsia"/>
        </w:rPr>
        <w:t xml:space="preserve">注）FY2016〜25</w:t>
      </w:r>
      <w:r>
        <w:t xml:space="preserve"> </w:t>
      </w:r>
      <w:r>
        <w:rPr>
          <w:rFonts w:hint="eastAsia"/>
        </w:rPr>
        <w:t xml:space="preserve">の北海道の日次（3,632日）。(a)</w:t>
      </w:r>
      <w:r>
        <w:t xml:space="preserve"> </w:t>
      </w:r>
      <w:r>
        <w:rPr>
          <w:rFonts w:hint="eastAsia"/>
        </w:rPr>
        <w:t xml:space="preserve">は主仕様（表5.2）の</w:t>
      </w:r>
      <w:r>
        <w:t xml:space="preserve"> TB4h </w:t>
      </w:r>
      <w:r>
        <w:rPr>
          <w:rFonts w:hint="eastAsia"/>
        </w:rPr>
        <w:t xml:space="preserve">の係数の95%区間を、HC3、Newey–West（Andrews</w:t>
      </w:r>
      <w:r>
        <w:t xml:space="preserve"> </w:t>
      </w:r>
      <w:r>
        <w:rPr>
          <w:rFonts w:hint="eastAsia"/>
        </w:rPr>
        <w:t xml:space="preserve">の自動帯域）、EWC（</w:t>
      </w:r>
      <m:oMath>
        <m:r>
          <m:t>ν</m:t>
        </m:r>
        <m:r>
          <m:rPr>
            <m:sty m:val="p"/>
          </m:rPr>
          <m:t>=</m:t>
        </m:r>
        <m:r>
          <m:t>94</m:t>
        </m:r>
      </m:oMath>
      <w:r>
        <w:rPr>
          <w:rFonts w:hint="eastAsia"/>
        </w:rPr>
        <w:t xml:space="preserve">）で比べたもの。(b)</w:t>
      </w:r>
      <w:r>
        <w:t xml:space="preserve"> </w:t>
      </w:r>
      <w:r>
        <w:rPr>
          <w:rFonts w:hint="eastAsia"/>
        </w:rPr>
        <w:t xml:space="preserve">は冬の太陽光・風力の係数を、上位4時間の平均価格、下位4時間の平均価格、TB4h</w:t>
      </w:r>
      <w:r>
        <w:t xml:space="preserve"> </w:t>
      </w:r>
      <w:r>
        <w:rPr>
          <w:rFonts w:hint="eastAsia"/>
        </w:rPr>
        <w:t xml:space="preserve">について、仕様・標本別に</w:t>
      </w:r>
      <w:r>
        <w:t xml:space="preserve"> EWC </w:t>
      </w:r>
      <w:r>
        <w:rPr>
          <w:rFonts w:hint="eastAsia"/>
        </w:rPr>
        <w:t xml:space="preserve">の95%区間で示したもの。(b)</w:t>
      </w:r>
      <w:r>
        <w:t xml:space="preserve"> </w:t>
      </w:r>
      <w:r>
        <w:rPr>
          <w:rFonts w:hint="eastAsia"/>
        </w:rPr>
        <w:t xml:space="preserve">の「主仕様」は表5.2</w:t>
      </w:r>
      <w:r>
        <w:t xml:space="preserve"> </w:t>
      </w:r>
      <w:r>
        <w:rPr>
          <w:rFonts w:hint="eastAsia"/>
        </w:rPr>
        <w:t xml:space="preserve">の主仕様、「年月固定効果」は年月固定効果の仕様、「冬の日のみの回帰」は冬の日だけで推定した仕様である。</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これらの推論と識別の修正は、第7章以降の限界参入者の収益や自由参入の条件には直接は影響しない。第7章の価格過程は回帰係数ではなく、純需要から価格への写像と時刻別の項を使うためである。ただし価格過程が本章の風力への条件付き応答を再現するかは別の問題であり、第7章で同じ回帰をモデル価格に当てて検証する（7.2.2項）。</w:t>
      </w:r>
    </w:p>
    <w:bookmarkEnd w:id="129"/>
    <w:bookmarkStart w:id="130" w:name="小括"/>
    <w:p>
      <w:pPr>
        <w:pStyle w:val="Heading2"/>
      </w:pPr>
      <w:r>
        <w:t xml:space="preserve">5.10　</w:t>
      </w:r>
      <w:r>
        <w:rPr>
          <w:rFonts w:hint="eastAsia"/>
        </w:rPr>
        <w:t xml:space="preserve">小括</w:t>
      </w:r>
    </w:p>
    <w:p>
      <w:pPr>
        <w:pStyle w:val="FirstParagraph"/>
      </w:pPr>
      <w:r>
        <w:rPr>
          <w:rFonts w:hint="eastAsia"/>
        </w:rPr>
        <w:t xml:space="preserve">本章の主要な結果は次の5点である。</w:t>
      </w:r>
    </w:p>
    <w:p>
      <w:pPr>
        <w:pStyle w:val="Compact"/>
        <w:numPr>
          <w:ilvl w:val="0"/>
          <w:numId w:val="1002"/>
        </w:numPr>
      </w:pPr>
      <w:r>
        <w:rPr>
          <w:rFonts w:hint="eastAsia"/>
        </w:rPr>
        <w:t xml:space="preserve">先行研究の日間の変動性の指標を再現したうえで、同じ標本で日内の指標に替えると、太陽光の効果の符号が変わる。再エネが価格の変動性を高めるかは、時間スケールを指定しなければ判定できない。</w:t>
      </w:r>
    </w:p>
    <w:p>
      <w:pPr>
        <w:pStyle w:val="Compact"/>
        <w:numPr>
          <w:ilvl w:val="0"/>
          <w:numId w:val="1002"/>
        </w:numPr>
      </w:pPr>
      <w:r>
        <w:rPr>
          <w:rFonts w:hint="eastAsia"/>
        </w:rPr>
        <w:t xml:space="preserve">太陽光は水準を下げ、不需要期を中心に日内のスプレッドを広げる。これはダックカーブの形成であり、通説は条件付きで成立する。この拡大は同じ月の中の識別でむしろ強まり、主仕様に現れる冬の負の係数は月の違いと2021年1月の価格高騰によるもので頑健でない。</w:t>
      </w:r>
    </w:p>
    <w:p>
      <w:pPr>
        <w:pStyle w:val="Compact"/>
        <w:numPr>
          <w:ilvl w:val="0"/>
          <w:numId w:val="1002"/>
        </w:numPr>
      </w:pPr>
      <w:r>
        <w:rPr>
          <w:rFonts w:hint="eastAsia"/>
        </w:rPr>
        <w:t xml:space="preserve">風力は水準を下げるが、日内形状を広げる頑健な証拠はない。風力の変動の約7割は1日を超える帯域にあり、価格カーブでは主に水準の因子に負荷して一日をほぼ一様に押し下げる。効果があっても、上限は3季節の区分で季節平均の</w:t>
      </w:r>
      <w:r>
        <w:t xml:space="preserve"> TB4h </w:t>
      </w:r>
      <w:r>
        <w:rPr>
          <w:rFonts w:hint="eastAsia"/>
        </w:rPr>
        <w:t xml:space="preserve">の約3〜5%（FY2023〜25</w:t>
      </w:r>
      <w:r>
        <w:t xml:space="preserve"> </w:t>
      </w:r>
      <w:r>
        <w:rPr>
          <w:rFonts w:hint="eastAsia"/>
        </w:rPr>
        <w:t xml:space="preserve">の夏で約11%）、暦月の春に分けると約7%である。冬にスプレッドを縮める点推定も弱い結果である。</w:t>
      </w:r>
    </w:p>
    <w:p>
      <w:pPr>
        <w:pStyle w:val="Compact"/>
        <w:numPr>
          <w:ilvl w:val="0"/>
          <w:numId w:val="1002"/>
        </w:numPr>
      </w:pPr>
      <w:r>
        <w:rPr>
          <w:rFonts w:hint="eastAsia"/>
        </w:rPr>
        <w:t xml:space="preserve">高分位の</w:t>
      </w:r>
      <w:r>
        <w:t xml:space="preserve"> MOE </w:t>
      </w:r>
      <w:r>
        <w:rPr>
          <w:rFonts w:hint="eastAsia"/>
        </w:rPr>
        <w:t xml:space="preserve">が、風力の倍増と北本連系線の増強の後に弱まった証拠はない。市場分断の構成は変わり、システムプライスに対する高値・安値の多くは、北海道と東北が同価格のまま東日本側で生じている。</w:t>
      </w:r>
    </w:p>
    <w:p>
      <w:pPr>
        <w:pStyle w:val="Compact"/>
        <w:numPr>
          <w:ilvl w:val="0"/>
          <w:numId w:val="1002"/>
        </w:numPr>
      </w:pPr>
      <w:r>
        <w:rPr>
          <w:rFonts w:hint="eastAsia"/>
        </w:rPr>
        <w:t xml:space="preserve">集中立地の反実仮想では、中央の校正の範囲で効果は小さく、日内形状への効果を決めるのは分散の大きさより系統的な日内の位相である。ただし集中度が校正の上限に近づけば、風力は日内形状を広げる側に働きうる。北海道の結果は、現在の市場・系統構造と導入水準の下での記述であり、普遍法則ではない。</w:t>
      </w:r>
    </w:p>
    <w:p>
      <w:pPr>
        <w:pStyle w:val="FirstParagraph"/>
      </w:pPr>
      <w:r>
        <w:rPr>
          <w:rFonts w:hint="eastAsia"/>
        </w:rPr>
        <w:t xml:space="preserve">仮説1は支持される。風力は水準を下げるが日内スプレッドを系統的に広げる頑健な証拠はなく（暦月の春の正の係数は境界的な証拠にとどまる）、日内の形状を変えるのは主に太陽光であり、同じ標本でも日間と日内の指標で太陽光の効果の符号が変わる。</w:t>
      </w:r>
    </w:p>
    <w:p>
      <w:pPr>
        <w:pStyle w:val="BodyText"/>
      </w:pPr>
      <w:r>
        <w:t xml:space="preserve">RQ1 </w:t>
      </w:r>
      <w:r>
        <w:rPr>
          <w:rFonts w:hint="eastAsia"/>
        </w:rPr>
        <w:t xml:space="preserve">への答えは次のとおりである。風力の増加は卸電力価格の水準を一日にわたってほぼ一様に押し下げるが、その出力の変動は主に1日を超える帯域にあって日内形状を広げる頑健な証拠はなく、昼を押し下げて日内スプレッドを広げる太陽光とは効き方が異なる。蓄電池の裁定原資は日内形状で決まるので、第6章は</w:t>
      </w:r>
      <w:r>
        <w:t xml:space="preserve"> TB4h </w:t>
      </w:r>
      <w:r>
        <w:rPr>
          <w:rFonts w:hint="eastAsia"/>
        </w:rPr>
        <w:t xml:space="preserve">と完全予見粗利を主な指標として蓄電池のスポット裁定価値を測り、本章の価格カーブの因子を完全予見粗利の因子エクスポージャーの分析に用いる。</w:t>
      </w:r>
    </w:p>
    <w:bookmarkEnd w:id="130"/>
    <w:bookmarkEnd w:id="131"/>
    <w:bookmarkStart w:id="166" w:name="第6章-蓄電池のスポット裁定価値"/>
    <w:p>
      <w:pPr>
        <w:pStyle w:val="Heading1"/>
        <w:pageBreakBefore/>
      </w:pPr>
      <w:r>
        <w:rPr>
          <w:rFonts w:hint="eastAsia"/>
        </w:rPr>
        <w:t xml:space="preserve">第6章</w:t>
      </w:r>
      <w:r>
        <w:t xml:space="preserve">　</w:t>
      </w:r>
      <w:r>
        <w:rPr>
          <w:rFonts w:hint="eastAsia"/>
        </w:rPr>
        <w:t xml:space="preserve">蓄電池のスポット裁定価値</w:t>
      </w:r>
    </w:p>
    <w:p>
      <w:pPr>
        <w:pStyle w:val="FirstParagraph"/>
      </w:pPr>
      <w:r>
        <w:rPr>
          <w:rFonts w:hint="eastAsia"/>
        </w:rPr>
        <w:t xml:space="preserve">本章は</w:t>
      </w:r>
      <w:r>
        <w:t xml:space="preserve"> RQ2 </w:t>
      </w:r>
      <w:r>
        <w:rPr>
          <w:rFonts w:hint="eastAsia"/>
        </w:rPr>
        <w:t xml:space="preserve">の前半、すなわち風力主導の北海道で、系統用蓄電池が前日スポット市場の裁定からどれだけの価値を得られるかを測る。第5章は、風力が一日の価格をほぼ一様に押し下げる一方、日内のスプレッドを広げるという頑健な証拠はないことを、価格の側から示した。本章はこれを蓄電池の価値の側から確かめる。方法の要点は、1日の裁定を充電時間の電力と放電時間の電力を交換するスプレッド・オプションとみなし、その事後のペイオフである完全予見粗利を上界、先読みのない戦略の実現粗利を実際に取れる額として測り、両者の差をオプションの層と予測評価の検定で読み解くことにある。6.1節で方法を述べ、6.2〜6.5節で完全予見粗利の水準、実行可能戦略の実現率、風力との関係、duration（充放電時間）の影響を示す。6.6節と6.7節で取り逃しの内訳と戦略の優位の頑健性を調べ、6.8節で第7章の均衡分析に渡す収益の基準を位置づけ、6.9節で小括する。</w:t>
      </w:r>
    </w:p>
    <w:bookmarkStart w:id="136" w:name="分析の方法-1"/>
    <w:p>
      <w:pPr>
        <w:pStyle w:val="Heading2"/>
      </w:pPr>
      <w:r>
        <w:t xml:space="preserve">6.1　</w:t>
      </w:r>
      <w:r>
        <w:rPr>
          <w:rFonts w:hint="eastAsia"/>
        </w:rPr>
        <w:t xml:space="preserve">分析の方法</w:t>
      </w:r>
    </w:p>
    <w:bookmarkStart w:id="132" w:name="完全予見粗利と脚の分解"/>
    <w:p>
      <w:pPr>
        <w:pStyle w:val="Heading3"/>
      </w:pPr>
      <w:r>
        <w:t xml:space="preserve">6.1.1　</w:t>
      </w:r>
      <w:r>
        <w:rPr>
          <w:rFonts w:hint="eastAsia"/>
        </w:rPr>
        <w:t xml:space="preserve">完全予見粗利と脚の分解</w:t>
      </w:r>
    </w:p>
    <w:p>
      <w:pPr>
        <w:pStyle w:val="FirstParagraph"/>
      </w:pPr>
      <w:r>
        <w:rPr>
          <w:rFonts w:hint="eastAsia"/>
        </w:rPr>
        <w:t xml:space="preserve">本章の対象は、第4章で定義した4時間蓄電池（出力1MW・容量4MWh、往復効率</w:t>
      </w:r>
      <w:r>
        <w:t xml:space="preserve"> </w:t>
      </w:r>
      <m:oMath>
        <m:r>
          <m:t>η</m:t>
        </m:r>
        <m:r>
          <m:rPr>
            <m:sty m:val="p"/>
          </m:rPr>
          <m:t>=</m:t>
        </m:r>
        <m:r>
          <m:t>0.85</m:t>
        </m:r>
      </m:oMath>
      <w:r>
        <w:rPr>
          <w:rFonts w:hint="eastAsia"/>
        </w:rPr>
        <w:t xml:space="preserve">、1日1サイクル、価格テイカー）であり、北海道エリアプライスの60分値</w:t>
      </w:r>
      <w:r>
        <w:t xml:space="preserve"> </w:t>
      </w:r>
      <m:oMath>
        <m:sSub>
          <m:e>
            <m:r>
              <m:t>p</m:t>
            </m:r>
          </m:e>
          <m:sub>
            <m:r>
              <m:t>t</m:t>
            </m:r>
            <m:r>
              <m:rPr>
                <m:sty m:val="p"/>
              </m:rPr>
              <m:t>,</m:t>
            </m:r>
            <m:r>
              <m:t>h</m:t>
            </m:r>
          </m:sub>
        </m:sSub>
      </m:oMath>
      <w:r>
        <w:rPr>
          <w:rFonts w:hint="eastAsia"/>
        </w:rPr>
        <w:t xml:space="preserve">（円/kWh）の上で、日次の粗利</w:t>
      </w:r>
      <w:r>
        <w:t xml:space="preserve"> </w:t>
      </w:r>
      <m:oMath>
        <m:sSub>
          <m:e>
            <m:r>
              <m:t>X</m:t>
            </m:r>
          </m:e>
          <m:sub>
            <m:r>
              <m:t>t</m:t>
            </m:r>
          </m:sub>
        </m:sSub>
        <m:r>
          <m:rPr>
            <m:sty m:val="p"/>
          </m:rPr>
          <m:t>(</m:t>
        </m:r>
        <m:r>
          <m:t>D</m:t>
        </m:r>
        <m:r>
          <m:rPr>
            <m:sty m:val="p"/>
          </m:rPr>
          <m:t>,</m:t>
        </m:r>
        <m:r>
          <m:t>C</m:t>
        </m:r>
        <m:r>
          <m:rPr>
            <m:sty m:val="p"/>
          </m:rPr>
          <m:t>)</m:t>
        </m:r>
      </m:oMath>
      <w:r>
        <w:rPr>
          <w:rFonts w:hint="eastAsia"/>
        </w:rPr>
        <w:t xml:space="preserve">（式(4.1)）と完全予見粗利</w:t>
      </w:r>
      <w:r>
        <w:t xml:space="preserve"> </w:t>
      </w:r>
      <m:oMath>
        <m:sSub>
          <m:e>
            <m:r>
              <m:t>π</m:t>
            </m:r>
          </m:e>
          <m:sub>
            <m:r>
              <m:rPr>
                <m:sty m:val="p"/>
              </m:rPr>
              <m:t>P</m:t>
            </m:r>
            <m:r>
              <m:rPr>
                <m:sty m:val="p"/>
              </m:rPr>
              <m:t>F</m:t>
            </m:r>
          </m:sub>
        </m:sSub>
      </m:oMath>
      <w:r>
        <w:rPr>
          <w:rFonts w:hint="eastAsia"/>
        </w:rPr>
        <w:t xml:space="preserve">（式(4.2)）を測る。完全予見粗利は、日次のスプレッド（交換）オプション（Margrabe,</w:t>
      </w:r>
      <w:r>
        <w:t xml:space="preserve"> </w:t>
      </w:r>
      <w:r>
        <w:rPr>
          <w:rFonts w:hint="eastAsia"/>
        </w:rPr>
        <w:t xml:space="preserve">1978）約365本の束の事後のペイオフであり、前日スポット市場に限る本研究の設定の中で、先読みのないどの運用方策の粗利も上回る上界である（D.</w:t>
      </w:r>
      <w:r>
        <w:t xml:space="preserve"> B. Brown et al., </w:t>
      </w:r>
      <w:r>
        <w:rPr>
          <w:rFonts w:hint="eastAsia"/>
        </w:rPr>
        <w:t xml:space="preserve">2010）。時間前市場での組み替えや需給調整市場の収入は含まない。</w:t>
      </w:r>
    </w:p>
    <w:p>
      <w:pPr>
        <w:pStyle w:val="BodyText"/>
      </w:pPr>
      <w:r>
        <w:rPr>
          <w:rFonts w:hint="eastAsia"/>
        </w:rPr>
        <w:t xml:space="preserve">北海道と九州の差がどこから来るかを見るため、上位4時間の平均価格</w:t>
      </w:r>
      <w:r>
        <w:t xml:space="preserve"> </w:t>
      </w:r>
      <m:oMath>
        <m:r>
          <m:t>T</m:t>
        </m:r>
      </m:oMath>
      <w:r>
        <w:rPr>
          <w:rFonts w:hint="eastAsia"/>
        </w:rPr>
        <w:t xml:space="preserve">、下位4時間の平均価格</w:t>
      </w:r>
      <w:r>
        <w:t xml:space="preserve"> </w:t>
      </w:r>
      <m:oMath>
        <m:r>
          <m:t>B</m:t>
        </m:r>
      </m:oMath>
      <w:r>
        <w:rPr>
          <w:rFonts w:hint="eastAsia"/>
        </w:rPr>
        <w:t xml:space="preserve">、日平均価格</w:t>
      </w:r>
      <w:r>
        <w:t xml:space="preserve"> </w:t>
      </w:r>
      <m:oMath>
        <m:r>
          <m:t>m</m:t>
        </m:r>
      </m:oMath>
      <w:r>
        <w:t xml:space="preserve"> </w:t>
      </w:r>
      <w:r>
        <w:rPr>
          <w:rFonts w:hint="eastAsia"/>
        </w:rPr>
        <w:t xml:space="preserve">を用いて、1日の完全予見粗利（休止を考えない値）を次の恒等式で分ける。</w:t>
      </w:r>
    </w:p>
    <w:p>
      <w:pPr>
        <w:pStyle w:val="BodyText"/>
        <w:tabs>
          <w:tab w:val="center" w:pos="4393"/>
          <w:tab w:val="right" w:pos="8787"/>
        </w:tabs>
        <w:spacing w:before="120" w:after="120" w:line="240" w:lineRule="auto"/>
        <w:ind w:firstLine="0"/>
      </w:pPr>
      <w:r>
        <w:tab/>
      </w:r>
      <m:oMath>
        <m:r>
          <m:t>4</m:t>
        </m:r>
        <m:r>
          <m:rPr>
            <m:sty m:val="p"/>
          </m:rPr>
          <m:t>(</m:t>
        </m:r>
        <m:r>
          <m:t>η</m:t>
        </m:r>
        <m:r>
          <m:t>T</m:t>
        </m:r>
        <m:r>
          <m:rPr>
            <m:sty m:val="p"/>
          </m:rPr>
          <m:t>−</m:t>
        </m:r>
        <m:r>
          <m:t>B</m:t>
        </m:r>
        <m:r>
          <m:rPr>
            <m:sty m:val="p"/>
          </m:rPr>
          <m:t>)</m:t>
        </m:r>
        <m:r>
          <m:rPr>
            <m:sty m:val="p"/>
          </m:rPr>
          <m:t>=</m:t>
        </m:r>
        <m:r>
          <m:t>4</m:t>
        </m:r>
        <m:r>
          <m:t>η</m:t>
        </m:r>
        <m:r>
          <m:t> </m:t>
        </m:r>
        <m:r>
          <m:rPr>
            <m:sty m:val="p"/>
          </m:rPr>
          <m:t>(</m:t>
        </m:r>
        <m:r>
          <m:t>T</m:t>
        </m:r>
        <m:r>
          <m:rPr>
            <m:sty m:val="p"/>
          </m:rPr>
          <m:t>−</m:t>
        </m:r>
        <m:r>
          <m:t>m</m:t>
        </m:r>
        <m:r>
          <m:rPr>
            <m:sty m:val="p"/>
          </m:rPr>
          <m:t>)</m:t>
        </m:r>
        <m:r>
          <m:rPr>
            <m:sty m:val="p"/>
          </m:rPr>
          <m:t>+</m:t>
        </m:r>
        <m:r>
          <m:t>4</m:t>
        </m:r>
        <m:r>
          <m:t> </m:t>
        </m:r>
        <m:r>
          <m:rPr>
            <m:sty m:val="p"/>
          </m:rPr>
          <m:t>(</m:t>
        </m:r>
        <m:r>
          <m:t>m</m:t>
        </m:r>
        <m:r>
          <m:rPr>
            <m:sty m:val="p"/>
          </m:rPr>
          <m:t>−</m:t>
        </m:r>
        <m:r>
          <m:t>B</m:t>
        </m:r>
        <m:r>
          <m:rPr>
            <m:sty m:val="p"/>
          </m:rPr>
          <m:t>)</m:t>
        </m:r>
        <m:r>
          <m:rPr>
            <m:sty m:val="p"/>
          </m:rPr>
          <m:t>−</m:t>
        </m:r>
        <m:r>
          <m:t>4</m:t>
        </m:r>
        <m:r>
          <m:rPr>
            <m:sty m:val="p"/>
          </m:rPr>
          <m:t>(</m:t>
        </m:r>
        <m:r>
          <m:t>1</m:t>
        </m:r>
        <m:r>
          <m:rPr>
            <m:sty m:val="p"/>
          </m:rPr>
          <m:t>−</m:t>
        </m:r>
        <m:r>
          <m:t>η</m:t>
        </m:r>
        <m:r>
          <m:rPr>
            <m:sty m:val="p"/>
          </m:rPr>
          <m:t>)</m:t>
        </m:r>
        <m:r>
          <m:t> </m:t>
        </m:r>
        <m:r>
          <m:t>m</m:t>
        </m:r>
      </m:oMath>
      <w:r>
        <w:tab/>
      </w:r>
      <w:r>
        <w:t>(6.1)</w:t>
      </w:r>
    </w:p>
    <w:p>
      <w:pPr>
        <w:pStyle w:val="BodyText"/>
      </w:pPr>
      <w:r>
        <w:rPr>
          <w:rFonts w:hint="eastAsia"/>
        </w:rPr>
        <w:t xml:space="preserve">右辺の第1項を放電脚（上位4時間のプレミアム）、第2項を充電脚（下位4時間のディスカウント）、第3項を往復損失の水準項と呼ぶ。</w:t>
      </w:r>
      <m:oMath>
        <m:r>
          <m:t>η</m:t>
        </m:r>
        <m:r>
          <m:rPr>
            <m:sty m:val="p"/>
          </m:rPr>
          <m:t>=</m:t>
        </m:r>
        <m:r>
          <m:t>0.85</m:t>
        </m:r>
      </m:oMath>
      <w:r>
        <w:t xml:space="preserve"> </w:t>
      </w:r>
      <w:r>
        <w:t xml:space="preserve">では</w:t>
      </w:r>
      <w:r>
        <w:t xml:space="preserve"> </w:t>
      </w:r>
      <m:oMath>
        <m:r>
          <m:t>3.4</m:t>
        </m:r>
        <m:r>
          <m:rPr>
            <m:sty m:val="p"/>
          </m:rPr>
          <m:t>(</m:t>
        </m:r>
        <m:r>
          <m:t>T</m:t>
        </m:r>
        <m:r>
          <m:rPr>
            <m:sty m:val="p"/>
          </m:rPr>
          <m:t>−</m:t>
        </m:r>
        <m:r>
          <m:t>m</m:t>
        </m:r>
        <m:r>
          <m:rPr>
            <m:sty m:val="p"/>
          </m:rPr>
          <m:t>)</m:t>
        </m:r>
        <m:r>
          <m:rPr>
            <m:sty m:val="p"/>
          </m:rPr>
          <m:t>+</m:t>
        </m:r>
        <m:r>
          <m:t>4</m:t>
        </m:r>
        <m:r>
          <m:rPr>
            <m:sty m:val="p"/>
          </m:rPr>
          <m:t>(</m:t>
        </m:r>
        <m:r>
          <m:t>m</m:t>
        </m:r>
        <m:r>
          <m:rPr>
            <m:sty m:val="p"/>
          </m:rPr>
          <m:t>−</m:t>
        </m:r>
        <m:r>
          <m:t>B</m:t>
        </m:r>
        <m:r>
          <m:rPr>
            <m:sty m:val="p"/>
          </m:rPr>
          <m:t>)</m:t>
        </m:r>
        <m:r>
          <m:rPr>
            <m:sty m:val="p"/>
          </m:rPr>
          <m:t>−</m:t>
        </m:r>
        <m:r>
          <m:t>0.6</m:t>
        </m:r>
        <m:r>
          <m:t>m</m:t>
        </m:r>
      </m:oMath>
      <w:r>
        <w:t xml:space="preserve"> </w:t>
      </w:r>
      <w:r>
        <w:rPr>
          <w:rFonts w:hint="eastAsia"/>
        </w:rPr>
        <w:t xml:space="preserve">となる。両エリアの比較には、放電脚の比率</w:t>
      </w:r>
      <w:r>
        <w:t xml:space="preserve"> </w:t>
      </w:r>
      <m:oMath>
        <m:r>
          <m:rPr>
            <m:sty m:val="p"/>
          </m:rPr>
          <m:t>(</m:t>
        </m:r>
        <m:r>
          <m:t>T</m:t>
        </m:r>
        <m:r>
          <m:rPr>
            <m:sty m:val="p"/>
          </m:rPr>
          <m:t>−</m:t>
        </m:r>
        <m:r>
          <m:t>m</m:t>
        </m:r>
        <m:r>
          <m:rPr>
            <m:sty m:val="p"/>
          </m:rPr>
          <m:t>)</m:t>
        </m:r>
        <m:r>
          <m:rPr>
            <m:sty m:val="p"/>
          </m:rPr>
          <m:t>/</m:t>
        </m:r>
        <m:r>
          <m:rPr>
            <m:sty m:val="p"/>
          </m:rPr>
          <m:t>(</m:t>
        </m:r>
        <m:r>
          <m:t>T</m:t>
        </m:r>
        <m:r>
          <m:rPr>
            <m:sty m:val="p"/>
          </m:rPr>
          <m:t>−</m:t>
        </m:r>
        <m:r>
          <m:t>B</m:t>
        </m:r>
        <m:r>
          <m:rPr>
            <m:sty m:val="p"/>
          </m:rPr>
          <m:t>)</m:t>
        </m:r>
      </m:oMath>
      <w:r>
        <w:t xml:space="preserve"> </w:t>
      </w:r>
      <w:r>
        <w:rPr>
          <w:rFonts w:hint="eastAsia"/>
        </w:rPr>
        <w:t xml:space="preserve">も用いる。</w:t>
      </w:r>
    </w:p>
    <w:bookmarkEnd w:id="132"/>
    <w:bookmarkStart w:id="134" w:name="実行可能戦略"/>
    <w:p>
      <w:pPr>
        <w:pStyle w:val="Heading3"/>
      </w:pPr>
      <w:r>
        <w:t xml:space="preserve">6.1.2　</w:t>
      </w:r>
      <w:r>
        <w:rPr>
          <w:rFonts w:hint="eastAsia"/>
        </w:rPr>
        <w:t xml:space="preserve">実行可能戦略</w:t>
      </w:r>
    </w:p>
    <w:p>
      <w:pPr>
        <w:pStyle w:val="FirstParagraph"/>
      </w:pPr>
      <w:r>
        <w:rPr>
          <w:rFonts w:hint="eastAsia"/>
        </w:rPr>
        <w:t xml:space="preserve">実行可能戦略は、第4章の基本戦略</w:t>
      </w:r>
      <w:r>
        <w:t xml:space="preserve"> </w:t>
      </w:r>
      <w:r>
        <w:rPr>
          <w:rFonts w:hint="eastAsia"/>
        </w:rPr>
        <w:t xml:space="preserve">a（前日の実現価格のランク）、b（D−2</w:t>
      </w:r>
      <w:r>
        <w:t xml:space="preserve"> </w:t>
      </w:r>
      <w:r>
        <w:rPr>
          <w:rFonts w:hint="eastAsia"/>
        </w:rPr>
        <w:t xml:space="preserve">までの実績から予測した残余需要のランク）、c（過去28日・同じ曜日区分の平均価格のランク、気候値）に、変種2つを加えた5本である。残余需要は需要の予測から太陽光の予測を引いた値であり、いずれの戦略も充放電の窓を前日に決める。変種として、同じ曜日区分の直近日の実現価格のランクを使う</w:t>
      </w:r>
      <w:r>
        <w:t xml:space="preserve"> a2 と、b </w:t>
      </w:r>
      <w:r>
        <w:rPr>
          <w:rFonts w:hint="eastAsia"/>
        </w:rPr>
        <w:t xml:space="preserve">の残余需要からさらに風力の直近7日平均を控除した信号を使う</w:t>
      </w:r>
      <w:r>
        <w:t xml:space="preserve"> b′ </w:t>
      </w:r>
      <w:r>
        <w:rPr>
          <w:rFonts w:hint="eastAsia"/>
        </w:rPr>
        <w:t xml:space="preserve">を評価する</w:t>
      </w:r>
      <w:r>
        <w:rPr>
          <w:rStyle w:val="FootnoteReference"/>
        </w:rPr>
        <w:footnoteReference w:id="133"/>
      </w:r>
      <w:r>
        <w:rPr>
          <w:rFonts w:hint="eastAsia"/>
        </w:rPr>
        <w:t xml:space="preserve">。窓はいずれも上位・下位4時間の順位で選び（ランク法）、充電してから放電する順序は課さない。順序の影響は、順序を課した厳密解（動的計画）と比べて確かめる。</w:t>
      </w:r>
    </w:p>
    <w:p>
      <w:pPr>
        <w:pStyle w:val="BodyText"/>
      </w:pPr>
      <w:r>
        <w:rPr>
          <w:rFonts w:hint="eastAsia"/>
        </w:rPr>
        <w:t xml:space="preserve">近似動的計画（Jiang</w:t>
      </w:r>
      <w:r>
        <w:t xml:space="preserve"> &amp; Powell, </w:t>
      </w:r>
      <w:r>
        <w:rPr>
          <w:rFonts w:hint="eastAsia"/>
        </w:rPr>
        <w:t xml:space="preserve">2015）のような高度な戦略もありうるが、本章の目的は実現率（4.2.2項）の水準を校正することにあるので、透明で再現できる単純な戦略を用いる。</w:t>
      </w:r>
    </w:p>
    <w:bookmarkEnd w:id="134"/>
    <w:bookmarkStart w:id="135" w:name="層分解と戦略の検定"/>
    <w:p>
      <w:pPr>
        <w:pStyle w:val="Heading3"/>
      </w:pPr>
      <w:r>
        <w:t xml:space="preserve">6.1.3　</w:t>
      </w:r>
      <w:r>
        <w:rPr>
          <w:rFonts w:hint="eastAsia"/>
        </w:rPr>
        <w:t xml:space="preserve">層分解と戦略の検定</w:t>
      </w:r>
    </w:p>
    <w:p>
      <w:pPr>
        <w:pStyle w:val="FirstParagraph"/>
      </w:pPr>
      <w:r>
        <w:rPr>
          <w:rFonts w:hint="eastAsia"/>
        </w:rPr>
        <w:t xml:space="preserve">実現率が何を取り逃しているかを見るため、戦略</w:t>
      </w:r>
      <w:r>
        <w:t xml:space="preserve"> c </w:t>
      </w:r>
      <w:r>
        <w:rPr>
          <w:rFonts w:hint="eastAsia"/>
        </w:rPr>
        <w:t xml:space="preserve">の固定窓を</w:t>
      </w:r>
      <w:r>
        <w:t xml:space="preserve"> </w:t>
      </w:r>
      <m:oMath>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として、完全予見粗利を次の3層に分ける。</w:t>
      </w:r>
    </w:p>
    <w:p>
      <w:pPr>
        <w:pStyle w:val="BodyText"/>
        <w:tabs>
          <w:tab w:val="center" w:pos="4393"/>
          <w:tab w:val="right" w:pos="8787"/>
        </w:tabs>
        <w:spacing w:before="120" w:after="120" w:line="240" w:lineRule="auto"/>
        <w:ind w:firstLine="0"/>
      </w:pPr>
      <w:r>
        <w:tab/>
      </w:r>
      <m:oMath>
        <m:sSub>
          <m:e>
            <m:r>
              <m:t>π</m:t>
            </m:r>
          </m:e>
          <m:sub>
            <m:r>
              <m:rPr>
                <m:sty m:val="p"/>
              </m:rPr>
              <m:t>P</m:t>
            </m:r>
            <m:r>
              <m:rPr>
                <m:sty m:val="p"/>
              </m:rPr>
              <m:t>F</m:t>
            </m:r>
          </m:sub>
        </m:sSub>
        <m:r>
          <m:rPr>
            <m:sty m:val="p"/>
          </m:rPr>
          <m:t>=</m:t>
        </m:r>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r>
          <m:rPr>
            <m:sty m:val="p"/>
          </m:rPr>
          <m:t>+</m:t>
        </m:r>
        <m:nary>
          <m:naryPr>
            <m:chr m:val="∑"/>
            <m:limLoc m:val="undOvr"/>
            <m:subHide m:val="off"/>
            <m:supHide m:val="on"/>
          </m:naryPr>
          <m:sub>
            <m:r>
              <m:t>t</m:t>
            </m:r>
          </m:sub>
          <m:sup>
            <m:r>
              <m:t>​</m:t>
            </m:r>
          </m:sup>
          <m:e>
            <m:r>
              <m:rPr>
                <m:sty m:val="p"/>
              </m:rPr>
              <m:t>max</m:t>
            </m:r>
          </m:e>
        </m:nary>
        <m:r>
          <m:rPr>
            <m:sty m:val="p"/>
          </m:rPr>
          <m:t>{</m:t>
        </m:r>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 </m:t>
        </m:r>
        <m:r>
          <m:t>0</m:t>
        </m:r>
        <m:r>
          <m:rPr>
            <m:sty m:val="p"/>
          </m:rPr>
          <m:t>}</m:t>
        </m:r>
        <m:r>
          <m:rPr>
            <m:sty m:val="p"/>
          </m:rPr>
          <m:t>+</m:t>
        </m:r>
        <m:nary>
          <m:naryPr>
            <m:chr m:val="∑"/>
            <m:limLoc m:val="undOvr"/>
            <m:subHide m:val="off"/>
            <m:supHide m:val="on"/>
          </m:naryPr>
          <m:sub>
            <m:r>
              <m:t>t</m:t>
            </m:r>
          </m:sub>
          <m:sup>
            <m:r>
              <m:t>​</m:t>
            </m:r>
          </m:sup>
          <m:e>
            <m:r>
              <m:rPr>
                <m:sty m:val="p"/>
              </m:rPr>
              <m:t>[</m:t>
            </m:r>
          </m:e>
        </m:nary>
        <m:d>
          <m:dPr>
            <m:begChr m:val="("/>
            <m:sepChr m:val=""/>
            <m:endChr m:val="]"/>
            <m:grow/>
          </m:dPr>
          <m:e>
            <m:limLow>
              <m:e>
                <m:r>
                  <m:rPr>
                    <m:sty m:val="p"/>
                  </m:rPr>
                  <m:t>max</m:t>
                </m:r>
              </m:e>
              <m:lim>
                <m:r>
                  <m:t>D</m:t>
                </m:r>
                <m:r>
                  <m:rPr>
                    <m:sty m:val="p"/>
                  </m:rPr>
                  <m:t>,</m:t>
                </m:r>
                <m:r>
                  <m:t>C</m:t>
                </m:r>
              </m:lim>
            </m:limLow>
            <m:sSub>
              <m:e>
                <m:r>
                  <m:t>X</m:t>
                </m:r>
              </m:e>
              <m:sub>
                <m:r>
                  <m:t>t</m:t>
                </m:r>
              </m:sub>
            </m:sSub>
            <m:r>
              <m:rPr>
                <m:sty m:val="p"/>
              </m:rPr>
              <m:t>(</m:t>
            </m:r>
            <m:r>
              <m:t>D</m:t>
            </m:r>
            <m:r>
              <m:rPr>
                <m:sty m:val="p"/>
              </m:rPr>
              <m:t>,</m:t>
            </m:r>
            <m:r>
              <m:t>C</m:t>
            </m:r>
            <m:r>
              <m:rPr>
                <m:sty m:val="p"/>
              </m:rPr>
              <m:t>)</m:t>
            </m:r>
            <m:sSup>
              <m:e>
                <m:r>
                  <m:rPr>
                    <m:sty m:val="p"/>
                  </m:rPr>
                  <m:t>)</m:t>
                </m:r>
              </m:e>
              <m:sup>
                <m:r>
                  <m:rPr>
                    <m:sty m:val="p"/>
                  </m:rPr>
                  <m:t>+</m:t>
                </m:r>
              </m:sup>
            </m:sSup>
            <m:r>
              <m:rPr>
                <m:sty m:val="p"/>
              </m:rPr>
              <m:t>−</m:t>
            </m:r>
            <m:r>
              <m:rPr>
                <m:sty m:val="p"/>
              </m:rPr>
              <m:t>max</m:t>
            </m:r>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 </m:t>
            </m:r>
            <m:r>
              <m:t>0</m:t>
            </m:r>
            <m:r>
              <m:rPr>
                <m:sty m:val="p"/>
              </m:rPr>
              <m:t>}</m:t>
            </m:r>
          </m:e>
        </m:d>
      </m:oMath>
      <w:r>
        <w:tab/>
      </w:r>
      <w:r>
        <w:t>(6.2)</w:t>
      </w:r>
    </w:p>
    <w:p>
      <w:pPr>
        <w:pStyle w:val="BodyText"/>
      </w:pPr>
      <w:r>
        <w:rPr>
          <w:rFonts w:hint="eastAsia"/>
        </w:rPr>
        <w:t xml:space="preserve">右辺の第1項</w:t>
      </w:r>
      <w:r>
        <w:t xml:space="preserve"> (I) </w:t>
      </w:r>
      <w:r>
        <w:rPr>
          <w:rFonts w:hint="eastAsia"/>
        </w:rPr>
        <w:t xml:space="preserve">は前日に固定した窓の実現粗利（本源的方策の価値）、第2項</w:t>
      </w:r>
      <w:r>
        <w:t xml:space="preserve"> (II) </w:t>
      </w:r>
      <w:r>
        <w:rPr>
          <w:rFonts w:hint="eastAsia"/>
        </w:rPr>
        <w:t xml:space="preserve">は固定窓の粗利が負になる日に休む価値（休止の価値）、第3項</w:t>
      </w:r>
      <w:r>
        <w:t xml:space="preserve"> (III) </w:t>
      </w:r>
      <w:r>
        <w:rPr>
          <w:rFonts w:hint="eastAsia"/>
        </w:rPr>
        <w:t xml:space="preserve">は当日の実現価格で窓を選び直す価値である。戦略</w:t>
      </w:r>
      <w:r>
        <w:t xml:space="preserve"> c </w:t>
      </w:r>
      <w:r>
        <w:rPr>
          <w:rFonts w:hint="eastAsia"/>
        </w:rPr>
        <w:t xml:space="preserve">の実現率は</w:t>
      </w:r>
      <w:r>
        <w:t xml:space="preserve"> (I)/</w:t>
      </w:r>
      <m:oMath>
        <m:sSub>
          <m:e>
            <m:r>
              <m:t>π</m:t>
            </m:r>
          </m:e>
          <m:sub>
            <m:r>
              <m:rPr>
                <m:sty m:val="p"/>
              </m:rPr>
              <m:t>P</m:t>
            </m:r>
            <m:r>
              <m:rPr>
                <m:sty m:val="p"/>
              </m:rPr>
              <m:t>F</m:t>
            </m:r>
          </m:sub>
        </m:sSub>
      </m:oMath>
      <w:r>
        <w:t xml:space="preserve"> </w:t>
      </w:r>
      <w:r>
        <w:t xml:space="preserve">にほかならず、(II)+(III) </w:t>
      </w:r>
      <w:r>
        <w:rPr>
          <w:rFonts w:hint="eastAsia"/>
        </w:rPr>
        <w:t xml:space="preserve">は固定窓に対する完全情報の価値で、先読みのない最適方策の価値がとりうる幅にあたる（4.2.2項）。前日市場では当日24時間の価格が一度に約定するので、(II)+(III)</w:t>
      </w:r>
      <w:r>
        <w:t xml:space="preserve"> </w:t>
      </w:r>
      <w:r>
        <w:rPr>
          <w:rFonts w:hint="eastAsia"/>
        </w:rPr>
        <w:t xml:space="preserve">は、約定後に時間前市場でスポットと同じ価格で窓を組み替えられるとした場合に取れる額であり、実際に取れる額の上限である。ガス貯蔵の評価でいう</w:t>
      </w:r>
      <w:r>
        <w:t xml:space="preserve"> extrinsic </w:t>
      </w:r>
      <w:r>
        <w:rPr>
          <w:rFonts w:hint="eastAsia"/>
        </w:rPr>
        <w:t xml:space="preserve">価値（Lai</w:t>
      </w:r>
      <w:r>
        <w:t xml:space="preserve"> et al., </w:t>
      </w:r>
      <w:r>
        <w:rPr>
          <w:rFonts w:hint="eastAsia"/>
        </w:rPr>
        <w:t xml:space="preserve">2010）は流動的な先渡市場で実際に得る価値であり、(II)+(III)</w:t>
      </w:r>
      <w:r>
        <w:t xml:space="preserve"> </w:t>
      </w:r>
      <w:r>
        <w:rPr>
          <w:rFonts w:hint="eastAsia"/>
        </w:rPr>
        <w:t xml:space="preserve">とは性質が違うので、本研究はこの語を用いない。層は年度別と、季節×風力の三分位別に集計する。</w:t>
      </w:r>
    </w:p>
    <w:p>
      <w:pPr>
        <w:pStyle w:val="BodyText"/>
      </w:pPr>
      <w:r>
        <w:rPr>
          <w:rFonts w:hint="eastAsia"/>
        </w:rPr>
        <w:t xml:space="preserve">戦略の比較は、予測評価と取引ルールの検定として行う。予測の価値を利用者の損益で評価する考え方に従い（Leitch</w:t>
      </w:r>
      <w:r>
        <w:t xml:space="preserve"> &amp; Tanner, </w:t>
      </w:r>
      <w:r>
        <w:rPr>
          <w:rFonts w:hint="eastAsia"/>
        </w:rPr>
        <w:t xml:space="preserve">1991）、日次粗利の差を損失差とみなして、その平均が0かを</w:t>
      </w:r>
      <w:r>
        <w:t xml:space="preserve"> Diebold and </w:t>
      </w:r>
      <w:r>
        <w:rPr>
          <w:rFonts w:hint="eastAsia"/>
        </w:rPr>
        <w:t xml:space="preserve">Mariano（1995）の検定（DM</w:t>
      </w:r>
      <w:r>
        <w:t xml:space="preserve"> </w:t>
      </w:r>
      <w:r>
        <w:rPr>
          <w:rFonts w:hint="eastAsia"/>
        </w:rPr>
        <w:t xml:space="preserve">検定。長期分散は</w:t>
      </w:r>
      <w:r>
        <w:t xml:space="preserve"> Newey &amp; West, 1987 </w:t>
      </w:r>
      <w:r>
        <w:rPr>
          <w:rFonts w:hint="eastAsia"/>
        </w:rPr>
        <w:t xml:space="preserve">による）で調べる。戦略</w:t>
      </w:r>
      <w:r>
        <w:t xml:space="preserve"> c </w:t>
      </w:r>
      <w:r>
        <w:rPr>
          <w:rFonts w:hint="eastAsia"/>
        </w:rPr>
        <w:t xml:space="preserve">は複数の戦略を試した後に、標本の中で実現率が最も高いものとして選んだ戦略なので、二者比較には選択の偏り（データ・スヌーピング）が残る。そこで</w:t>
      </w:r>
      <w:r>
        <w:t xml:space="preserve"> </w:t>
      </w:r>
      <w:r>
        <w:rPr>
          <w:rFonts w:hint="eastAsia"/>
        </w:rPr>
        <w:t xml:space="preserve">White（2000）の</w:t>
      </w:r>
      <w:r>
        <w:t xml:space="preserve"> Reality Check と </w:t>
      </w:r>
      <w:r>
        <w:rPr>
          <w:rFonts w:hint="eastAsia"/>
        </w:rPr>
        <w:t xml:space="preserve">Hansen（2005）の</w:t>
      </w:r>
      <w:r>
        <w:t xml:space="preserve"> </w:t>
      </w:r>
      <w:r>
        <w:rPr>
          <w:rFonts w:hint="eastAsia"/>
        </w:rPr>
        <w:t xml:space="preserve">SPA（superior</w:t>
      </w:r>
      <w:r>
        <w:t xml:space="preserve"> predictive </w:t>
      </w:r>
      <w:r>
        <w:rPr>
          <w:rFonts w:hint="eastAsia"/>
        </w:rPr>
        <w:t xml:space="preserve">ability）検定で選択の偏りを考慮し（取引ルールへの応用は</w:t>
      </w:r>
      <w:r>
        <w:t xml:space="preserve"> Sullivan et al., </w:t>
      </w:r>
      <w:r>
        <w:rPr>
          <w:rFonts w:hint="eastAsia"/>
        </w:rPr>
        <w:t xml:space="preserve">1999）、最善の戦略の集合を</w:t>
      </w:r>
      <w:r>
        <w:t xml:space="preserve"> Hansen et </w:t>
      </w:r>
      <w:r>
        <w:rPr>
          <w:rFonts w:hint="eastAsia"/>
        </w:rPr>
        <w:t xml:space="preserve">al.（2011）のモデル信頼集合で補足的に推定する。比較する戦略には、Diebold</w:t>
      </w:r>
      <w:r>
        <w:t xml:space="preserve"> and </w:t>
      </w:r>
      <w:r>
        <w:rPr>
          <w:rFonts w:hint="eastAsia"/>
        </w:rPr>
        <w:t xml:space="preserve">Li（2006）の動的因子モデルを24時間の価格カーブに当てた予測（DL1・DL3・DL5）と時刻別の</w:t>
      </w:r>
      <w:r>
        <w:t xml:space="preserve"> AR(1) </w:t>
      </w:r>
      <w:r>
        <w:rPr>
          <w:rFonts w:hint="eastAsia"/>
        </w:rPr>
        <w:t xml:space="preserve">による予測（AR）を加えて計9本とし、区間と検定には定常ブートストラップ（Politis</w:t>
      </w:r>
      <w:r>
        <w:t xml:space="preserve"> &amp; Romano, </w:t>
      </w:r>
      <w:r>
        <w:rPr>
          <w:rFonts w:hint="eastAsia"/>
        </w:rPr>
        <w:t xml:space="preserve">1994）を用いる。主な標本は</w:t>
      </w:r>
      <w:r>
        <w:t xml:space="preserve"> FY2023〜25 </w:t>
      </w:r>
      <w:r>
        <w:rPr>
          <w:rFonts w:hint="eastAsia"/>
        </w:rPr>
        <w:t xml:space="preserve">の1,096日である。</w:t>
      </w:r>
    </w:p>
    <w:p>
      <w:pPr>
        <w:pStyle w:val="BodyText"/>
      </w:pPr>
      <w:r>
        <w:rPr>
          <w:rFonts w:hint="eastAsia"/>
        </w:rPr>
        <w:t xml:space="preserve">このほか、完全予見粗利を第5章の価格カーブの主成分に回帰して因子へのエクスポージャーを測り（6.4.2項）、duration</w:t>
      </w:r>
      <w:r>
        <w:t xml:space="preserve"> </w:t>
      </w:r>
      <w:r>
        <w:rPr>
          <w:rFonts w:hint="eastAsia"/>
        </w:rPr>
        <w:t xml:space="preserve">を2〜8時間で変えて価値と参入閾値を求める（6.5節）。長期分散の推定、ブロック長の選択、動的因子予測の構成、因子エクスポージャーの回帰、duration</w:t>
      </w:r>
      <w:r>
        <w:t xml:space="preserve"> </w:t>
      </w:r>
      <w:r>
        <w:rPr>
          <w:rFonts w:hint="eastAsia"/>
        </w:rPr>
        <w:t xml:space="preserve">別の計算の詳細は付録B.3.5〜B.3.8</w:t>
      </w:r>
      <w:r>
        <w:t xml:space="preserve"> </w:t>
      </w:r>
      <w:r>
        <w:rPr>
          <w:rFonts w:hint="eastAsia"/>
        </w:rPr>
        <w:t xml:space="preserve">に示す。</w:t>
      </w:r>
    </w:p>
    <w:bookmarkEnd w:id="135"/>
    <w:bookmarkEnd w:id="136"/>
    <w:bookmarkStart w:id="143" w:name="完全予見粗利の水準と脚の分解"/>
    <w:p>
      <w:pPr>
        <w:pStyle w:val="Heading2"/>
      </w:pPr>
      <w:r>
        <w:t xml:space="preserve">6.2　</w:t>
      </w:r>
      <w:r>
        <w:rPr>
          <w:rFonts w:hint="eastAsia"/>
        </w:rPr>
        <w:t xml:space="preserve">完全予見粗利の水準と脚の分解</w:t>
      </w:r>
    </w:p>
    <w:p>
      <w:pPr>
        <w:pStyle w:val="FirstParagraph"/>
      </w:pPr>
      <w:r>
        <w:rPr>
          <w:rFonts w:hint="eastAsia"/>
        </w:rPr>
        <w:t xml:space="preserve">北海道で約定価格が下限価格（0.01円/kWh）に張り付いたコマは、FY2025</w:t>
      </w:r>
      <w:r>
        <w:t xml:space="preserve"> </w:t>
      </w:r>
      <w:r>
        <w:rPr>
          <w:rFonts w:hint="eastAsia"/>
        </w:rPr>
        <w:t xml:space="preserve">に473コマ（30分単位）で、九州（983コマ）の約半分である。FY2023〜24</w:t>
      </w:r>
      <w:r>
        <w:t xml:space="preserve"> </w:t>
      </w:r>
      <w:r>
        <w:rPr>
          <w:rFonts w:hint="eastAsia"/>
        </w:rPr>
        <w:t xml:space="preserve">は九州の3割弱にとどまる（表D.1）。下限張り付きは少ないが、4時間蓄電池の完全予見粗利は</w:t>
      </w:r>
      <w:r>
        <w:t xml:space="preserve"> FY2023〜25 </w:t>
      </w:r>
      <w:r>
        <w:rPr>
          <w:rFonts w:hint="eastAsia"/>
        </w:rPr>
        <w:t xml:space="preserve">に0.96〜1.15万円/kW-年あり、3年平均で九州の88%（95%区間79〜96%）に達する。年度別には、FY2023</w:t>
      </w:r>
      <w:r>
        <w:t xml:space="preserve"> に79%、FY2024 に77%、FY2025 に111%である。</w:t>
      </w:r>
    </w:p>
    <w:p>
      <w:pPr>
        <w:pStyle w:val="BodyText"/>
      </w:pPr>
      <w:r>
        <w:rPr>
          <w:rFonts w:hint="eastAsia"/>
        </w:rPr>
        <w:t xml:space="preserve">この差がどちらの脚から来るかを式(6.1)で調べると、両エリアの24時間の価格がそろう共通日で、どちらのエリアでも粗利の原資は放電脚と充電脚でほぼ半々である（表6.1）。FY2023〜25</w:t>
      </w:r>
      <w:r>
        <w:t xml:space="preserve"> </w:t>
      </w:r>
      <w:r>
        <w:rPr>
          <w:rFonts w:hint="eastAsia"/>
        </w:rPr>
        <w:t xml:space="preserve">の放電脚の比率の差は、等重み余弦（EWC）による推論（Lazarus</w:t>
      </w:r>
      <w:r>
        <w:t xml:space="preserve"> et al., </w:t>
      </w:r>
      <w:r>
        <w:rPr>
          <w:rFonts w:hint="eastAsia"/>
        </w:rPr>
        <w:t xml:space="preserve">2018）で有意でない（p=0.43）。季節別にも、夏は両エリアとも放電脚寄り、不需要期は両エリアともやや充電脚寄りである。冬は九州が充電脚寄りで北海道との差が有意だが（p&lt;0.001）、これは北海道の夕方のプレミアムが大きいからではなく、冬の昼の窪みが九州で深いためである。</w:t>
      </w:r>
    </w:p>
    <w:p>
      <w:pPr>
        <w:pStyle w:val="TableCaption"/>
      </w:pPr>
      <w:r>
        <w:rPr>
          <w:rFonts w:hint="eastAsia"/>
        </w:rPr>
        <w:t xml:space="preserve">表6.1</w:t>
      </w:r>
      <w:r>
        <w:t xml:space="preserve">　</w:t>
      </w:r>
      <w:r>
        <w:rPr>
          <w:rFonts w:hint="eastAsia"/>
        </w:rPr>
        <w:t xml:space="preserve">完全予見粗利の脚の分解（北海道／九州）</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6.1　完全予見粗利の脚の分解（北海道／九州）"/>
      </w:tblPr>
      <w:tblGrid>
        <w:gridCol w:w="879"/>
        <w:gridCol w:w="879"/>
        <w:gridCol w:w="879"/>
        <w:gridCol w:w="879"/>
        <w:gridCol w:w="879"/>
        <w:gridCol w:w="879"/>
        <w:gridCol w:w="879"/>
        <w:gridCol w:w="879"/>
        <w:gridCol w:w="879"/>
      </w:tblGrid>
      <w:tr>
        <w:trPr>
          <w:tblHeader w:val="on"/>
        </w:trPr>
        <w:tc>
          <w:tcPr>
            <w:tcBorders>
              <w:bottom w:val="single" w:sz="6" w:color="000000"/>
            </w:tcBorders>
          </w:tcPr>
          <w:p>
            <w:pPr>
              <w:pStyle w:val="Compact"/>
            </w:pPr>
            <w:r>
              <w:rPr>
                <w:rFonts w:hint="eastAsia"/>
                <w:sz w:val="18"/>
              </w:rPr>
              <w:t xml:space="preserve">期間・季節（日数）</w:t>
            </w:r>
          </w:p>
        </w:tc>
        <w:tc>
          <w:tcPr>
            <w:tcBorders>
              <w:bottom w:val="single" w:sz="6" w:color="000000"/>
            </w:tcBorders>
          </w:tcPr>
          <w:p>
            <w:pPr>
              <w:pStyle w:val="Compact"/>
              <w:jc w:val="right"/>
            </w:pPr>
            <w:r>
              <w:rPr>
                <w:rFonts w:hint="eastAsia"/>
                <w:sz w:val="18"/>
              </w:rPr>
              <w:t xml:space="preserve">日平均</w:t>
            </w:r>
            <w:r>
              <w:rPr>
                <w:sz w:val="18"/>
              </w:rPr>
              <w:t xml:space="preserve"> </w:t>
            </w:r>
            <m:oMath>
              <m:r>
                <m:t>m</m:t>
              </m:r>
            </m:oMath>
            <w:r>
              <w:rPr>
                <w:rFonts w:hint="eastAsia"/>
                <w:sz w:val="18"/>
              </w:rPr>
              <w:t xml:space="preserve">（円/kWh）</w:t>
            </w:r>
          </w:p>
        </w:tc>
        <w:tc>
          <w:tcPr>
            <w:tcBorders>
              <w:bottom w:val="single" w:sz="6" w:color="000000"/>
            </w:tcBorders>
          </w:tcPr>
          <w:p>
            <w:pPr>
              <w:pStyle w:val="Compact"/>
              <w:jc w:val="right"/>
            </w:pPr>
            <m:oMath>
              <m:r>
                <m:t>T</m:t>
              </m:r>
              <m:r>
                <m:rPr>
                  <m:sty m:val="p"/>
                </m:rPr>
                <m:t>/</m:t>
              </m:r>
              <m:r>
                <m:t>m</m:t>
              </m:r>
            </m:oMath>
          </w:p>
        </w:tc>
        <w:tc>
          <w:tcPr>
            <w:tcBorders>
              <w:bottom w:val="single" w:sz="6" w:color="000000"/>
            </w:tcBorders>
          </w:tcPr>
          <w:p>
            <w:pPr>
              <w:pStyle w:val="Compact"/>
              <w:jc w:val="right"/>
            </w:pPr>
            <m:oMath>
              <m:r>
                <m:t>B</m:t>
              </m:r>
              <m:r>
                <m:rPr>
                  <m:sty m:val="p"/>
                </m:rPr>
                <m:t>/</m:t>
              </m:r>
              <m:r>
                <m:t>m</m:t>
              </m:r>
            </m:oMath>
          </w:p>
        </w:tc>
        <w:tc>
          <w:tcPr>
            <w:tcBorders>
              <w:bottom w:val="single" w:sz="6" w:color="000000"/>
            </w:tcBorders>
          </w:tcPr>
          <w:p>
            <w:pPr>
              <w:pStyle w:val="Compact"/>
              <w:jc w:val="right"/>
            </w:pPr>
            <w:r>
              <w:rPr>
                <w:rFonts w:hint="eastAsia"/>
                <w:sz w:val="18"/>
              </w:rPr>
              <w:t xml:space="preserve">放電脚（円/kW-日）</w:t>
            </w:r>
          </w:p>
        </w:tc>
        <w:tc>
          <w:tcPr>
            <w:tcBorders>
              <w:bottom w:val="single" w:sz="6" w:color="000000"/>
            </w:tcBorders>
          </w:tcPr>
          <w:p>
            <w:pPr>
              <w:pStyle w:val="Compact"/>
              <w:jc w:val="right"/>
            </w:pPr>
            <w:r>
              <w:rPr>
                <w:rFonts w:hint="eastAsia"/>
                <w:sz w:val="18"/>
              </w:rPr>
              <w:t xml:space="preserve">充電脚（円/kW-日）</w:t>
            </w:r>
          </w:p>
        </w:tc>
        <w:tc>
          <w:tcPr>
            <w:tcBorders>
              <w:bottom w:val="single" w:sz="6" w:color="000000"/>
            </w:tcBorders>
          </w:tcPr>
          <w:p>
            <w:pPr>
              <w:pStyle w:val="Compact"/>
              <w:jc w:val="right"/>
            </w:pPr>
            <w:r>
              <w:rPr>
                <w:rFonts w:hint="eastAsia"/>
                <w:sz w:val="18"/>
              </w:rPr>
              <w:t xml:space="preserve">完全予見粗利（円/kW-日）</w:t>
            </w:r>
          </w:p>
        </w:tc>
        <w:tc>
          <w:tcPr>
            <w:tcBorders>
              <w:bottom w:val="single" w:sz="6" w:color="000000"/>
            </w:tcBorders>
          </w:tcPr>
          <w:p>
            <w:pPr>
              <w:pStyle w:val="Compact"/>
              <w:jc w:val="right"/>
            </w:pPr>
            <w:r>
              <w:rPr>
                <w:rFonts w:hint="eastAsia"/>
                <w:sz w:val="18"/>
              </w:rPr>
              <w:t xml:space="preserve">放電脚の比率</w:t>
            </w:r>
          </w:p>
        </w:tc>
        <w:tc>
          <w:tcPr>
            <w:tcBorders>
              <w:bottom w:val="single" w:sz="6" w:color="000000"/>
            </w:tcBorders>
          </w:tcPr>
          <w:p>
            <w:pPr>
              <w:pStyle w:val="Compact"/>
              <w:jc w:val="right"/>
            </w:pPr>
            <w:r>
              <w:rPr>
                <w:rFonts w:hint="eastAsia"/>
                <w:sz w:val="18"/>
              </w:rPr>
              <w:t xml:space="preserve">完全予見粗利の比（95%区間）</w:t>
            </w:r>
          </w:p>
        </w:tc>
      </w:tr>
      <w:tr>
        <w:tc>
          <w:tcPr/>
          <w:p>
            <w:pPr>
              <w:pStyle w:val="Compact"/>
            </w:pPr>
            <w:r>
              <w:rPr>
                <w:sz w:val="18"/>
              </w:rPr>
              <w:t xml:space="preserve">FY2023〜25 </w:t>
            </w:r>
            <w:r>
              <w:rPr>
                <w:rFonts w:hint="eastAsia"/>
                <w:sz w:val="18"/>
              </w:rPr>
              <w:t xml:space="preserve">通年（1,096）</w:t>
            </w:r>
          </w:p>
        </w:tc>
        <w:tc>
          <w:tcPr/>
          <w:p>
            <w:pPr>
              <w:pStyle w:val="Compact"/>
              <w:jc w:val="right"/>
            </w:pPr>
            <w:r>
              <w:rPr>
                <w:rFonts w:hint="eastAsia"/>
                <w:sz w:val="18"/>
              </w:rPr>
              <w:t xml:space="preserve">11.93／9.94</w:t>
            </w:r>
          </w:p>
        </w:tc>
        <w:tc>
          <w:tcPr/>
          <w:p>
            <w:pPr>
              <w:pStyle w:val="Compact"/>
              <w:jc w:val="right"/>
            </w:pPr>
            <w:r>
              <w:rPr>
                <w:rFonts w:hint="eastAsia"/>
                <w:sz w:val="18"/>
              </w:rPr>
              <w:t xml:space="preserve">1.41／1.53</w:t>
            </w:r>
          </w:p>
        </w:tc>
        <w:tc>
          <w:tcPr/>
          <w:p>
            <w:pPr>
              <w:pStyle w:val="Compact"/>
              <w:jc w:val="right"/>
            </w:pPr>
            <w:r>
              <w:rPr>
                <w:rFonts w:hint="eastAsia"/>
                <w:sz w:val="18"/>
              </w:rPr>
              <w:t xml:space="preserve">0.61／0.49</w:t>
            </w:r>
          </w:p>
        </w:tc>
        <w:tc>
          <w:tcPr/>
          <w:p>
            <w:pPr>
              <w:pStyle w:val="Compact"/>
              <w:jc w:val="right"/>
            </w:pPr>
            <w:r>
              <w:rPr>
                <w:rFonts w:hint="eastAsia"/>
                <w:sz w:val="18"/>
              </w:rPr>
              <w:t xml:space="preserve">16.8／17.8</w:t>
            </w:r>
          </w:p>
        </w:tc>
        <w:tc>
          <w:tcPr/>
          <w:p>
            <w:pPr>
              <w:pStyle w:val="Compact"/>
              <w:jc w:val="right"/>
            </w:pPr>
            <w:r>
              <w:rPr>
                <w:rFonts w:hint="eastAsia"/>
                <w:sz w:val="18"/>
              </w:rPr>
              <w:t xml:space="preserve">18.6／20.3</w:t>
            </w:r>
          </w:p>
        </w:tc>
        <w:tc>
          <w:tcPr/>
          <w:p>
            <w:pPr>
              <w:pStyle w:val="Compact"/>
              <w:jc w:val="right"/>
            </w:pPr>
            <w:r>
              <w:rPr>
                <w:rFonts w:hint="eastAsia"/>
                <w:sz w:val="18"/>
              </w:rPr>
              <w:t xml:space="preserve">28.2／32.2</w:t>
            </w:r>
          </w:p>
        </w:tc>
        <w:tc>
          <w:tcPr/>
          <w:p>
            <w:pPr>
              <w:pStyle w:val="Compact"/>
              <w:jc w:val="right"/>
            </w:pPr>
            <w:r>
              <w:rPr>
                <w:rFonts w:hint="eastAsia"/>
                <w:sz w:val="18"/>
              </w:rPr>
              <w:t xml:space="preserve">0.515／0.508</w:t>
            </w:r>
          </w:p>
        </w:tc>
        <w:tc>
          <w:tcPr/>
          <w:p>
            <w:pPr>
              <w:pStyle w:val="Compact"/>
              <w:jc w:val="right"/>
            </w:pPr>
            <w:r>
              <w:rPr>
                <w:rFonts w:hint="eastAsia"/>
                <w:sz w:val="18"/>
              </w:rPr>
              <w:t xml:space="preserve">0.88（0.79〜0.96）</w:t>
            </w:r>
          </w:p>
        </w:tc>
      </w:tr>
      <w:tr>
        <w:tc>
          <w:tcPr/>
          <w:p>
            <w:pPr>
              <w:pStyle w:val="Compact"/>
            </w:pPr>
            <w:r>
              <w:rPr>
                <w:rFonts w:hint="eastAsia"/>
                <w:sz w:val="18"/>
              </w:rPr>
              <w:t xml:space="preserve">同</w:t>
            </w:r>
            <w:r>
              <w:rPr>
                <w:sz w:val="18"/>
              </w:rPr>
              <w:t xml:space="preserve"> </w:t>
            </w:r>
            <w:r>
              <w:rPr>
                <w:rFonts w:hint="eastAsia"/>
                <w:sz w:val="18"/>
              </w:rPr>
              <w:t xml:space="preserve">夏（276）</w:t>
            </w:r>
          </w:p>
        </w:tc>
        <w:tc>
          <w:tcPr/>
          <w:p>
            <w:pPr>
              <w:pStyle w:val="Compact"/>
              <w:jc w:val="right"/>
            </w:pPr>
            <w:r>
              <w:rPr>
                <w:rFonts w:hint="eastAsia"/>
                <w:sz w:val="18"/>
              </w:rPr>
              <w:t xml:space="preserve">12.86／11.18</w:t>
            </w:r>
          </w:p>
        </w:tc>
        <w:tc>
          <w:tcPr/>
          <w:p>
            <w:pPr>
              <w:pStyle w:val="Compact"/>
              <w:jc w:val="right"/>
            </w:pPr>
            <w:r>
              <w:rPr>
                <w:rFonts w:hint="eastAsia"/>
                <w:sz w:val="18"/>
              </w:rPr>
              <w:t xml:space="preserve">1.51／1.59</w:t>
            </w:r>
          </w:p>
        </w:tc>
        <w:tc>
          <w:tcPr/>
          <w:p>
            <w:pPr>
              <w:pStyle w:val="Compact"/>
              <w:jc w:val="right"/>
            </w:pPr>
            <w:r>
              <w:rPr>
                <w:rFonts w:hint="eastAsia"/>
                <w:sz w:val="18"/>
              </w:rPr>
              <w:t xml:space="preserve">0.65／0.62</w:t>
            </w:r>
          </w:p>
        </w:tc>
        <w:tc>
          <w:tcPr/>
          <w:p>
            <w:pPr>
              <w:pStyle w:val="Compact"/>
              <w:jc w:val="right"/>
            </w:pPr>
            <w:r>
              <w:rPr>
                <w:rFonts w:hint="eastAsia"/>
                <w:sz w:val="18"/>
              </w:rPr>
              <w:t xml:space="preserve">22.2／22.6</w:t>
            </w:r>
          </w:p>
        </w:tc>
        <w:tc>
          <w:tcPr/>
          <w:p>
            <w:pPr>
              <w:pStyle w:val="Compact"/>
              <w:jc w:val="right"/>
            </w:pPr>
            <w:r>
              <w:rPr>
                <w:rFonts w:hint="eastAsia"/>
                <w:sz w:val="18"/>
              </w:rPr>
              <w:t xml:space="preserve">17.9／17.1</w:t>
            </w:r>
          </w:p>
        </w:tc>
        <w:tc>
          <w:tcPr/>
          <w:p>
            <w:pPr>
              <w:pStyle w:val="Compact"/>
              <w:jc w:val="right"/>
            </w:pPr>
            <w:r>
              <w:rPr>
                <w:rFonts w:hint="eastAsia"/>
                <w:sz w:val="18"/>
              </w:rPr>
              <w:t xml:space="preserve">32.4／33.0</w:t>
            </w:r>
          </w:p>
        </w:tc>
        <w:tc>
          <w:tcPr/>
          <w:p>
            <w:pPr>
              <w:pStyle w:val="Compact"/>
              <w:jc w:val="right"/>
            </w:pPr>
            <w:r>
              <w:rPr>
                <w:rFonts w:hint="eastAsia"/>
                <w:sz w:val="18"/>
              </w:rPr>
              <w:t xml:space="preserve">0.59／0.61</w:t>
            </w:r>
          </w:p>
        </w:tc>
        <w:tc>
          <w:tcPr/>
          <w:p>
            <w:pPr>
              <w:pStyle w:val="Compact"/>
              <w:jc w:val="right"/>
            </w:pPr>
            <w:r>
              <w:rPr>
                <w:rFonts w:hint="eastAsia"/>
                <w:sz w:val="18"/>
              </w:rPr>
              <w:t xml:space="preserve">0.98（0.79〜1.17）</w:t>
            </w:r>
          </w:p>
        </w:tc>
      </w:tr>
      <w:tr>
        <w:tc>
          <w:tcPr/>
          <w:p>
            <w:pPr>
              <w:pStyle w:val="Compact"/>
            </w:pPr>
            <w:r>
              <w:rPr>
                <w:rFonts w:hint="eastAsia"/>
                <w:sz w:val="18"/>
              </w:rPr>
              <w:t xml:space="preserve">同</w:t>
            </w:r>
            <w:r>
              <w:rPr>
                <w:sz w:val="18"/>
              </w:rPr>
              <w:t xml:space="preserve"> </w:t>
            </w:r>
            <w:r>
              <w:rPr>
                <w:rFonts w:hint="eastAsia"/>
                <w:sz w:val="18"/>
              </w:rPr>
              <w:t xml:space="preserve">冬（271）</w:t>
            </w:r>
          </w:p>
        </w:tc>
        <w:tc>
          <w:tcPr/>
          <w:p>
            <w:pPr>
              <w:pStyle w:val="Compact"/>
              <w:jc w:val="right"/>
            </w:pPr>
            <w:r>
              <w:rPr>
                <w:rFonts w:hint="eastAsia"/>
                <w:sz w:val="18"/>
              </w:rPr>
              <w:t xml:space="preserve">12.31／10.47</w:t>
            </w:r>
          </w:p>
        </w:tc>
        <w:tc>
          <w:tcPr/>
          <w:p>
            <w:pPr>
              <w:pStyle w:val="Compact"/>
              <w:jc w:val="right"/>
            </w:pPr>
            <w:r>
              <w:rPr>
                <w:rFonts w:hint="eastAsia"/>
                <w:sz w:val="18"/>
              </w:rPr>
              <w:t xml:space="preserve">1.27／1.37</w:t>
            </w:r>
          </w:p>
        </w:tc>
        <w:tc>
          <w:tcPr/>
          <w:p>
            <w:pPr>
              <w:pStyle w:val="Compact"/>
              <w:jc w:val="right"/>
            </w:pPr>
            <w:r>
              <w:rPr>
                <w:rFonts w:hint="eastAsia"/>
                <w:sz w:val="18"/>
              </w:rPr>
              <w:t xml:space="preserve">0.74／0.56</w:t>
            </w:r>
          </w:p>
        </w:tc>
        <w:tc>
          <w:tcPr/>
          <w:p>
            <w:pPr>
              <w:pStyle w:val="Compact"/>
              <w:jc w:val="right"/>
            </w:pPr>
            <w:r>
              <w:rPr>
                <w:rFonts w:hint="eastAsia"/>
                <w:sz w:val="18"/>
              </w:rPr>
              <w:t xml:space="preserve">11.2／13.3</w:t>
            </w:r>
          </w:p>
        </w:tc>
        <w:tc>
          <w:tcPr/>
          <w:p>
            <w:pPr>
              <w:pStyle w:val="Compact"/>
              <w:jc w:val="right"/>
            </w:pPr>
            <w:r>
              <w:rPr>
                <w:rFonts w:hint="eastAsia"/>
                <w:sz w:val="18"/>
              </w:rPr>
              <w:t xml:space="preserve">12.9／18.6</w:t>
            </w:r>
          </w:p>
        </w:tc>
        <w:tc>
          <w:tcPr/>
          <w:p>
            <w:pPr>
              <w:pStyle w:val="Compact"/>
              <w:jc w:val="right"/>
            </w:pPr>
            <w:r>
              <w:rPr>
                <w:rFonts w:hint="eastAsia"/>
                <w:sz w:val="18"/>
              </w:rPr>
              <w:t xml:space="preserve">16.8／25.6</w:t>
            </w:r>
          </w:p>
        </w:tc>
        <w:tc>
          <w:tcPr/>
          <w:p>
            <w:pPr>
              <w:pStyle w:val="Compact"/>
              <w:jc w:val="right"/>
            </w:pPr>
            <w:r>
              <w:rPr>
                <w:rFonts w:hint="eastAsia"/>
                <w:sz w:val="18"/>
              </w:rPr>
              <w:t xml:space="preserve">0.51／0.46</w:t>
            </w:r>
          </w:p>
        </w:tc>
        <w:tc>
          <w:tcPr/>
          <w:p>
            <w:pPr>
              <w:pStyle w:val="Compact"/>
              <w:jc w:val="right"/>
            </w:pPr>
            <w:r>
              <w:rPr>
                <w:rFonts w:hint="eastAsia"/>
                <w:sz w:val="18"/>
              </w:rPr>
              <w:t xml:space="preserve">0.66（0.50〜0.81）</w:t>
            </w:r>
          </w:p>
        </w:tc>
      </w:tr>
      <w:tr>
        <w:tc>
          <w:tcPr/>
          <w:p>
            <w:pPr>
              <w:pStyle w:val="Compact"/>
            </w:pPr>
            <w:r>
              <w:rPr>
                <w:rFonts w:hint="eastAsia"/>
                <w:sz w:val="18"/>
              </w:rPr>
              <w:t xml:space="preserve">同</w:t>
            </w:r>
            <w:r>
              <w:rPr>
                <w:sz w:val="18"/>
              </w:rPr>
              <w:t xml:space="preserve"> </w:t>
            </w:r>
            <w:r>
              <w:rPr>
                <w:rFonts w:hint="eastAsia"/>
                <w:sz w:val="18"/>
              </w:rPr>
              <w:t xml:space="preserve">不需要期（549）</w:t>
            </w:r>
          </w:p>
        </w:tc>
        <w:tc>
          <w:tcPr/>
          <w:p>
            <w:pPr>
              <w:pStyle w:val="Compact"/>
              <w:jc w:val="right"/>
            </w:pPr>
            <w:r>
              <w:rPr>
                <w:rFonts w:hint="eastAsia"/>
                <w:sz w:val="18"/>
              </w:rPr>
              <w:t xml:space="preserve">11.28／9.05</w:t>
            </w:r>
          </w:p>
        </w:tc>
        <w:tc>
          <w:tcPr/>
          <w:p>
            <w:pPr>
              <w:pStyle w:val="Compact"/>
              <w:jc w:val="right"/>
            </w:pPr>
            <w:r>
              <w:rPr>
                <w:rFonts w:hint="eastAsia"/>
                <w:sz w:val="18"/>
              </w:rPr>
              <w:t xml:space="preserve">1.44／1.58</w:t>
            </w:r>
          </w:p>
        </w:tc>
        <w:tc>
          <w:tcPr/>
          <w:p>
            <w:pPr>
              <w:pStyle w:val="Compact"/>
              <w:jc w:val="right"/>
            </w:pPr>
            <w:r>
              <w:rPr>
                <w:rFonts w:hint="eastAsia"/>
                <w:sz w:val="18"/>
              </w:rPr>
              <w:t xml:space="preserve">0.52／0.37</w:t>
            </w:r>
          </w:p>
        </w:tc>
        <w:tc>
          <w:tcPr/>
          <w:p>
            <w:pPr>
              <w:pStyle w:val="Compact"/>
              <w:jc w:val="right"/>
            </w:pPr>
            <w:r>
              <w:rPr>
                <w:rFonts w:hint="eastAsia"/>
                <w:sz w:val="18"/>
              </w:rPr>
              <w:t xml:space="preserve">16.8／17.7</w:t>
            </w:r>
          </w:p>
        </w:tc>
        <w:tc>
          <w:tcPr/>
          <w:p>
            <w:pPr>
              <w:pStyle w:val="Compact"/>
              <w:jc w:val="right"/>
            </w:pPr>
            <w:r>
              <w:rPr>
                <w:rFonts w:hint="eastAsia"/>
                <w:sz w:val="18"/>
              </w:rPr>
              <w:t xml:space="preserve">21.8／22.8</w:t>
            </w:r>
          </w:p>
        </w:tc>
        <w:tc>
          <w:tcPr/>
          <w:p>
            <w:pPr>
              <w:pStyle w:val="Compact"/>
              <w:jc w:val="right"/>
            </w:pPr>
            <w:r>
              <w:rPr>
                <w:rFonts w:hint="eastAsia"/>
                <w:sz w:val="18"/>
              </w:rPr>
              <w:t xml:space="preserve">31.8／35.0</w:t>
            </w:r>
          </w:p>
        </w:tc>
        <w:tc>
          <w:tcPr/>
          <w:p>
            <w:pPr>
              <w:pStyle w:val="Compact"/>
              <w:jc w:val="right"/>
            </w:pPr>
            <w:r>
              <w:rPr>
                <w:rFonts w:hint="eastAsia"/>
                <w:sz w:val="18"/>
              </w:rPr>
              <w:t xml:space="preserve">0.48／0.48</w:t>
            </w:r>
          </w:p>
        </w:tc>
        <w:tc>
          <w:tcPr/>
          <w:p>
            <w:pPr>
              <w:pStyle w:val="Compact"/>
              <w:jc w:val="right"/>
            </w:pPr>
            <w:r>
              <w:rPr>
                <w:rFonts w:hint="eastAsia"/>
                <w:sz w:val="18"/>
              </w:rPr>
              <w:t xml:space="preserve">0.91（0.82〜0.99）</w:t>
            </w:r>
          </w:p>
        </w:tc>
      </w:tr>
      <w:tr>
        <w:tc>
          <w:tcPr/>
          <w:p>
            <w:pPr>
              <w:pStyle w:val="Compact"/>
            </w:pPr>
            <w:r>
              <w:rPr>
                <w:sz w:val="18"/>
              </w:rPr>
              <w:t xml:space="preserve">FY2025 </w:t>
            </w:r>
            <w:r>
              <w:rPr>
                <w:rFonts w:hint="eastAsia"/>
                <w:sz w:val="18"/>
              </w:rPr>
              <w:t xml:space="preserve">通年（365）</w:t>
            </w:r>
          </w:p>
        </w:tc>
        <w:tc>
          <w:tcPr/>
          <w:p>
            <w:pPr>
              <w:pStyle w:val="Compact"/>
              <w:jc w:val="right"/>
            </w:pPr>
            <w:r>
              <w:rPr>
                <w:rFonts w:hint="eastAsia"/>
                <w:sz w:val="18"/>
              </w:rPr>
              <w:t xml:space="preserve">11.70／9.81</w:t>
            </w:r>
          </w:p>
        </w:tc>
        <w:tc>
          <w:tcPr/>
          <w:p>
            <w:pPr>
              <w:pStyle w:val="Compact"/>
              <w:jc w:val="right"/>
            </w:pPr>
            <w:r>
              <w:rPr>
                <w:rFonts w:hint="eastAsia"/>
                <w:sz w:val="18"/>
              </w:rPr>
              <w:t xml:space="preserve">1.49／1.49</w:t>
            </w:r>
          </w:p>
        </w:tc>
        <w:tc>
          <w:tcPr/>
          <w:p>
            <w:pPr>
              <w:pStyle w:val="Compact"/>
              <w:jc w:val="right"/>
            </w:pPr>
            <w:r>
              <w:rPr>
                <w:rFonts w:hint="eastAsia"/>
                <w:sz w:val="18"/>
              </w:rPr>
              <w:t xml:space="preserve">0.60／0.54</w:t>
            </w:r>
          </w:p>
        </w:tc>
        <w:tc>
          <w:tcPr/>
          <w:p>
            <w:pPr>
              <w:pStyle w:val="Compact"/>
              <w:jc w:val="right"/>
            </w:pPr>
            <w:r>
              <w:rPr>
                <w:rFonts w:hint="eastAsia"/>
                <w:sz w:val="18"/>
              </w:rPr>
              <w:t xml:space="preserve">19.6／16.4</w:t>
            </w:r>
          </w:p>
        </w:tc>
        <w:tc>
          <w:tcPr/>
          <w:p>
            <w:pPr>
              <w:pStyle w:val="Compact"/>
              <w:jc w:val="right"/>
            </w:pPr>
            <w:r>
              <w:rPr>
                <w:rFonts w:hint="eastAsia"/>
                <w:sz w:val="18"/>
              </w:rPr>
              <w:t xml:space="preserve">19.0／17.9</w:t>
            </w:r>
          </w:p>
        </w:tc>
        <w:tc>
          <w:tcPr/>
          <w:p>
            <w:pPr>
              <w:pStyle w:val="Compact"/>
              <w:jc w:val="right"/>
            </w:pPr>
            <w:r>
              <w:rPr>
                <w:rFonts w:hint="eastAsia"/>
                <w:sz w:val="18"/>
              </w:rPr>
              <w:t xml:space="preserve">31.5／28.4</w:t>
            </w:r>
          </w:p>
        </w:tc>
        <w:tc>
          <w:tcPr/>
          <w:p>
            <w:pPr>
              <w:pStyle w:val="Compact"/>
              <w:jc w:val="right"/>
            </w:pPr>
            <w:r>
              <w:rPr>
                <w:rFonts w:hint="eastAsia"/>
                <w:sz w:val="18"/>
              </w:rPr>
              <w:t xml:space="preserve">0.548／0.519</w:t>
            </w:r>
          </w:p>
        </w:tc>
        <w:tc>
          <w:tcPr/>
          <w:p>
            <w:pPr>
              <w:pStyle w:val="Compact"/>
              <w:jc w:val="right"/>
            </w:pPr>
            <w:r>
              <w:rPr>
                <w:rFonts w:hint="eastAsia"/>
                <w:sz w:val="18"/>
              </w:rPr>
              <w:t xml:space="preserve">1.11（0.92〜1.29）</w:t>
            </w:r>
          </w:p>
        </w:tc>
      </w:tr>
      <w:tr>
        <w:tc>
          <w:tcPr/>
          <w:p>
            <w:pPr>
              <w:pStyle w:val="Compact"/>
            </w:pPr>
            <w:r>
              <w:rPr>
                <w:sz w:val="18"/>
              </w:rPr>
              <w:t xml:space="preserve">FY2026 </w:t>
            </w:r>
            <w:r>
              <w:rPr>
                <w:rFonts w:hint="eastAsia"/>
                <w:sz w:val="18"/>
              </w:rPr>
              <w:t xml:space="preserve">4〜6月（91）</w:t>
            </w:r>
          </w:p>
        </w:tc>
        <w:tc>
          <w:tcPr/>
          <w:p>
            <w:pPr>
              <w:pStyle w:val="Compact"/>
              <w:jc w:val="right"/>
            </w:pPr>
            <w:r>
              <w:rPr>
                <w:rFonts w:hint="eastAsia"/>
                <w:sz w:val="18"/>
              </w:rPr>
              <w:t xml:space="preserve">14.04／10.03</w:t>
            </w:r>
          </w:p>
        </w:tc>
        <w:tc>
          <w:tcPr/>
          <w:p>
            <w:pPr>
              <w:pStyle w:val="Compact"/>
              <w:jc w:val="right"/>
            </w:pPr>
            <w:r>
              <w:rPr>
                <w:rFonts w:hint="eastAsia"/>
                <w:sz w:val="18"/>
              </w:rPr>
              <w:t xml:space="preserve">1.64／1.64</w:t>
            </w:r>
          </w:p>
        </w:tc>
        <w:tc>
          <w:tcPr/>
          <w:p>
            <w:pPr>
              <w:pStyle w:val="Compact"/>
              <w:jc w:val="right"/>
            </w:pPr>
            <w:r>
              <w:rPr>
                <w:rFonts w:hint="eastAsia"/>
                <w:sz w:val="18"/>
              </w:rPr>
              <w:t xml:space="preserve">0.34／0.37</w:t>
            </w:r>
          </w:p>
        </w:tc>
        <w:tc>
          <w:tcPr/>
          <w:p>
            <w:pPr>
              <w:pStyle w:val="Compact"/>
              <w:jc w:val="right"/>
            </w:pPr>
            <w:r>
              <w:rPr>
                <w:rFonts w:hint="eastAsia"/>
                <w:sz w:val="18"/>
              </w:rPr>
              <w:t xml:space="preserve">30.8／21.9</w:t>
            </w:r>
          </w:p>
        </w:tc>
        <w:tc>
          <w:tcPr/>
          <w:p>
            <w:pPr>
              <w:pStyle w:val="Compact"/>
              <w:jc w:val="right"/>
            </w:pPr>
            <w:r>
              <w:rPr>
                <w:rFonts w:hint="eastAsia"/>
                <w:sz w:val="18"/>
              </w:rPr>
              <w:t xml:space="preserve">37.3／25.1</w:t>
            </w:r>
          </w:p>
        </w:tc>
        <w:tc>
          <w:tcPr/>
          <w:p>
            <w:pPr>
              <w:pStyle w:val="Compact"/>
              <w:jc w:val="right"/>
            </w:pPr>
            <w:r>
              <w:rPr>
                <w:rFonts w:hint="eastAsia"/>
                <w:sz w:val="18"/>
              </w:rPr>
              <w:t xml:space="preserve">59.6／41.0</w:t>
            </w:r>
          </w:p>
        </w:tc>
        <w:tc>
          <w:tcPr/>
          <w:p>
            <w:pPr>
              <w:pStyle w:val="Compact"/>
              <w:jc w:val="right"/>
            </w:pPr>
            <w:r>
              <w:rPr>
                <w:rFonts w:hint="eastAsia"/>
                <w:sz w:val="18"/>
              </w:rPr>
              <w:t xml:space="preserve">0.49／0.51</w:t>
            </w:r>
          </w:p>
        </w:tc>
        <w:tc>
          <w:tcPr/>
          <w:p>
            <w:pPr>
              <w:pStyle w:val="Compact"/>
              <w:jc w:val="right"/>
            </w:pPr>
            <w:r>
              <w:rPr>
                <w:rFonts w:hint="eastAsia"/>
                <w:sz w:val="18"/>
              </w:rPr>
              <w:t xml:space="preserve">1.45（1.16〜1.74）</w:t>
            </w:r>
          </w:p>
        </w:tc>
      </w:tr>
    </w:tbl>
    <w:p>
      <w:pPr>
        <w:pStyle w:val="TableNote"/>
      </w:pPr>
      <w:r>
        <w:rPr>
          <w:rFonts w:hint="eastAsia"/>
        </w:rPr>
        <w:t xml:space="preserve">注）両エリアの24時間の価格（60分値）がそろう共通日について、式(6.1)で分けた値。各セルは「北海道／九州」で、最右列は北海道÷九州。放電脚は</w:t>
      </w:r>
      <w:r>
        <w:t xml:space="preserve"> </w:t>
      </w:r>
      <m:oMath>
        <m:r>
          <m:t>3.4</m:t>
        </m:r>
        <m:r>
          <m:rPr>
            <m:sty m:val="p"/>
          </m:rPr>
          <m:t>(</m:t>
        </m:r>
        <m:r>
          <m:t>T</m:t>
        </m:r>
        <m:r>
          <m:rPr>
            <m:sty m:val="p"/>
          </m:rPr>
          <m:t>−</m:t>
        </m:r>
        <m:r>
          <m:t>m</m:t>
        </m:r>
        <m:r>
          <m:rPr>
            <m:sty m:val="p"/>
          </m:rPr>
          <m:t>)</m:t>
        </m:r>
      </m:oMath>
      <w:r>
        <w:rPr>
          <w:rFonts w:hint="eastAsia"/>
        </w:rPr>
        <w:t xml:space="preserve">、充電脚は</w:t>
      </w:r>
      <w:r>
        <w:t xml:space="preserve"> </w:t>
      </w:r>
      <m:oMath>
        <m:r>
          <m:t>4</m:t>
        </m:r>
        <m:r>
          <m:rPr>
            <m:sty m:val="p"/>
          </m:rPr>
          <m:t>(</m:t>
        </m:r>
        <m:r>
          <m:t>m</m:t>
        </m:r>
        <m:r>
          <m:rPr>
            <m:sty m:val="p"/>
          </m:rPr>
          <m:t>−</m:t>
        </m:r>
        <m:r>
          <m:t>B</m:t>
        </m:r>
        <m:r>
          <m:rPr>
            <m:sty m:val="p"/>
          </m:rPr>
          <m:t>)</m:t>
        </m:r>
      </m:oMath>
      <w:r>
        <w:t xml:space="preserve"> </w:t>
      </w:r>
      <w:r>
        <w:rPr>
          <w:rFonts w:hint="eastAsia"/>
        </w:rPr>
        <w:t xml:space="preserve">で、水準項は示さない。完全予見粗利は休止を考えない値。放電脚の比率は</w:t>
      </w:r>
      <w:r>
        <w:t xml:space="preserve"> </w:t>
      </w:r>
      <m:oMath>
        <m:r>
          <m:rPr>
            <m:sty m:val="p"/>
          </m:rPr>
          <m:t>(</m:t>
        </m:r>
        <m:r>
          <m:t>T</m:t>
        </m:r>
        <m:r>
          <m:rPr>
            <m:sty m:val="p"/>
          </m:rPr>
          <m:t>−</m:t>
        </m:r>
        <m:r>
          <m:t>m</m:t>
        </m:r>
        <m:r>
          <m:rPr>
            <m:sty m:val="p"/>
          </m:rPr>
          <m:t>)</m:t>
        </m:r>
        <m:r>
          <m:rPr>
            <m:sty m:val="p"/>
          </m:rPr>
          <m:t>/</m:t>
        </m:r>
        <m:r>
          <m:rPr>
            <m:sty m:val="p"/>
          </m:rPr>
          <m:t>(</m:t>
        </m:r>
        <m:r>
          <m:t>T</m:t>
        </m:r>
        <m:r>
          <m:rPr>
            <m:sty m:val="p"/>
          </m:rPr>
          <m:t>−</m:t>
        </m:r>
        <m:r>
          <m:t>B</m:t>
        </m:r>
        <m:r>
          <m:rPr>
            <m:sty m:val="p"/>
          </m:rPr>
          <m:t>)</m:t>
        </m:r>
      </m:oMath>
      <w:r>
        <w:rPr>
          <w:rFonts w:hint="eastAsia"/>
        </w:rPr>
        <w:t xml:space="preserve">。比は期間平均の比で、95%区間は日次の差（比は線形化した影響関数）の平均に</w:t>
      </w:r>
      <w:r>
        <w:t xml:space="preserve"> EWC </w:t>
      </w:r>
      <w:r>
        <w:rPr>
          <w:rFonts w:hint="eastAsia"/>
        </w:rPr>
        <w:t xml:space="preserve">を当てて求めた。夏は7〜9月、冬は12〜2月、不需要期はそれ以外の月。FY2016〜22</w:t>
      </w:r>
      <w:r>
        <w:t xml:space="preserve"> </w:t>
      </w:r>
      <w:r>
        <w:rPr>
          <w:rFonts w:hint="eastAsia"/>
        </w:rPr>
        <w:t xml:space="preserve">の値と差の検定の</w:t>
      </w:r>
      <w:r>
        <w:t xml:space="preserve"> p </w:t>
      </w:r>
      <w:r>
        <w:rPr>
          <w:rFonts w:hint="eastAsia"/>
        </w:rPr>
        <w:t xml:space="preserve">は付録C.2.1</w:t>
      </w:r>
      <w:r>
        <w:t xml:space="preserve"> </w:t>
      </w:r>
      <w:r>
        <w:rPr>
          <w:rFonts w:hint="eastAsia"/>
        </w:rPr>
        <w:t xml:space="preserve">に示す。</w:t>
      </w:r>
    </w:p>
    <w:p>
      <w:pPr>
        <w:pStyle w:val="TableNote"/>
      </w:pPr>
      <w:r>
        <w:rPr>
          <w:rFonts w:hint="eastAsia"/>
        </w:rPr>
        <w:t xml:space="preserve">出所）日本卸電力取引所『スポット市場取引結果』より筆者作成。</w:t>
      </w:r>
    </w:p>
    <w:p>
      <w:pPr>
        <w:pStyle w:val="BodyText"/>
      </w:pPr>
      <w:r>
        <w:t xml:space="preserve">FY2023〜25 </w:t>
      </w:r>
      <w:r>
        <w:rPr>
          <w:rFonts w:hint="eastAsia"/>
        </w:rPr>
        <w:t xml:space="preserve">の北海道は、日平均で基準化した夕方のプレミアム（</w:t>
      </w:r>
      <m:oMath>
        <m:r>
          <m:t>T</m:t>
        </m:r>
        <m:r>
          <m:rPr>
            <m:sty m:val="p"/>
          </m:rPr>
          <m:t>/</m:t>
        </m:r>
        <m:r>
          <m:t>m</m:t>
        </m:r>
      </m:oMath>
      <w:r>
        <w:rPr>
          <w:rFonts w:hint="eastAsia"/>
        </w:rPr>
        <w:t xml:space="preserve">）も昼の窪み（</w:t>
      </w:r>
      <m:oMath>
        <m:r>
          <m:t>B</m:t>
        </m:r>
        <m:r>
          <m:rPr>
            <m:sty m:val="p"/>
          </m:rPr>
          <m:t>/</m:t>
        </m:r>
        <m:r>
          <m:t>m</m:t>
        </m:r>
      </m:oMath>
      <w:r>
        <w:rPr>
          <w:rFonts w:hint="eastAsia"/>
        </w:rPr>
        <w:t xml:space="preserve">）も九州より浅い一方、価格水準は高い。北海道の夕方の価格（上位4時間平均16.9円/kWh）が九州（15.2円/kWh）より高いのは、この水準の差による。水準の高さが粗利を押し上げる分（+6.5円/kW-日）を形状の浅さ（−10.4円/kW-日）が上回るので、TB4h</w:t>
      </w:r>
      <w:r>
        <w:t xml:space="preserve"> </w:t>
      </w:r>
      <w:r>
        <w:rPr>
          <w:rFonts w:hint="eastAsia"/>
        </w:rPr>
        <w:t xml:space="preserve">は九州の93%、往復損失を差し引いた完全予見粗利は88%になる。ただし形状の差は年度で動き、差が縮まった</w:t>
      </w:r>
      <w:r>
        <w:t xml:space="preserve"> FY2025 と FY2026 </w:t>
      </w:r>
      <w:r>
        <w:rPr>
          <w:rFonts w:hint="eastAsia"/>
        </w:rPr>
        <w:t xml:space="preserve">の4〜6月には、北海道の完全予見粗利が九州を上回った。完全予見の窓の時刻も両エリアでほぼ同じで、充電は9〜15時、放電は16〜21時に集まる。したがって「九州は充電脚、北海道は放電脚が価値の源泉」という対比は成り立たず、FY2023〜25</w:t>
      </w:r>
      <w:r>
        <w:t xml:space="preserve"> </w:t>
      </w:r>
      <w:r>
        <w:rPr>
          <w:rFonts w:hint="eastAsia"/>
        </w:rPr>
        <w:t xml:space="preserve">の北海道の特徴は、形状がやや浅く価格水準が高いことにある。北海道の脚は冬にとりわけ浅い（図6.1</w:t>
      </w:r>
      <w:r>
        <w:t xml:space="preserve"> の </w:t>
      </w:r>
      <w:r>
        <w:rPr>
          <w:rFonts w:hint="eastAsia"/>
        </w:rPr>
        <w:t xml:space="preserve">(a)）。</w:t>
      </w:r>
    </w:p>
    <w:p>
      <w:pPr>
        <w:pStyle w:val="CaptionedFigure"/>
      </w:pPr>
      <w:r>
        <w:drawing>
          <wp:inline>
            <wp:extent cx="5399999" cy="6550819"/>
            <wp:effectExtent b="0" l="0" r="0" t="0"/>
            <wp:docPr descr="図6.1　北海道と九州の脚の比較と、duration 別の損益分岐の価格水準係数" title="" id="138" name="Picture"/>
            <a:graphic>
              <a:graphicData uri="http://schemas.openxmlformats.org/drawingml/2006/picture">
                <pic:pic>
                  <pic:nvPicPr>
                    <pic:cNvPr descr="../figures/hokkaido/duration_legs.png" id="139" name="Picture"/>
                    <pic:cNvPicPr>
                      <a:picLocks noChangeArrowheads="1" noChangeAspect="1"/>
                    </pic:cNvPicPr>
                  </pic:nvPicPr>
                  <pic:blipFill>
                    <a:blip r:embed="rId137"/>
                    <a:stretch>
                      <a:fillRect/>
                    </a:stretch>
                  </pic:blipFill>
                  <pic:spPr bwMode="auto">
                    <a:xfrm>
                      <a:off x="0" y="0"/>
                      <a:ext cx="5399999" cy="6550819"/>
                    </a:xfrm>
                    <a:prstGeom prst="rect">
                      <a:avLst/>
                    </a:prstGeom>
                    <a:noFill/>
                    <a:ln w="9525">
                      <a:noFill/>
                      <a:headEnd/>
                      <a:tailEnd/>
                    </a:ln>
                  </pic:spPr>
                </pic:pic>
              </a:graphicData>
            </a:graphic>
          </wp:inline>
        </w:drawing>
      </w:r>
    </w:p>
    <w:p>
      <w:pPr>
        <w:pStyle w:val="ImageCaption"/>
      </w:pPr>
      <w:r>
        <w:rPr>
          <w:rFonts w:hint="eastAsia"/>
        </w:rPr>
        <w:t xml:space="preserve">図6.1</w:t>
      </w:r>
      <w:r>
        <w:t xml:space="preserve">　</w:t>
      </w:r>
      <w:r>
        <w:rPr>
          <w:rFonts w:hint="eastAsia"/>
        </w:rPr>
        <w:t xml:space="preserve">北海道と九州の脚の比較と、duration</w:t>
      </w:r>
      <w:r>
        <w:t xml:space="preserve"> </w:t>
      </w:r>
      <w:r>
        <w:rPr>
          <w:rFonts w:hint="eastAsia"/>
        </w:rPr>
        <w:t xml:space="preserve">別の損益分岐の価格水準係数</w:t>
      </w:r>
    </w:p>
    <w:p>
      <w:pPr>
        <w:pStyle w:val="TableNote"/>
      </w:pPr>
      <w:r>
        <w:rPr>
          <w:rFonts w:hint="eastAsia"/>
        </w:rPr>
        <w:t xml:space="preserve">注）(a)</w:t>
      </w:r>
      <w:r>
        <w:t xml:space="preserve"> </w:t>
      </w:r>
      <w:r>
        <w:rPr>
          <w:rFonts w:hint="eastAsia"/>
        </w:rPr>
        <w:t xml:space="preserve">は放電脚</w:t>
      </w:r>
      <w:r>
        <w:t xml:space="preserve"> </w:t>
      </w:r>
      <m:oMath>
        <m:r>
          <m:t>T</m:t>
        </m:r>
        <m:r>
          <m:rPr>
            <m:sty m:val="p"/>
          </m:rPr>
          <m:t>/</m:t>
        </m:r>
        <m:r>
          <m:t>m</m:t>
        </m:r>
        <m:r>
          <m:rPr>
            <m:sty m:val="p"/>
          </m:rPr>
          <m:t>−</m:t>
        </m:r>
        <m:r>
          <m:t>1</m:t>
        </m:r>
      </m:oMath>
      <w:r>
        <w:t xml:space="preserve"> </w:t>
      </w:r>
      <w:r>
        <w:rPr>
          <w:rFonts w:hint="eastAsia"/>
        </w:rPr>
        <w:t xml:space="preserve">と充電脚</w:t>
      </w:r>
      <w:r>
        <w:t xml:space="preserve"> </w:t>
      </w:r>
      <m:oMath>
        <m:r>
          <m:t>1</m:t>
        </m:r>
        <m:r>
          <m:rPr>
            <m:sty m:val="p"/>
          </m:rPr>
          <m:t>−</m:t>
        </m:r>
        <m:r>
          <m:t>B</m:t>
        </m:r>
        <m:r>
          <m:rPr>
            <m:sty m:val="p"/>
          </m:rPr>
          <m:t>/</m:t>
        </m:r>
        <m:r>
          <m:t>m</m:t>
        </m:r>
      </m:oMath>
      <w:r>
        <w:rPr>
          <w:rFonts w:hint="eastAsia"/>
        </w:rPr>
        <w:t xml:space="preserve">（上位・下位4時間の平均価格を日平均で基準化した値）を、北海道と九州の24時間の価格がそろう共通日で比べたもの。横軸の各群の下の「完全予見粗利の比」は、北海道÷九州の比である。(b)</w:t>
      </w:r>
      <w:r>
        <w:t xml:space="preserve"> は</w:t>
      </w:r>
      <w:r>
        <w:t xml:space="preserve"> </w:t>
      </w:r>
      <m:oMath>
        <m:r>
          <m:t>K</m:t>
        </m:r>
        <m:r>
          <m:rPr>
            <m:sty m:val="p"/>
          </m:rPr>
          <m:t>=</m:t>
        </m:r>
        <m:r>
          <m:t>0</m:t>
        </m:r>
      </m:oMath>
      <w:r>
        <w:t xml:space="preserve"> </w:t>
      </w:r>
      <w:r>
        <w:rPr>
          <w:rFonts w:hint="eastAsia"/>
        </w:rPr>
        <w:t xml:space="preserve">で参入が開く価格水準係数</w:t>
      </w:r>
      <w:r>
        <w:t xml:space="preserve"> </w:t>
      </w:r>
      <m:oMath>
        <m:sSup>
          <m:e>
            <m:r>
              <m:t>θ</m:t>
            </m:r>
          </m:e>
          <m:sup>
            <m:r>
              <m:rPr>
                <m:sty m:val="p"/>
              </m:rPr>
              <m:t>*</m:t>
            </m:r>
          </m:sup>
        </m:sSup>
      </m:oMath>
      <w:r>
        <w:t xml:space="preserve"> </w:t>
      </w:r>
      <w:r>
        <w:t xml:space="preserve">を duration </w:t>
      </w:r>
      <w:r>
        <w:rPr>
          <w:rFonts w:hint="eastAsia"/>
        </w:rPr>
        <w:t xml:space="preserve">別に示したもの（6.5節）で、静学、割引率6%。系列は4時間換算の資本費6.8・4.0・2.3万円/kWh、線は資本費のうち</w:t>
      </w:r>
      <w:r>
        <w:t xml:space="preserve"> kW </w:t>
      </w:r>
      <w:r>
        <w:rPr>
          <w:rFonts w:hint="eastAsia"/>
        </w:rPr>
        <w:t xml:space="preserve">に比例する部分を24.3%とした値、帯はそれを0〜39.7%とした範囲。収益は実績整合ケース（モデル価格の上の戦略</w:t>
      </w:r>
      <w:r>
        <w:t xml:space="preserve"> c </w:t>
      </w:r>
      <w:r>
        <w:rPr>
          <w:rFonts w:hint="eastAsia"/>
        </w:rPr>
        <w:t xml:space="preserve">を4時間・</w:t>
      </w:r>
      <m:oMath>
        <m:r>
          <m:t>K</m:t>
        </m:r>
        <m:r>
          <m:rPr>
            <m:sty m:val="p"/>
          </m:rPr>
          <m:t>=</m:t>
        </m:r>
        <m:r>
          <m:t>0</m:t>
        </m:r>
      </m:oMath>
      <w:r>
        <w:t xml:space="preserve"> </w:t>
      </w:r>
      <w:r>
        <w:rPr>
          <w:rFonts w:hint="eastAsia"/>
        </w:rPr>
        <w:t xml:space="preserve">で実績の戦略</w:t>
      </w:r>
      <w:r>
        <w:t xml:space="preserve"> c </w:t>
      </w:r>
      <w:r>
        <w:rPr>
          <w:rFonts w:hint="eastAsia"/>
        </w:rPr>
        <w:t xml:space="preserve">に校正）、容量収入は2029年度向けの北海道の約定価格と調整係数による（2時間は0）。水平の線は</w:t>
      </w:r>
      <w:r>
        <w:t xml:space="preserve"> FY2022 と </w:t>
      </w:r>
      <w:r>
        <w:rPr>
          <w:rFonts w:hint="eastAsia"/>
        </w:rPr>
        <w:t xml:space="preserve">FY2026上期の価格水準である。</w:t>
      </w:r>
    </w:p>
    <w:p>
      <w:pPr>
        <w:pStyle w:val="TableNote"/>
      </w:pPr>
      <w:r>
        <w:rPr>
          <w:rFonts w:hint="eastAsia"/>
        </w:rPr>
        <w:t xml:space="preserve">出所）日本卸電力取引所『スポット市場取引結果』、電力広域的運営推進機関『容量市場メインオークション約定結果』『容量市場メインオークション用調整係数』、経済産業省『定置用蓄電システム普及拡大検討会の結果とりまとめ』より筆者作成。</w:t>
      </w:r>
    </w:p>
    <w:p>
      <w:pPr>
        <w:pStyle w:val="BodyText"/>
      </w:pPr>
      <w:r>
        <w:t xml:space="preserve">FY2016〜25 </w:t>
      </w:r>
      <w:r>
        <w:rPr>
          <w:rFonts w:hint="eastAsia"/>
        </w:rPr>
        <w:t xml:space="preserve">の推移（図6.2）では、完全予見粗利は</w:t>
      </w:r>
      <w:r>
        <w:t xml:space="preserve"> FY2016〜19 </w:t>
      </w:r>
      <w:r>
        <w:rPr>
          <w:rFonts w:hint="eastAsia"/>
        </w:rPr>
        <w:t xml:space="preserve">に0.6〜1.1万円/kW-年、燃料危機の</w:t>
      </w:r>
      <w:r>
        <w:t xml:space="preserve"> FY2022 </w:t>
      </w:r>
      <w:r>
        <w:rPr>
          <w:rFonts w:hint="eastAsia"/>
        </w:rPr>
        <w:t xml:space="preserve">に2.5万円へ急騰し、FY2023〜25</w:t>
      </w:r>
      <w:r>
        <w:t xml:space="preserve"> </w:t>
      </w:r>
      <w:r>
        <w:rPr>
          <w:rFonts w:hint="eastAsia"/>
        </w:rPr>
        <w:t xml:space="preserve">に0.96〜1.15万円へ戻った。風力が日内のスプレッドを広げるという頑健な証拠はないので（5.3節）、北海道の裁定原資が風力の増加によって大きく広がることは見込みにくい（6.4節）。</w:t>
      </w:r>
    </w:p>
    <w:p>
      <w:pPr>
        <w:pStyle w:val="CaptionedFigure"/>
      </w:pPr>
      <w:r>
        <w:drawing>
          <wp:inline>
            <wp:extent cx="5399999" cy="3275409"/>
            <wp:effectExtent b="0" l="0" r="0" t="0"/>
            <wp:docPr descr="図6.2　完全予見粗利と実行可能戦略の年間粗利の推移（北海道）" title="" id="141" name="Picture"/>
            <a:graphic>
              <a:graphicData uri="http://schemas.openxmlformats.org/drawingml/2006/picture">
                <pic:pic>
                  <pic:nvPicPr>
                    <pic:cNvPr descr="../figures/hokkaido/annual_backtest_series.png" id="142" name="Picture"/>
                    <pic:cNvPicPr>
                      <a:picLocks noChangeArrowheads="1" noChangeAspect="1"/>
                    </pic:cNvPicPr>
                  </pic:nvPicPr>
                  <pic:blipFill>
                    <a:blip r:embed="rId140"/>
                    <a:stretch>
                      <a:fillRect/>
                    </a:stretch>
                  </pic:blipFill>
                  <pic:spPr bwMode="auto">
                    <a:xfrm>
                      <a:off x="0" y="0"/>
                      <a:ext cx="5399999" cy="3275409"/>
                    </a:xfrm>
                    <a:prstGeom prst="rect">
                      <a:avLst/>
                    </a:prstGeom>
                    <a:noFill/>
                    <a:ln w="9525">
                      <a:noFill/>
                      <a:headEnd/>
                      <a:tailEnd/>
                    </a:ln>
                  </pic:spPr>
                </pic:pic>
              </a:graphicData>
            </a:graphic>
          </wp:inline>
        </w:drawing>
      </w:r>
    </w:p>
    <w:p>
      <w:pPr>
        <w:pStyle w:val="ImageCaption"/>
      </w:pPr>
      <w:r>
        <w:rPr>
          <w:rFonts w:hint="eastAsia"/>
        </w:rPr>
        <w:t xml:space="preserve">図6.2</w:t>
      </w:r>
      <w:r>
        <w:t xml:space="preserve">　</w:t>
      </w:r>
      <w:r>
        <w:rPr>
          <w:rFonts w:hint="eastAsia"/>
        </w:rPr>
        <w:t xml:space="preserve">完全予見粗利と実行可能戦略の年間粗利の推移（北海道）</w:t>
      </w:r>
    </w:p>
    <w:p>
      <w:pPr>
        <w:pStyle w:val="TableNote"/>
      </w:pPr>
      <w:r>
        <w:rPr>
          <w:rFonts w:hint="eastAsia"/>
        </w:rPr>
        <w:t xml:space="preserve">注）4時間・往復効率0.85。a・b・c</w:t>
      </w:r>
      <w:r>
        <w:t xml:space="preserve"> </w:t>
      </w:r>
      <w:r>
        <w:rPr>
          <w:rFonts w:hint="eastAsia"/>
        </w:rPr>
        <w:t xml:space="preserve">は6.1.2項の戦略である。FY2016</w:t>
      </w:r>
      <w:r>
        <w:t xml:space="preserve"> </w:t>
      </w:r>
      <w:r>
        <w:rPr>
          <w:rFonts w:hint="eastAsia"/>
        </w:rPr>
        <w:t xml:space="preserve">の戦略</w:t>
      </w:r>
      <w:r>
        <w:t xml:space="preserve"> b・c </w:t>
      </w:r>
      <w:r>
        <w:rPr>
          <w:rFonts w:hint="eastAsia"/>
        </w:rPr>
        <w:t xml:space="preserve">は、系列の冒頭で信号を作れない日を除く。FY2018</w:t>
      </w:r>
      <w:r>
        <w:t xml:space="preserve"> </w:t>
      </w:r>
      <w:r>
        <w:rPr>
          <w:rFonts w:hint="eastAsia"/>
        </w:rPr>
        <w:t xml:space="preserve">は北海道胆振東部地震による欠測を含む。</w:t>
      </w:r>
    </w:p>
    <w:p>
      <w:pPr>
        <w:pStyle w:val="TableNote"/>
      </w:pPr>
      <w:r>
        <w:rPr>
          <w:rFonts w:hint="eastAsia"/>
        </w:rPr>
        <w:t xml:space="preserve">出所）日本卸電力取引所『スポット市場取引結果』、北海道電力ネットワーク『エリア需給実績』より筆者作成。</w:t>
      </w:r>
    </w:p>
    <w:bookmarkEnd w:id="143"/>
    <w:bookmarkStart w:id="147" w:name="実行可能戦略と実現率-1"/>
    <w:p>
      <w:pPr>
        <w:pStyle w:val="Heading2"/>
      </w:pPr>
      <w:r>
        <w:t xml:space="preserve">6.3　</w:t>
      </w:r>
      <w:r>
        <w:rPr>
          <w:rFonts w:hint="eastAsia"/>
        </w:rPr>
        <w:t xml:space="preserve">実行可能戦略と実現率</w:t>
      </w:r>
    </w:p>
    <w:p>
      <w:pPr>
        <w:pStyle w:val="FirstParagraph"/>
      </w:pPr>
      <w:r>
        <w:rPr>
          <w:rFonts w:hint="eastAsia"/>
        </w:rPr>
        <w:t xml:space="preserve">図6.3</w:t>
      </w:r>
      <w:r>
        <w:t xml:space="preserve"> は、FY2023〜25 </w:t>
      </w:r>
      <w:r>
        <w:rPr>
          <w:rFonts w:hint="eastAsia"/>
        </w:rPr>
        <w:t xml:space="preserve">の実行可能戦略の実現率と、戦略</w:t>
      </w:r>
      <w:r>
        <w:t xml:space="preserve"> c </w:t>
      </w:r>
      <w:r>
        <w:rPr>
          <w:rFonts w:hint="eastAsia"/>
        </w:rPr>
        <w:t xml:space="preserve">との差の検定である。気候値の戦略</w:t>
      </w:r>
      <w:r>
        <w:t xml:space="preserve"> c </w:t>
      </w:r>
      <w:r>
        <w:rPr>
          <w:rFonts w:hint="eastAsia"/>
        </w:rPr>
        <w:t xml:space="preserve">が81.7%（95%区間77.5〜84.9%）で最も高く、残余需要の予測ランクを使う戦略</w:t>
      </w:r>
      <w:r>
        <w:t xml:space="preserve"> </w:t>
      </w:r>
      <w:r>
        <w:rPr>
          <w:rFonts w:hint="eastAsia"/>
        </w:rPr>
        <w:t xml:space="preserve">b（78.9%）が続く。前日の実現価格のランクを使う戦略</w:t>
      </w:r>
      <w:r>
        <w:t xml:space="preserve"> a </w:t>
      </w:r>
      <w:r>
        <w:rPr>
          <w:rFonts w:hint="eastAsia"/>
        </w:rPr>
        <w:t xml:space="preserve">は68.5%で、九州の同じ戦略（年度別に76〜80%）より約10ポイント低い。c</w:t>
      </w:r>
      <w:r>
        <w:t xml:space="preserve"> は b </w:t>
      </w:r>
      <w:r>
        <w:rPr>
          <w:rFonts w:hint="eastAsia"/>
        </w:rPr>
        <w:t xml:space="preserve">を年平均290円/kW-年、a</w:t>
      </w:r>
      <w:r>
        <w:t xml:space="preserve"> </w:t>
      </w:r>
      <w:r>
        <w:rPr>
          <w:rFonts w:hint="eastAsia"/>
        </w:rPr>
        <w:t xml:space="preserve">を1,356円/kW-年上回り、c</w:t>
      </w:r>
      <w:r>
        <w:t xml:space="preserve"> </w:t>
      </w:r>
      <w:r>
        <w:rPr>
          <w:rFonts w:hint="eastAsia"/>
        </w:rPr>
        <w:t xml:space="preserve">と他の戦略の差はいずれも1%水準で有意である。年度別には、c</w:t>
      </w:r>
      <w:r>
        <w:t xml:space="preserve"> と b </w:t>
      </w:r>
      <w:r>
        <w:rPr>
          <w:rFonts w:hint="eastAsia"/>
        </w:rPr>
        <w:t xml:space="preserve">の差は</w:t>
      </w:r>
      <w:r>
        <w:t xml:space="preserve"> FY2023・FY2024 </w:t>
      </w:r>
      <w:r>
        <w:rPr>
          <w:rFonts w:hint="eastAsia"/>
        </w:rPr>
        <w:t xml:space="preserve">に有意だが、FY2025</w:t>
      </w:r>
      <w:r>
        <w:t xml:space="preserve"> </w:t>
      </w:r>
      <w:r>
        <w:rPr>
          <w:rFonts w:hint="eastAsia"/>
        </w:rPr>
        <w:t xml:space="preserve">は1.1ポイントで有意でなく（p=0.25）、差は縮まっている。各戦略の年度別の値は表C.18</w:t>
      </w:r>
      <w:r>
        <w:t xml:space="preserve"> </w:t>
      </w:r>
      <w:r>
        <w:rPr>
          <w:rFonts w:hint="eastAsia"/>
        </w:rPr>
        <w:t xml:space="preserve">に示す。</w:t>
      </w:r>
    </w:p>
    <w:p>
      <w:pPr>
        <w:pStyle w:val="CaptionedFigure"/>
      </w:pPr>
      <w:r>
        <w:drawing>
          <wp:inline>
            <wp:extent cx="5399999" cy="5317014"/>
            <wp:effectExtent b="0" l="0" r="0" t="0"/>
            <wp:docPr descr="図6.3　実行可能戦略の実現率と戦略 c との差（北海道、FY2023〜25）" title="" id="145" name="Picture"/>
            <a:graphic>
              <a:graphicData uri="http://schemas.openxmlformats.org/drawingml/2006/picture">
                <pic:pic>
                  <pic:nvPicPr>
                    <pic:cNvPr descr="../figures/hokkaido/strategy_capture_ci.png" id="146" name="Picture"/>
                    <pic:cNvPicPr>
                      <a:picLocks noChangeArrowheads="1" noChangeAspect="1"/>
                    </pic:cNvPicPr>
                  </pic:nvPicPr>
                  <pic:blipFill>
                    <a:blip r:embed="rId144"/>
                    <a:stretch>
                      <a:fillRect/>
                    </a:stretch>
                  </pic:blipFill>
                  <pic:spPr bwMode="auto">
                    <a:xfrm>
                      <a:off x="0" y="0"/>
                      <a:ext cx="5399999" cy="5317014"/>
                    </a:xfrm>
                    <a:prstGeom prst="rect">
                      <a:avLst/>
                    </a:prstGeom>
                    <a:noFill/>
                    <a:ln w="9525">
                      <a:noFill/>
                      <a:headEnd/>
                      <a:tailEnd/>
                    </a:ln>
                  </pic:spPr>
                </pic:pic>
              </a:graphicData>
            </a:graphic>
          </wp:inline>
        </w:drawing>
      </w:r>
    </w:p>
    <w:p>
      <w:pPr>
        <w:pStyle w:val="ImageCaption"/>
      </w:pPr>
      <w:r>
        <w:rPr>
          <w:rFonts w:hint="eastAsia"/>
        </w:rPr>
        <w:t xml:space="preserve">図6.3</w:t>
      </w:r>
      <w:r>
        <w:t xml:space="preserve">　</w:t>
      </w:r>
      <w:r>
        <w:rPr>
          <w:rFonts w:hint="eastAsia"/>
        </w:rPr>
        <w:t xml:space="preserve">実行可能戦略の実現率と戦略</w:t>
      </w:r>
      <w:r>
        <w:t xml:space="preserve"> c </w:t>
      </w:r>
      <w:r>
        <w:rPr>
          <w:rFonts w:hint="eastAsia"/>
        </w:rPr>
        <w:t xml:space="preserve">との差（北海道、FY2023〜25）</w:t>
      </w:r>
    </w:p>
    <w:p>
      <w:pPr>
        <w:pStyle w:val="TableNote"/>
      </w:pPr>
      <w:r>
        <w:rPr>
          <w:rFonts w:hint="eastAsia"/>
        </w:rPr>
        <w:t xml:space="preserve">注）実現率は完全予見粗利に対する比（%）。北海道</w:t>
      </w:r>
      <w:r>
        <w:t xml:space="preserve"> FY2023〜25 </w:t>
      </w:r>
      <w:r>
        <w:rPr>
          <w:rFonts w:hint="eastAsia"/>
        </w:rPr>
        <w:t xml:space="preserve">の1,096日、4時間・往復効率0.85・60分粒度。(a)</w:t>
      </w:r>
      <w:r>
        <w:t xml:space="preserve"> </w:t>
      </w:r>
      <w:r>
        <w:rPr>
          <w:rFonts w:hint="eastAsia"/>
        </w:rPr>
        <w:t xml:space="preserve">の点は3年度の粗利の合計の比、横線は定常ブートストラップ（平均ブロック長20日、反復10,000回）の95%パーセンタイル区間、灰色の印は年度別の点推定で、右端の数値は点推定と95%区間である。(b)</w:t>
      </w:r>
      <w:r>
        <w:t xml:space="preserve"> </w:t>
      </w:r>
      <w:r>
        <w:rPr>
          <w:rFonts w:hint="eastAsia"/>
        </w:rPr>
        <w:t xml:space="preserve">は戦略</w:t>
      </w:r>
      <w:r>
        <w:t xml:space="preserve"> c </w:t>
      </w:r>
      <w:r>
        <w:rPr>
          <w:rFonts w:hint="eastAsia"/>
        </w:rPr>
        <w:t xml:space="preserve">との差（ポイント）と95%区間で、右端の括弧内は日次粗利の差の</w:t>
      </w:r>
      <w:r>
        <w:t xml:space="preserve"> Diebold–Mariano </w:t>
      </w:r>
      <w:r>
        <w:rPr>
          <w:rFonts w:hint="eastAsia"/>
        </w:rPr>
        <w:t xml:space="preserve">統計量（長期分散は</w:t>
      </w:r>
      <w:r>
        <w:t xml:space="preserve"> </w:t>
      </w:r>
      <w:r>
        <w:rPr>
          <w:rFonts w:hint="eastAsia"/>
        </w:rPr>
        <w:t xml:space="preserve">Newey–West、ラグ7日）。DL1・DL3・DL5</w:t>
      </w:r>
      <w:r>
        <w:t xml:space="preserve"> </w:t>
      </w:r>
      <w:r>
        <w:rPr>
          <w:rFonts w:hint="eastAsia"/>
        </w:rPr>
        <w:t xml:space="preserve">は動的因子予測、AR</w:t>
      </w:r>
      <w:r>
        <w:t xml:space="preserve"> </w:t>
      </w:r>
      <w:r>
        <w:rPr>
          <w:rFonts w:hint="eastAsia"/>
        </w:rPr>
        <w:t xml:space="preserve">は時刻別</w:t>
      </w:r>
      <w:r>
        <w:t xml:space="preserve"> AR(1) </w:t>
      </w:r>
      <w:r>
        <w:rPr>
          <w:rFonts w:hint="eastAsia"/>
        </w:rPr>
        <w:t xml:space="preserve">による予測（6.1.3項）。縦の破線は戦略</w:t>
      </w:r>
      <w:r>
        <w:t xml:space="preserve"> c </w:t>
      </w:r>
      <w:r>
        <w:rPr>
          <w:rFonts w:hint="eastAsia"/>
        </w:rPr>
        <w:t xml:space="preserve">の実現率の水準（81%）。a・a2</w:t>
      </w:r>
      <w:r>
        <w:t xml:space="preserve"> </w:t>
      </w:r>
      <w:r>
        <w:rPr>
          <w:rFonts w:hint="eastAsia"/>
        </w:rPr>
        <w:t xml:space="preserve">は前日の実現価格に同値がある日（219日）に、同値の時間帯へ充放電量を均等に配分した値で、選び方を変えると</w:t>
      </w:r>
      <w:r>
        <w:t xml:space="preserve"> a </w:t>
      </w:r>
      <w:r>
        <w:rPr>
          <w:rFonts w:hint="eastAsia"/>
        </w:rPr>
        <w:t xml:space="preserve">は年度別に66.5〜70.7%の範囲で動く。SPA</w:t>
      </w:r>
      <w:r>
        <w:t xml:space="preserve"> </w:t>
      </w:r>
      <w:r>
        <w:rPr>
          <w:rFonts w:hint="eastAsia"/>
        </w:rPr>
        <w:t xml:space="preserve">検定とモデル信頼集合（MCS）の結果は6.7節で扱う。</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この順位は、北海道の日次の価格形状が二つの部分からなることを示す。一つは需要の朝夕のピーク・夜の谷・季節の日射からなる安定した骨格であり、もう一つは翌日に持ち越されにくい日々の変動である。戦略</w:t>
      </w:r>
      <w:r>
        <w:t xml:space="preserve"> a </w:t>
      </w:r>
      <w:r>
        <w:rPr>
          <w:rFonts w:hint="eastAsia"/>
        </w:rPr>
        <w:t xml:space="preserve">は前日の変動を追いかけて取り逃し、平均をとる戦略</w:t>
      </w:r>
      <w:r>
        <w:t xml:space="preserve"> c </w:t>
      </w:r>
      <w:r>
        <w:rPr>
          <w:rFonts w:hint="eastAsia"/>
        </w:rPr>
        <w:t xml:space="preserve">は変動を相殺して骨格だけを残す。形状の日々の持続性が低い過程では気候値が持続性予測に勝つという、予測の古典的な結果である（6.7節）。c</w:t>
      </w:r>
      <w:r>
        <w:t xml:space="preserve"> が b </w:t>
      </w:r>
      <w:r>
        <w:rPr>
          <w:rFonts w:hint="eastAsia"/>
        </w:rPr>
        <w:t xml:space="preserve">を上回るのは、価格の平均が揚水の運用、連系線、風力の季節的な日内パターンまで織り込むためである。風力の直近7日平均を信号に加えた</w:t>
      </w:r>
      <w:r>
        <w:t xml:space="preserve"> b′ は b </w:t>
      </w:r>
      <w:r>
        <w:rPr>
          <w:rFonts w:hint="eastAsia"/>
        </w:rPr>
        <w:t xml:space="preserve">を改善せず、プールではむしろ0.5ポイント下回る（p=0.03）。これは、風力の変動は数日にわたって持続するが（5.2.2項）、一日の価格をほぼ一様に動かし、充放電の順位を決める形状を広げるという頑健な証拠はない（5.3節・5.7節）ことと整合する。</w:t>
      </w:r>
    </w:p>
    <w:p>
      <w:pPr>
        <w:pStyle w:val="BodyText"/>
      </w:pPr>
      <w:r>
        <w:t xml:space="preserve">FY2016〜25 </w:t>
      </w:r>
      <w:r>
        <w:rPr>
          <w:rFonts w:hint="eastAsia"/>
        </w:rPr>
        <w:t xml:space="preserve">の推移（図6.2）では、戦略</w:t>
      </w:r>
      <w:r>
        <w:t xml:space="preserve"> b は FY2016〜18 </w:t>
      </w:r>
      <w:r>
        <w:rPr>
          <w:rFonts w:hint="eastAsia"/>
        </w:rPr>
        <w:t xml:space="preserve">に実現率10〜22%とほぼ機能せず、FY2022〜23</w:t>
      </w:r>
      <w:r>
        <w:t xml:space="preserve"> </w:t>
      </w:r>
      <w:r>
        <w:rPr>
          <w:rFonts w:hint="eastAsia"/>
        </w:rPr>
        <w:t xml:space="preserve">に戦略</w:t>
      </w:r>
      <w:r>
        <w:t xml:space="preserve"> a </w:t>
      </w:r>
      <w:r>
        <w:rPr>
          <w:rFonts w:hint="eastAsia"/>
        </w:rPr>
        <w:t xml:space="preserve">を逆転した。価格形状を決める要因が再生可能エネルギーに移ったことを示すこの逆転は九州で先に観察されており、北海道でも遅れて現れ始めている。戦略</w:t>
      </w:r>
      <w:r>
        <w:t xml:space="preserve"> c </w:t>
      </w:r>
      <w:r>
        <w:rPr>
          <w:rFonts w:hint="eastAsia"/>
        </w:rPr>
        <w:t xml:space="preserve">の実現率は</w:t>
      </w:r>
      <w:r>
        <w:t xml:space="preserve"> FY2016〜25 </w:t>
      </w:r>
      <w:r>
        <w:rPr>
          <w:rFonts w:hint="eastAsia"/>
        </w:rPr>
        <w:t xml:space="preserve">に76.4〜84.3%の範囲にあり、FY2018・FY2019・FY2021</w:t>
      </w:r>
      <w:r>
        <w:t xml:space="preserve"> </w:t>
      </w:r>
      <w:r>
        <w:rPr>
          <w:rFonts w:hint="eastAsia"/>
        </w:rPr>
        <w:t xml:space="preserve">を除けば8割を超える。充放電の順序を課した厳密解と比べても、戦略</w:t>
      </w:r>
      <w:r>
        <w:t xml:space="preserve"> c </w:t>
      </w:r>
      <w:r>
        <w:rPr>
          <w:rFonts w:hint="eastAsia"/>
        </w:rPr>
        <w:t xml:space="preserve">の粗利の差は±0.4%以内にとどまる（6.7節）。</w:t>
      </w:r>
    </w:p>
    <w:p>
      <w:pPr>
        <w:pStyle w:val="BodyText"/>
      </w:pPr>
      <w:r>
        <w:rPr>
          <w:rFonts w:hint="eastAsia"/>
        </w:rPr>
        <w:t xml:space="preserve">戦略</w:t>
      </w:r>
      <w:r>
        <w:t xml:space="preserve"> c </w:t>
      </w:r>
      <w:r>
        <w:rPr>
          <w:rFonts w:hint="eastAsia"/>
        </w:rPr>
        <w:t xml:space="preserve">の実現率は、Butters</w:t>
      </w:r>
      <w:r>
        <w:t xml:space="preserve"> et </w:t>
      </w:r>
      <w:r>
        <w:rPr>
          <w:rFonts w:hint="eastAsia"/>
        </w:rPr>
        <w:t xml:space="preserve">al.（2025）が</w:t>
      </w:r>
      <w:r>
        <w:t xml:space="preserve"> CAISO </w:t>
      </w:r>
      <w:r>
        <w:rPr>
          <w:rFonts w:hint="eastAsia"/>
        </w:rPr>
        <w:t xml:space="preserve">で報告する完全予見の約7割と同じ水準帯にあり（10.2.3項）、本研究の気候値戦略は、PJM</w:t>
      </w:r>
      <w:r>
        <w:t xml:space="preserve"> </w:t>
      </w:r>
      <w:r>
        <w:rPr>
          <w:rFonts w:hint="eastAsia"/>
        </w:rPr>
        <w:t xml:space="preserve">で直前2週間の価格に基づく運用が完全予見の85%以上を捕捉するという</w:t>
      </w:r>
      <w:r>
        <w:t xml:space="preserve"> Sioshansi et </w:t>
      </w:r>
      <w:r>
        <w:rPr>
          <w:rFonts w:hint="eastAsia"/>
        </w:rPr>
        <w:t xml:space="preserve">al.（2009）のバックキャストの日本版にあたる。</w:t>
      </w:r>
    </w:p>
    <w:bookmarkEnd w:id="147"/>
    <w:bookmarkStart w:id="153" w:name="風力の日次水準と裁定指標"/>
    <w:p>
      <w:pPr>
        <w:pStyle w:val="Heading2"/>
      </w:pPr>
      <w:r>
        <w:t xml:space="preserve">6.4　</w:t>
      </w:r>
      <w:r>
        <w:rPr>
          <w:rFonts w:hint="eastAsia"/>
        </w:rPr>
        <w:t xml:space="preserve">風力の日次水準と裁定指標</w:t>
      </w:r>
    </w:p>
    <w:bookmarkStart w:id="149" w:name="風力の三分位別の裁定指標"/>
    <w:p>
      <w:pPr>
        <w:pStyle w:val="Heading3"/>
      </w:pPr>
      <w:r>
        <w:t xml:space="preserve">6.4.1　</w:t>
      </w:r>
      <w:r>
        <w:rPr>
          <w:rFonts w:hint="eastAsia"/>
        </w:rPr>
        <w:t xml:space="preserve">風力の三分位別の裁定指標</w:t>
      </w:r>
    </w:p>
    <w:p>
      <w:pPr>
        <w:pStyle w:val="FirstParagraph"/>
      </w:pPr>
      <w:r>
        <w:rPr>
          <w:rFonts w:hint="eastAsia"/>
        </w:rPr>
        <w:t xml:space="preserve">表6.2</w:t>
      </w:r>
      <w:r>
        <w:t xml:space="preserve"> </w:t>
      </w:r>
      <w:r>
        <w:rPr>
          <w:rFonts w:hint="eastAsia"/>
        </w:rPr>
        <w:t xml:space="preserve">は、各季節で日次の風力発電量（出力制御前）の三分位に日を分け、裁定指標の平均を比べたものである。冬と不需要期では風力の多い日に</w:t>
      </w:r>
      <w:r>
        <w:t xml:space="preserve"> TB4h </w:t>
      </w:r>
      <w:r>
        <w:rPr>
          <w:rFonts w:hint="eastAsia"/>
        </w:rPr>
        <w:t xml:space="preserve">がやや縮み、完全予見粗利は冬に−19%、不需要期に−2%となる。夏はむしろ風力の多い日にやや高いが、これは9月の日に由来し、7〜8月に限ると</w:t>
      </w:r>
      <w:r>
        <w:t xml:space="preserve"> TB4h </w:t>
      </w:r>
      <w:r>
        <w:rPr>
          <w:rFonts w:hint="eastAsia"/>
        </w:rPr>
        <w:t xml:space="preserve">は10.72円から10.38円へ縮み、完全予見粗利は−2%と、他の季節と同じ向きになる。冬の−19%も、日次の完全予見粗利を風力に回帰すると係数は負だが有意でなく</w:t>
      </w:r>
      <w:r>
        <w:rPr>
          <w:rStyle w:val="FootnoteReference"/>
        </w:rPr>
        <w:footnoteReference w:id="148"/>
      </w:r>
      <w:r>
        <w:rPr>
          <w:rFonts w:hint="eastAsia"/>
        </w:rPr>
        <w:t xml:space="preserve">、風力が冬の価値を下げるとまでは言えない。</w:t>
      </w:r>
    </w:p>
    <w:p>
      <w:pPr>
        <w:pStyle w:val="TableCaption"/>
      </w:pPr>
      <w:r>
        <w:rPr>
          <w:rFonts w:hint="eastAsia"/>
        </w:rPr>
        <w:t xml:space="preserve">表6.2</w:t>
      </w:r>
      <w:r>
        <w:t xml:space="preserve">　</w:t>
      </w:r>
      <w:r>
        <w:rPr>
          <w:rFonts w:hint="eastAsia"/>
        </w:rPr>
        <w:t xml:space="preserve">風力の三分位別の裁定指標（FY2023〜25）</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6.2　風力の三分位別の裁定指標（FY2023〜25）"/>
      </w:tblPr>
      <w:tblGrid>
        <w:gridCol w:w="990"/>
        <w:gridCol w:w="990"/>
        <w:gridCol w:w="990"/>
        <w:gridCol w:w="990"/>
        <w:gridCol w:w="990"/>
        <w:gridCol w:w="990"/>
        <w:gridCol w:w="990"/>
        <w:gridCol w:w="990"/>
      </w:tblGrid>
      <w:tr>
        <w:trPr>
          <w:tblHeader w:val="on"/>
        </w:trPr>
        <w:tc>
          <w:tcPr>
            <w:tcBorders>
              <w:bottom w:val="single" w:sz="6" w:color="000000"/>
            </w:tcBorders>
          </w:tcPr>
          <w:p>
            <w:pPr>
              <w:pStyle w:val="Compact"/>
            </w:pPr>
            <w:r>
              <w:rPr>
                <w:rFonts w:hint="eastAsia"/>
                <w:sz w:val="18"/>
              </w:rPr>
              <w:t xml:space="preserve">季節</w:t>
            </w:r>
          </w:p>
        </w:tc>
        <w:tc>
          <w:tcPr>
            <w:tcBorders>
              <w:bottom w:val="single" w:sz="6" w:color="000000"/>
            </w:tcBorders>
          </w:tcPr>
          <w:p>
            <w:pPr>
              <w:pStyle w:val="Compact"/>
            </w:pPr>
            <w:r>
              <w:rPr>
                <w:rFonts w:hint="eastAsia"/>
                <w:sz w:val="18"/>
              </w:rPr>
              <w:t xml:space="preserve">風力の三分位</w:t>
            </w:r>
          </w:p>
        </w:tc>
        <w:tc>
          <w:tcPr>
            <w:tcBorders>
              <w:bottom w:val="single" w:sz="6" w:color="000000"/>
            </w:tcBorders>
          </w:tcPr>
          <w:p>
            <w:pPr>
              <w:pStyle w:val="Compact"/>
              <w:jc w:val="right"/>
            </w:pPr>
            <w:r>
              <w:rPr>
                <w:rFonts w:hint="eastAsia"/>
                <w:sz w:val="18"/>
              </w:rPr>
              <w:t xml:space="preserve">TB4h（円/kWh）</w:t>
            </w:r>
          </w:p>
        </w:tc>
        <w:tc>
          <w:tcPr>
            <w:tcBorders>
              <w:bottom w:val="single" w:sz="6" w:color="000000"/>
            </w:tcBorders>
          </w:tcPr>
          <w:p>
            <w:pPr>
              <w:pStyle w:val="Compact"/>
              <w:jc w:val="right"/>
            </w:pPr>
            <w:r>
              <w:rPr>
                <w:rFonts w:hint="eastAsia"/>
                <w:sz w:val="18"/>
              </w:rPr>
              <w:t xml:space="preserve">完全予見粗利（円/kW-日）</w:t>
            </w:r>
          </w:p>
        </w:tc>
        <w:tc>
          <w:tcPr>
            <w:tcBorders>
              <w:bottom w:val="single" w:sz="6" w:color="000000"/>
            </w:tcBorders>
          </w:tcPr>
          <w:p>
            <w:pPr>
              <w:pStyle w:val="Compact"/>
              <w:jc w:val="right"/>
            </w:pPr>
            <w:r>
              <w:rPr>
                <w:rFonts w:hint="eastAsia"/>
                <w:sz w:val="18"/>
              </w:rPr>
              <w:t xml:space="preserve">下限張り付き（時間/日）</w:t>
            </w:r>
          </w:p>
        </w:tc>
        <w:tc>
          <w:tcPr>
            <w:tcBorders>
              <w:bottom w:val="single" w:sz="6" w:color="000000"/>
            </w:tcBorders>
          </w:tcPr>
          <w:p>
            <w:pPr>
              <w:pStyle w:val="Compact"/>
              <w:jc w:val="right"/>
            </w:pPr>
            <w:r>
              <w:rPr>
                <w:rFonts w:hint="eastAsia"/>
                <w:sz w:val="18"/>
              </w:rPr>
              <w:t xml:space="preserve">安値分断（時間/日）</w:t>
            </w:r>
          </w:p>
        </w:tc>
        <w:tc>
          <w:tcPr>
            <w:tcBorders>
              <w:bottom w:val="single" w:sz="6" w:color="000000"/>
            </w:tcBorders>
          </w:tcPr>
          <w:p>
            <w:pPr>
              <w:pStyle w:val="Compact"/>
              <w:jc w:val="right"/>
            </w:pPr>
            <w:r>
              <w:rPr>
                <w:rFonts w:hint="eastAsia"/>
                <w:sz w:val="18"/>
              </w:rPr>
              <w:t xml:space="preserve">うち北本の拘束（時間/日）</w:t>
            </w:r>
          </w:p>
        </w:tc>
        <w:tc>
          <w:tcPr>
            <w:tcBorders>
              <w:bottom w:val="single" w:sz="6" w:color="000000"/>
            </w:tcBorders>
          </w:tcPr>
          <w:p>
            <w:pPr>
              <w:pStyle w:val="Compact"/>
              <w:jc w:val="right"/>
            </w:pPr>
            <w:r>
              <w:rPr>
                <w:rFonts w:hint="eastAsia"/>
                <w:sz w:val="18"/>
              </w:rPr>
              <w:t xml:space="preserve">うち東日本側（時間/日）</w:t>
            </w:r>
          </w:p>
        </w:tc>
      </w:tr>
      <w:tr>
        <w:tc>
          <w:tcPr/>
          <w:p>
            <w:pPr>
              <w:pStyle w:val="Compact"/>
            </w:pPr>
            <w:r>
              <w:rPr>
                <w:rFonts w:hint="eastAsia"/>
                <w:sz w:val="18"/>
              </w:rPr>
              <w:t xml:space="preserve">夏</w:t>
            </w:r>
          </w:p>
        </w:tc>
        <w:tc>
          <w:tcPr/>
          <w:p>
            <w:pPr>
              <w:pStyle w:val="Compact"/>
            </w:pPr>
            <w:r>
              <w:rPr>
                <w:rFonts w:hint="eastAsia"/>
                <w:sz w:val="18"/>
              </w:rPr>
              <w:t xml:space="preserve">小</w:t>
            </w:r>
          </w:p>
        </w:tc>
        <w:tc>
          <w:tcPr/>
          <w:p>
            <w:pPr>
              <w:pStyle w:val="Compact"/>
              <w:jc w:val="right"/>
            </w:pPr>
            <w:r>
              <w:rPr>
                <w:sz w:val="18"/>
              </w:rPr>
              <w:t xml:space="preserve">10.89</w:t>
            </w:r>
          </w:p>
        </w:tc>
        <w:tc>
          <w:tcPr/>
          <w:p>
            <w:pPr>
              <w:pStyle w:val="Compact"/>
              <w:jc w:val="right"/>
            </w:pPr>
            <w:r>
              <w:rPr>
                <w:sz w:val="18"/>
              </w:rPr>
              <w:t xml:space="preserve">31.6</w:t>
            </w:r>
          </w:p>
        </w:tc>
        <w:tc>
          <w:tcPr/>
          <w:p>
            <w:pPr>
              <w:pStyle w:val="Compact"/>
              <w:jc w:val="right"/>
            </w:pPr>
            <w:r>
              <w:rPr>
                <w:sz w:val="18"/>
              </w:rPr>
              <w:t xml:space="preserve">0.14</w:t>
            </w:r>
          </w:p>
        </w:tc>
        <w:tc>
          <w:tcPr/>
          <w:p>
            <w:pPr>
              <w:pStyle w:val="Compact"/>
              <w:jc w:val="right"/>
            </w:pPr>
            <w:r>
              <w:rPr>
                <w:sz w:val="18"/>
              </w:rPr>
              <w:t xml:space="preserve">7.2</w:t>
            </w:r>
          </w:p>
        </w:tc>
        <w:tc>
          <w:tcPr/>
          <w:p>
            <w:pPr>
              <w:pStyle w:val="Compact"/>
              <w:jc w:val="right"/>
            </w:pPr>
            <w:r>
              <w:rPr>
                <w:sz w:val="18"/>
              </w:rPr>
              <w:t xml:space="preserve">1.3</w:t>
            </w:r>
          </w:p>
        </w:tc>
        <w:tc>
          <w:tcPr/>
          <w:p>
            <w:pPr>
              <w:pStyle w:val="Compact"/>
              <w:jc w:val="right"/>
            </w:pPr>
            <w:r>
              <w:rPr>
                <w:sz w:val="18"/>
              </w:rPr>
              <w:t xml:space="preserve">5.4</w:t>
            </w:r>
          </w:p>
        </w:tc>
      </w:tr>
      <w:tr>
        <w:tc>
          <w:tcPr/>
          <w:p>
            <w:pPr>
              <w:pStyle w:val="Compact"/>
            </w:pPr>
          </w:p>
        </w:tc>
        <w:tc>
          <w:tcPr/>
          <w:p>
            <w:pPr>
              <w:pStyle w:val="Compact"/>
            </w:pPr>
            <w:r>
              <w:rPr>
                <w:rFonts w:hint="eastAsia"/>
                <w:sz w:val="18"/>
              </w:rPr>
              <w:t xml:space="preserve">中</w:t>
            </w:r>
          </w:p>
        </w:tc>
        <w:tc>
          <w:tcPr/>
          <w:p>
            <w:pPr>
              <w:pStyle w:val="Compact"/>
              <w:jc w:val="right"/>
            </w:pPr>
            <w:r>
              <w:rPr>
                <w:sz w:val="18"/>
              </w:rPr>
              <w:t xml:space="preserve">10.81</w:t>
            </w:r>
          </w:p>
        </w:tc>
        <w:tc>
          <w:tcPr/>
          <w:p>
            <w:pPr>
              <w:pStyle w:val="Compact"/>
              <w:jc w:val="right"/>
            </w:pPr>
            <w:r>
              <w:rPr>
                <w:sz w:val="18"/>
              </w:rPr>
              <w:t xml:space="preserve">31.7</w:t>
            </w:r>
          </w:p>
        </w:tc>
        <w:tc>
          <w:tcPr/>
          <w:p>
            <w:pPr>
              <w:pStyle w:val="Compact"/>
              <w:jc w:val="right"/>
            </w:pPr>
            <w:r>
              <w:rPr>
                <w:sz w:val="18"/>
              </w:rPr>
              <w:t xml:space="preserve">0.08</w:t>
            </w:r>
          </w:p>
        </w:tc>
        <w:tc>
          <w:tcPr/>
          <w:p>
            <w:pPr>
              <w:pStyle w:val="Compact"/>
              <w:jc w:val="right"/>
            </w:pPr>
            <w:r>
              <w:rPr>
                <w:sz w:val="18"/>
              </w:rPr>
              <w:t xml:space="preserve">7.7</w:t>
            </w:r>
          </w:p>
        </w:tc>
        <w:tc>
          <w:tcPr/>
          <w:p>
            <w:pPr>
              <w:pStyle w:val="Compact"/>
              <w:jc w:val="right"/>
            </w:pPr>
            <w:r>
              <w:rPr>
                <w:sz w:val="18"/>
              </w:rPr>
              <w:t xml:space="preserve">2.2</w:t>
            </w:r>
          </w:p>
        </w:tc>
        <w:tc>
          <w:tcPr/>
          <w:p>
            <w:pPr>
              <w:pStyle w:val="Compact"/>
              <w:jc w:val="right"/>
            </w:pPr>
            <w:r>
              <w:rPr>
                <w:sz w:val="18"/>
              </w:rPr>
              <w:t xml:space="preserve">4.7</w:t>
            </w:r>
          </w:p>
        </w:tc>
      </w:tr>
      <w:tr>
        <w:tc>
          <w:tcPr/>
          <w:p>
            <w:pPr>
              <w:pStyle w:val="Compact"/>
            </w:pPr>
          </w:p>
        </w:tc>
        <w:tc>
          <w:tcPr/>
          <w:p>
            <w:pPr>
              <w:pStyle w:val="Compact"/>
            </w:pPr>
            <w:r>
              <w:rPr>
                <w:rFonts w:hint="eastAsia"/>
                <w:sz w:val="18"/>
              </w:rPr>
              <w:t xml:space="preserve">大</w:t>
            </w:r>
          </w:p>
        </w:tc>
        <w:tc>
          <w:tcPr/>
          <w:p>
            <w:pPr>
              <w:pStyle w:val="Compact"/>
              <w:jc w:val="right"/>
            </w:pPr>
            <w:r>
              <w:rPr>
                <w:sz w:val="18"/>
              </w:rPr>
              <w:t xml:space="preserve">11.30</w:t>
            </w:r>
          </w:p>
        </w:tc>
        <w:tc>
          <w:tcPr/>
          <w:p>
            <w:pPr>
              <w:pStyle w:val="Compact"/>
              <w:jc w:val="right"/>
            </w:pPr>
            <w:r>
              <w:rPr>
                <w:sz w:val="18"/>
              </w:rPr>
              <w:t xml:space="preserve">33.8</w:t>
            </w:r>
          </w:p>
        </w:tc>
        <w:tc>
          <w:tcPr/>
          <w:p>
            <w:pPr>
              <w:pStyle w:val="Compact"/>
              <w:jc w:val="right"/>
            </w:pPr>
            <w:r>
              <w:rPr>
                <w:sz w:val="18"/>
              </w:rPr>
              <w:t xml:space="preserve">0.35</w:t>
            </w:r>
          </w:p>
        </w:tc>
        <w:tc>
          <w:tcPr/>
          <w:p>
            <w:pPr>
              <w:pStyle w:val="Compact"/>
              <w:jc w:val="right"/>
            </w:pPr>
            <w:r>
              <w:rPr>
                <w:sz w:val="18"/>
              </w:rPr>
              <w:t xml:space="preserve">10.7</w:t>
            </w:r>
          </w:p>
        </w:tc>
        <w:tc>
          <w:tcPr/>
          <w:p>
            <w:pPr>
              <w:pStyle w:val="Compact"/>
              <w:jc w:val="right"/>
            </w:pPr>
            <w:r>
              <w:rPr>
                <w:sz w:val="18"/>
              </w:rPr>
              <w:t xml:space="preserve">4.0</w:t>
            </w:r>
          </w:p>
        </w:tc>
        <w:tc>
          <w:tcPr/>
          <w:p>
            <w:pPr>
              <w:pStyle w:val="Compact"/>
              <w:jc w:val="right"/>
            </w:pPr>
            <w:r>
              <w:rPr>
                <w:sz w:val="18"/>
              </w:rPr>
              <w:t xml:space="preserve">6.1</w:t>
            </w:r>
          </w:p>
        </w:tc>
      </w:tr>
      <w:tr>
        <w:tc>
          <w:tcPr/>
          <w:p>
            <w:pPr>
              <w:pStyle w:val="Compact"/>
            </w:pPr>
            <w:r>
              <w:rPr>
                <w:rFonts w:hint="eastAsia"/>
                <w:sz w:val="18"/>
              </w:rPr>
              <w:t xml:space="preserve">冬</w:t>
            </w:r>
          </w:p>
        </w:tc>
        <w:tc>
          <w:tcPr/>
          <w:p>
            <w:pPr>
              <w:pStyle w:val="Compact"/>
            </w:pPr>
            <w:r>
              <w:rPr>
                <w:rFonts w:hint="eastAsia"/>
                <w:sz w:val="18"/>
              </w:rPr>
              <w:t xml:space="preserve">小</w:t>
            </w:r>
          </w:p>
        </w:tc>
        <w:tc>
          <w:tcPr/>
          <w:p>
            <w:pPr>
              <w:pStyle w:val="Compact"/>
              <w:jc w:val="right"/>
            </w:pPr>
            <w:r>
              <w:rPr>
                <w:sz w:val="18"/>
              </w:rPr>
              <w:t xml:space="preserve">7.24</w:t>
            </w:r>
          </w:p>
        </w:tc>
        <w:tc>
          <w:tcPr/>
          <w:p>
            <w:pPr>
              <w:pStyle w:val="Compact"/>
              <w:jc w:val="right"/>
            </w:pPr>
            <w:r>
              <w:rPr>
                <w:sz w:val="18"/>
              </w:rPr>
              <w:t xml:space="preserve">19.0</w:t>
            </w:r>
          </w:p>
        </w:tc>
        <w:tc>
          <w:tcPr/>
          <w:p>
            <w:pPr>
              <w:pStyle w:val="Compact"/>
              <w:jc w:val="right"/>
            </w:pPr>
            <w:r>
              <w:rPr>
                <w:sz w:val="18"/>
              </w:rPr>
              <w:t xml:space="preserve">0.02</w:t>
            </w:r>
          </w:p>
        </w:tc>
        <w:tc>
          <w:tcPr/>
          <w:p>
            <w:pPr>
              <w:pStyle w:val="Compact"/>
              <w:jc w:val="right"/>
            </w:pPr>
            <w:r>
              <w:rPr>
                <w:sz w:val="18"/>
              </w:rPr>
              <w:t xml:space="preserve">3.1</w:t>
            </w:r>
          </w:p>
        </w:tc>
        <w:tc>
          <w:tcPr/>
          <w:p>
            <w:pPr>
              <w:pStyle w:val="Compact"/>
              <w:jc w:val="right"/>
            </w:pPr>
            <w:r>
              <w:rPr>
                <w:sz w:val="18"/>
              </w:rPr>
              <w:t xml:space="preserve">0.2</w:t>
            </w:r>
          </w:p>
        </w:tc>
        <w:tc>
          <w:tcPr/>
          <w:p>
            <w:pPr>
              <w:pStyle w:val="Compact"/>
              <w:jc w:val="right"/>
            </w:pPr>
            <w:r>
              <w:rPr>
                <w:sz w:val="18"/>
              </w:rPr>
              <w:t xml:space="preserve">2.8</w:t>
            </w:r>
          </w:p>
        </w:tc>
      </w:tr>
      <w:tr>
        <w:tc>
          <w:tcPr/>
          <w:p>
            <w:pPr>
              <w:pStyle w:val="Compact"/>
            </w:pPr>
          </w:p>
        </w:tc>
        <w:tc>
          <w:tcPr/>
          <w:p>
            <w:pPr>
              <w:pStyle w:val="Compact"/>
            </w:pPr>
            <w:r>
              <w:rPr>
                <w:rFonts w:hint="eastAsia"/>
                <w:sz w:val="18"/>
              </w:rPr>
              <w:t xml:space="preserve">中</w:t>
            </w:r>
          </w:p>
        </w:tc>
        <w:tc>
          <w:tcPr/>
          <w:p>
            <w:pPr>
              <w:pStyle w:val="Compact"/>
              <w:jc w:val="right"/>
            </w:pPr>
            <w:r>
              <w:rPr>
                <w:sz w:val="18"/>
              </w:rPr>
              <w:t xml:space="preserve">6.43</w:t>
            </w:r>
          </w:p>
        </w:tc>
        <w:tc>
          <w:tcPr/>
          <w:p>
            <w:pPr>
              <w:pStyle w:val="Compact"/>
              <w:jc w:val="right"/>
            </w:pPr>
            <w:r>
              <w:rPr>
                <w:sz w:val="18"/>
              </w:rPr>
              <w:t xml:space="preserve">16.1</w:t>
            </w:r>
          </w:p>
        </w:tc>
        <w:tc>
          <w:tcPr/>
          <w:p>
            <w:pPr>
              <w:pStyle w:val="Compact"/>
              <w:jc w:val="right"/>
            </w:pPr>
            <w:r>
              <w:rPr>
                <w:sz w:val="18"/>
              </w:rPr>
              <w:t xml:space="preserve">0.00</w:t>
            </w:r>
          </w:p>
        </w:tc>
        <w:tc>
          <w:tcPr/>
          <w:p>
            <w:pPr>
              <w:pStyle w:val="Compact"/>
              <w:jc w:val="right"/>
            </w:pPr>
            <w:r>
              <w:rPr>
                <w:sz w:val="18"/>
              </w:rPr>
              <w:t xml:space="preserve">5.2</w:t>
            </w:r>
          </w:p>
        </w:tc>
        <w:tc>
          <w:tcPr/>
          <w:p>
            <w:pPr>
              <w:pStyle w:val="Compact"/>
              <w:jc w:val="right"/>
            </w:pPr>
            <w:r>
              <w:rPr>
                <w:sz w:val="18"/>
              </w:rPr>
              <w:t xml:space="preserve">0.5</w:t>
            </w:r>
          </w:p>
        </w:tc>
        <w:tc>
          <w:tcPr/>
          <w:p>
            <w:pPr>
              <w:pStyle w:val="Compact"/>
              <w:jc w:val="right"/>
            </w:pPr>
            <w:r>
              <w:rPr>
                <w:sz w:val="18"/>
              </w:rPr>
              <w:t xml:space="preserve">4.4</w:t>
            </w:r>
          </w:p>
        </w:tc>
      </w:tr>
      <w:tr>
        <w:tc>
          <w:tcPr/>
          <w:p>
            <w:pPr>
              <w:pStyle w:val="Compact"/>
            </w:pPr>
          </w:p>
        </w:tc>
        <w:tc>
          <w:tcPr/>
          <w:p>
            <w:pPr>
              <w:pStyle w:val="Compact"/>
            </w:pPr>
            <w:r>
              <w:rPr>
                <w:rFonts w:hint="eastAsia"/>
                <w:sz w:val="18"/>
              </w:rPr>
              <w:t xml:space="preserve">大</w:t>
            </w:r>
          </w:p>
        </w:tc>
        <w:tc>
          <w:tcPr/>
          <w:p>
            <w:pPr>
              <w:pStyle w:val="Compact"/>
              <w:jc w:val="right"/>
            </w:pPr>
            <w:r>
              <w:rPr>
                <w:sz w:val="18"/>
              </w:rPr>
              <w:t xml:space="preserve">5.92</w:t>
            </w:r>
          </w:p>
        </w:tc>
        <w:tc>
          <w:tcPr/>
          <w:p>
            <w:pPr>
              <w:pStyle w:val="Compact"/>
              <w:jc w:val="right"/>
            </w:pPr>
            <w:r>
              <w:rPr>
                <w:sz w:val="18"/>
              </w:rPr>
              <w:t xml:space="preserve">15.3</w:t>
            </w:r>
          </w:p>
        </w:tc>
        <w:tc>
          <w:tcPr/>
          <w:p>
            <w:pPr>
              <w:pStyle w:val="Compact"/>
              <w:jc w:val="right"/>
            </w:pPr>
            <w:r>
              <w:rPr>
                <w:sz w:val="18"/>
              </w:rPr>
              <w:t xml:space="preserve">0.04</w:t>
            </w:r>
          </w:p>
        </w:tc>
        <w:tc>
          <w:tcPr/>
          <w:p>
            <w:pPr>
              <w:pStyle w:val="Compact"/>
              <w:jc w:val="right"/>
            </w:pPr>
            <w:r>
              <w:rPr>
                <w:sz w:val="18"/>
              </w:rPr>
              <w:t xml:space="preserve">8.3</w:t>
            </w:r>
          </w:p>
        </w:tc>
        <w:tc>
          <w:tcPr/>
          <w:p>
            <w:pPr>
              <w:pStyle w:val="Compact"/>
              <w:jc w:val="right"/>
            </w:pPr>
            <w:r>
              <w:rPr>
                <w:sz w:val="18"/>
              </w:rPr>
              <w:t xml:space="preserve">1.1</w:t>
            </w:r>
          </w:p>
        </w:tc>
        <w:tc>
          <w:tcPr/>
          <w:p>
            <w:pPr>
              <w:pStyle w:val="Compact"/>
              <w:jc w:val="right"/>
            </w:pPr>
            <w:r>
              <w:rPr>
                <w:sz w:val="18"/>
              </w:rPr>
              <w:t xml:space="preserve">6.7</w:t>
            </w:r>
          </w:p>
        </w:tc>
      </w:tr>
      <w:tr>
        <w:tc>
          <w:tcPr/>
          <w:p>
            <w:pPr>
              <w:pStyle w:val="Compact"/>
            </w:pPr>
            <w:r>
              <w:rPr>
                <w:rFonts w:hint="eastAsia"/>
                <w:sz w:val="18"/>
              </w:rPr>
              <w:t xml:space="preserve">不需要期</w:t>
            </w:r>
          </w:p>
        </w:tc>
        <w:tc>
          <w:tcPr/>
          <w:p>
            <w:pPr>
              <w:pStyle w:val="Compact"/>
            </w:pPr>
            <w:r>
              <w:rPr>
                <w:rFonts w:hint="eastAsia"/>
                <w:sz w:val="18"/>
              </w:rPr>
              <w:t xml:space="preserve">小</w:t>
            </w:r>
          </w:p>
        </w:tc>
        <w:tc>
          <w:tcPr/>
          <w:p>
            <w:pPr>
              <w:pStyle w:val="Compact"/>
              <w:jc w:val="right"/>
            </w:pPr>
            <w:r>
              <w:rPr>
                <w:sz w:val="18"/>
              </w:rPr>
              <w:t xml:space="preserve">10.61</w:t>
            </w:r>
          </w:p>
        </w:tc>
        <w:tc>
          <w:tcPr/>
          <w:p>
            <w:pPr>
              <w:pStyle w:val="Compact"/>
              <w:jc w:val="right"/>
            </w:pPr>
            <w:r>
              <w:rPr>
                <w:sz w:val="18"/>
              </w:rPr>
              <w:t xml:space="preserve">32.1</w:t>
            </w:r>
          </w:p>
        </w:tc>
        <w:tc>
          <w:tcPr/>
          <w:p>
            <w:pPr>
              <w:pStyle w:val="Compact"/>
              <w:jc w:val="right"/>
            </w:pPr>
            <w:r>
              <w:rPr>
                <w:sz w:val="18"/>
              </w:rPr>
              <w:t xml:space="preserve">0.62</w:t>
            </w:r>
          </w:p>
        </w:tc>
        <w:tc>
          <w:tcPr/>
          <w:p>
            <w:pPr>
              <w:pStyle w:val="Compact"/>
              <w:jc w:val="right"/>
            </w:pPr>
            <w:r>
              <w:rPr>
                <w:sz w:val="18"/>
              </w:rPr>
              <w:t xml:space="preserve">4.8</w:t>
            </w:r>
          </w:p>
        </w:tc>
        <w:tc>
          <w:tcPr/>
          <w:p>
            <w:pPr>
              <w:pStyle w:val="Compact"/>
              <w:jc w:val="right"/>
            </w:pPr>
            <w:r>
              <w:rPr>
                <w:sz w:val="18"/>
              </w:rPr>
              <w:t xml:space="preserve">1.6</w:t>
            </w:r>
          </w:p>
        </w:tc>
        <w:tc>
          <w:tcPr/>
          <w:p>
            <w:pPr>
              <w:pStyle w:val="Compact"/>
              <w:jc w:val="right"/>
            </w:pPr>
            <w:r>
              <w:rPr>
                <w:sz w:val="18"/>
              </w:rPr>
              <w:t xml:space="preserve">3.0</w:t>
            </w:r>
          </w:p>
        </w:tc>
      </w:tr>
      <w:tr>
        <w:tc>
          <w:tcPr/>
          <w:p>
            <w:pPr>
              <w:pStyle w:val="Compact"/>
            </w:pPr>
          </w:p>
        </w:tc>
        <w:tc>
          <w:tcPr/>
          <w:p>
            <w:pPr>
              <w:pStyle w:val="Compact"/>
            </w:pPr>
            <w:r>
              <w:rPr>
                <w:rFonts w:hint="eastAsia"/>
                <w:sz w:val="18"/>
              </w:rPr>
              <w:t xml:space="preserve">中</w:t>
            </w:r>
          </w:p>
        </w:tc>
        <w:tc>
          <w:tcPr/>
          <w:p>
            <w:pPr>
              <w:pStyle w:val="Compact"/>
              <w:jc w:val="right"/>
            </w:pPr>
            <w:r>
              <w:rPr>
                <w:sz w:val="18"/>
              </w:rPr>
              <w:t xml:space="preserve">10.35</w:t>
            </w:r>
          </w:p>
        </w:tc>
        <w:tc>
          <w:tcPr/>
          <w:p>
            <w:pPr>
              <w:pStyle w:val="Compact"/>
              <w:jc w:val="right"/>
            </w:pPr>
            <w:r>
              <w:rPr>
                <w:sz w:val="18"/>
              </w:rPr>
              <w:t xml:space="preserve">31.7</w:t>
            </w:r>
          </w:p>
        </w:tc>
        <w:tc>
          <w:tcPr/>
          <w:p>
            <w:pPr>
              <w:pStyle w:val="Compact"/>
              <w:jc w:val="right"/>
            </w:pPr>
            <w:r>
              <w:rPr>
                <w:sz w:val="18"/>
              </w:rPr>
              <w:t xml:space="preserve">1.19</w:t>
            </w:r>
          </w:p>
        </w:tc>
        <w:tc>
          <w:tcPr/>
          <w:p>
            <w:pPr>
              <w:pStyle w:val="Compact"/>
              <w:jc w:val="right"/>
            </w:pPr>
            <w:r>
              <w:rPr>
                <w:sz w:val="18"/>
              </w:rPr>
              <w:t xml:space="preserve">6.5</w:t>
            </w:r>
          </w:p>
        </w:tc>
        <w:tc>
          <w:tcPr/>
          <w:p>
            <w:pPr>
              <w:pStyle w:val="Compact"/>
              <w:jc w:val="right"/>
            </w:pPr>
            <w:r>
              <w:rPr>
                <w:sz w:val="18"/>
              </w:rPr>
              <w:t xml:space="preserve">2.7</w:t>
            </w:r>
          </w:p>
        </w:tc>
        <w:tc>
          <w:tcPr/>
          <w:p>
            <w:pPr>
              <w:pStyle w:val="Compact"/>
              <w:jc w:val="right"/>
            </w:pPr>
            <w:r>
              <w:rPr>
                <w:sz w:val="18"/>
              </w:rPr>
              <w:t xml:space="preserve">3.5</w:t>
            </w:r>
          </w:p>
        </w:tc>
      </w:tr>
      <w:tr>
        <w:tc>
          <w:tcPr/>
          <w:p>
            <w:pPr>
              <w:pStyle w:val="Compact"/>
            </w:pPr>
          </w:p>
        </w:tc>
        <w:tc>
          <w:tcPr/>
          <w:p>
            <w:pPr>
              <w:pStyle w:val="Compact"/>
            </w:pPr>
            <w:r>
              <w:rPr>
                <w:rFonts w:hint="eastAsia"/>
                <w:sz w:val="18"/>
              </w:rPr>
              <w:t xml:space="preserve">大</w:t>
            </w:r>
          </w:p>
        </w:tc>
        <w:tc>
          <w:tcPr/>
          <w:p>
            <w:pPr>
              <w:pStyle w:val="Compact"/>
              <w:jc w:val="right"/>
            </w:pPr>
            <w:r>
              <w:rPr>
                <w:sz w:val="18"/>
              </w:rPr>
              <w:t xml:space="preserve">10.19</w:t>
            </w:r>
          </w:p>
        </w:tc>
        <w:tc>
          <w:tcPr/>
          <w:p>
            <w:pPr>
              <w:pStyle w:val="Compact"/>
              <w:jc w:val="right"/>
            </w:pPr>
            <w:r>
              <w:rPr>
                <w:sz w:val="18"/>
              </w:rPr>
              <w:t xml:space="preserve">31.6</w:t>
            </w:r>
          </w:p>
        </w:tc>
        <w:tc>
          <w:tcPr/>
          <w:p>
            <w:pPr>
              <w:pStyle w:val="Compact"/>
              <w:jc w:val="right"/>
            </w:pPr>
            <w:r>
              <w:rPr>
                <w:sz w:val="18"/>
              </w:rPr>
              <w:t xml:space="preserve">1.19</w:t>
            </w:r>
          </w:p>
        </w:tc>
        <w:tc>
          <w:tcPr/>
          <w:p>
            <w:pPr>
              <w:pStyle w:val="Compact"/>
              <w:jc w:val="right"/>
            </w:pPr>
            <w:r>
              <w:rPr>
                <w:sz w:val="18"/>
              </w:rPr>
              <w:t xml:space="preserve">9.2</w:t>
            </w:r>
          </w:p>
        </w:tc>
        <w:tc>
          <w:tcPr/>
          <w:p>
            <w:pPr>
              <w:pStyle w:val="Compact"/>
              <w:jc w:val="right"/>
            </w:pPr>
            <w:r>
              <w:rPr>
                <w:sz w:val="18"/>
              </w:rPr>
              <w:t xml:space="preserve">3.6</w:t>
            </w:r>
          </w:p>
        </w:tc>
        <w:tc>
          <w:tcPr/>
          <w:p>
            <w:pPr>
              <w:pStyle w:val="Compact"/>
              <w:jc w:val="right"/>
            </w:pPr>
            <w:r>
              <w:rPr>
                <w:sz w:val="18"/>
              </w:rPr>
              <w:t xml:space="preserve">5.2</w:t>
            </w:r>
          </w:p>
        </w:tc>
      </w:tr>
    </w:tbl>
    <w:p>
      <w:pPr>
        <w:pStyle w:val="TableNote"/>
      </w:pPr>
      <w:r>
        <w:rPr>
          <w:rFonts w:hint="eastAsia"/>
        </w:rPr>
        <w:t xml:space="preserve">注）日次平均。三分位は各季節内の3年プールで、日次の風力発電量（出力制御前）により分ける。下限張り付きは北海道エリアプライス（60分値）が0.01円/kWh</w:t>
      </w:r>
      <w:r>
        <w:t xml:space="preserve"> </w:t>
      </w:r>
      <w:r>
        <w:rPr>
          <w:rFonts w:hint="eastAsia"/>
        </w:rPr>
        <w:t xml:space="preserve">の時間、安値分断は北海道エリアプライスがシステムプライスを0.01円超下回る時間。北本の拘束は北海道エリアプライスが東北エリアプライスを0.01円超下回る時間、東日本側は北海道と東北の差が0.01円以内の時間で、残りは北海道が東北を上回る時間である。</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下限価格に張り付く時間は、風力の多い日でも需要期で1日0.4時間以下、不需要期で1.2時間にとどまる。一方、安値分断の時間は風力の多い日に1.5〜2.7倍（冬で最大）に増えるが、その増加の一部は北本連系線の拘束により、残りの大半は東日本側の分断である（5.5節）。表6.2</w:t>
      </w:r>
      <w:r>
        <w:t xml:space="preserve"> </w:t>
      </w:r>
      <w:r>
        <w:rPr>
          <w:rFonts w:hint="eastAsia"/>
        </w:rPr>
        <w:t xml:space="preserve">は、風力が一日の価格をほぼ一様に押し下げ、安値分断が増える局面の姿であり、現行の風力水準では、風力の多い日に蓄電池の価値が高まるという証拠はない。</w:t>
      </w:r>
    </w:p>
    <w:bookmarkEnd w:id="149"/>
    <w:bookmarkStart w:id="152" w:name="価格カーブの因子へのエクスポージャー"/>
    <w:p>
      <w:pPr>
        <w:pStyle w:val="Heading3"/>
      </w:pPr>
      <w:r>
        <w:t xml:space="preserve">6.4.2　</w:t>
      </w:r>
      <w:r>
        <w:rPr>
          <w:rFonts w:hint="eastAsia"/>
        </w:rPr>
        <w:t xml:space="preserve">価格カーブの因子へのエクスポージャー</w:t>
      </w:r>
    </w:p>
    <w:p>
      <w:pPr>
        <w:pStyle w:val="FirstParagraph"/>
      </w:pPr>
      <w:r>
        <w:rPr>
          <w:rFonts w:hint="eastAsia"/>
        </w:rPr>
        <w:t xml:space="preserve">風力がどの経路で蓄電池の価値に効くかを、24時間の価格カーブの主成分分解（5.7節）で測る。日次の完全予見粗利を、第5章の日次回帰と同じ右辺（式(5.2)）と第1〜第5主成分のスコアに回帰すると、各因子へのエクスポージャーが得られる。これは、債券の水準・傾き・曲率の因子（Litterman</w:t>
      </w:r>
      <w:r>
        <w:t xml:space="preserve"> &amp; Scheinkman, </w:t>
      </w:r>
      <w:r>
        <w:rPr>
          <w:rFonts w:hint="eastAsia"/>
        </w:rPr>
        <w:t xml:space="preserve">1991）への感応度（ファクター・デュレーション）を、非線形なペイオフについて線形近似で測ったものにあたる。この回帰の標準誤差はラグ14日の</w:t>
      </w:r>
      <w:r>
        <w:t xml:space="preserve"> Newey–West </w:t>
      </w:r>
      <w:r>
        <w:rPr>
          <w:rFonts w:hint="eastAsia"/>
        </w:rPr>
        <w:t xml:space="preserve">によるので、境界的な有意性は割り引いて読む。</w:t>
      </w:r>
    </w:p>
    <w:p>
      <w:pPr>
        <w:pStyle w:val="BodyText"/>
      </w:pPr>
      <w:r>
        <w:t xml:space="preserve">FY2016〜25 </w:t>
      </w:r>
      <w:r>
        <w:rPr>
          <w:rFonts w:hint="eastAsia"/>
        </w:rPr>
        <w:t xml:space="preserve">の主成分では、エクスポージャー（因子1単位あたりの円/kW-日）は第1主成分（水準）が0.80、第2主成分（昼と夕方の差）が1.20であった。水準への感応が大きいのは、この期間の水準因子の負荷が夕方に偏り、水準の高い日ほど夕方が夜より大きく上がったためである。全時刻に一様な値上がりであれば、粗利は往復損失の分だけむしろ減る</w:t>
      </w:r>
      <w:r>
        <w:rPr>
          <w:rStyle w:val="FootnoteReference"/>
        </w:rPr>
        <w:footnoteReference w:id="150"/>
      </w:r>
      <w:r>
        <w:t xml:space="preserve">。FY2023〜25 </w:t>
      </w:r>
      <w:r>
        <w:rPr>
          <w:rFonts w:hint="eastAsia"/>
        </w:rPr>
        <w:t xml:space="preserve">の主成分で測ると、水準因子へのエクスポージャーは0.01とほぼ消え、昼と夕方の差の因子へのエクスポージャーが1.71となる。その1標準偏差は平均粗利の45%に相当する。現行の構造の蓄電池は、平均で見れば価格カーブの形状に対するロング・ポジションである。ただし水準への感応がほぼ0なのは3年度・3季節の平均であり、年度別には符号が変わる（付録C.2.3）。</w:t>
      </w:r>
    </w:p>
    <w:p>
      <w:pPr>
        <w:pStyle w:val="BodyText"/>
      </w:pPr>
      <w:r>
        <w:rPr>
          <w:rFonts w:hint="eastAsia"/>
        </w:rPr>
        <w:t xml:space="preserve">このエクスポージャーに第5章の因子回帰の係数を掛けると、風力と太陽光の効果を、水準因子経由、形状因子（第2〜第5主成分）経由、残差に分けられる。この分解は欠落変数の公式により標本内で厳密に成り立つ。FY2016〜25</w:t>
      </w:r>
      <w:r>
        <w:t xml:space="preserve"> </w:t>
      </w:r>
      <w:r>
        <w:rPr>
          <w:rFonts w:hint="eastAsia"/>
        </w:rPr>
        <w:t xml:space="preserve">の全期間では、風力は冬に主に水準因子を通じて完全予見粗利を下げるが（Newey–West</w:t>
      </w:r>
      <w:r>
        <w:t xml:space="preserve"> </w:t>
      </w:r>
      <w:r>
        <w:rPr>
          <w:rFonts w:hint="eastAsia"/>
        </w:rPr>
        <w:t xml:space="preserve">で5%有意）、FY2023〜25</w:t>
      </w:r>
      <w:r>
        <w:t xml:space="preserve"> </w:t>
      </w:r>
      <w:r>
        <w:rPr>
          <w:rFonts w:hint="eastAsia"/>
        </w:rPr>
        <w:t xml:space="preserve">の構造ではこの経路は消え、風力の効果は有意でない。太陽光は夏と不需要期に粗利を上げ、その大半は形状因子経由である。現行の構造で蓄電池の価値を動かすのは、形状の因子を通じた効果である。</w:t>
      </w:r>
    </w:p>
    <w:p>
      <w:pPr>
        <w:pStyle w:val="BodyText"/>
      </w:pPr>
      <w:r>
        <w:rPr>
          <w:rFonts w:hint="eastAsia"/>
        </w:rPr>
        <w:t xml:space="preserve">同じ結論は因子別の感応度でも確かめられる。実績価格の上で風力が作る価格変動だけを0〜3倍にしても、FY2023〜25</w:t>
      </w:r>
      <w:r>
        <w:t xml:space="preserve"> </w:t>
      </w:r>
      <w:r>
        <w:rPr>
          <w:rFonts w:hint="eastAsia"/>
        </w:rPr>
        <w:t xml:space="preserve">の完全予見粗利は−0.4〜−1.2%しか動かない</w:t>
      </w:r>
      <w:r>
        <w:rPr>
          <w:rStyle w:val="FootnoteReference"/>
        </w:rPr>
        <w:footnoteReference w:id="151"/>
      </w:r>
      <w:r>
        <w:rPr>
          <w:rFonts w:hint="eastAsia"/>
        </w:rPr>
        <w:t xml:space="preserve">。これに対し、日内の形状成分を0にすると粗利は19.4%減る。風力の変動を3倍にした場合の変化を負にしているのは下限価格での打ち切りであり、打ち切らなければ+2.6%となる。打ち切りは充電側の値下がりを止めて価値を削る（7.7節、第9章）。</w:t>
      </w:r>
    </w:p>
    <w:bookmarkEnd w:id="152"/>
    <w:bookmarkEnd w:id="153"/>
    <w:bookmarkStart w:id="155" w:name="duration-と参入閾値"/>
    <w:p>
      <w:pPr>
        <w:pStyle w:val="Heading2"/>
      </w:pPr>
      <w:r>
        <w:t xml:space="preserve">6.5　duration </w:t>
      </w:r>
      <w:r>
        <w:rPr>
          <w:rFonts w:hint="eastAsia"/>
        </w:rPr>
        <w:t xml:space="preserve">と参入閾値</w:t>
      </w:r>
    </w:p>
    <w:p>
      <w:pPr>
        <w:pStyle w:val="FirstParagraph"/>
      </w:pPr>
      <w:r>
        <w:t xml:space="preserve">duration </w:t>
      </w:r>
      <w:r>
        <w:rPr>
          <w:rFonts w:hint="eastAsia"/>
        </w:rPr>
        <w:t xml:space="preserve">を2〜8時間で変え、完全予見粗利と、窓を同じ時間にした戦略</w:t>
      </w:r>
      <w:r>
        <w:t xml:space="preserve"> c </w:t>
      </w:r>
      <w:r>
        <w:rPr>
          <w:rFonts w:hint="eastAsia"/>
        </w:rPr>
        <w:t xml:space="preserve">の実現額を実績価格で計算した。FY2023〜25</w:t>
      </w:r>
      <w:r>
        <w:t xml:space="preserve"> </w:t>
      </w:r>
      <w:r>
        <w:rPr>
          <w:rFonts w:hint="eastAsia"/>
        </w:rPr>
        <w:t xml:space="preserve">の完全予見粗利は、2時間6,026円、4時間10,317円、6時間13,062円、8時間14,354円/kW-年で、限界価値は逓減する。実現率も</w:t>
      </w:r>
      <w:r>
        <w:t xml:space="preserve"> duration </w:t>
      </w:r>
      <w:r>
        <w:rPr>
          <w:rFonts w:hint="eastAsia"/>
        </w:rPr>
        <w:t xml:space="preserve">が長いほど下がるので、戦略</w:t>
      </w:r>
      <w:r>
        <w:t xml:space="preserve"> c </w:t>
      </w:r>
      <w:r>
        <w:rPr>
          <w:rFonts w:hint="eastAsia"/>
        </w:rPr>
        <w:t xml:space="preserve">の実現額の増分は4時間から6時間で+23%、6時間から8時間で+6%にとどまる（表C.17）。この逓減は</w:t>
      </w:r>
      <w:r>
        <w:t xml:space="preserve"> </w:t>
      </w:r>
      <w:r>
        <w:rPr>
          <w:rFonts w:hint="eastAsia"/>
        </w:rPr>
        <w:t xml:space="preserve">PJM（Sioshansi</w:t>
      </w:r>
      <w:r>
        <w:t xml:space="preserve"> et al., </w:t>
      </w:r>
      <w:r>
        <w:rPr>
          <w:rFonts w:hint="eastAsia"/>
        </w:rPr>
        <w:t xml:space="preserve">2009）や欧州の全入札ゾーン（Mercier</w:t>
      </w:r>
      <w:r>
        <w:t xml:space="preserve"> et al., </w:t>
      </w:r>
      <w:r>
        <w:rPr>
          <w:rFonts w:hint="eastAsia"/>
        </w:rPr>
        <w:t xml:space="preserve">2023）の報告と同じ形である。</w:t>
      </w:r>
    </w:p>
    <w:p>
      <w:pPr>
        <w:pStyle w:val="BodyText"/>
      </w:pPr>
      <w:r>
        <w:rPr>
          <w:rFonts w:hint="eastAsia"/>
        </w:rPr>
        <w:t xml:space="preserve">長い</w:t>
      </w:r>
      <w:r>
        <w:t xml:space="preserve"> duration </w:t>
      </w:r>
      <w:r>
        <w:rPr>
          <w:rFonts w:hint="eastAsia"/>
        </w:rPr>
        <w:t xml:space="preserve">は容量収入も増やす。2029年度向けの北海道の調整係数</w:t>
      </w:r>
      <w:r>
        <w:t xml:space="preserve"> </w:t>
      </w:r>
      <m:oMath>
        <m:r>
          <m:t>κ</m:t>
        </m:r>
        <m:r>
          <m:rPr>
            <m:sty m:val="p"/>
          </m:rPr>
          <m:t>(</m:t>
        </m:r>
        <m:r>
          <m:t>h</m:t>
        </m:r>
        <m:r>
          <m:rPr>
            <m:sty m:val="p"/>
          </m:rPr>
          <m:t>)</m:t>
        </m:r>
      </m:oMath>
      <w:r>
        <w:t xml:space="preserve"> </w:t>
      </w:r>
      <w:r>
        <w:rPr>
          <w:rFonts w:hint="eastAsia"/>
        </w:rPr>
        <w:t xml:space="preserve">は4時間83.6%、6時間93.2%なので、4時間から6時間への限界収入は、容量収入の約1,430円とスポットの約1,900〜2,000円を合わせて計約3,400円/kW-年である。これに対し、追加の2時間分の資本費の年額と、充電側の託送従量負担・運転維持費の増分は計8,100〜12,900円/kW-年にのぼる（資本費6.8万円/kWh、WACC</w:t>
      </w:r>
      <w:r>
        <w:t xml:space="preserve"> </w:t>
      </w:r>
      <w:r>
        <w:rPr>
          <w:rFonts w:hint="eastAsia"/>
        </w:rPr>
        <w:t xml:space="preserve">6%。幅は資本費のうち</w:t>
      </w:r>
      <w:r>
        <w:t xml:space="preserve"> kW </w:t>
      </w:r>
      <w:r>
        <w:rPr>
          <w:rFonts w:hint="eastAsia"/>
        </w:rPr>
        <w:t xml:space="preserve">に比例する部分を0〜40%とした範囲）。</w:t>
      </w:r>
    </w:p>
    <w:p>
      <w:pPr>
        <w:pStyle w:val="BodyText"/>
      </w:pPr>
      <w:r>
        <w:rPr>
          <w:rFonts w:hint="eastAsia"/>
        </w:rPr>
        <w:t xml:space="preserve">蓄電池がない状態（</w:t>
      </w:r>
      <m:oMath>
        <m:r>
          <m:t>K</m:t>
        </m:r>
        <m:r>
          <m:rPr>
            <m:sty m:val="p"/>
          </m:rPr>
          <m:t>=</m:t>
        </m:r>
        <m:r>
          <m:t>0</m:t>
        </m:r>
      </m:oMath>
      <w:r>
        <w:rPr>
          <w:rFonts w:hint="eastAsia"/>
        </w:rPr>
        <w:t xml:space="preserve">）で参入が開く価格水準係数</w:t>
      </w:r>
      <w:r>
        <w:t xml:space="preserve"> </w:t>
      </w:r>
      <m:oMath>
        <m:sSup>
          <m:e>
            <m:r>
              <m:t>θ</m:t>
            </m:r>
          </m:e>
          <m:sup>
            <m:r>
              <m:rPr>
                <m:sty m:val="p"/>
              </m:rPr>
              <m:t>*</m:t>
            </m:r>
          </m:sup>
        </m:sSup>
      </m:oMath>
      <w:r>
        <w:rPr>
          <w:rFonts w:hint="eastAsia"/>
        </w:rPr>
        <w:t xml:space="preserve">（式(4.8)）は、同じ幅で見て3〜5時間でほぼ平らである（2.86〜3.21。図6.1</w:t>
      </w:r>
      <w:r>
        <w:t xml:space="preserve"> の </w:t>
      </w:r>
      <w:r>
        <w:rPr>
          <w:rFonts w:hint="eastAsia"/>
        </w:rPr>
        <w:t xml:space="preserve">(b)）。2時間は容量収入がないので明確に高く、6時間以上も長いほど高くなる（表C.17）。</w:t>
      </w:r>
      <m:oMath>
        <m:sSup>
          <m:e>
            <m:r>
              <m:t>θ</m:t>
            </m:r>
          </m:e>
          <m:sup>
            <m:r>
              <m:rPr>
                <m:sty m:val="p"/>
              </m:rPr>
              <m:t>*</m:t>
            </m:r>
          </m:sup>
        </m:sSup>
      </m:oMath>
      <w:r>
        <w:t xml:space="preserve"> </w:t>
      </w:r>
      <w:r>
        <w:rPr>
          <w:rFonts w:hint="eastAsia"/>
        </w:rPr>
        <w:t xml:space="preserve">が最小になる</w:t>
      </w:r>
      <w:r>
        <w:t xml:space="preserve"> duration は kW </w:t>
      </w:r>
      <w:r>
        <w:rPr>
          <w:rFonts w:hint="eastAsia"/>
        </w:rPr>
        <w:t xml:space="preserve">比例部分の比率によって3〜5時間の間で入れ替わるので、「4時間が最小」とまでは言えない。ただし4時間の2.99との差は小さく、duration</w:t>
      </w:r>
      <w:r>
        <w:t xml:space="preserve"> </w:t>
      </w:r>
      <w:r>
        <w:rPr>
          <w:rFonts w:hint="eastAsia"/>
        </w:rPr>
        <w:t xml:space="preserve">を選び直しても参入閾値の低下は約4%にとどまる</w:t>
      </w:r>
      <w:r>
        <w:rPr>
          <w:rStyle w:val="FootnoteReference"/>
        </w:rPr>
        <w:footnoteReference w:id="154"/>
      </w:r>
      <w:r>
        <w:rPr>
          <w:rFonts w:hint="eastAsia"/>
        </w:rPr>
        <w:t xml:space="preserve">。4時間の仮定は、長い</w:t>
      </w:r>
      <w:r>
        <w:t xml:space="preserve"> duration </w:t>
      </w:r>
      <w:r>
        <w:rPr>
          <w:rFonts w:hint="eastAsia"/>
        </w:rPr>
        <w:t xml:space="preserve">の価値を取り逃して参入を不利に見ているわけではなく、現行の資本費での</w:t>
      </w:r>
      <w:r>
        <w:t xml:space="preserve"> </w:t>
      </w:r>
      <m:oMath>
        <m:sSup>
          <m:e>
            <m:r>
              <m:t>K</m:t>
            </m:r>
          </m:e>
          <m:sup>
            <m:r>
              <m:rPr>
                <m:sty m:val="p"/>
              </m:rPr>
              <m:t>*</m:t>
            </m:r>
          </m:sup>
        </m:sSup>
        <m:r>
          <m:rPr>
            <m:sty m:val="p"/>
          </m:rPr>
          <m:t>=</m:t>
        </m:r>
        <m:r>
          <m:t>0</m:t>
        </m:r>
      </m:oMath>
      <w:r>
        <w:t xml:space="preserve"> </w:t>
      </w:r>
      <w:r>
        <w:rPr>
          <w:rFonts w:hint="eastAsia"/>
        </w:rPr>
        <w:t xml:space="preserve">の判定（7.5節）は</w:t>
      </w:r>
      <w:r>
        <w:t xml:space="preserve"> duration </w:t>
      </w:r>
      <w:r>
        <w:rPr>
          <w:rFonts w:hint="eastAsia"/>
        </w:rPr>
        <w:t xml:space="preserve">の選び方に依存しない。なお、風力の1日を超える長周期の変動を取るには日をまたいで蓄える運用が要り、1日1サイクルのこの比較には現れない。</w:t>
      </w:r>
    </w:p>
    <w:bookmarkEnd w:id="155"/>
    <w:bookmarkStart w:id="162" w:name="オプションとしての層分解"/>
    <w:p>
      <w:pPr>
        <w:pStyle w:val="Heading2"/>
      </w:pPr>
      <w:r>
        <w:t xml:space="preserve">6.6　</w:t>
      </w:r>
      <w:r>
        <w:rPr>
          <w:rFonts w:hint="eastAsia"/>
        </w:rPr>
        <w:t xml:space="preserve">オプションとしての層分解</w:t>
      </w:r>
    </w:p>
    <w:bookmarkStart w:id="160" w:name="年度別季節別の層"/>
    <w:p>
      <w:pPr>
        <w:pStyle w:val="Heading3"/>
      </w:pPr>
      <w:r>
        <w:t xml:space="preserve">6.6.1　</w:t>
      </w:r>
      <w:r>
        <w:rPr>
          <w:rFonts w:hint="eastAsia"/>
        </w:rPr>
        <w:t xml:space="preserve">年度別・季節別の層</w:t>
      </w:r>
    </w:p>
    <w:p>
      <w:pPr>
        <w:pStyle w:val="FirstParagraph"/>
      </w:pPr>
      <w:r>
        <w:t xml:space="preserve">FY2023〜25 </w:t>
      </w:r>
      <w:r>
        <w:rPr>
          <w:rFonts w:hint="eastAsia"/>
        </w:rPr>
        <w:t xml:space="preserve">平均の完全予見粗利10,317円/kW-年は、(I)</w:t>
      </w:r>
      <w:r>
        <w:t xml:space="preserve"> </w:t>
      </w:r>
      <w:r>
        <w:rPr>
          <w:rFonts w:hint="eastAsia"/>
        </w:rPr>
        <w:t xml:space="preserve">8,427円（81.7%）、(II)</w:t>
      </w:r>
      <w:r>
        <w:t xml:space="preserve"> </w:t>
      </w:r>
      <w:r>
        <w:rPr>
          <w:rFonts w:hint="eastAsia"/>
        </w:rPr>
        <w:t xml:space="preserve">208円（2.0%）、(III)</w:t>
      </w:r>
      <w:r>
        <w:t xml:space="preserve"> </w:t>
      </w:r>
      <w:r>
        <w:rPr>
          <w:rFonts w:hint="eastAsia"/>
        </w:rPr>
        <w:t xml:space="preserve">1,682円（16.3%）からなる（図6.4、表D.3）。(I)</w:t>
      </w:r>
      <w:r>
        <w:t xml:space="preserve"> </w:t>
      </w:r>
      <w:r>
        <w:rPr>
          <w:rFonts w:hint="eastAsia"/>
        </w:rPr>
        <w:t xml:space="preserve">の比率は戦略</w:t>
      </w:r>
      <w:r>
        <w:t xml:space="preserve"> c </w:t>
      </w:r>
      <w:r>
        <w:rPr>
          <w:rFonts w:hint="eastAsia"/>
        </w:rPr>
        <w:t xml:space="preserve">の実現率そのものであり、残りの18.3%（1,890円/kW-年）、すなわち</w:t>
      </w:r>
      <w:r>
        <w:t xml:space="preserve"> (II)+(III) </w:t>
      </w:r>
      <w:r>
        <w:rPr>
          <w:rFonts w:hint="eastAsia"/>
        </w:rPr>
        <w:t xml:space="preserve">が固定窓に対する完全情報の価値である。(II)</w:t>
      </w:r>
      <w:r>
        <w:t xml:space="preserve"> </w:t>
      </w:r>
      <w:r>
        <w:rPr>
          <w:rFonts w:hint="eastAsia"/>
        </w:rPr>
        <w:t xml:space="preserve">が小さいのは、固定窓の粗利が負になる日が</w:t>
      </w:r>
      <w:r>
        <w:t xml:space="preserve"> FY2023〜25 </w:t>
      </w:r>
      <w:r>
        <w:rPr>
          <w:rFonts w:hint="eastAsia"/>
        </w:rPr>
        <w:t xml:space="preserve">に年18〜37日（5〜10%）にとどまるためである。(III)</w:t>
      </w:r>
      <w:r>
        <w:t xml:space="preserve"> </w:t>
      </w:r>
      <w:r>
        <w:rPr>
          <w:rFonts w:hint="eastAsia"/>
        </w:rPr>
        <w:t xml:space="preserve">は完全予見粗利の大きい年ほど額が大きいが、比率は14〜23%の範囲にある。(I)</w:t>
      </w:r>
      <w:r>
        <w:t xml:space="preserve"> </w:t>
      </w:r>
      <w:r>
        <w:rPr>
          <w:rFonts w:hint="eastAsia"/>
        </w:rPr>
        <w:t xml:space="preserve">の比率は</w:t>
      </w:r>
      <w:r>
        <w:t xml:space="preserve"> FY2016〜25 </w:t>
      </w:r>
      <w:r>
        <w:rPr>
          <w:rFonts w:hint="eastAsia"/>
        </w:rPr>
        <w:t xml:space="preserve">に76.4〜85.6%であり、燃料危機の</w:t>
      </w:r>
      <w:r>
        <w:t xml:space="preserve"> FY2022 </w:t>
      </w:r>
      <w:r>
        <w:rPr>
          <w:rFonts w:hint="eastAsia"/>
        </w:rPr>
        <w:t xml:space="preserve">でも大きくは変わらない。FY2016</w:t>
      </w:r>
      <w:r>
        <w:t xml:space="preserve"> </w:t>
      </w:r>
      <w:r>
        <w:rPr>
          <w:rFonts w:hint="eastAsia"/>
        </w:rPr>
        <w:t xml:space="preserve">は分母も戦略</w:t>
      </w:r>
      <w:r>
        <w:t xml:space="preserve"> c </w:t>
      </w:r>
      <w:r>
        <w:rPr>
          <w:rFonts w:hint="eastAsia"/>
        </w:rPr>
        <w:t xml:space="preserve">を評価できる355日にそろえた値なので、6.3節で全365日を分母とした84.3%と異なる。</w:t>
      </w:r>
    </w:p>
    <w:p>
      <w:pPr>
        <w:pStyle w:val="BodyText"/>
      </w:pPr>
      <w:r>
        <w:rPr>
          <w:rFonts w:hint="eastAsia"/>
        </w:rPr>
        <w:t xml:space="preserve">なお、正規分布を仮定した閉形式（Bachelier</w:t>
      </w:r>
      <w:r>
        <w:t xml:space="preserve"> </w:t>
      </w:r>
      <w:r>
        <w:rPr>
          <w:rFonts w:hint="eastAsia"/>
        </w:rPr>
        <w:t xml:space="preserve">型）で日次スプレッド・オプションの時間価値を近似すると、日次粗利の分布の右への歪みを無視するので、(II)</w:t>
      </w:r>
      <w:r>
        <w:t xml:space="preserve"> </w:t>
      </w:r>
      <w:r>
        <w:rPr>
          <w:rFonts w:hint="eastAsia"/>
        </w:rPr>
        <w:t xml:space="preserve">にあたる部分を実現値の約6倍に見積もる（付録B.3.4）。本研究が閉形式の価格公式を使わず、実現した価格の経路でペイオフを数えるのはこのためである。</w:t>
      </w:r>
    </w:p>
    <w:p>
      <w:pPr>
        <w:pStyle w:val="BodyText"/>
      </w:pPr>
      <w:r>
        <w:rPr>
          <w:rFonts w:hint="eastAsia"/>
        </w:rPr>
        <w:t xml:space="preserve">季節で見ると、層の構成は大きく違う（表D.3</w:t>
      </w:r>
      <w:r>
        <w:t xml:space="preserve"> </w:t>
      </w:r>
      <w:r>
        <w:rPr>
          <w:rFonts w:hint="eastAsia"/>
        </w:rPr>
        <w:t xml:space="preserve">のパネルB）。冬は</w:t>
      </w:r>
      <w:r>
        <w:t xml:space="preserve"> (I) </w:t>
      </w:r>
      <w:r>
        <w:rPr>
          <w:rFonts w:hint="eastAsia"/>
        </w:rPr>
        <w:t xml:space="preserve">の比率が0.61にとどまり、(III)</w:t>
      </w:r>
      <w:r>
        <w:t xml:space="preserve"> </w:t>
      </w:r>
      <w:r>
        <w:rPr>
          <w:rFonts w:hint="eastAsia"/>
        </w:rPr>
        <w:t xml:space="preserve">が3割を超えるが、冬の</w:t>
      </w:r>
      <w:r>
        <w:t xml:space="preserve"> (III) </w:t>
      </w:r>
      <w:r>
        <w:rPr>
          <w:rFonts w:hint="eastAsia"/>
        </w:rPr>
        <w:t xml:space="preserve">の額は夏・不需要期より2割ほど大きいだけであり、比率が高いのは冬の完全予見粗利そのものが小さいためである。冬に固定窓が外れやすい理由の一つは、放電に適した時間が朝と夕方の間で日々入れ替わることにある（付録C.2.5）。ただし冬の完全予見粗利は年間の15%にすぎず、冬の</w:t>
      </w:r>
      <w:r>
        <w:t xml:space="preserve"> (I) </w:t>
      </w:r>
      <w:r>
        <w:rPr>
          <w:rFonts w:hint="eastAsia"/>
        </w:rPr>
        <w:t xml:space="preserve">の比率が夏並みであっても、年間の実現率は0.82から0.85に上がるだけである。</w:t>
      </w:r>
    </w:p>
    <w:p>
      <w:pPr>
        <w:pStyle w:val="CaptionedFigure"/>
      </w:pPr>
      <w:r>
        <w:drawing>
          <wp:inline>
            <wp:extent cx="5399999" cy="3101311"/>
            <wp:effectExtent b="0" l="0" r="0" t="0"/>
            <wp:docPr descr="図6.4　完全予見粗利の層分解（年度別と、FY2023〜25 の季節×風力の三分位別）" title="" id="157" name="Picture"/>
            <a:graphic>
              <a:graphicData uri="http://schemas.openxmlformats.org/drawingml/2006/picture">
                <pic:pic>
                  <pic:nvPicPr>
                    <pic:cNvPr descr="../figures/hokkaido/option_layers.png" id="158" name="Picture"/>
                    <pic:cNvPicPr>
                      <a:picLocks noChangeArrowheads="1" noChangeAspect="1"/>
                    </pic:cNvPicPr>
                  </pic:nvPicPr>
                  <pic:blipFill>
                    <a:blip r:embed="rId156"/>
                    <a:stretch>
                      <a:fillRect/>
                    </a:stretch>
                  </pic:blipFill>
                  <pic:spPr bwMode="auto">
                    <a:xfrm>
                      <a:off x="0" y="0"/>
                      <a:ext cx="5399999" cy="3101311"/>
                    </a:xfrm>
                    <a:prstGeom prst="rect">
                      <a:avLst/>
                    </a:prstGeom>
                    <a:noFill/>
                    <a:ln w="9525">
                      <a:noFill/>
                      <a:headEnd/>
                      <a:tailEnd/>
                    </a:ln>
                  </pic:spPr>
                </pic:pic>
              </a:graphicData>
            </a:graphic>
          </wp:inline>
        </w:drawing>
      </w:r>
    </w:p>
    <w:p>
      <w:pPr>
        <w:pStyle w:val="ImageCaption"/>
      </w:pPr>
      <w:r>
        <w:rPr>
          <w:rFonts w:hint="eastAsia"/>
        </w:rPr>
        <w:t xml:space="preserve">図6.4</w:t>
      </w:r>
      <w:r>
        <w:t xml:space="preserve">　</w:t>
      </w:r>
      <w:r>
        <w:rPr>
          <w:rFonts w:hint="eastAsia"/>
        </w:rPr>
        <w:t xml:space="preserve">完全予見粗利の層分解（年度別と、FY2023〜25</w:t>
      </w:r>
      <w:r>
        <w:t xml:space="preserve"> </w:t>
      </w:r>
      <w:r>
        <w:rPr>
          <w:rFonts w:hint="eastAsia"/>
        </w:rPr>
        <w:t xml:space="preserve">の季節×風力の三分位別）</w:t>
      </w:r>
    </w:p>
    <w:p>
      <w:pPr>
        <w:pStyle w:val="TableNote"/>
      </w:pPr>
      <w:r>
        <w:rPr>
          <w:rFonts w:hint="eastAsia"/>
        </w:rPr>
        <w:t xml:space="preserve">注）左は年度合計（万円/kW-年）、右は日平均（円/kW-日）。棒の上の数字は</w:t>
      </w:r>
      <w:r>
        <w:t xml:space="preserve"> (I) </w:t>
      </w:r>
      <w:r>
        <w:rPr>
          <w:rFonts w:hint="eastAsia"/>
        </w:rPr>
        <w:t xml:space="preserve">の比率（%）、すなわち戦略</w:t>
      </w:r>
      <w:r>
        <w:t xml:space="preserve"> c </w:t>
      </w:r>
      <w:r>
        <w:rPr>
          <w:rFonts w:hint="eastAsia"/>
        </w:rPr>
        <w:t xml:space="preserve">の実現率である。層の定義は式(6.2)、風力の三分位は表6.2</w:t>
      </w:r>
      <w:r>
        <w:t xml:space="preserve"> </w:t>
      </w:r>
      <w:r>
        <w:rPr>
          <w:rFonts w:hint="eastAsia"/>
        </w:rPr>
        <w:t xml:space="preserve">と同じ。</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風力の三分位で分けても、(I)</w:t>
      </w:r>
      <w:r>
        <w:t xml:space="preserve"> </w:t>
      </w:r>
      <w:r>
        <w:rPr>
          <w:rFonts w:hint="eastAsia"/>
        </w:rPr>
        <w:t xml:space="preserve">の比率は夏0.85〜0.88、不需要期0.84〜0.85で差が小さく、冬（0.56〜0.68）も風力の水準に単調には依存しない（図6.4</w:t>
      </w:r>
      <w:r>
        <w:t xml:space="preserve"> </w:t>
      </w:r>
      <w:r>
        <w:rPr>
          <w:rFonts w:hint="eastAsia"/>
        </w:rPr>
        <w:t xml:space="preserve">の右、表D.3）。日次の</w:t>
      </w:r>
      <w:r>
        <w:t xml:space="preserve"> (III) </w:t>
      </w:r>
      <w:r>
        <w:rPr>
          <w:rFonts w:hint="eastAsia"/>
        </w:rPr>
        <w:t xml:space="preserve">を風力に回帰すると、係数は夏でほぼ0、冬と不需要期では負である</w:t>
      </w:r>
      <w:r>
        <w:rPr>
          <w:rStyle w:val="FootnoteReference"/>
        </w:rPr>
        <w:footnoteReference w:id="159"/>
      </w:r>
      <w:r>
        <w:rPr>
          <w:rFonts w:hint="eastAsia"/>
        </w:rPr>
        <w:t xml:space="preserve">。風力の多い日に価格の形が読みにくくなり、窓の選び直しの価値が増えるという関係は見られない。</w:t>
      </w:r>
    </w:p>
    <w:bookmarkEnd w:id="160"/>
    <w:bookmarkStart w:id="161" w:name="取り逃しの内訳と前日入札の限界"/>
    <w:p>
      <w:pPr>
        <w:pStyle w:val="Heading3"/>
      </w:pPr>
      <w:r>
        <w:t xml:space="preserve">6.6.2　</w:t>
      </w:r>
      <w:r>
        <w:rPr>
          <w:rFonts w:hint="eastAsia"/>
        </w:rPr>
        <w:t xml:space="preserve">取り逃しの内訳と前日入札の限界</w:t>
      </w:r>
    </w:p>
    <w:p>
      <w:pPr>
        <w:pStyle w:val="FirstParagraph"/>
      </w:pPr>
      <w:r>
        <w:rPr>
          <w:rFonts w:hint="eastAsia"/>
        </w:rPr>
        <w:t xml:space="preserve">この分解は、戦略</w:t>
      </w:r>
      <w:r>
        <w:t xml:space="preserve"> c </w:t>
      </w:r>
      <w:r>
        <w:rPr>
          <w:rFonts w:hint="eastAsia"/>
        </w:rPr>
        <w:t xml:space="preserve">の実現率の解釈を限定する。前日スポットだけで戦略</w:t>
      </w:r>
      <w:r>
        <w:t xml:space="preserve"> c </w:t>
      </w:r>
      <w:r>
        <w:rPr>
          <w:rFonts w:hint="eastAsia"/>
        </w:rPr>
        <w:t xml:space="preserve">を上回る道は、休止と、入札時点の窓の選び方の改善（予測の改善や、価格に条件を付けた入札）である。休止は、事後の上限で測っても年2%にとどまる。窓の選び方の改善は</w:t>
      </w:r>
      <w:r>
        <w:t xml:space="preserve"> (III) </w:t>
      </w:r>
      <w:r>
        <w:rPr>
          <w:rFonts w:hint="eastAsia"/>
        </w:rPr>
        <w:t xml:space="preserve">の一部を取りうるが、試した予測はいずれも</w:t>
      </w:r>
      <w:r>
        <w:t xml:space="preserve"> c </w:t>
      </w:r>
      <w:r>
        <w:rPr>
          <w:rFonts w:hint="eastAsia"/>
        </w:rPr>
        <w:t xml:space="preserve">に及ばない（6.7節）。(II)+(III)（18%、冬は39%）を取りにいくのは、ドイツの日前市場と当日市場をまたぐ戦略（Oeltz</w:t>
      </w:r>
      <w:r>
        <w:t xml:space="preserve"> &amp; Pfingsten, </w:t>
      </w:r>
      <w:r>
        <w:rPr>
          <w:rFonts w:hint="eastAsia"/>
        </w:rPr>
        <w:t xml:space="preserve">2025。査読前のプレプリント）である（10.4節）。時間前市場の価格はスポットと一致せず、流動性にも限りがあるので、取れるのはその一部である。本研究は前日スポットに範囲を限る（10.5節）。</w:t>
      </w:r>
    </w:p>
    <w:bookmarkEnd w:id="161"/>
    <w:bookmarkEnd w:id="162"/>
    <w:bookmarkStart w:id="163" w:name="実行可能戦略の検定と頑健性"/>
    <w:p>
      <w:pPr>
        <w:pStyle w:val="Heading2"/>
      </w:pPr>
      <w:r>
        <w:t xml:space="preserve">6.7　</w:t>
      </w:r>
      <w:r>
        <w:rPr>
          <w:rFonts w:hint="eastAsia"/>
        </w:rPr>
        <w:t xml:space="preserve">実行可能戦略の検定と頑健性</w:t>
      </w:r>
    </w:p>
    <w:p>
      <w:pPr>
        <w:pStyle w:val="FirstParagraph"/>
      </w:pPr>
      <w:r>
        <w:rPr>
          <w:rFonts w:hint="eastAsia"/>
        </w:rPr>
        <w:t xml:space="preserve">表6.3</w:t>
      </w:r>
      <w:r>
        <w:t xml:space="preserve"> </w:t>
      </w:r>
      <w:r>
        <w:rPr>
          <w:rFonts w:hint="eastAsia"/>
        </w:rPr>
        <w:t xml:space="preserve">は、戦略</w:t>
      </w:r>
      <w:r>
        <w:t xml:space="preserve"> c </w:t>
      </w:r>
      <w:r>
        <w:rPr>
          <w:rFonts w:hint="eastAsia"/>
        </w:rPr>
        <w:t xml:space="preserve">の優位を選択の偏りを考慮して検定した結果と、主な頑健性の確認をまとめたものである。基準を</w:t>
      </w:r>
      <w:r>
        <w:t xml:space="preserve"> b </w:t>
      </w:r>
      <w:r>
        <w:rPr>
          <w:rFonts w:hint="eastAsia"/>
        </w:rPr>
        <w:t xml:space="preserve">とすると、平均差を標準化した値が最大の候補は</w:t>
      </w:r>
      <w:r>
        <w:t xml:space="preserve"> c </w:t>
      </w:r>
      <w:r>
        <w:rPr>
          <w:rFonts w:hint="eastAsia"/>
        </w:rPr>
        <w:t xml:space="preserve">であり、その優位は選択の偏りを考慮しても有意である。基準を</w:t>
      </w:r>
      <w:r>
        <w:t xml:space="preserve"> c </w:t>
      </w:r>
      <w:r>
        <w:rPr>
          <w:rFonts w:hint="eastAsia"/>
        </w:rPr>
        <w:t xml:space="preserve">とすると、点推定で</w:t>
      </w:r>
      <w:r>
        <w:t xml:space="preserve"> c </w:t>
      </w:r>
      <w:r>
        <w:rPr>
          <w:rFonts w:hint="eastAsia"/>
        </w:rPr>
        <w:t xml:space="preserve">を上回る候補はなく、c</w:t>
      </w:r>
      <w:r>
        <w:t xml:space="preserve"> </w:t>
      </w:r>
      <w:r>
        <w:rPr>
          <w:rFonts w:hint="eastAsia"/>
        </w:rPr>
        <w:t xml:space="preserve">を有意に上回る戦略はない。ただし、この検定の帰無仮説は「どの候補も基準を上回らない」であり、それが棄却されないことは</w:t>
      </w:r>
      <w:r>
        <w:t xml:space="preserve"> c </w:t>
      </w:r>
      <w:r>
        <w:rPr>
          <w:rFonts w:hint="eastAsia"/>
        </w:rPr>
        <w:t xml:space="preserve">が最善であることまでは示さない。最善の戦略の集合を推定するモデル信頼集合では、範囲統計量によれば99%の集合にも</w:t>
      </w:r>
      <w:r>
        <w:t xml:space="preserve"> c </w:t>
      </w:r>
      <w:r>
        <w:rPr>
          <w:rFonts w:hint="eastAsia"/>
        </w:rPr>
        <w:t xml:space="preserve">だけが残るが、最大統計量によれば90%の集合に</w:t>
      </w:r>
      <w:r>
        <w:t xml:space="preserve"> b </w:t>
      </w:r>
      <w:r>
        <w:rPr>
          <w:rFonts w:hint="eastAsia"/>
        </w:rPr>
        <w:t xml:space="preserve">と動的因子予測を含む6本が残り、最善の集合は統計量に依存する。また、c</w:t>
      </w:r>
      <w:r>
        <w:t xml:space="preserve"> と b </w:t>
      </w:r>
      <w:r>
        <w:rPr>
          <w:rFonts w:hint="eastAsia"/>
        </w:rPr>
        <w:t xml:space="preserve">の差が縮んだ</w:t>
      </w:r>
      <w:r>
        <w:t xml:space="preserve"> FY2025 には b </w:t>
      </w:r>
      <w:r>
        <w:rPr>
          <w:rFonts w:hint="eastAsia"/>
        </w:rPr>
        <w:t xml:space="preserve">に対する</w:t>
      </w:r>
      <w:r>
        <w:t xml:space="preserve"> c </w:t>
      </w:r>
      <w:r>
        <w:rPr>
          <w:rFonts w:hint="eastAsia"/>
        </w:rPr>
        <w:t xml:space="preserve">の優位を単年では確認できず、この優位は主に3年プールの結果である。</w:t>
      </w:r>
    </w:p>
    <w:p>
      <w:pPr>
        <w:pStyle w:val="TableCaption"/>
      </w:pPr>
      <w:r>
        <w:rPr>
          <w:rFonts w:hint="eastAsia"/>
        </w:rPr>
        <w:t xml:space="preserve">表6.3</w:t>
      </w:r>
      <w:r>
        <w:t xml:space="preserve">　</w:t>
      </w:r>
      <w:r>
        <w:rPr>
          <w:rFonts w:hint="eastAsia"/>
        </w:rPr>
        <w:t xml:space="preserve">実行可能戦略の検定と頑健性の要約</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6.3　実行可能戦略の検定と頑健性の要約"/>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確認の項目</w:t>
            </w:r>
          </w:p>
        </w:tc>
        <w:tc>
          <w:tcPr>
            <w:tcBorders>
              <w:bottom w:val="single" w:sz="6" w:color="000000"/>
            </w:tcBorders>
          </w:tcPr>
          <w:p>
            <w:pPr>
              <w:pStyle w:val="Compact"/>
            </w:pPr>
            <w:r>
              <w:rPr>
                <w:rFonts w:hint="eastAsia"/>
                <w:sz w:val="18"/>
              </w:rPr>
              <w:t xml:space="preserve">方法</w:t>
            </w:r>
          </w:p>
        </w:tc>
        <w:tc>
          <w:tcPr>
            <w:tcBorders>
              <w:bottom w:val="single" w:sz="6" w:color="000000"/>
            </w:tcBorders>
          </w:tcPr>
          <w:p>
            <w:pPr>
              <w:pStyle w:val="Compact"/>
            </w:pPr>
            <w:r>
              <w:rPr>
                <w:rFonts w:hint="eastAsia"/>
                <w:sz w:val="18"/>
              </w:rPr>
              <w:t xml:space="preserve">結果</w:t>
            </w:r>
          </w:p>
        </w:tc>
        <w:tc>
          <w:tcPr>
            <w:tcBorders>
              <w:bottom w:val="single" w:sz="6" w:color="000000"/>
            </w:tcBorders>
          </w:tcPr>
          <w:p>
            <w:pPr>
              <w:pStyle w:val="Compact"/>
            </w:pPr>
            <w:r>
              <w:rPr>
                <w:rFonts w:hint="eastAsia"/>
                <w:sz w:val="18"/>
              </w:rPr>
              <w:t xml:space="preserve">結論</w:t>
            </w:r>
          </w:p>
        </w:tc>
      </w:tr>
      <w:tr>
        <w:tc>
          <w:tcPr/>
          <w:p>
            <w:pPr>
              <w:pStyle w:val="Compact"/>
            </w:pPr>
            <w:r>
              <w:rPr>
                <w:sz w:val="18"/>
              </w:rPr>
              <w:t xml:space="preserve">c と b </w:t>
            </w:r>
            <w:r>
              <w:rPr>
                <w:rFonts w:hint="eastAsia"/>
                <w:sz w:val="18"/>
              </w:rPr>
              <w:t xml:space="preserve">の差</w:t>
            </w:r>
          </w:p>
        </w:tc>
        <w:tc>
          <w:tcPr/>
          <w:p>
            <w:pPr>
              <w:pStyle w:val="Compact"/>
            </w:pPr>
            <w:r>
              <w:rPr>
                <w:sz w:val="18"/>
              </w:rPr>
              <w:t xml:space="preserve">DM </w:t>
            </w:r>
            <w:r>
              <w:rPr>
                <w:rFonts w:hint="eastAsia"/>
                <w:sz w:val="18"/>
              </w:rPr>
              <w:t xml:space="preserve">検定</w:t>
            </w:r>
          </w:p>
        </w:tc>
        <w:tc>
          <w:tcPr/>
          <w:p>
            <w:pPr>
              <w:pStyle w:val="Compact"/>
            </w:pPr>
            <w:r>
              <w:rPr>
                <w:rFonts w:hint="eastAsia"/>
                <w:sz w:val="18"/>
              </w:rPr>
              <w:t xml:space="preserve">+2.8ポイント（95%区間1.2〜4.4）、DM=4.10</w:t>
            </w:r>
          </w:p>
        </w:tc>
        <w:tc>
          <w:tcPr/>
          <w:p>
            <w:pPr>
              <w:pStyle w:val="Compact"/>
            </w:pPr>
            <w:r>
              <w:rPr>
                <w:sz w:val="18"/>
              </w:rPr>
              <w:t xml:space="preserve">c </w:t>
            </w:r>
            <w:r>
              <w:rPr>
                <w:rFonts w:hint="eastAsia"/>
                <w:sz w:val="18"/>
              </w:rPr>
              <w:t xml:space="preserve">が優位</w:t>
            </w:r>
          </w:p>
        </w:tc>
      </w:tr>
      <w:tr>
        <w:tc>
          <w:tcPr/>
          <w:p>
            <w:pPr>
              <w:pStyle w:val="Compact"/>
            </w:pPr>
            <w:r>
              <w:rPr>
                <w:rFonts w:hint="eastAsia"/>
                <w:sz w:val="18"/>
              </w:rPr>
              <w:t xml:space="preserve">選択の偏りを考慮した検定（基準</w:t>
            </w:r>
            <w:r>
              <w:rPr>
                <w:sz w:val="18"/>
              </w:rPr>
              <w:t xml:space="preserve"> </w:t>
            </w:r>
            <w:r>
              <w:rPr>
                <w:rFonts w:hint="eastAsia"/>
                <w:sz w:val="18"/>
              </w:rPr>
              <w:t xml:space="preserve">b）</w:t>
            </w:r>
          </w:p>
        </w:tc>
        <w:tc>
          <w:tcPr/>
          <w:p>
            <w:pPr>
              <w:pStyle w:val="Compact"/>
            </w:pPr>
            <w:r>
              <w:rPr>
                <w:sz w:val="18"/>
              </w:rPr>
              <w:t xml:space="preserve">SPA </w:t>
            </w:r>
            <w:r>
              <w:rPr>
                <w:rFonts w:hint="eastAsia"/>
                <w:sz w:val="18"/>
              </w:rPr>
              <w:t xml:space="preserve">検定・Reality</w:t>
            </w:r>
            <w:r>
              <w:rPr>
                <w:sz w:val="18"/>
              </w:rPr>
              <w:t xml:space="preserve"> </w:t>
            </w:r>
            <w:r>
              <w:rPr>
                <w:rFonts w:hint="eastAsia"/>
                <w:sz w:val="18"/>
              </w:rPr>
              <w:t xml:space="preserve">Check（候補8本）</w:t>
            </w:r>
          </w:p>
        </w:tc>
        <w:tc>
          <w:tcPr/>
          <w:p>
            <w:pPr>
              <w:pStyle w:val="Compact"/>
            </w:pPr>
            <w:r>
              <w:rPr>
                <w:sz w:val="18"/>
              </w:rPr>
              <w:t xml:space="preserve">SPA の p=0.001、Reality Check の p=0.023</w:t>
            </w:r>
          </w:p>
        </w:tc>
        <w:tc>
          <w:tcPr/>
          <w:p>
            <w:pPr>
              <w:pStyle w:val="Compact"/>
            </w:pPr>
            <w:r>
              <w:rPr>
                <w:sz w:val="18"/>
              </w:rPr>
              <w:t xml:space="preserve">c </w:t>
            </w:r>
            <w:r>
              <w:rPr>
                <w:rFonts w:hint="eastAsia"/>
                <w:sz w:val="18"/>
              </w:rPr>
              <w:t xml:space="preserve">が優位</w:t>
            </w:r>
          </w:p>
        </w:tc>
      </w:tr>
      <w:tr>
        <w:tc>
          <w:tcPr/>
          <w:p>
            <w:pPr>
              <w:pStyle w:val="Compact"/>
            </w:pPr>
            <w:r>
              <w:rPr>
                <w:rFonts w:hint="eastAsia"/>
                <w:sz w:val="18"/>
              </w:rPr>
              <w:t xml:space="preserve">同（基準</w:t>
            </w:r>
            <w:r>
              <w:rPr>
                <w:sz w:val="18"/>
              </w:rPr>
              <w:t xml:space="preserve"> </w:t>
            </w:r>
            <w:r>
              <w:rPr>
                <w:rFonts w:hint="eastAsia"/>
                <w:sz w:val="18"/>
              </w:rPr>
              <w:t xml:space="preserve">c）</w:t>
            </w:r>
          </w:p>
        </w:tc>
        <w:tc>
          <w:tcPr/>
          <w:p>
            <w:pPr>
              <w:pStyle w:val="Compact"/>
            </w:pPr>
            <w:r>
              <w:rPr>
                <w:rFonts w:hint="eastAsia"/>
                <w:sz w:val="18"/>
              </w:rPr>
              <w:t xml:space="preserve">同上</w:t>
            </w:r>
          </w:p>
        </w:tc>
        <w:tc>
          <w:tcPr/>
          <w:p>
            <w:pPr>
              <w:pStyle w:val="Compact"/>
            </w:pPr>
            <w:r>
              <w:rPr>
                <w:sz w:val="18"/>
              </w:rPr>
              <w:t xml:space="preserve">c </w:t>
            </w:r>
            <w:r>
              <w:rPr>
                <w:rFonts w:hint="eastAsia"/>
                <w:sz w:val="18"/>
              </w:rPr>
              <w:t xml:space="preserve">を上回る候補なし（p=1）</w:t>
            </w:r>
          </w:p>
        </w:tc>
        <w:tc>
          <w:tcPr/>
          <w:p>
            <w:pPr>
              <w:pStyle w:val="Compact"/>
            </w:pPr>
            <w:r>
              <w:rPr>
                <w:sz w:val="18"/>
              </w:rPr>
              <w:t xml:space="preserve">c </w:t>
            </w:r>
            <w:r>
              <w:rPr>
                <w:rFonts w:hint="eastAsia"/>
                <w:sz w:val="18"/>
              </w:rPr>
              <w:t xml:space="preserve">を有意に上回る戦略なし</w:t>
            </w:r>
          </w:p>
        </w:tc>
      </w:tr>
      <w:tr>
        <w:tc>
          <w:tcPr/>
          <w:p>
            <w:pPr>
              <w:pStyle w:val="Compact"/>
            </w:pPr>
            <w:r>
              <w:rPr>
                <w:rFonts w:hint="eastAsia"/>
                <w:sz w:val="18"/>
              </w:rPr>
              <w:t xml:space="preserve">最大値を選ぶことの偏り</w:t>
            </w:r>
          </w:p>
        </w:tc>
        <w:tc>
          <w:tcPr/>
          <w:p>
            <w:pPr>
              <w:pStyle w:val="Compact"/>
            </w:pPr>
            <w:r>
              <w:rPr>
                <w:rFonts w:hint="eastAsia"/>
                <w:sz w:val="18"/>
              </w:rPr>
              <w:t xml:space="preserve">同じブートストラップ標本</w:t>
            </w:r>
          </w:p>
        </w:tc>
        <w:tc>
          <w:tcPr/>
          <w:p>
            <w:pPr>
              <w:pStyle w:val="Compact"/>
            </w:pPr>
            <w:r>
              <w:rPr>
                <w:sz w:val="18"/>
              </w:rPr>
              <w:t xml:space="preserve">c </w:t>
            </w:r>
            <w:r>
              <w:rPr>
                <w:rFonts w:hint="eastAsia"/>
                <w:sz w:val="18"/>
              </w:rPr>
              <w:t xml:space="preserve">が最大の割合99.8%、偏り−0.05ポイント</w:t>
            </w:r>
          </w:p>
        </w:tc>
        <w:tc>
          <w:tcPr/>
          <w:p>
            <w:pPr>
              <w:pStyle w:val="Compact"/>
            </w:pPr>
            <w:r>
              <w:rPr>
                <w:rFonts w:hint="eastAsia"/>
                <w:sz w:val="18"/>
              </w:rPr>
              <w:t xml:space="preserve">上方の偏りなし</w:t>
            </w:r>
          </w:p>
        </w:tc>
      </w:tr>
      <w:tr>
        <w:tc>
          <w:tcPr/>
          <w:p>
            <w:pPr>
              <w:pStyle w:val="Compact"/>
            </w:pPr>
            <w:r>
              <w:rPr>
                <w:rFonts w:hint="eastAsia"/>
                <w:sz w:val="18"/>
              </w:rPr>
              <w:t xml:space="preserve">年度別の検定（基準</w:t>
            </w:r>
            <w:r>
              <w:rPr>
                <w:sz w:val="18"/>
              </w:rPr>
              <w:t xml:space="preserve"> </w:t>
            </w:r>
            <w:r>
              <w:rPr>
                <w:rFonts w:hint="eastAsia"/>
                <w:sz w:val="18"/>
              </w:rPr>
              <w:t xml:space="preserve">b）</w:t>
            </w:r>
          </w:p>
        </w:tc>
        <w:tc>
          <w:tcPr/>
          <w:p>
            <w:pPr>
              <w:pStyle w:val="Compact"/>
            </w:pPr>
            <w:r>
              <w:rPr>
                <w:sz w:val="18"/>
              </w:rPr>
              <w:t xml:space="preserve">SPA </w:t>
            </w:r>
            <w:r>
              <w:rPr>
                <w:rFonts w:hint="eastAsia"/>
                <w:sz w:val="18"/>
              </w:rPr>
              <w:t xml:space="preserve">検定</w:t>
            </w:r>
          </w:p>
        </w:tc>
        <w:tc>
          <w:tcPr/>
          <w:p>
            <w:pPr>
              <w:pStyle w:val="Compact"/>
            </w:pPr>
            <w:r>
              <w:rPr>
                <w:rFonts w:hint="eastAsia"/>
                <w:sz w:val="18"/>
              </w:rPr>
              <w:t xml:space="preserve">p=0.002（FY2023）、0.052（FY2024）、0.461（FY2025）</w:t>
            </w:r>
          </w:p>
        </w:tc>
        <w:tc>
          <w:tcPr/>
          <w:p>
            <w:pPr>
              <w:pStyle w:val="Compact"/>
            </w:pPr>
            <w:r>
              <w:rPr>
                <w:sz w:val="18"/>
              </w:rPr>
              <w:t xml:space="preserve">FY2025 </w:t>
            </w:r>
            <w:r>
              <w:rPr>
                <w:rFonts w:hint="eastAsia"/>
                <w:sz w:val="18"/>
              </w:rPr>
              <w:t xml:space="preserve">は単年で確認できない</w:t>
            </w:r>
          </w:p>
        </w:tc>
      </w:tr>
      <w:tr>
        <w:tc>
          <w:tcPr/>
          <w:p>
            <w:pPr>
              <w:pStyle w:val="Compact"/>
            </w:pPr>
            <w:r>
              <w:rPr>
                <w:rFonts w:hint="eastAsia"/>
                <w:sz w:val="18"/>
              </w:rPr>
              <w:t xml:space="preserve">ブロック長</w:t>
            </w:r>
          </w:p>
        </w:tc>
        <w:tc>
          <w:tcPr/>
          <w:p>
            <w:pPr>
              <w:pStyle w:val="Compact"/>
            </w:pPr>
            <w:r>
              <w:rPr>
                <w:rFonts w:hint="eastAsia"/>
                <w:sz w:val="18"/>
              </w:rPr>
              <w:t xml:space="preserve">平均ブロック長7〜28日</w:t>
            </w:r>
          </w:p>
        </w:tc>
        <w:tc>
          <w:tcPr/>
          <w:p>
            <w:pPr>
              <w:pStyle w:val="Compact"/>
            </w:pPr>
            <w:r>
              <w:rPr>
                <w:sz w:val="18"/>
              </w:rPr>
              <w:t xml:space="preserve">SPA の p≤0.0014</w:t>
            </w:r>
          </w:p>
        </w:tc>
        <w:tc>
          <w:tcPr/>
          <w:p>
            <w:pPr>
              <w:pStyle w:val="Compact"/>
            </w:pPr>
            <w:r>
              <w:rPr>
                <w:rFonts w:hint="eastAsia"/>
                <w:sz w:val="18"/>
              </w:rPr>
              <w:t xml:space="preserve">変わらない</w:t>
            </w:r>
          </w:p>
        </w:tc>
      </w:tr>
      <w:tr>
        <w:tc>
          <w:tcPr/>
          <w:p>
            <w:pPr>
              <w:pStyle w:val="Compact"/>
            </w:pPr>
            <w:r>
              <w:rPr>
                <w:rFonts w:hint="eastAsia"/>
                <w:sz w:val="18"/>
              </w:rPr>
              <w:t xml:space="preserve">動的因子予測</w:t>
            </w:r>
          </w:p>
        </w:tc>
        <w:tc>
          <w:tcPr/>
          <w:p>
            <w:pPr>
              <w:pStyle w:val="Compact"/>
            </w:pPr>
            <w:r>
              <w:rPr>
                <w:sz w:val="18"/>
              </w:rPr>
              <w:t xml:space="preserve">DL1・DL3・DL5・AR</w:t>
            </w:r>
          </w:p>
        </w:tc>
        <w:tc>
          <w:tcPr/>
          <w:p>
            <w:pPr>
              <w:pStyle w:val="Compact"/>
            </w:pPr>
            <w:r>
              <w:rPr>
                <w:sz w:val="18"/>
              </w:rPr>
              <w:t xml:space="preserve">c </w:t>
            </w:r>
            <w:r>
              <w:rPr>
                <w:rFonts w:hint="eastAsia"/>
                <w:sz w:val="18"/>
              </w:rPr>
              <w:t xml:space="preserve">との差−1.3〜−2.2ポイント</w:t>
            </w:r>
          </w:p>
        </w:tc>
        <w:tc>
          <w:tcPr/>
          <w:p>
            <w:pPr>
              <w:pStyle w:val="Compact"/>
            </w:pPr>
            <w:r>
              <w:rPr>
                <w:sz w:val="18"/>
              </w:rPr>
              <w:t xml:space="preserve">c </w:t>
            </w:r>
            <w:r>
              <w:rPr>
                <w:rFonts w:hint="eastAsia"/>
                <w:sz w:val="18"/>
              </w:rPr>
              <w:t xml:space="preserve">が上回る</w:t>
            </w:r>
          </w:p>
        </w:tc>
      </w:tr>
      <w:tr>
        <w:tc>
          <w:tcPr/>
          <w:p>
            <w:pPr>
              <w:pStyle w:val="Compact"/>
            </w:pPr>
            <w:r>
              <w:rPr>
                <w:rFonts w:hint="eastAsia"/>
                <w:sz w:val="18"/>
              </w:rPr>
              <w:t xml:space="preserve">最善の戦略の集合</w:t>
            </w:r>
          </w:p>
        </w:tc>
        <w:tc>
          <w:tcPr/>
          <w:p>
            <w:pPr>
              <w:pStyle w:val="Compact"/>
            </w:pPr>
            <w:r>
              <w:rPr>
                <w:rFonts w:hint="eastAsia"/>
                <w:sz w:val="18"/>
              </w:rPr>
              <w:t xml:space="preserve">モデル信頼集合</w:t>
            </w:r>
          </w:p>
        </w:tc>
        <w:tc>
          <w:tcPr/>
          <w:p>
            <w:pPr>
              <w:pStyle w:val="Compact"/>
            </w:pPr>
            <w:r>
              <w:rPr>
                <w:rFonts w:hint="eastAsia"/>
                <w:sz w:val="18"/>
              </w:rPr>
              <w:t xml:space="preserve">99%集合は</w:t>
            </w:r>
            <w:r>
              <w:rPr>
                <w:sz w:val="18"/>
              </w:rPr>
              <w:t xml:space="preserve"> c </w:t>
            </w:r>
            <w:r>
              <w:rPr>
                <w:rFonts w:hint="eastAsia"/>
                <w:sz w:val="18"/>
              </w:rPr>
              <w:t xml:space="preserve">のみ（</w:t>
            </w:r>
            <m:oMath>
              <m:sSub>
                <m:e>
                  <m:r>
                    <m:t>T</m:t>
                  </m:r>
                </m:e>
                <m:sub>
                  <m:r>
                    <m:t>R</m:t>
                  </m:r>
                </m:sub>
              </m:sSub>
            </m:oMath>
            <w:r>
              <w:rPr>
                <w:rFonts w:hint="eastAsia"/>
                <w:sz w:val="18"/>
              </w:rPr>
              <w:t xml:space="preserve">）、90%集合は6本（</w:t>
            </w:r>
            <m:oMath>
              <m:sSub>
                <m:e>
                  <m:r>
                    <m:t>T</m:t>
                  </m:r>
                </m:e>
                <m:sub>
                  <m:r>
                    <m:rPr>
                      <m:sty m:val="p"/>
                    </m:rPr>
                    <m:t>m</m:t>
                  </m:r>
                  <m:r>
                    <m:rPr>
                      <m:sty m:val="p"/>
                    </m:rPr>
                    <m:t>a</m:t>
                  </m:r>
                  <m:r>
                    <m:rPr>
                      <m:sty m:val="p"/>
                    </m:rPr>
                    <m:t>x</m:t>
                  </m:r>
                </m:sub>
              </m:sSub>
            </m:oMath>
            <w:r>
              <w:rPr>
                <w:rFonts w:hint="eastAsia"/>
                <w:sz w:val="18"/>
              </w:rPr>
              <w:t xml:space="preserve">）</w:t>
            </w:r>
          </w:p>
        </w:tc>
        <w:tc>
          <w:tcPr/>
          <w:p>
            <w:pPr>
              <w:pStyle w:val="Compact"/>
            </w:pPr>
            <w:r>
              <w:rPr>
                <w:rFonts w:hint="eastAsia"/>
                <w:sz w:val="18"/>
              </w:rPr>
              <w:t xml:space="preserve">最善の集合は統計量に依存</w:t>
            </w:r>
          </w:p>
        </w:tc>
      </w:tr>
      <w:tr>
        <w:tc>
          <w:tcPr/>
          <w:p>
            <w:pPr>
              <w:pStyle w:val="Compact"/>
            </w:pPr>
            <w:r>
              <w:rPr>
                <w:rFonts w:hint="eastAsia"/>
                <w:sz w:val="18"/>
              </w:rPr>
              <w:t xml:space="preserve">充放電の順序</w:t>
            </w:r>
          </w:p>
        </w:tc>
        <w:tc>
          <w:tcPr/>
          <w:p>
            <w:pPr>
              <w:pStyle w:val="Compact"/>
            </w:pPr>
            <w:r>
              <w:rPr>
                <w:rFonts w:hint="eastAsia"/>
                <w:sz w:val="18"/>
              </w:rPr>
              <w:t xml:space="preserve">動的計画の厳密解</w:t>
            </w:r>
          </w:p>
        </w:tc>
        <w:tc>
          <w:tcPr/>
          <w:p>
            <w:pPr>
              <w:pStyle w:val="Compact"/>
            </w:pPr>
            <w:r>
              <w:rPr>
                <w:rFonts w:hint="eastAsia"/>
                <w:sz w:val="18"/>
              </w:rPr>
              <w:t xml:space="preserve">完全予見粗利−1.7〜−2.7%、c</w:t>
            </w:r>
            <w:r>
              <w:rPr>
                <w:sz w:val="18"/>
              </w:rPr>
              <w:t xml:space="preserve"> </w:t>
            </w:r>
            <w:r>
              <w:rPr>
                <w:rFonts w:hint="eastAsia"/>
                <w:sz w:val="18"/>
              </w:rPr>
              <w:t xml:space="preserve">は±0.4%以内</w:t>
            </w:r>
          </w:p>
        </w:tc>
        <w:tc>
          <w:tcPr/>
          <w:p>
            <w:pPr>
              <w:pStyle w:val="Compact"/>
            </w:pPr>
            <w:r>
              <w:rPr>
                <w:rFonts w:hint="eastAsia"/>
                <w:sz w:val="18"/>
              </w:rPr>
              <w:t xml:space="preserve">ランク法は頑健</w:t>
            </w:r>
          </w:p>
        </w:tc>
      </w:tr>
    </w:tbl>
    <w:p>
      <w:pPr>
        <w:pStyle w:val="TableNote"/>
      </w:pPr>
      <w:r>
        <w:rPr>
          <w:rFonts w:hint="eastAsia"/>
        </w:rPr>
        <w:t xml:space="preserve">注）北海道</w:t>
      </w:r>
      <w:r>
        <w:t xml:space="preserve"> FY2023〜25 </w:t>
      </w:r>
      <w:r>
        <w:rPr>
          <w:rFonts w:hint="eastAsia"/>
        </w:rPr>
        <w:t xml:space="preserve">の1,096日（年度別の行を除く）。SPA</w:t>
      </w:r>
      <w:r>
        <w:t xml:space="preserve"> </w:t>
      </w:r>
      <w:r>
        <w:rPr>
          <w:rFonts w:hint="eastAsia"/>
        </w:rPr>
        <w:t xml:space="preserve">検定は</w:t>
      </w:r>
      <w:r>
        <w:t xml:space="preserve"> </w:t>
      </w:r>
      <w:r>
        <w:rPr>
          <w:rFonts w:hint="eastAsia"/>
        </w:rPr>
        <w:t xml:space="preserve">Hansen（2005）の一致版の</w:t>
      </w:r>
      <w:r>
        <w:t xml:space="preserve"> p </w:t>
      </w:r>
      <w:r>
        <w:rPr>
          <w:rFonts w:hint="eastAsia"/>
        </w:rPr>
        <w:t xml:space="preserve">で、帰無仮説は「どの候補も基準を上回らない」。ブートストラップは定常ブートストラップ（平均ブロック長20日、反復10,000回）。モデル信頼集合は</w:t>
      </w:r>
      <w:r>
        <w:t xml:space="preserve"> Hansen et </w:t>
      </w:r>
      <w:r>
        <w:rPr>
          <w:rFonts w:hint="eastAsia"/>
        </w:rPr>
        <w:t xml:space="preserve">al.（2011）により、</w:t>
      </w:r>
      <m:oMath>
        <m:sSub>
          <m:e>
            <m:r>
              <m:t>T</m:t>
            </m:r>
          </m:e>
          <m:sub>
            <m:r>
              <m:t>R</m:t>
            </m:r>
          </m:sub>
        </m:sSub>
      </m:oMath>
      <w:r>
        <w:t xml:space="preserve"> </w:t>
      </w:r>
      <w:r>
        <w:rPr>
          <w:rFonts w:hint="eastAsia"/>
        </w:rPr>
        <w:t xml:space="preserve">は範囲統計量、</w:t>
      </w:r>
      <m:oMath>
        <m:sSub>
          <m:e>
            <m:r>
              <m:t>T</m:t>
            </m:r>
          </m:e>
          <m:sub>
            <m:r>
              <m:rPr>
                <m:sty m:val="p"/>
              </m:rPr>
              <m:t>m</m:t>
            </m:r>
            <m:r>
              <m:rPr>
                <m:sty m:val="p"/>
              </m:rPr>
              <m:t>a</m:t>
            </m:r>
            <m:r>
              <m:rPr>
                <m:sty m:val="p"/>
              </m:rPr>
              <m:t>x</m:t>
            </m:r>
          </m:sub>
        </m:sSub>
      </m:oMath>
      <w:r>
        <w:t xml:space="preserve"> </w:t>
      </w:r>
      <w:r>
        <w:rPr>
          <w:rFonts w:hint="eastAsia"/>
        </w:rPr>
        <w:t xml:space="preserve">は最大統計量である。各検定の詳細は表C.19</w:t>
      </w:r>
      <w:r>
        <w:t xml:space="preserve"> </w:t>
      </w:r>
      <w:r>
        <w:rPr>
          <w:rFonts w:hint="eastAsia"/>
        </w:rPr>
        <w:t xml:space="preserve">と表C.20</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期間構造の標準的な予測モデルを当てても、前日の価格の情報で気候値を上回ることはできない。動的因子予測（DL1・DL3・DL5）と</w:t>
      </w:r>
      <w:r>
        <w:t xml:space="preserve"> AR </w:t>
      </w:r>
      <w:r>
        <w:rPr>
          <w:rFonts w:hint="eastAsia"/>
        </w:rPr>
        <w:t xml:space="preserve">は、時間別価格の二乗誤差を</w:t>
      </w:r>
      <w:r>
        <w:t xml:space="preserve"> c </w:t>
      </w:r>
      <w:r>
        <w:rPr>
          <w:rFonts w:hint="eastAsia"/>
        </w:rPr>
        <w:t xml:space="preserve">より14〜17%小さくするが（表C.20）、その改善はほぼすべて日平均（水準）の部分にあり、日平均を除いた形状の二乗誤差はほとんど変わらない。第1因子の1日の持続性は</w:t>
      </w:r>
      <w:r>
        <w:t xml:space="preserve"> </w:t>
      </w:r>
      <m:oMath>
        <m:r>
          <m:t>ϕ</m:t>
        </m:r>
        <m:r>
          <m:rPr>
            <m:sty m:val="p"/>
          </m:rPr>
          <m:t>≈</m:t>
        </m:r>
        <m:r>
          <m:t>0.54</m:t>
        </m:r>
      </m:oMath>
      <w:r>
        <w:t xml:space="preserve"> </w:t>
      </w:r>
      <w:r>
        <w:rPr>
          <w:rFonts w:hint="eastAsia"/>
        </w:rPr>
        <w:t xml:space="preserve">あるが、第2・第3因子は</w:t>
      </w:r>
      <w:r>
        <w:t xml:space="preserve"> </w:t>
      </w:r>
      <m:oMath>
        <m:r>
          <m:t>ϕ</m:t>
        </m:r>
        <m:r>
          <m:rPr>
            <m:sty m:val="p"/>
          </m:rPr>
          <m:t>≈</m:t>
        </m:r>
        <m:r>
          <m:t>0.35</m:t>
        </m:r>
      </m:oMath>
      <w:r>
        <w:t xml:space="preserve"> </w:t>
      </w:r>
      <w:r>
        <w:rPr>
          <w:rFonts w:hint="eastAsia"/>
        </w:rPr>
        <w:t xml:space="preserve">と小さく、充放電の時間を決めるカーブの順位は日平均を一律に動かしても変わらない。統計的な予測精度と経済的な価値が一致しないことは</w:t>
      </w:r>
      <w:r>
        <w:t xml:space="preserve"> Leitch and </w:t>
      </w:r>
      <w:r>
        <w:rPr>
          <w:rFonts w:hint="eastAsia"/>
        </w:rPr>
        <w:t xml:space="preserve">Tanner（1991）以来の論点であり、ここではそれが、前日の情報は水準の予測には効くが、裁定の価値を決める形状の予測には効かないという形で現れ、6.3節の解釈を予測評価の手法で裏づける。</w:t>
      </w:r>
    </w:p>
    <w:bookmarkEnd w:id="163"/>
    <w:bookmarkStart w:id="164" w:name="実現率の位置づけと均衡分析の収益の基準"/>
    <w:p>
      <w:pPr>
        <w:pStyle w:val="Heading2"/>
      </w:pPr>
      <w:r>
        <w:t xml:space="preserve">6.8　</w:t>
      </w:r>
      <w:r>
        <w:rPr>
          <w:rFonts w:hint="eastAsia"/>
        </w:rPr>
        <w:t xml:space="preserve">実現率の位置づけと均衡分析の収益の基準</w:t>
      </w:r>
    </w:p>
    <w:p>
      <w:pPr>
        <w:pStyle w:val="FirstParagraph"/>
      </w:pPr>
      <w:r>
        <w:rPr>
          <w:rFonts w:hint="eastAsia"/>
        </w:rPr>
        <w:t xml:space="preserve">第4章で定義したとおり、第7章の均衡分析は、限界参入者の収益をモデル価格の上で戦略</w:t>
      </w:r>
      <w:r>
        <w:t xml:space="preserve"> c </w:t>
      </w:r>
      <w:r>
        <w:rPr>
          <w:rFonts w:hint="eastAsia"/>
        </w:rPr>
        <w:t xml:space="preserve">を動かして求め、実績に校正する（実績整合ケース、式(4.4)）。本章の層分解は、この基準の根拠を与える。モデル価格は日々の予測できない形状の変動、すなわち層</w:t>
      </w:r>
      <w:r>
        <w:t xml:space="preserve"> (III) </w:t>
      </w:r>
      <w:r>
        <w:rPr>
          <w:rFonts w:hint="eastAsia"/>
        </w:rPr>
        <w:t xml:space="preserve">の多くを持たないので、モデル価格の上での完全予見粗利と戦略</w:t>
      </w:r>
      <w:r>
        <w:t xml:space="preserve"> c </w:t>
      </w:r>
      <w:r>
        <w:rPr>
          <w:rFonts w:hint="eastAsia"/>
        </w:rPr>
        <w:t xml:space="preserve">の差は663円/kW-年と、実績価格の上での差（1,890円）の約3分の1にとどまり、同じ戦略</w:t>
      </w:r>
      <w:r>
        <w:t xml:space="preserve"> c </w:t>
      </w:r>
      <w:r>
        <w:rPr>
          <w:rFonts w:hint="eastAsia"/>
        </w:rPr>
        <w:t xml:space="preserve">の実現率は0.92（仕様A、</w:t>
      </w:r>
      <m:oMath>
        <m:r>
          <m:t>K</m:t>
        </m:r>
        <m:r>
          <m:rPr>
            <m:sty m:val="p"/>
          </m:rPr>
          <m:t>=</m:t>
        </m:r>
        <m:r>
          <m:t>0</m:t>
        </m:r>
      </m:oMath>
      <w:r>
        <w:t xml:space="preserve">、</w:t>
      </w:r>
      <m:oMath>
        <m:r>
          <m:t>θ</m:t>
        </m:r>
        <m:r>
          <m:rPr>
            <m:sty m:val="p"/>
          </m:rPr>
          <m:t>=</m:t>
        </m:r>
        <m:r>
          <m:t>1</m:t>
        </m:r>
      </m:oMath>
      <w:r>
        <w:rPr>
          <w:rFonts w:hint="eastAsia"/>
        </w:rPr>
        <w:t xml:space="preserve">）と高い。他方、モデル価格の上での戦略</w:t>
      </w:r>
      <w:r>
        <w:t xml:space="preserve"> c </w:t>
      </w:r>
      <w:r>
        <w:rPr>
          <w:rFonts w:hint="eastAsia"/>
        </w:rPr>
        <w:t xml:space="preserve">の粗利は、予測できる形状の価値が小さいために実績を下回る。実績整合ケースはこの差を校正係数</w:t>
      </w:r>
      <w:r>
        <w:t xml:space="preserve"> </w:t>
      </w:r>
      <m:oMath>
        <m:r>
          <m:t>λ</m:t>
        </m:r>
      </m:oMath>
      <w:r>
        <w:t xml:space="preserve"> </w:t>
      </w:r>
      <w:r>
        <w:rPr>
          <w:rFonts w:hint="eastAsia"/>
        </w:rPr>
        <w:t xml:space="preserve">で埋める（4.2.4項）。</w:t>
      </w:r>
    </w:p>
    <w:p>
      <w:pPr>
        <w:pStyle w:val="BodyText"/>
      </w:pPr>
      <w:r>
        <w:rPr>
          <w:rFonts w:hint="eastAsia"/>
        </w:rPr>
        <w:t xml:space="preserve">この基準の向きを確かめておく。実績整合ケースは、</w:t>
      </w:r>
      <m:oMath>
        <m:r>
          <m:t>K</m:t>
        </m:r>
        <m:r>
          <m:rPr>
            <m:sty m:val="p"/>
          </m:rPr>
          <m:t>=</m:t>
        </m:r>
        <m:r>
          <m:t>0</m:t>
        </m:r>
      </m:oMath>
      <w:r>
        <w:t xml:space="preserve"> </w:t>
      </w:r>
      <w:r>
        <w:rPr>
          <w:rFonts w:hint="eastAsia"/>
        </w:rPr>
        <w:t xml:space="preserve">では試した9本の中で点推定の実現率が最も高い</w:t>
      </w:r>
      <w:r>
        <w:t xml:space="preserve"> c </w:t>
      </w:r>
      <w:r>
        <w:rPr>
          <w:rFonts w:hint="eastAsia"/>
        </w:rPr>
        <w:t xml:space="preserve">の実績に合わせた中心の推定であり、c</w:t>
      </w:r>
      <w:r>
        <w:t xml:space="preserve"> </w:t>
      </w:r>
      <w:r>
        <w:rPr>
          <w:rFonts w:hint="eastAsia"/>
        </w:rPr>
        <w:t xml:space="preserve">を事後的に選んだことによる上方の偏りはほぼない（6.7節）。ただし検定が示すのは試した単純戦略の中での順位であり、実現率の水準そのものの妥当性ではない。戦略</w:t>
      </w:r>
      <w:r>
        <w:t xml:space="preserve"> c </w:t>
      </w:r>
      <w:r>
        <w:rPr>
          <w:rFonts w:hint="eastAsia"/>
        </w:rPr>
        <w:t xml:space="preserve">の実現額は先読みのない最適方策の価値の期待値の意味での下界であり、価格条件付きの入札（指値・ブロック入札）を使えば</w:t>
      </w:r>
      <w:r>
        <w:t xml:space="preserve"> (II)+(III) </w:t>
      </w:r>
      <w:r>
        <w:rPr>
          <w:rFonts w:hint="eastAsia"/>
        </w:rPr>
        <w:t xml:space="preserve">の一部を上積みしうるので、実績整合ケースも実行可能な収益の上限ではない。この点で収益の基準は、参入に有利な側に置いた主たる前提（4.2.6項）とは向きが逆であり、</w:t>
      </w:r>
      <m:oMath>
        <m:sSup>
          <m:e>
            <m:r>
              <m:t>K</m:t>
            </m:r>
          </m:e>
          <m:sup>
            <m:r>
              <m:rPr>
                <m:sty m:val="p"/>
              </m:rPr>
              <m:t>*</m:t>
            </m:r>
          </m:sup>
        </m:sSup>
        <m:r>
          <m:rPr>
            <m:sty m:val="p"/>
          </m:rPr>
          <m:t>=</m:t>
        </m:r>
        <m:r>
          <m:t>0</m:t>
        </m:r>
      </m:oMath>
      <w:r>
        <w:t xml:space="preserve"> </w:t>
      </w:r>
      <w:r>
        <w:rPr>
          <w:rFonts w:hint="eastAsia"/>
        </w:rPr>
        <w:t xml:space="preserve">という結論の側に偏りうる仮定である。</w:t>
      </w:r>
      <m:oMath>
        <m:r>
          <m:t>λ</m:t>
        </m:r>
      </m:oMath>
      <w:r>
        <w:t xml:space="preserve"> </w:t>
      </w:r>
      <w:r>
        <w:t xml:space="preserve">は FY2023〜25 </w:t>
      </w:r>
      <w:r>
        <w:rPr>
          <w:rFonts w:hint="eastAsia"/>
        </w:rPr>
        <w:t xml:space="preserve">の標本内の値で、年度別には0.94〜1.21で動くが、形状の期間外（FY2026</w:t>
      </w:r>
      <w:r>
        <w:t xml:space="preserve"> </w:t>
      </w:r>
      <w:r>
        <w:rPr>
          <w:rFonts w:hint="eastAsia"/>
        </w:rPr>
        <w:t xml:space="preserve">の4〜6月と</w:t>
      </w:r>
      <w:r>
        <w:t xml:space="preserve"> </w:t>
      </w:r>
      <w:r>
        <w:rPr>
          <w:rFonts w:hint="eastAsia"/>
        </w:rPr>
        <w:t xml:space="preserve">FY2022）でも実績とモデルの比は小さくならない（付録C.2.7）。</w:t>
      </w:r>
    </w:p>
    <w:p>
      <w:pPr>
        <w:pStyle w:val="BodyText"/>
      </w:pPr>
      <w:r>
        <w:rPr>
          <w:rFonts w:hint="eastAsia"/>
        </w:rPr>
        <w:t xml:space="preserve">収益の基準の置き方が</w:t>
      </w:r>
      <w:r>
        <w:t xml:space="preserve"> </w:t>
      </w:r>
      <m:oMath>
        <m:sSup>
          <m:e>
            <m:r>
              <m:t>K</m:t>
            </m:r>
          </m:e>
          <m:sup>
            <m:r>
              <m:rPr>
                <m:sty m:val="p"/>
              </m:rPr>
              <m:t>*</m:t>
            </m:r>
          </m:sup>
        </m:sSup>
        <m:r>
          <m:rPr>
            <m:sty m:val="p"/>
          </m:rPr>
          <m:t>=</m:t>
        </m:r>
        <m:r>
          <m:t>0</m:t>
        </m:r>
      </m:oMath>
      <w:r>
        <w:t xml:space="preserve"> </w:t>
      </w:r>
      <w:r>
        <w:rPr>
          <w:rFonts w:hint="eastAsia"/>
        </w:rPr>
        <w:t xml:space="preserve">の判定に与える影響は7.5節で扱うが、その偏りの大きさは次の極端な場合で上から抑えられる。前日スポットに限る本研究の設定で取りうる収益の上限、すなわち実績価格の上で実現率を1とした場合でも、損益分岐の価格水準係数</w:t>
      </w:r>
      <w:r>
        <w:t xml:space="preserve"> </w:t>
      </w:r>
      <m:oMath>
        <m:sSup>
          <m:e>
            <m:r>
              <m:t>θ</m:t>
            </m:r>
          </m:e>
          <m:sup>
            <m:r>
              <m:rPr>
                <m:sty m:val="p"/>
              </m:rPr>
              <m:t>*</m:t>
            </m:r>
          </m:sup>
        </m:sSup>
      </m:oMath>
      <w:r>
        <w:t xml:space="preserve"> </w:t>
      </w:r>
      <w:r>
        <w:rPr>
          <w:rFonts w:hint="eastAsia"/>
        </w:rPr>
        <w:t xml:space="preserve">は第7章の標準・楽観・保守の3ケースで2.06〜2.95であり、燃料危機の</w:t>
      </w:r>
      <w:r>
        <w:t xml:space="preserve"> FY2022 </w:t>
      </w:r>
      <w:r>
        <w:rPr>
          <w:rFonts w:hint="eastAsia"/>
        </w:rPr>
        <w:t xml:space="preserve">の水準（1.72）の1.2〜1.7倍である（付録C.2.7）。</w:t>
      </w:r>
    </w:p>
    <w:bookmarkEnd w:id="164"/>
    <w:bookmarkStart w:id="165" w:name="小括-1"/>
    <w:p>
      <w:pPr>
        <w:pStyle w:val="Heading2"/>
      </w:pPr>
      <w:r>
        <w:t xml:space="preserve">6.9　</w:t>
      </w:r>
      <w:r>
        <w:rPr>
          <w:rFonts w:hint="eastAsia"/>
        </w:rPr>
        <w:t xml:space="preserve">小括</w:t>
      </w:r>
    </w:p>
    <w:p>
      <w:pPr>
        <w:pStyle w:val="FirstParagraph"/>
      </w:pPr>
      <w:r>
        <w:rPr>
          <w:rFonts w:hint="eastAsia"/>
        </w:rPr>
        <w:t xml:space="preserve">本章の主な結果は次の5点である。</w:t>
      </w:r>
    </w:p>
    <w:p>
      <w:pPr>
        <w:pStyle w:val="Compact"/>
        <w:numPr>
          <w:ilvl w:val="0"/>
          <w:numId w:val="1003"/>
        </w:numPr>
      </w:pPr>
      <w:r>
        <w:rPr>
          <w:rFonts w:hint="eastAsia"/>
        </w:rPr>
        <w:t xml:space="preserve">完全予見粗利は</w:t>
      </w:r>
      <w:r>
        <w:t xml:space="preserve"> FY2023〜25 </w:t>
      </w:r>
      <w:r>
        <w:rPr>
          <w:rFonts w:hint="eastAsia"/>
        </w:rPr>
        <w:t xml:space="preserve">に0.96〜1.15万円/kW-年で、九州の約9割である。原資は両エリアとも放電脚と充電脚でほぼ半々であり、北海道の特徴は、価格形状がやや浅く価格水準が高いことにある。</w:t>
      </w:r>
    </w:p>
    <w:p>
      <w:pPr>
        <w:pStyle w:val="Compact"/>
        <w:numPr>
          <w:ilvl w:val="0"/>
          <w:numId w:val="1003"/>
        </w:numPr>
      </w:pPr>
      <w:r>
        <w:rPr>
          <w:rFonts w:hint="eastAsia"/>
        </w:rPr>
        <w:t xml:space="preserve">過去28日の平均価格カーブに対して前日に窓を固定する本源的方策（戦略</w:t>
      </w:r>
      <w:r>
        <w:t xml:space="preserve"> </w:t>
      </w:r>
      <w:r>
        <w:rPr>
          <w:rFonts w:hint="eastAsia"/>
        </w:rPr>
        <w:t xml:space="preserve">c）が完全予見粗利の81.7%を取り、試した9本の戦略の中で点推定が最も高い。b</w:t>
      </w:r>
      <w:r>
        <w:t xml:space="preserve"> </w:t>
      </w:r>
      <w:r>
        <w:rPr>
          <w:rFonts w:hint="eastAsia"/>
        </w:rPr>
        <w:t xml:space="preserve">に対する優位は3年プールでは選択の偏りを考慮しても有意であり、c</w:t>
      </w:r>
      <w:r>
        <w:t xml:space="preserve"> </w:t>
      </w:r>
      <w:r>
        <w:rPr>
          <w:rFonts w:hint="eastAsia"/>
        </w:rPr>
        <w:t xml:space="preserve">を有意に上回る戦略はない（最善の戦略の集合は統計量に依存する）。期間構造の動的因子予測も気候値を上回れない。</w:t>
      </w:r>
    </w:p>
    <w:p>
      <w:pPr>
        <w:pStyle w:val="Compact"/>
        <w:numPr>
          <w:ilvl w:val="0"/>
          <w:numId w:val="1003"/>
        </w:numPr>
      </w:pPr>
      <w:r>
        <w:rPr>
          <w:rFonts w:hint="eastAsia"/>
        </w:rPr>
        <w:t xml:space="preserve">取り逃している18%（冬は39%）の大半は、当日の実現価格で窓を選び直す価値である。前日スポットの入札だけで取れるのはその一部にとどまる。</w:t>
      </w:r>
    </w:p>
    <w:p>
      <w:pPr>
        <w:pStyle w:val="Compact"/>
        <w:numPr>
          <w:ilvl w:val="0"/>
          <w:numId w:val="1003"/>
        </w:numPr>
      </w:pPr>
      <w:r>
        <w:rPr>
          <w:rFonts w:hint="eastAsia"/>
        </w:rPr>
        <w:t xml:space="preserve">風力の多い日に蓄電池の価値が高まるという頑健な証拠はない。現行の構造の蓄電池は価格カーブの形状に対するロング・ポジションであり、風力は主に水準の因子に働くので、風力が蓄電池の価値を動かすという頑健な証拠はなく、効果があっても小さい。</w:t>
      </w:r>
    </w:p>
    <w:p>
      <w:pPr>
        <w:pStyle w:val="Compact"/>
        <w:numPr>
          <w:ilvl w:val="0"/>
          <w:numId w:val="1003"/>
        </w:numPr>
      </w:pPr>
      <w:r>
        <w:t xml:space="preserve">duration </w:t>
      </w:r>
      <w:r>
        <w:rPr>
          <w:rFonts w:hint="eastAsia"/>
        </w:rPr>
        <w:t xml:space="preserve">を選び直しても参入閾値の低下は約4%にとどまり、4時間の仮定は参入を不利に見ていない。均衡分析は、モデル上の戦略</w:t>
      </w:r>
      <w:r>
        <w:t xml:space="preserve"> c </w:t>
      </w:r>
      <w:r>
        <w:rPr>
          <w:rFonts w:hint="eastAsia"/>
        </w:rPr>
        <w:t xml:space="preserve">を実績に校正した実績整合ケースを収益の基準とする。</w:t>
      </w:r>
    </w:p>
    <w:p>
      <w:pPr>
        <w:pStyle w:val="FirstParagraph"/>
      </w:pPr>
      <w:r>
        <w:rPr>
          <w:rFonts w:hint="eastAsia"/>
        </w:rPr>
        <w:t xml:space="preserve">仮説2の前半は支持される。本源的方策が完全予見粗利の81.7%を取り、予測を加えた戦略もこれを上回らない。後半（フリートの拡大に伴う減衰）は第7章で検証する。</w:t>
      </w:r>
    </w:p>
    <w:p>
      <w:pPr>
        <w:pStyle w:val="BodyText"/>
      </w:pPr>
      <w:r>
        <w:t xml:space="preserve">RQ2 </w:t>
      </w:r>
      <w:r>
        <w:rPr>
          <w:rFonts w:hint="eastAsia"/>
        </w:rPr>
        <w:t xml:space="preserve">の前半への答えは次のとおりである。風力主導の北海道で蓄電池のスポット裁定価値を決めるのは風力の量ではなく価格カーブの日内の形状であり、前日スポットで実際に取れるのは、九州の約9割の上界のうち8割強である。第7章では、この収益の基準を構造型の価格過程モデルに載せ、蓄電池の参入が価格の形状を平らにする効果を内生化して、自由参入均衡</w:t>
      </w:r>
      <w:r>
        <w:t xml:space="preserve"> </w:t>
      </w:r>
      <m:oMath>
        <m:sSup>
          <m:e>
            <m:r>
              <m:t>K</m:t>
            </m:r>
          </m:e>
          <m:sup>
            <m:r>
              <m:rPr>
                <m:sty m:val="p"/>
              </m:rPr>
              <m:t>*</m:t>
            </m:r>
          </m:sup>
        </m:sSup>
      </m:oMath>
      <w:r>
        <w:t xml:space="preserve"> </w:t>
      </w:r>
      <w:r>
        <w:rPr>
          <w:rFonts w:hint="eastAsia"/>
        </w:rPr>
        <w:t xml:space="preserve">を求める。</w:t>
      </w:r>
    </w:p>
    <w:bookmarkEnd w:id="165"/>
    <w:bookmarkEnd w:id="166"/>
    <w:bookmarkStart w:id="207" w:name="第7章-構造型価格モデルと自由参入均衡"/>
    <w:p>
      <w:pPr>
        <w:pStyle w:val="Heading1"/>
        <w:pageBreakBefore/>
      </w:pPr>
      <w:r>
        <w:rPr>
          <w:rFonts w:hint="eastAsia"/>
        </w:rPr>
        <w:t xml:space="preserve">第7章</w:t>
      </w:r>
      <w:r>
        <w:t xml:space="preserve">　</w:t>
      </w:r>
      <w:r>
        <w:rPr>
          <w:rFonts w:hint="eastAsia"/>
        </w:rPr>
        <w:t xml:space="preserve">構造型価格モデルと自由参入均衡</w:t>
      </w:r>
    </w:p>
    <w:p>
      <w:pPr>
        <w:pStyle w:val="FirstParagraph"/>
      </w:pPr>
      <w:r>
        <w:rPr>
          <w:rFonts w:hint="eastAsia"/>
        </w:rPr>
        <w:t xml:space="preserve">本章は、蓄電池自身の参入によってスポット裁定価値がどれだけ速く減るか（RQ2</w:t>
      </w:r>
      <w:r>
        <w:t xml:space="preserve"> </w:t>
      </w:r>
      <w:r>
        <w:rPr>
          <w:rFonts w:hint="eastAsia"/>
        </w:rPr>
        <w:t xml:space="preserve">の後半）と、市場収入だけで運営するマーチャントの自由参入均衡でどれだけの容量が成り立つか（RQ3</w:t>
      </w:r>
      <w:r>
        <w:t xml:space="preserve"> </w:t>
      </w:r>
      <w:r>
        <w:rPr>
          <w:rFonts w:hint="eastAsia"/>
        </w:rPr>
        <w:t xml:space="preserve">の前半）を問う。第6章の価値は実績価格の上で単独の蓄電池を評価したもので、充放電が価格を動かす効果を含まない。そこで本章は、純需要を供給曲線に写す構造型価格モデルの上で蓄電池フリートを内生化し、限界参入者の収益曲線、ゼロレント条件による均衡容量</w:t>
      </w:r>
      <w:r>
        <w:t xml:space="preserve"> </w:t>
      </w:r>
      <m:oMath>
        <m:sSup>
          <m:e>
            <m:r>
              <m:t>K</m:t>
            </m:r>
          </m:e>
          <m:sup>
            <m:r>
              <m:rPr>
                <m:sty m:val="p"/>
              </m:rPr>
              <m:t>*</m:t>
            </m:r>
          </m:sup>
        </m:sSup>
      </m:oMath>
      <w:r>
        <w:rPr>
          <w:rFonts w:hint="eastAsia"/>
        </w:rPr>
        <w:t xml:space="preserve">、参入に必要な価格水準</w:t>
      </w:r>
      <w:r>
        <w:t xml:space="preserve"> </w:t>
      </w:r>
      <m:oMath>
        <m:sSup>
          <m:e>
            <m:r>
              <m:t>θ</m:t>
            </m:r>
          </m:e>
          <m:sup>
            <m:r>
              <m:rPr>
                <m:sty m:val="p"/>
              </m:rPr>
              <m:t>*</m:t>
            </m:r>
          </m:sup>
        </m:sSup>
      </m:oMath>
      <w:r>
        <w:t xml:space="preserve"> </w:t>
      </w:r>
      <w:r>
        <w:rPr>
          <w:rFonts w:hint="eastAsia"/>
        </w:rPr>
        <w:t xml:space="preserve">を求め、実物オプションの参入閾値で静学の判定を補う。7.1節で方法を、7.2節で価格モデルの検証を、7.3〜7.5節で構造イベント・収益曲線・均衡容量を、7.6節で頑健性を、7.7節で下限価格の機構（RQ6</w:t>
      </w:r>
      <w:r>
        <w:t xml:space="preserve"> </w:t>
      </w:r>
      <w:r>
        <w:rPr>
          <w:rFonts w:hint="eastAsia"/>
        </w:rPr>
        <w:t xml:space="preserve">の一部）を、7.8節で参入閾値を示し、7.9節で小括する。</w:t>
      </w:r>
    </w:p>
    <w:bookmarkStart w:id="174" w:name="分析の方法-2"/>
    <w:p>
      <w:pPr>
        <w:pStyle w:val="Heading2"/>
      </w:pPr>
      <w:r>
        <w:t xml:space="preserve">7.1　</w:t>
      </w:r>
      <w:r>
        <w:rPr>
          <w:rFonts w:hint="eastAsia"/>
        </w:rPr>
        <w:t xml:space="preserve">分析の方法</w:t>
      </w:r>
    </w:p>
    <w:bookmarkStart w:id="168" w:name="構造型価格モデル"/>
    <w:p>
      <w:pPr>
        <w:pStyle w:val="Heading3"/>
      </w:pPr>
      <w:r>
        <w:t xml:space="preserve">7.1.1　</w:t>
      </w:r>
      <w:r>
        <w:rPr>
          <w:rFonts w:hint="eastAsia"/>
        </w:rPr>
        <w:t xml:space="preserve">構造型価格モデル</w:t>
      </w:r>
    </w:p>
    <w:p>
      <w:pPr>
        <w:pStyle w:val="FirstParagraph"/>
      </w:pPr>
      <w:r>
        <w:rPr>
          <w:rFonts w:hint="eastAsia"/>
        </w:rPr>
        <w:t xml:space="preserve">本章の価格過程は、第4章の式(4.3)のとおり、純需要</w:t>
      </w:r>
      <w:r>
        <w:t xml:space="preserve"> </w:t>
      </w:r>
      <m:oMath>
        <m:sSub>
          <m:e>
            <m:r>
              <m:rPr>
                <m:sty m:val="p"/>
              </m:rPr>
              <m:t>n</m:t>
            </m:r>
            <m:r>
              <m:rPr>
                <m:sty m:val="p"/>
              </m:rPr>
              <m:t>e</m:t>
            </m:r>
            <m:r>
              <m:rPr>
                <m:sty m:val="p"/>
              </m:rPr>
              <m:t>t</m:t>
            </m:r>
          </m:e>
          <m:sub>
            <m:r>
              <m:t>t</m:t>
            </m:r>
          </m:sub>
        </m:sSub>
      </m:oMath>
      <w:r>
        <w:rPr>
          <w:rFonts w:hint="eastAsia"/>
        </w:rPr>
        <w:t xml:space="preserve">（需要から出力制御前の太陽光・風力と原子力を引いたもの）の局所供給曲線</w:t>
      </w:r>
      <w:r>
        <w:t xml:space="preserve"> </w:t>
      </w:r>
      <m:oMath>
        <m:r>
          <m:t>g</m:t>
        </m:r>
      </m:oMath>
      <w:r>
        <w:t xml:space="preserve"> </w:t>
      </w:r>
      <w:r>
        <w:rPr>
          <w:rFonts w:hint="eastAsia"/>
        </w:rPr>
        <w:t xml:space="preserve">と時刻別のプレミアム</w:t>
      </w:r>
      <w:r>
        <w:t xml:space="preserve"> </w:t>
      </w:r>
      <m:oMath>
        <m:r>
          <m:t>μ</m:t>
        </m:r>
      </m:oMath>
      <w:r>
        <w:t xml:space="preserve"> </w:t>
      </w:r>
      <w:r>
        <w:rPr>
          <w:rFonts w:hint="eastAsia"/>
        </w:rPr>
        <w:t xml:space="preserve">を、年度別の価格水準係数</w:t>
      </w:r>
      <w:r>
        <w:t xml:space="preserve"> </w:t>
      </w:r>
      <m:oMath>
        <m:sSub>
          <m:e>
            <m:r>
              <m:t>θ</m:t>
            </m:r>
          </m:e>
          <m:sub>
            <m:r>
              <m:rPr>
                <m:sty m:val="p"/>
              </m:rPr>
              <m:t>F</m:t>
            </m:r>
            <m:r>
              <m:rPr>
                <m:sty m:val="p"/>
              </m:rPr>
              <m:t>Y</m:t>
            </m:r>
          </m:sub>
        </m:sSub>
      </m:oMath>
      <w:r>
        <w:t xml:space="preserve"> </w:t>
      </w:r>
      <w:r>
        <w:rPr>
          <w:rFonts w:hint="eastAsia"/>
        </w:rPr>
        <w:t xml:space="preserve">で伸縮させたものである。</w:t>
      </w:r>
      <m:oMath>
        <m:r>
          <m:t>g</m:t>
        </m:r>
      </m:oMath>
      <w:r>
        <w:t xml:space="preserve"> </w:t>
      </w:r>
      <w:r>
        <w:rPr>
          <w:rFonts w:hint="eastAsia"/>
        </w:rPr>
        <w:t xml:space="preserve">は季節ごとに純需要のビンの中央値を単調化した局所供給曲線、</w:t>
      </w:r>
      <m:oMath>
        <m:r>
          <m:t>μ</m:t>
        </m:r>
      </m:oMath>
      <w:r>
        <w:t xml:space="preserve"> </w:t>
      </w:r>
      <w:r>
        <w:rPr>
          <w:rFonts w:hint="eastAsia"/>
        </w:rPr>
        <w:t xml:space="preserve">はその残差の季節×時刻別の中央値で、夕方のランプや希少性のプレミアムを表す</w:t>
      </w:r>
      <w:r>
        <w:rPr>
          <w:rStyle w:val="FootnoteReference"/>
        </w:rPr>
        <w:footnoteReference w:id="167"/>
      </w:r>
      <w:r>
        <w:t xml:space="preserve">。</w:t>
      </w:r>
      <m:oMath>
        <m:r>
          <m:t>g</m:t>
        </m:r>
      </m:oMath>
      <w:r>
        <w:t xml:space="preserve"> </w:t>
      </w:r>
      <w:r>
        <w:t xml:space="preserve">と</w:t>
      </w:r>
      <w:r>
        <w:t xml:space="preserve"> </w:t>
      </w:r>
      <m:oMath>
        <m:r>
          <m:t>μ</m:t>
        </m:r>
      </m:oMath>
      <w:r>
        <w:t xml:space="preserve"> </w:t>
      </w:r>
      <w:r>
        <w:rPr>
          <w:rFonts w:hint="eastAsia"/>
        </w:rPr>
        <w:t xml:space="preserve">だけからなるこの単一曲線の仕様を仕様A</w:t>
      </w:r>
      <w:r>
        <w:t xml:space="preserve"> </w:t>
      </w:r>
      <w:r>
        <w:rPr>
          <w:rFonts w:hint="eastAsia"/>
        </w:rPr>
        <w:t xml:space="preserve">と呼び、</w:t>
      </w:r>
      <m:oMath>
        <m:sSub>
          <m:e>
            <m:r>
              <m:t>θ</m:t>
            </m:r>
          </m:e>
          <m:sub>
            <m:r>
              <m:rPr>
                <m:sty m:val="p"/>
              </m:rPr>
              <m:t>F</m:t>
            </m:r>
            <m:r>
              <m:rPr>
                <m:sty m:val="p"/>
              </m:rPr>
              <m:t>Y</m:t>
            </m:r>
          </m:sub>
        </m:sSub>
        <m:r>
          <m:rPr>
            <m:sty m:val="p"/>
          </m:rPr>
          <m:t>=</m:t>
        </m:r>
        <m:r>
          <m:t>1</m:t>
        </m:r>
      </m:oMath>
      <w:r>
        <w:t xml:space="preserve"> </w:t>
      </w:r>
      <w:r>
        <w:rPr>
          <w:rFonts w:hint="eastAsia"/>
        </w:rPr>
        <w:t xml:space="preserve">と置く版を水準固定、年度別の</w:t>
      </w:r>
      <w:r>
        <w:t xml:space="preserve"> </w:t>
      </w:r>
      <m:oMath>
        <m:sSub>
          <m:e>
            <m:r>
              <m:t>θ</m:t>
            </m:r>
          </m:e>
          <m:sub>
            <m:r>
              <m:rPr>
                <m:sty m:val="p"/>
              </m:rPr>
              <m:t>F</m:t>
            </m:r>
            <m:r>
              <m:rPr>
                <m:sty m:val="p"/>
              </m:rPr>
              <m:t>Y</m:t>
            </m:r>
          </m:sub>
        </m:sSub>
      </m:oMath>
      <w:r>
        <w:t xml:space="preserve"> </w:t>
      </w:r>
      <w:r>
        <w:rPr>
          <w:rFonts w:hint="eastAsia"/>
        </w:rPr>
        <w:t xml:space="preserve">を当てる版を水準係数付きと呼ぶ。推定期間は</w:t>
      </w:r>
      <w:r>
        <w:t xml:space="preserve"> FY2023〜25 </w:t>
      </w:r>
      <w:r>
        <w:rPr>
          <w:rFonts w:hint="eastAsia"/>
        </w:rPr>
        <w:t xml:space="preserve">で、最下位ビンの中心より低い純需要（推定範囲外）では価格を0.01円/kWh</w:t>
      </w:r>
      <w:r>
        <w:t xml:space="preserve"> </w:t>
      </w:r>
      <w:r>
        <w:rPr>
          <w:rFonts w:hint="eastAsia"/>
        </w:rPr>
        <w:t xml:space="preserve">とする。出力制御前の発電量は設備利用率と導入量の積で表すので、気象のパスを保ったまま導入量を動かせる。市場分断を扱うため、システムプライスに対する安値・同価格・高値の3レジーム（5.1.3項）を純需要の多項ロジットで確率化し、同価格の時間にはシステムプライスを外生に当てる分断混合仕様も推定する。形状を固定したまま、FY2022</w:t>
      </w:r>
      <w:r>
        <w:t xml:space="preserve"> と </w:t>
      </w:r>
      <w:r>
        <w:rPr>
          <w:rFonts w:hint="eastAsia"/>
        </w:rPr>
        <w:t xml:space="preserve">FY2026上期（4〜6月）の</w:t>
      </w:r>
      <w:r>
        <w:t xml:space="preserve"> </w:t>
      </w:r>
      <m:oMath>
        <m:r>
          <m:t>θ</m:t>
        </m:r>
      </m:oMath>
      <w:r>
        <w:t xml:space="preserve"> </w:t>
      </w:r>
      <w:r>
        <w:rPr>
          <w:rFonts w:hint="eastAsia"/>
        </w:rPr>
        <w:t xml:space="preserve">を当該期間の価格で1パラメータ推定して、形状の期間外の検証とする。推定の手順は付録B.4.1</w:t>
      </w:r>
      <w:r>
        <w:t xml:space="preserve"> </w:t>
      </w:r>
      <w:r>
        <w:rPr>
          <w:rFonts w:hint="eastAsia"/>
        </w:rPr>
        <w:t xml:space="preserve">に示す。</w:t>
      </w:r>
    </w:p>
    <w:p>
      <w:pPr>
        <w:pStyle w:val="BodyText"/>
      </w:pPr>
      <w:r>
        <w:rPr>
          <w:rFonts w:hint="eastAsia"/>
        </w:rPr>
        <w:t xml:space="preserve">この定式化は、需要を供給曲線に当てて価格を導く構造型電力価格モデルの系譜にある（Barlow,</w:t>
      </w:r>
      <w:r>
        <w:t xml:space="preserve"> 2002; Carmona et al., 2013; Kanamura &amp; Ohashi, </w:t>
      </w:r>
      <w:r>
        <w:rPr>
          <w:rFonts w:hint="eastAsia"/>
        </w:rPr>
        <w:t xml:space="preserve">2007）。ホッケースティック型の供給曲線では需要が供給力に近づくと価格が急騰してスパイクが生じるが（Weron,</w:t>
      </w:r>
      <w:r>
        <w:t xml:space="preserve"> </w:t>
      </w:r>
      <w:r>
        <w:rPr>
          <w:rFonts w:hint="eastAsia"/>
        </w:rPr>
        <w:t xml:space="preserve">2014）、北海道の裁定価値には、純需要の低い時間にゼロ限界費用の電源へ切り替わる下端の急勾配も効き、その終点の下限価格は充電側の値下がりを止める（7.7節）。Weron（2014）の類型でいえば、</w:t>
      </w:r>
      <m:oMath>
        <m:r>
          <m:t>g</m:t>
        </m:r>
      </m:oMath>
      <w:r>
        <w:t xml:space="preserve"> </w:t>
      </w:r>
      <w:r>
        <w:rPr>
          <w:rFonts w:hint="eastAsia"/>
        </w:rPr>
        <w:t xml:space="preserve">は基礎（fundamental）モデル、</w:t>
      </w:r>
      <m:oMath>
        <m:r>
          <m:t>μ</m:t>
        </m:r>
      </m:oMath>
      <w:r>
        <w:t xml:space="preserve"> </w:t>
      </w:r>
      <w:r>
        <w:rPr>
          <w:rFonts w:hint="eastAsia"/>
        </w:rPr>
        <w:t xml:space="preserve">と分断レジームの混合は統計・レジームスイッチの要素であり、後者は</w:t>
      </w:r>
      <w:r>
        <w:t xml:space="preserve"> JEPX </w:t>
      </w:r>
      <w:r>
        <w:rPr>
          <w:rFonts w:hint="eastAsia"/>
        </w:rPr>
        <w:t xml:space="preserve">の買い主導・売り主導のレジーム転換（Kanamura</w:t>
      </w:r>
      <w:r>
        <w:t xml:space="preserve"> &amp; Bunn, </w:t>
      </w:r>
      <w:r>
        <w:rPr>
          <w:rFonts w:hint="eastAsia"/>
        </w:rPr>
        <w:t xml:space="preserve">2022）を分断の3レジームに置き換えたものにあたる。負の価格を明示的に生成する欧州の簡約形モデル（Fanone</w:t>
      </w:r>
      <w:r>
        <w:t xml:space="preserve"> et al., </w:t>
      </w:r>
      <w:r>
        <w:rPr>
          <w:rFonts w:hint="eastAsia"/>
        </w:rPr>
        <w:t xml:space="preserve">2013）と違い、本研究は0.01円の下限を分布の左側の打ち切りとして扱う。</w:t>
      </w:r>
    </w:p>
    <w:p>
      <w:pPr>
        <w:pStyle w:val="BodyText"/>
      </w:pPr>
      <w:r>
        <w:rPr>
          <w:rFonts w:hint="eastAsia"/>
        </w:rPr>
        <w:t xml:space="preserve">反実仮想で動かすのは風力の導入量なので、無条件の分布の再現に加えて、風力への条件付き応答を検証する。FY2023〜25</w:t>
      </w:r>
      <w:r>
        <w:t xml:space="preserve"> </w:t>
      </w:r>
      <w:r>
        <w:rPr>
          <w:rFonts w:hint="eastAsia"/>
        </w:rPr>
        <w:t xml:space="preserve">の1,096日について、実績価格とモデル価格の日次の指標に第5章の主仕様（表5.2）と年月固定効果の仕様を当て、差（モデル−実績）を同じ右辺に回帰して検定する（EWC、</w:t>
      </w:r>
      <m:oMath>
        <m:r>
          <m:t>ν</m:t>
        </m:r>
        <m:r>
          <m:rPr>
            <m:sty m:val="p"/>
          </m:rPr>
          <m:t>=</m:t>
        </m:r>
        <m:r>
          <m:t>42</m:t>
        </m:r>
      </m:oMath>
      <w:r>
        <w:rPr>
          <w:rFonts w:hint="eastAsia"/>
        </w:rPr>
        <w:t xml:space="preserve">。風力の3季節の族には</w:t>
      </w:r>
      <w:r>
        <w:t xml:space="preserve"> </w:t>
      </w:r>
      <w:r>
        <w:rPr>
          <w:rFonts w:hint="eastAsia"/>
        </w:rPr>
        <w:t xml:space="preserve">Holm（1979）の補正を当てる）。両仕様の全季節・全指標で差の</w:t>
      </w:r>
      <w:r>
        <w:t xml:space="preserve"> p </w:t>
      </w:r>
      <w:r>
        <w:rPr>
          <w:rFonts w:hint="eastAsia"/>
        </w:rPr>
        <w:t xml:space="preserve">が0.10を上回ることを基準とし、仕様A</w:t>
      </w:r>
      <w:r>
        <w:t xml:space="preserve"> </w:t>
      </w:r>
      <w:r>
        <w:rPr>
          <w:rFonts w:hint="eastAsia"/>
        </w:rPr>
        <w:t xml:space="preserve">がこれを満たさないので（7.2.2項）、</w:t>
      </w:r>
      <m:oMath>
        <m:r>
          <m:t>μ</m:t>
        </m:r>
      </m:oMath>
      <w:r>
        <w:t xml:space="preserve"> </w:t>
      </w:r>
      <w:r>
        <w:rPr>
          <w:rFonts w:hint="eastAsia"/>
        </w:rPr>
        <w:t xml:space="preserve">を日次の風力発電量の三分位にも依存させた仕様A′</w:t>
      </w:r>
      <w:r>
        <w:t xml:space="preserve"> </w:t>
      </w:r>
      <w:r>
        <w:rPr>
          <w:rFonts w:hint="eastAsia"/>
        </w:rPr>
        <w:t xml:space="preserve">を作る。現行の風力水準での収益曲線と</w:t>
      </w:r>
      <w:r>
        <w:t xml:space="preserve"> </w:t>
      </w:r>
      <m:oMath>
        <m:sSup>
          <m:e>
            <m:r>
              <m:t>θ</m:t>
            </m:r>
          </m:e>
          <m:sup>
            <m:r>
              <m:rPr>
                <m:sty m:val="p"/>
              </m:rPr>
              <m:t>*</m:t>
            </m:r>
          </m:sup>
        </m:sSup>
      </m:oMath>
      <w:r>
        <w:t xml:space="preserve"> </w:t>
      </w:r>
      <w:r>
        <w:rPr>
          <w:rFonts w:hint="eastAsia"/>
        </w:rPr>
        <w:t xml:space="preserve">は水準の再現がよい仕様A</w:t>
      </w:r>
      <w:r>
        <w:t xml:space="preserve"> </w:t>
      </w:r>
      <w:r>
        <w:rPr>
          <w:rFonts w:hint="eastAsia"/>
        </w:rPr>
        <w:t xml:space="preserve">を主とし、風力の導入量を動かす反実仮想は仕様A′</w:t>
      </w:r>
      <w:r>
        <w:t xml:space="preserve"> </w:t>
      </w:r>
      <w:r>
        <w:rPr>
          <w:rFonts w:hint="eastAsia"/>
        </w:rPr>
        <w:t xml:space="preserve">を主とする。</w:t>
      </w:r>
    </w:p>
    <w:bookmarkEnd w:id="168"/>
    <w:bookmarkStart w:id="169" w:name="完全予見粗利の分解"/>
    <w:p>
      <w:pPr>
        <w:pStyle w:val="Heading3"/>
      </w:pPr>
      <w:r>
        <w:t xml:space="preserve">7.1.2　</w:t>
      </w:r>
      <w:r>
        <w:rPr>
          <w:rFonts w:hint="eastAsia"/>
        </w:rPr>
        <w:t xml:space="preserve">完全予見粗利の分解</w:t>
      </w:r>
    </w:p>
    <w:p>
      <w:pPr>
        <w:pStyle w:val="FirstParagraph"/>
      </w:pPr>
      <w:r>
        <w:rPr>
          <w:rFonts w:hint="eastAsia"/>
        </w:rPr>
        <w:t xml:space="preserve">完全予見粗利は、充電脚と放電脚を持つ日次のスプレッド・オプションのペイオフであり、価格の比例的な変化には1次同次だが、加法的な変化には往復損失の分だけ反応する（第4章）。この性質を構造イベントの効果の読み解きに使う。粗利が正で稼働する日について、上位4時間・下位4時間の平均価格を第6章と同じく</w:t>
      </w:r>
      <w:r>
        <w:t xml:space="preserve"> </w:t>
      </w:r>
      <m:oMath>
        <m:r>
          <m:t>T</m:t>
        </m:r>
      </m:oMath>
      <w:r>
        <w:t xml:space="preserve">・</w:t>
      </w:r>
      <m:oMath>
        <m:r>
          <m:t>B</m:t>
        </m:r>
      </m:oMath>
      <w:r>
        <w:t xml:space="preserve"> </w:t>
      </w:r>
      <w:r>
        <w:t xml:space="preserve">とすると、</w:t>
      </w:r>
    </w:p>
    <w:p>
      <w:pPr>
        <w:pStyle w:val="BodyText"/>
        <w:tabs>
          <w:tab w:val="center" w:pos="4393"/>
          <w:tab w:val="right" w:pos="8787"/>
        </w:tabs>
        <w:spacing w:before="120" w:after="120" w:line="240" w:lineRule="auto"/>
        <w:ind w:firstLine="0"/>
      </w:pPr>
      <w:r>
        <w:tab/>
      </w:r>
      <m:oMath>
        <m:r>
          <m:t>4</m:t>
        </m:r>
        <m:r>
          <m:t> </m:t>
        </m:r>
        <m:r>
          <m:rPr>
            <m:sty m:val="p"/>
          </m:rPr>
          <m:t>(</m:t>
        </m:r>
        <m:r>
          <m:t>0.85</m:t>
        </m:r>
        <m:r>
          <m:t> </m:t>
        </m:r>
        <m:r>
          <m:t>T</m:t>
        </m:r>
        <m:r>
          <m:rPr>
            <m:sty m:val="p"/>
          </m:rPr>
          <m:t>−</m:t>
        </m:r>
        <m:r>
          <m:t>B</m:t>
        </m:r>
        <m:r>
          <m:rPr>
            <m:sty m:val="p"/>
          </m:rPr>
          <m:t>)</m:t>
        </m:r>
        <m:r>
          <m:rPr>
            <m:sty m:val="p"/>
          </m:rPr>
          <m:t>=</m:t>
        </m:r>
        <m:r>
          <m:t>3.4</m:t>
        </m:r>
        <m:r>
          <m:t> </m:t>
        </m:r>
        <m:r>
          <m:rPr>
            <m:sty m:val="p"/>
          </m:rPr>
          <m:t>(</m:t>
        </m:r>
        <m:r>
          <m:t>T</m:t>
        </m:r>
        <m:r>
          <m:rPr>
            <m:sty m:val="p"/>
          </m:rPr>
          <m:t>−</m:t>
        </m:r>
        <m:r>
          <m:t>B</m:t>
        </m:r>
        <m:r>
          <m:rPr>
            <m:sty m:val="p"/>
          </m:rPr>
          <m:t>)</m:t>
        </m:r>
        <m:r>
          <m:rPr>
            <m:sty m:val="p"/>
          </m:rPr>
          <m:t>−</m:t>
        </m:r>
        <m:r>
          <m:t>0.6</m:t>
        </m:r>
        <m:r>
          <m:t> </m:t>
        </m:r>
        <m:r>
          <m:t>B</m:t>
        </m:r>
      </m:oMath>
      <w:r>
        <w:tab/>
      </w:r>
      <w:r>
        <w:t>(7.1)</w:t>
      </w:r>
    </w:p>
    <w:p>
      <w:pPr>
        <w:pStyle w:val="BodyText"/>
      </w:pPr>
      <w:r>
        <w:rPr>
          <w:rFonts w:hint="eastAsia"/>
        </w:rPr>
        <w:t xml:space="preserve">が成り立つ（円/kW-日）。右辺の第1項はスプレッド</w:t>
      </w:r>
      <w:r>
        <w:t xml:space="preserve"> </w:t>
      </w:r>
      <m:oMath>
        <m:r>
          <m:t>T</m:t>
        </m:r>
        <m:r>
          <m:rPr>
            <m:sty m:val="p"/>
          </m:rPr>
          <m:t>−</m:t>
        </m:r>
        <m:r>
          <m:t>B</m:t>
        </m:r>
      </m:oMath>
      <w:r>
        <w:rPr>
          <w:rFonts w:hint="eastAsia"/>
        </w:rPr>
        <w:t xml:space="preserve">（TB4h）の価値、第2項は往復損失の費用である。失われる0.6kWh</w:t>
      </w:r>
      <w:r>
        <w:t xml:space="preserve"> </w:t>
      </w:r>
      <w:r>
        <w:rPr>
          <w:rFonts w:hint="eastAsia"/>
        </w:rPr>
        <w:t xml:space="preserve">も下位4時間の価格で買うので、スプレッドが変わらなくても価格水準が下がれば粗利は増える。そこで構造イベントによる完全予見粗利の変化を、スプレッドの変化（3.4·ΔTB4h）、往復損失の水準効果（−0.6·Δ</w:t>
      </w:r>
      <m:oMath>
        <m:r>
          <m:t>B</m:t>
        </m:r>
      </m:oMath>
      <w:r>
        <w:rPr>
          <w:rFonts w:hint="eastAsia"/>
        </w:rPr>
        <w:t xml:space="preserve">）、休止の切替（どちらかの状態で粗利が負となり休止する日の差）に分ける。損失を上位4時間の価格で評価する別の分け方でも、以下の結論は変わらない。また、約定価格は潜在価格</w:t>
      </w:r>
      <w:r>
        <w:t xml:space="preserve"> </w:t>
      </w:r>
      <m:oMath>
        <m:sSub>
          <m:e>
            <m:acc>
              <m:accPr>
                <m:chr m:val="̃"/>
              </m:accPr>
              <m:e>
                <m:r>
                  <m:t>p</m:t>
                </m:r>
              </m:e>
            </m:acc>
          </m:e>
          <m:sub>
            <m:r>
              <m:t>t</m:t>
            </m:r>
          </m:sub>
        </m:sSub>
      </m:oMath>
      <w:r>
        <w:t xml:space="preserve"> </w:t>
      </w:r>
      <w:r>
        <w:rPr>
          <w:rFonts w:hint="eastAsia"/>
        </w:rPr>
        <w:t xml:space="preserve">を用いて</w:t>
      </w:r>
      <w:r>
        <w:t xml:space="preserve"> </w:t>
      </w:r>
      <m:oMath>
        <m:r>
          <m:rPr>
            <m:sty m:val="p"/>
          </m:rPr>
          <m:t>max</m:t>
        </m:r>
        <m:r>
          <m:rPr>
            <m:sty m:val="p"/>
          </m:rPr>
          <m:t>(</m:t>
        </m:r>
        <m:sSub>
          <m:e>
            <m:acc>
              <m:accPr>
                <m:chr m:val="̃"/>
              </m:accPr>
              <m:e>
                <m:r>
                  <m:t>p</m:t>
                </m:r>
              </m:e>
            </m:acc>
          </m:e>
          <m:sub>
            <m:r>
              <m:t>t</m:t>
            </m:r>
          </m:sub>
        </m:sSub>
        <m:r>
          <m:rPr>
            <m:sty m:val="p"/>
          </m:rPr>
          <m:t>,</m:t>
        </m:r>
        <m:r>
          <m:t>0.01</m:t>
        </m:r>
        <m:r>
          <m:rPr>
            <m:sty m:val="p"/>
          </m:rPr>
          <m:t>)</m:t>
        </m:r>
        <m:r>
          <m:rPr>
            <m:sty m:val="p"/>
          </m:rPr>
          <m:t>=</m:t>
        </m:r>
        <m:sSub>
          <m:e>
            <m:acc>
              <m:accPr>
                <m:chr m:val="̃"/>
              </m:accPr>
              <m:e>
                <m:r>
                  <m:t>p</m:t>
                </m:r>
              </m:e>
            </m:acc>
          </m:e>
          <m:sub>
            <m:r>
              <m:t>t</m:t>
            </m:r>
          </m:sub>
        </m:sSub>
        <m:r>
          <m:rPr>
            <m:sty m:val="p"/>
          </m:rPr>
          <m:t>+</m:t>
        </m:r>
        <m:r>
          <m:rPr>
            <m:sty m:val="p"/>
          </m:rPr>
          <m:t>max</m:t>
        </m:r>
        <m:r>
          <m:rPr>
            <m:sty m:val="p"/>
          </m:rPr>
          <m:t>(</m:t>
        </m:r>
        <m:r>
          <m:t>0.01</m:t>
        </m:r>
        <m:r>
          <m:rPr>
            <m:sty m:val="p"/>
          </m:rPr>
          <m:t>−</m:t>
        </m:r>
        <m:sSub>
          <m:e>
            <m:acc>
              <m:accPr>
                <m:chr m:val="̃"/>
              </m:accPr>
              <m:e>
                <m:r>
                  <m:t>p</m:t>
                </m:r>
              </m:e>
            </m:acc>
          </m:e>
          <m:sub>
            <m:r>
              <m:t>t</m:t>
            </m:r>
          </m:sub>
        </m:sSub>
        <m:r>
          <m:rPr>
            <m:sty m:val="p"/>
          </m:rPr>
          <m:t>,</m:t>
        </m:r>
        <m:r>
          <m:t>0</m:t>
        </m:r>
        <m:r>
          <m:rPr>
            <m:sty m:val="p"/>
          </m:rPr>
          <m:t>)</m:t>
        </m:r>
      </m:oMath>
      <w:r>
        <w:t xml:space="preserve"> </w:t>
      </w:r>
      <w:r>
        <w:rPr>
          <w:rFonts w:hint="eastAsia"/>
        </w:rPr>
        <w:t xml:space="preserve">と書けるので、充電する蓄電池は行使価格0.01円のプットを売った形になる（7.7節）。</w:t>
      </w:r>
    </w:p>
    <w:bookmarkEnd w:id="169"/>
    <w:bookmarkStart w:id="171" w:name="フリートの内生化と実績整合ケース"/>
    <w:p>
      <w:pPr>
        <w:pStyle w:val="Heading3"/>
      </w:pPr>
      <w:r>
        <w:t xml:space="preserve">7.1.3　</w:t>
      </w:r>
      <w:r>
        <w:rPr>
          <w:rFonts w:hint="eastAsia"/>
        </w:rPr>
        <w:t xml:space="preserve">フリートの内生化と実績整合ケース</w:t>
      </w:r>
    </w:p>
    <w:p>
      <w:pPr>
        <w:pStyle w:val="FirstParagraph"/>
      </w:pPr>
      <w:r>
        <w:rPr>
          <w:rFonts w:hint="eastAsia"/>
        </w:rPr>
        <w:t xml:space="preserve">フリート容量</w:t>
      </w:r>
      <w:r>
        <w:t xml:space="preserve"> </w:t>
      </w:r>
      <m:oMath>
        <m:r>
          <m:t>K</m:t>
        </m:r>
      </m:oMath>
      <w:r>
        <w:t xml:space="preserve"> </w:t>
      </w:r>
      <w:r>
        <w:rPr>
          <w:rFonts w:hint="eastAsia"/>
        </w:rPr>
        <w:t xml:space="preserve">の影響は、蓄電池を1万kW</w:t>
      </w:r>
      <w:r>
        <w:t xml:space="preserve"> </w:t>
      </w:r>
      <w:r>
        <w:rPr>
          <w:rFonts w:hint="eastAsia"/>
        </w:rPr>
        <w:t xml:space="preserve">刻みで逐次投入する増分貪欲ディスパッチで内生化する。各増分はその時点の価格で最安4時間に充電し、最高4時間に放電して（粗利が正の日のみ）、純需要と価格を更新する。これは各参入者が残されたスプレッドを順に取る競争均衡の近似であり、裁定ポジションの価格インパクト</w:t>
      </w:r>
      <w:r>
        <w:rPr>
          <w:rStyle w:val="FootnoteReference"/>
        </w:rPr>
        <w:footnoteReference w:id="170"/>
      </w:r>
      <w:r>
        <w:rPr>
          <w:rFonts w:hint="eastAsia"/>
        </w:rPr>
        <w:t xml:space="preserve">を供給曲線から計算するものである。価格テイカーのモデルが貯蔵の価値を過大評価する問題に対して</w:t>
      </w:r>
      <w:r>
        <w:t xml:space="preserve"> Emmanuel and </w:t>
      </w:r>
      <w:r>
        <w:rPr>
          <w:rFonts w:hint="eastAsia"/>
        </w:rPr>
        <w:t xml:space="preserve">Denholm（2022）が提案した市場フィードバックの枠組みを、供給曲線モデルの上で実装したものにあたる。Karaduman（2023）は、南豪州で価格インパクトを無視すると収益性を約2倍過大評価することを示している。</w:t>
      </w:r>
    </w:p>
    <w:p>
      <w:pPr>
        <w:pStyle w:val="BodyText"/>
      </w:pPr>
      <w:r>
        <w:rPr>
          <w:rFonts w:hint="eastAsia"/>
        </w:rPr>
        <w:t xml:space="preserve">限界参入者の収益は、第4章の実績整合ケース（式(4.4)）で測る。すなわち、フリート投入後のモデル価格の上で戦略</w:t>
      </w:r>
      <w:r>
        <w:t xml:space="preserve"> </w:t>
      </w:r>
      <w:r>
        <w:rPr>
          <w:rFonts w:hint="eastAsia"/>
        </w:rPr>
        <w:t xml:space="preserve">c（4.2.2項）が実際に得る粗利</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t xml:space="preserve">に、</w:t>
      </w:r>
      <m:oMath>
        <m:r>
          <m:t>K</m:t>
        </m:r>
        <m:r>
          <m:rPr>
            <m:sty m:val="p"/>
          </m:rPr>
          <m:t>=</m:t>
        </m:r>
        <m:r>
          <m:t>0</m:t>
        </m:r>
      </m:oMath>
      <w:r>
        <w:t xml:space="preserve">・</w:t>
      </w:r>
      <m:oMath>
        <m:r>
          <m:t>θ</m:t>
        </m:r>
        <m:r>
          <m:rPr>
            <m:sty m:val="p"/>
          </m:rPr>
          <m:t>=</m:t>
        </m:r>
        <m:r>
          <m:t>1</m:t>
        </m:r>
      </m:oMath>
      <w:r>
        <w:t xml:space="preserve"> </w:t>
      </w:r>
      <w:r>
        <w:rPr>
          <w:rFonts w:hint="eastAsia"/>
        </w:rPr>
        <w:t xml:space="preserve">で実績に一致させる校正係数</w:t>
      </w:r>
      <w:r>
        <w:t xml:space="preserve"> </w:t>
      </w:r>
      <m:oMath>
        <m:r>
          <m:t>λ</m:t>
        </m:r>
        <m:r>
          <m:rPr>
            <m:sty m:val="p"/>
          </m:rPr>
          <m:t>=</m:t>
        </m:r>
        <m:r>
          <m:t>1.108</m:t>
        </m:r>
      </m:oMath>
      <w:r>
        <w:rPr>
          <w:rFonts w:hint="eastAsia"/>
        </w:rPr>
        <w:t xml:space="preserve">（95%区間1.03〜1.19）を掛け、充電側の託送従量負担</w:t>
      </w:r>
      <w:r>
        <w:t xml:space="preserve"> </w:t>
      </w:r>
      <m:oMath>
        <m:sSub>
          <m:e>
            <m:r>
              <m:t>w</m:t>
            </m:r>
          </m:e>
          <m:sub>
            <m:r>
              <m:rPr>
                <m:sty m:val="p"/>
              </m:rPr>
              <m:t>c</m:t>
            </m:r>
            <m:r>
              <m:rPr>
                <m:sty m:val="p"/>
              </m:rPr>
              <m:t>h</m:t>
            </m:r>
            <m:r>
              <m:rPr>
                <m:sty m:val="p"/>
              </m:rPr>
              <m:t>g</m:t>
            </m:r>
          </m:sub>
        </m:sSub>
      </m:oMath>
      <w:r>
        <w:rPr>
          <w:rFonts w:hint="eastAsia"/>
        </w:rPr>
        <w:t xml:space="preserve">（1,752円/kW-年）を控除した</w:t>
      </w:r>
      <w:r>
        <w:t xml:space="preserve"> </w:t>
      </w:r>
      <m:oMath>
        <m:r>
          <m:t>π</m:t>
        </m:r>
        <m:r>
          <m:rPr>
            <m:sty m:val="p"/>
          </m:rPr>
          <m:t>(</m:t>
        </m:r>
        <m:r>
          <m:t>K</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rPr>
            <m:sty m:val="p"/>
          </m:rPr>
          <m:t>−</m:t>
        </m:r>
        <m:sSub>
          <m:e>
            <m:r>
              <m:t>w</m:t>
            </m:r>
          </m:e>
          <m:sub>
            <m:r>
              <m:rPr>
                <m:sty m:val="p"/>
              </m:rPr>
              <m:t>c</m:t>
            </m:r>
            <m:r>
              <m:rPr>
                <m:sty m:val="p"/>
              </m:rPr>
              <m:t>h</m:t>
            </m:r>
            <m:r>
              <m:rPr>
                <m:sty m:val="p"/>
              </m:rPr>
              <m:t>g</m:t>
            </m:r>
          </m:sub>
        </m:sSub>
      </m:oMath>
      <w:r>
        <w:t xml:space="preserve"> </w:t>
      </w:r>
      <w:r>
        <w:rPr>
          <w:rFonts w:hint="eastAsia"/>
        </w:rPr>
        <w:t xml:space="preserve">である。実績価格で測った実現率をモデルの完全予見粗利に掛けない理由は4.2.4項で述べた。</w:t>
      </w:r>
      <m:oMath>
        <m:r>
          <m:t>λ</m:t>
        </m:r>
        <m:r>
          <m:rPr>
            <m:sty m:val="p"/>
          </m:rPr>
          <m:t>=</m:t>
        </m:r>
        <m:r>
          <m:t>1</m:t>
        </m:r>
      </m:oMath>
      <w:r>
        <w:t xml:space="preserve"> </w:t>
      </w:r>
      <w:r>
        <w:rPr>
          <w:rFonts w:hint="eastAsia"/>
        </w:rPr>
        <w:t xml:space="preserve">とした値（モデル直値）は下側の参考とする。</w:t>
      </w:r>
      <m:oMath>
        <m:r>
          <m:t>K</m:t>
        </m:r>
        <m:r>
          <m:rPr>
            <m:sty m:val="p"/>
          </m:rPr>
          <m:t>&gt;</m:t>
        </m:r>
        <m:r>
          <m:t>0</m:t>
        </m:r>
      </m:oMath>
      <w:r>
        <w:t xml:space="preserve"> </w:t>
      </w:r>
      <w:r>
        <w:rPr>
          <w:rFonts w:hint="eastAsia"/>
        </w:rPr>
        <w:t xml:space="preserve">ではフリートが価格の山谷を先に削るので、</w:t>
      </w:r>
      <m:oMath>
        <m:r>
          <m:t>λ</m:t>
        </m:r>
      </m:oMath>
      <w:r>
        <w:t xml:space="preserve"> </w:t>
      </w:r>
      <w:r>
        <w:rPr>
          <w:rFonts w:hint="eastAsia"/>
        </w:rPr>
        <w:t xml:space="preserve">を一定とする実績整合ケースは上側の値になりうる。主仕様のフリートは完全予見で配分し、フリート自身も戦略</w:t>
      </w:r>
      <w:r>
        <w:t xml:space="preserve"> c </w:t>
      </w:r>
      <w:r>
        <w:rPr>
          <w:rFonts w:hint="eastAsia"/>
        </w:rPr>
        <w:t xml:space="preserve">の窓で動く場合を感応度とする（7.4節）。</w:t>
      </w:r>
    </w:p>
    <w:bookmarkEnd w:id="171"/>
    <w:bookmarkStart w:id="172" w:name="均衡条件"/>
    <w:p>
      <w:pPr>
        <w:pStyle w:val="Heading3"/>
      </w:pPr>
      <w:r>
        <w:t xml:space="preserve">7.1.4　</w:t>
      </w:r>
      <w:r>
        <w:rPr>
          <w:rFonts w:hint="eastAsia"/>
        </w:rPr>
        <w:t xml:space="preserve">均衡条件</w:t>
      </w:r>
    </w:p>
    <w:p>
      <w:pPr>
        <w:pStyle w:val="FirstParagraph"/>
      </w:pPr>
      <w:r>
        <w:rPr>
          <w:rFonts w:hint="eastAsia"/>
        </w:rPr>
        <w:t xml:space="preserve">均衡容量</w:t>
      </w:r>
      <w:r>
        <w:t xml:space="preserve"> </w:t>
      </w:r>
      <m:oMath>
        <m:sSup>
          <m:e>
            <m:r>
              <m:t>K</m:t>
            </m:r>
          </m:e>
          <m:sup>
            <m:r>
              <m:rPr>
                <m:sty m:val="p"/>
              </m:rPr>
              <m:t>*</m:t>
            </m:r>
          </m:sup>
        </m:sSup>
      </m:oMath>
      <w:r>
        <w:t xml:space="preserve"> </w:t>
      </w:r>
      <w:r>
        <w:rPr>
          <w:rFonts w:hint="eastAsia"/>
        </w:rPr>
        <w:t xml:space="preserve">は第4章のゼロレント条件（式(4.5)）の解であり、</w:t>
      </w:r>
      <m:oMath>
        <m:r>
          <m:t>π</m:t>
        </m:r>
        <m:r>
          <m:rPr>
            <m:sty m:val="p"/>
          </m:rPr>
          <m:t>(</m:t>
        </m:r>
        <m:r>
          <m:t>0</m:t>
        </m:r>
        <m:r>
          <m:rPr>
            <m:sty m:val="p"/>
          </m:rPr>
          <m:t>)</m:t>
        </m:r>
        <m:r>
          <m:rPr>
            <m:sty m:val="p"/>
          </m:rPr>
          <m:t>+</m:t>
        </m:r>
        <m:r>
          <m:t>κ</m:t>
        </m:r>
        <m:sSub>
          <m:e>
            <m:r>
              <m:t>P</m:t>
            </m:r>
          </m:e>
          <m:sub>
            <m:r>
              <m:rPr>
                <m:sty m:val="p"/>
              </m:rPr>
              <m:t>c</m:t>
            </m:r>
            <m:r>
              <m:rPr>
                <m:sty m:val="p"/>
              </m:rPr>
              <m:t>a</m:t>
            </m:r>
            <m:r>
              <m:rPr>
                <m:sty m:val="p"/>
              </m:rPr>
              <m:t>p</m:t>
            </m:r>
          </m:sub>
        </m:sSub>
      </m:oMath>
      <w:r>
        <w:t xml:space="preserve"> </w:t>
      </w:r>
      <w:r>
        <w:rPr>
          <w:rFonts w:hint="eastAsia"/>
        </w:rPr>
        <w:t xml:space="preserve">が参入必要収益</w:t>
      </w:r>
      <w:r>
        <w:t xml:space="preserve"> </w:t>
      </w:r>
      <m:oMath>
        <m:sSub>
          <m:e>
            <m:r>
              <m:t>c</m:t>
            </m:r>
          </m:e>
          <m:sub>
            <m:r>
              <m:rPr>
                <m:sty m:val="p"/>
              </m:rPr>
              <m:t>r</m:t>
            </m:r>
            <m:r>
              <m:rPr>
                <m:sty m:val="p"/>
              </m:rPr>
              <m:t>e</m:t>
            </m:r>
            <m:r>
              <m:rPr>
                <m:sty m:val="p"/>
              </m:rPr>
              <m:t>q</m:t>
            </m:r>
          </m:sub>
        </m:sSub>
      </m:oMath>
      <w:r>
        <w:rPr>
          <w:rFonts w:hint="eastAsia"/>
        </w:rPr>
        <w:t xml:space="preserve">（式(4.6)）に届かなければ</w:t>
      </w:r>
      <w:r>
        <w:t xml:space="preserve"> </w:t>
      </w:r>
      <m:oMath>
        <m:sSup>
          <m:e>
            <m:r>
              <m:t>K</m:t>
            </m:r>
          </m:e>
          <m:sup>
            <m:r>
              <m:rPr>
                <m:sty m:val="p"/>
              </m:rPr>
              <m:t>*</m:t>
            </m:r>
          </m:sup>
        </m:sSup>
        <m:r>
          <m:rPr>
            <m:sty m:val="p"/>
          </m:rPr>
          <m:t>=</m:t>
        </m:r>
        <m:r>
          <m:t>0</m:t>
        </m:r>
      </m:oMath>
      <w:r>
        <w:t xml:space="preserve"> </w:t>
      </w:r>
      <w:r>
        <w:t xml:space="preserve">である。WACC 6%では</w:t>
      </w:r>
      <w:r>
        <w:t xml:space="preserve"> </w:t>
      </w:r>
      <m:oMath>
        <m:sSub>
          <m:e>
            <m:r>
              <m:t>c</m:t>
            </m:r>
          </m:e>
          <m:sub>
            <m:r>
              <m:rPr>
                <m:sty m:val="p"/>
              </m:rPr>
              <m:t>r</m:t>
            </m:r>
            <m:r>
              <m:rPr>
                <m:sty m:val="p"/>
              </m:rPr>
              <m:t>e</m:t>
            </m:r>
            <m:r>
              <m:rPr>
                <m:sty m:val="p"/>
              </m:rPr>
              <m:t>q</m:t>
            </m:r>
          </m:sub>
        </m:sSub>
        <m:r>
          <m:rPr>
            <m:sty m:val="p"/>
          </m:rPr>
          <m:t>=</m:t>
        </m:r>
        <m:r>
          <m:t>3.59</m:t>
        </m:r>
      </m:oMath>
      <w:r>
        <w:rPr>
          <w:rFonts w:hint="eastAsia"/>
        </w:rPr>
        <w:t xml:space="preserve">万円/kW-年、実効容量収入</w:t>
      </w:r>
      <w:r>
        <w:t xml:space="preserve"> </w:t>
      </w:r>
      <m:oMath>
        <m:r>
          <m:t>κ</m:t>
        </m:r>
        <m:sSub>
          <m:e>
            <m:r>
              <m:t>P</m:t>
            </m:r>
          </m:e>
          <m:sub>
            <m:r>
              <m:rPr>
                <m:sty m:val="p"/>
              </m:rPr>
              <m:t>c</m:t>
            </m:r>
            <m:r>
              <m:rPr>
                <m:sty m:val="p"/>
              </m:rPr>
              <m:t>a</m:t>
            </m:r>
            <m:r>
              <m:rPr>
                <m:sty m:val="p"/>
              </m:rPr>
              <m:t>p</m:t>
            </m:r>
          </m:sub>
        </m:sSub>
      </m:oMath>
      <w:r>
        <w:t xml:space="preserve"> </w:t>
      </w:r>
      <w:r>
        <w:rPr>
          <w:rFonts w:hint="eastAsia"/>
        </w:rPr>
        <w:t xml:space="preserve">は1.25万円/kW-年である。粗収益が</w:t>
      </w:r>
      <w:r>
        <w:t xml:space="preserve"> </w:t>
      </w:r>
      <m:oMath>
        <m:r>
          <m:t>θ</m:t>
        </m:r>
      </m:oMath>
      <w:r>
        <w:t xml:space="preserve"> </w:t>
      </w:r>
      <w:r>
        <w:rPr>
          <w:rFonts w:hint="eastAsia"/>
        </w:rPr>
        <w:t xml:space="preserve">にほぼ比例するので、</w:t>
      </w:r>
      <m:oMath>
        <m:r>
          <m:t>K</m:t>
        </m:r>
        <m:r>
          <m:rPr>
            <m:sty m:val="p"/>
          </m:rPr>
          <m:t>=</m:t>
        </m:r>
        <m:r>
          <m:t>0</m:t>
        </m:r>
      </m:oMath>
      <w:r>
        <w:t xml:space="preserve"> </w:t>
      </w:r>
      <w:r>
        <w:rPr>
          <w:rFonts w:hint="eastAsia"/>
        </w:rPr>
        <w:t xml:space="preserve">で参入が開く価格水準係数</w:t>
      </w:r>
      <w:r>
        <w:t xml:space="preserve"> </w:t>
      </w:r>
      <m:oMath>
        <m:sSup>
          <m:e>
            <m:r>
              <m:t>θ</m:t>
            </m:r>
          </m:e>
          <m:sup>
            <m:r>
              <m:rPr>
                <m:sty m:val="p"/>
              </m:rPr>
              <m:t>*</m:t>
            </m:r>
          </m:sup>
        </m:sSup>
      </m:oMath>
      <w:r>
        <w:rPr>
          <w:rFonts w:hint="eastAsia"/>
        </w:rPr>
        <w:t xml:space="preserve">（式(4.8)）は、</w:t>
      </w:r>
      <m:oMath>
        <m:r>
          <m:t>a</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oMath>
      <w:r>
        <w:rPr>
          <w:rFonts w:hint="eastAsia"/>
        </w:rPr>
        <w:t xml:space="preserve">（8,427円/kW-年）と</w:t>
      </w:r>
      <w:r>
        <w:t xml:space="preserve"> </w:t>
      </w:r>
      <m:oMath>
        <m:r>
          <m:t>F</m:t>
        </m:r>
        <m:r>
          <m:rPr>
            <m:sty m:val="p"/>
          </m:rPr>
          <m:t>=</m:t>
        </m:r>
        <m:sSub>
          <m:e>
            <m:r>
              <m:t>c</m:t>
            </m:r>
          </m:e>
          <m:sub>
            <m:r>
              <m:rPr>
                <m:sty m:val="p"/>
              </m:rPr>
              <m:t>f</m:t>
            </m:r>
            <m:r>
              <m:rPr>
                <m:sty m:val="p"/>
              </m:rPr>
              <m:t>i</m:t>
            </m:r>
            <m:r>
              <m:rPr>
                <m:sty m:val="p"/>
              </m:rPr>
              <m:t>x</m:t>
            </m:r>
          </m:sub>
        </m:sSub>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oMath>
      <w:r>
        <w:rPr>
          <w:rFonts w:hint="eastAsia"/>
        </w:rPr>
        <w:t xml:space="preserve">（1,452円/kW-年）を用いて</w:t>
      </w:r>
      <w:r>
        <w:t xml:space="preserve"> </w:t>
      </w:r>
      <m:oMath>
        <m:sSup>
          <m:e>
            <m:r>
              <m:t>θ</m:t>
            </m:r>
          </m:e>
          <m:sup>
            <m:r>
              <m:rPr>
                <m:sty m:val="p"/>
              </m:rPr>
              <m:t>*</m:t>
            </m:r>
          </m:sup>
        </m:sSup>
        <m:r>
          <m:rPr>
            <m:sty m:val="p"/>
          </m:rPr>
          <m:t>=</m:t>
        </m:r>
        <m:r>
          <m:rPr>
            <m:sty m:val="p"/>
          </m:rPr>
          <m:t>[</m:t>
        </m:r>
        <m:r>
          <m:t>I</m:t>
        </m:r>
        <m:r>
          <m:rPr>
            <m:sty m:val="p"/>
          </m:rPr>
          <m:t>⋅</m:t>
        </m:r>
        <m:r>
          <m:rPr>
            <m:sty m:val="p"/>
          </m:rPr>
          <m:t>C</m:t>
        </m:r>
        <m:r>
          <m:rPr>
            <m:sty m:val="p"/>
          </m:rPr>
          <m:t>R</m:t>
        </m:r>
        <m:r>
          <m:rPr>
            <m:sty m:val="p"/>
          </m:rPr>
          <m:t>F</m:t>
        </m:r>
        <m:r>
          <m:rPr>
            <m:sty m:val="p"/>
          </m:rPr>
          <m:t>(</m:t>
        </m:r>
        <m:r>
          <m:t>r</m:t>
        </m:r>
        <m:r>
          <m:rPr>
            <m:sty m:val="p"/>
          </m:rPr>
          <m:t>,</m:t>
        </m:r>
        <m:r>
          <m:t>20</m:t>
        </m:r>
        <m:r>
          <m:rPr>
            <m:sty m:val="p"/>
          </m:rPr>
          <m:t>)</m:t>
        </m:r>
        <m:r>
          <m:rPr>
            <m:sty m:val="p"/>
          </m:rPr>
          <m:t>+</m:t>
        </m:r>
        <m:r>
          <m:t>F</m:t>
        </m:r>
        <m:r>
          <m:rPr>
            <m:sty m:val="p"/>
          </m:rPr>
          <m:t>]</m:t>
        </m:r>
        <m:r>
          <m:rPr>
            <m:sty m:val="p"/>
          </m:rPr>
          <m:t>/</m:t>
        </m:r>
        <m:r>
          <m:t>a</m:t>
        </m:r>
      </m:oMath>
      <w:r>
        <w:t xml:space="preserve"> </w:t>
      </w:r>
      <w:r>
        <w:rPr>
          <w:rFonts w:hint="eastAsia"/>
        </w:rPr>
        <w:t xml:space="preserve">と書ける。比較のため、</w:t>
      </w:r>
      <m:oMath>
        <m:sSub>
          <m:e>
            <m:r>
              <m:t>c</m:t>
            </m:r>
          </m:e>
          <m:sub>
            <m:r>
              <m:rPr>
                <m:sty m:val="p"/>
              </m:rPr>
              <m:t>r</m:t>
            </m:r>
            <m:r>
              <m:rPr>
                <m:sty m:val="p"/>
              </m:rPr>
              <m:t>e</m:t>
            </m:r>
            <m:r>
              <m:rPr>
                <m:sty m:val="p"/>
              </m:rPr>
              <m:t>q</m:t>
            </m:r>
          </m:sub>
        </m:sSub>
      </m:oMath>
      <w:r>
        <w:t xml:space="preserve"> </w:t>
      </w:r>
      <w:r>
        <w:rPr>
          <w:rFonts w:hint="eastAsia"/>
        </w:rPr>
        <w:t xml:space="preserve">を3.45万・3.2万・3.7万円とする標準・楽観・保守の3ケース（保守は実効容量収入も0.83万円とする。式(4.6)の割引率では約5.3%・3.9%・6.6%にあたる）を併記する。本章の</w:t>
      </w:r>
      <w:r>
        <w:t xml:space="preserve"> </w:t>
      </w:r>
      <m:oMath>
        <m:sSup>
          <m:e>
            <m:r>
              <m:t>K</m:t>
            </m:r>
          </m:e>
          <m:sup>
            <m:r>
              <m:rPr>
                <m:sty m:val="p"/>
              </m:rPr>
              <m:t>*</m:t>
            </m:r>
          </m:sup>
        </m:sSup>
      </m:oMath>
      <w:r>
        <w:t xml:space="preserve"> </w:t>
      </w:r>
      <w:r>
        <w:rPr>
          <w:rFonts w:hint="eastAsia"/>
        </w:rPr>
        <w:t xml:space="preserve">は、スポット裁定と容量収入だけに依存するマーチャントの均衡容量であり、需給調整市場のレントは0と置く。ΔkW</w:t>
      </w:r>
      <w:r>
        <w:t xml:space="preserve"> </w:t>
      </w:r>
      <w:r>
        <w:rPr>
          <w:rFonts w:hint="eastAsia"/>
        </w:rPr>
        <w:t xml:space="preserve">を供出する時間はスポット裁定に使えないので、そのレントは</w:t>
      </w:r>
      <w:r>
        <w:t xml:space="preserve"> </w:t>
      </w:r>
      <m:oMath>
        <m:r>
          <m:t>π</m:t>
        </m:r>
        <m:r>
          <m:rPr>
            <m:sty m:val="p"/>
          </m:rPr>
          <m:t>(</m:t>
        </m:r>
        <m:r>
          <m:t>K</m:t>
        </m:r>
        <m:r>
          <m:rPr>
            <m:sty m:val="p"/>
          </m:rPr>
          <m:t>)</m:t>
        </m:r>
      </m:oMath>
      <w:r>
        <w:t xml:space="preserve"> </w:t>
      </w:r>
      <w:r>
        <w:rPr>
          <w:rFonts w:hint="eastAsia"/>
        </w:rPr>
        <w:t xml:space="preserve">に足すものではなく、置き換えて比べるものである。この置き方と、契約型の容量</w:t>
      </w:r>
      <w:r>
        <w:t xml:space="preserve"> </w:t>
      </w:r>
      <m:oMath>
        <m:sSub>
          <m:e>
            <m:r>
              <m:t>K</m:t>
            </m:r>
          </m:e>
          <m:sub>
            <m:r>
              <m:rPr>
                <m:sty m:val="p"/>
              </m:rPr>
              <m:t>e</m:t>
            </m:r>
            <m:r>
              <m:rPr>
                <m:sty m:val="p"/>
              </m:rPr>
              <m:t>x</m:t>
            </m:r>
            <m:r>
              <m:rPr>
                <m:sty m:val="p"/>
              </m:rPr>
              <m:t>o</m:t>
            </m:r>
          </m:sub>
        </m:sSub>
      </m:oMath>
      <w:r>
        <w:t xml:space="preserve"> </w:t>
      </w:r>
      <w:r>
        <w:rPr>
          <w:rFonts w:hint="eastAsia"/>
        </w:rPr>
        <w:t xml:space="preserve">を0とする置き方に対しては、7.6節で感応度を示す。</w:t>
      </w:r>
    </w:p>
    <w:p>
      <w:pPr>
        <w:pStyle w:val="BodyText"/>
      </w:pPr>
      <w:r>
        <w:rPr>
          <w:rFonts w:hint="eastAsia"/>
        </w:rPr>
        <w:t xml:space="preserve">このゼロレント条件は、Butters</w:t>
      </w:r>
      <w:r>
        <w:t xml:space="preserve"> et </w:t>
      </w:r>
      <w:r>
        <w:rPr>
          <w:rFonts w:hint="eastAsia"/>
        </w:rPr>
        <w:t xml:space="preserve">al.（2025）の動学的参入均衡を定常・確定的にした版にあたり、競争が進むほど個別の利潤が消えて総容量が決まるという</w:t>
      </w:r>
      <w:r>
        <w:t xml:space="preserve"> Zhao et </w:t>
      </w:r>
      <w:r>
        <w:rPr>
          <w:rFonts w:hint="eastAsia"/>
        </w:rPr>
        <w:t xml:space="preserve">al.（2022）の極限に対応する。価格水準が不確実で投資が不可逆なら、競争が消すのは参入時点の超過</w:t>
      </w:r>
      <w:r>
        <w:t xml:space="preserve"> NPV </w:t>
      </w:r>
      <w:r>
        <w:rPr>
          <w:rFonts w:hint="eastAsia"/>
        </w:rPr>
        <w:t xml:space="preserve">であり、静学の損益分岐に対する閾値の上乗せは残る（Dixit</w:t>
      </w:r>
      <w:r>
        <w:t xml:space="preserve"> &amp; Pindyck, 1994; Leahy, </w:t>
      </w:r>
      <w:r>
        <w:rPr>
          <w:rFonts w:hint="eastAsia"/>
        </w:rPr>
        <w:t xml:space="preserve">1993）。寡占の均衡で投資がゼロ</w:t>
      </w:r>
      <w:r>
        <w:t xml:space="preserve"> NPV </w:t>
      </w:r>
      <w:r>
        <w:rPr>
          <w:rFonts w:hint="eastAsia"/>
        </w:rPr>
        <w:t xml:space="preserve">の近くで起きるという結果（Grenadier,</w:t>
      </w:r>
      <w:r>
        <w:t xml:space="preserve"> </w:t>
      </w:r>
      <w:r>
        <w:rPr>
          <w:rFonts w:hint="eastAsia"/>
        </w:rPr>
        <w:t xml:space="preserve">2002）も、先取りを含む均衡（Back</w:t>
      </w:r>
      <w:r>
        <w:t xml:space="preserve"> &amp; Paulsen, 2009; Fudenberg &amp; Tirole, 1985; Weeds, </w:t>
      </w:r>
      <w:r>
        <w:rPr>
          <w:rFonts w:hint="eastAsia"/>
        </w:rPr>
        <w:t xml:space="preserve">2002）も、将来の参入を織り込んだ</w:t>
      </w:r>
      <w:r>
        <w:t xml:space="preserve"> NPV </w:t>
      </w:r>
      <w:r>
        <w:rPr>
          <w:rFonts w:hint="eastAsia"/>
        </w:rPr>
        <w:t xml:space="preserve">についての命題である。将来の参入は収入を下げる方向にしか働かないので、いずれの均衡でも、参入者が見込む価格経路で評価した静学のゼロレント条件は動学的な参入閾値の下限を与え、静学の</w:t>
      </w:r>
      <w:r>
        <w:t xml:space="preserve"> </w:t>
      </w:r>
      <m:oMath>
        <m:sSup>
          <m:e>
            <m:r>
              <m:t>K</m:t>
            </m:r>
          </m:e>
          <m:sup>
            <m:r>
              <m:rPr>
                <m:sty m:val="p"/>
              </m:rPr>
              <m:t>*</m:t>
            </m:r>
          </m:sup>
        </m:sSup>
      </m:oMath>
      <w:r>
        <w:t xml:space="preserve"> </w:t>
      </w:r>
      <w:r>
        <w:rPr>
          <w:rFonts w:hint="eastAsia"/>
        </w:rPr>
        <w:t xml:space="preserve">は動学的な均衡容量の上限にあたる。価格水準の期待成長を0と置く主仕様では、この下限は価格水準一定の条件、すなわち</w:t>
      </w:r>
      <w:r>
        <w:t xml:space="preserve"> </w:t>
      </w:r>
      <m:oMath>
        <m:sSup>
          <m:e>
            <m:r>
              <m:t>θ</m:t>
            </m:r>
          </m:e>
          <m:sup>
            <m:r>
              <m:rPr>
                <m:sty m:val="p"/>
              </m:rPr>
              <m:t>*</m:t>
            </m:r>
          </m:sup>
        </m:sSup>
      </m:oMath>
      <w:r>
        <w:t xml:space="preserve"> </w:t>
      </w:r>
      <w:r>
        <w:rPr>
          <w:rFonts w:hint="eastAsia"/>
        </w:rPr>
        <w:t xml:space="preserve">そのものである。需給調整市場の収入や成長オプションに依存する参入は、この命題の対象外である。</w:t>
      </w:r>
      <m:oMath>
        <m:sSub>
          <m:e>
            <m:r>
              <m:t>K</m:t>
            </m:r>
          </m:e>
          <m:sub>
            <m:r>
              <m:rPr>
                <m:sty m:val="p"/>
              </m:rPr>
              <m:t>e</m:t>
            </m:r>
            <m:r>
              <m:rPr>
                <m:sty m:val="p"/>
              </m:rPr>
              <m:t>x</m:t>
            </m:r>
            <m:r>
              <m:rPr>
                <m:sty m:val="p"/>
              </m:rPr>
              <m:t>o</m:t>
            </m:r>
          </m:sub>
        </m:sSub>
        <m:r>
          <m:rPr>
            <m:sty m:val="p"/>
          </m:rPr>
          <m:t>=</m:t>
        </m:r>
        <m:r>
          <m:t>0</m:t>
        </m:r>
      </m:oMath>
      <w:r>
        <w:t xml:space="preserve"> </w:t>
      </w:r>
      <w:r>
        <w:rPr>
          <w:rFonts w:hint="eastAsia"/>
        </w:rPr>
        <w:t xml:space="preserve">と静学の条件は、いずれも参入に有利な側の置き方なので、その下でも</w:t>
      </w:r>
      <w:r>
        <w:t xml:space="preserve"> </w:t>
      </w:r>
      <m:oMath>
        <m:sSup>
          <m:e>
            <m:r>
              <m:t>K</m:t>
            </m:r>
          </m:e>
          <m:sup>
            <m:r>
              <m:rPr>
                <m:sty m:val="p"/>
              </m:rPr>
              <m:t>*</m:t>
            </m:r>
          </m:sup>
        </m:sSup>
        <m:r>
          <m:rPr>
            <m:sty m:val="p"/>
          </m:rPr>
          <m:t>=</m:t>
        </m:r>
        <m:r>
          <m:t>0</m:t>
        </m:r>
      </m:oMath>
      <w:r>
        <w:t xml:space="preserve"> </w:t>
      </w:r>
      <w:r>
        <w:rPr>
          <w:rFonts w:hint="eastAsia"/>
        </w:rPr>
        <w:t xml:space="preserve">となれば、この結論は結論にとって不利な側の仮定の下で確かめられたことになる。これに対し、需給調整市場のレントを0と置くことは参入に不利な側の置き方なので、その影響は7.6節で別に評価する。</w:t>
      </w:r>
    </w:p>
    <w:bookmarkEnd w:id="172"/>
    <w:bookmarkStart w:id="173" w:name="不確実性の下での参入閾値"/>
    <w:p>
      <w:pPr>
        <w:pStyle w:val="Heading3"/>
      </w:pPr>
      <w:r>
        <w:t xml:space="preserve">7.1.5　</w:t>
      </w:r>
      <w:r>
        <w:rPr>
          <w:rFonts w:hint="eastAsia"/>
        </w:rPr>
        <w:t xml:space="preserve">不確実性の下での参入閾値</w:t>
      </w:r>
    </w:p>
    <w:p>
      <w:pPr>
        <w:pStyle w:val="FirstParagraph"/>
      </w:pPr>
      <w:r>
        <w:rPr>
          <w:rFonts w:hint="eastAsia"/>
        </w:rPr>
        <w:t xml:space="preserve">不可逆な投資の機会は、価格水準を原資産とするアメリカン型のコール・オプションである（Dixit</w:t>
      </w:r>
      <w:r>
        <w:t xml:space="preserve"> &amp; Pindyck, 1994; McDonald &amp; Siegel, </w:t>
      </w:r>
      <w:r>
        <w:rPr>
          <w:rFonts w:hint="eastAsia"/>
        </w:rPr>
        <w:t xml:space="preserve">1986）。価格水準の代理として、月平均システムプライスを</w:t>
      </w:r>
      <w:r>
        <w:t xml:space="preserve"> FY2023〜25 </w:t>
      </w:r>
      <w:r>
        <w:rPr>
          <w:rFonts w:hint="eastAsia"/>
        </w:rPr>
        <w:t xml:space="preserve">の同月平均で割った値（2016年4月〜2026年6月、123か月）を用いる。この代理は北海道エリアプライスで作る代理よりボラティリティを大きく出すので、参入が開く確率を高めに出す点では参入に有利な側に、参入閾値を高めに出す点では</w:t>
      </w:r>
      <w:r>
        <w:t xml:space="preserve"> </w:t>
      </w:r>
      <m:oMath>
        <m:sSup>
          <m:e>
            <m:r>
              <m:t>K</m:t>
            </m:r>
          </m:e>
          <m:sup>
            <m:r>
              <m:rPr>
                <m:sty m:val="p"/>
              </m:rPr>
              <m:t>*</m:t>
            </m:r>
          </m:sup>
        </m:sSup>
        <m:r>
          <m:rPr>
            <m:sty m:val="p"/>
          </m:rPr>
          <m:t>=</m:t>
        </m:r>
        <m:r>
          <m:t>0</m:t>
        </m:r>
      </m:oMath>
      <w:r>
        <w:t xml:space="preserve"> </w:t>
      </w:r>
      <w:r>
        <w:rPr>
          <w:rFonts w:hint="eastAsia"/>
        </w:rPr>
        <w:t xml:space="preserve">の結論を強める側に働く。その対数を、ランダムウォークに従う恒久成分</w:t>
      </w:r>
      <w:r>
        <w:t xml:space="preserve"> </w:t>
      </w:r>
      <m:oMath>
        <m:r>
          <m:t>ξ</m:t>
        </m:r>
      </m:oMath>
      <w:r>
        <w:t xml:space="preserve"> </w:t>
      </w:r>
      <w:r>
        <w:rPr>
          <w:rFonts w:hint="eastAsia"/>
        </w:rPr>
        <w:t xml:space="preserve">と1次の自己回帰過程（AR(1)）に従う一時成分</w:t>
      </w:r>
      <w:r>
        <w:t xml:space="preserve"> </w:t>
      </w:r>
      <m:oMath>
        <m:r>
          <m:t>χ</m:t>
        </m:r>
      </m:oMath>
      <w:r>
        <w:t xml:space="preserve"> </w:t>
      </w:r>
      <w:r>
        <w:rPr>
          <w:rFonts w:hint="eastAsia"/>
        </w:rPr>
        <w:t xml:space="preserve">の和として、カルマンフィルタを用いた最尤法で推定する。Schwartz</w:t>
      </w:r>
      <w:r>
        <w:t xml:space="preserve"> and </w:t>
      </w:r>
      <w:r>
        <w:rPr>
          <w:rFonts w:hint="eastAsia"/>
        </w:rPr>
        <w:t xml:space="preserve">Smith（2000）の2因子モデルを、先物を使わずに推定した形である。年間のキャッシュフローは</w:t>
      </w:r>
    </w:p>
    <w:p>
      <w:pPr>
        <w:pStyle w:val="BodyText"/>
        <w:tabs>
          <w:tab w:val="center" w:pos="4393"/>
          <w:tab w:val="right" w:pos="8787"/>
        </w:tabs>
        <w:spacing w:before="120" w:after="120" w:line="240" w:lineRule="auto"/>
        <w:ind w:firstLine="0"/>
      </w:pPr>
      <w:r>
        <w:tab/>
      </w:r>
      <m:oMath>
        <m:sSub>
          <m:e>
            <m:r>
              <m:rPr>
                <m:sty m:val="p"/>
              </m:rPr>
              <m:t>C</m:t>
            </m:r>
            <m:r>
              <m:rPr>
                <m:sty m:val="p"/>
              </m:rPr>
              <m:t>F</m:t>
            </m:r>
          </m:e>
          <m:sub>
            <m:r>
              <m:t>t</m:t>
            </m:r>
          </m:sub>
        </m:sSub>
        <m:r>
          <m:rPr>
            <m:sty m:val="p"/>
          </m:rPr>
          <m:t>=</m:t>
        </m:r>
        <m:r>
          <m:t>a</m:t>
        </m:r>
        <m:r>
          <m:t> </m:t>
        </m:r>
        <m:sSub>
          <m:e>
            <m:r>
              <m:t>θ</m:t>
            </m:r>
          </m:e>
          <m:sub>
            <m:r>
              <m:t>t</m:t>
            </m:r>
          </m:sub>
        </m:sSub>
        <m:r>
          <m:t> </m:t>
        </m:r>
        <m:f>
          <m:fPr>
            <m:type m:val="bar"/>
          </m:fPr>
          <m:num>
            <m:sSub>
              <m:e>
                <m:r>
                  <m:t>c</m:t>
                </m:r>
              </m:e>
              <m:sub>
                <m:r>
                  <m:rPr>
                    <m:sty m:val="p"/>
                  </m:rPr>
                  <m:t>m</m:t>
                </m:r>
                <m:r>
                  <m:rPr>
                    <m:sty m:val="p"/>
                  </m:rPr>
                  <m:t>o</m:t>
                </m:r>
                <m:r>
                  <m:rPr>
                    <m:sty m:val="p"/>
                  </m:rPr>
                  <m:t>d</m:t>
                </m:r>
                <m:r>
                  <m:rPr>
                    <m:sty m:val="p"/>
                  </m:rPr>
                  <m:t>e</m:t>
                </m:r>
                <m:r>
                  <m:rPr>
                    <m:sty m:val="p"/>
                  </m:rPr>
                  <m:t>l</m:t>
                </m:r>
              </m:sub>
            </m:sSub>
            <m:r>
              <m:rPr>
                <m:sty m:val="p"/>
              </m:rPr>
              <m:t>(</m:t>
            </m:r>
            <m:sSub>
              <m:e>
                <m:r>
                  <m:t>K</m:t>
                </m:r>
              </m:e>
              <m:sub>
                <m:r>
                  <m:t>t</m:t>
                </m:r>
              </m:sub>
            </m:sSub>
            <m:r>
              <m:rPr>
                <m:sty m:val="p"/>
              </m:rPr>
              <m:t>)</m:t>
            </m:r>
          </m:num>
          <m:den>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den>
        </m:f>
        <m:r>
          <m:rPr>
            <m:sty m:val="p"/>
          </m:rPr>
          <m:t>−</m:t>
        </m:r>
        <m:r>
          <m:t>F</m:t>
        </m:r>
      </m:oMath>
      <w:r>
        <w:tab/>
      </w:r>
      <w:r>
        <w:t>(7.2)</w:t>
      </w:r>
    </w:p>
    <w:p>
      <w:pPr>
        <w:pStyle w:val="BodyText"/>
      </w:pPr>
      <w:r>
        <w:rPr>
          <w:rFonts w:hint="eastAsia"/>
        </w:rPr>
        <w:t xml:space="preserve">とする。資本費は年率</w:t>
      </w:r>
      <w:r>
        <w:t xml:space="preserve"> </w:t>
      </w:r>
      <m:oMath>
        <m:sSub>
          <m:e>
            <m:r>
              <m:t>g</m:t>
            </m:r>
          </m:e>
          <m:sub>
            <m:r>
              <m:t>I</m:t>
            </m:r>
          </m:sub>
        </m:sSub>
      </m:oMath>
      <w:r>
        <w:rPr>
          <w:rFonts w:hint="eastAsia"/>
        </w:rPr>
        <w:t xml:space="preserve">（0〜8%）で下がって揚水並みの2.3万円/kWh</w:t>
      </w:r>
      <w:r>
        <w:t xml:space="preserve"> </w:t>
      </w:r>
      <w:r>
        <w:rPr>
          <w:rFonts w:hint="eastAsia"/>
        </w:rPr>
        <w:t xml:space="preserve">で止まり、寿命は20年、判断は年1回、建設ラグは1年、恒久成分は期待成長</w:t>
      </w:r>
      <w:r>
        <w:t xml:space="preserve"> </w:t>
      </w:r>
      <m:oMath>
        <m:r>
          <m:t>α</m:t>
        </m:r>
        <m:r>
          <m:rPr>
            <m:sty m:val="p"/>
          </m:rPr>
          <m:t>=</m:t>
        </m:r>
        <m:r>
          <m:t>0</m:t>
        </m:r>
      </m:oMath>
      <w:r>
        <w:t xml:space="preserve"> </w:t>
      </w:r>
      <w:r>
        <w:rPr>
          <w:rFonts w:hint="eastAsia"/>
        </w:rPr>
        <w:t xml:space="preserve">の対数正規マルチンゲールとする。式(7.2)のキャッシュフローの下で比べる閾値は、式(4.8)の静学の損益分岐</w:t>
      </w:r>
      <w:r>
        <w:t xml:space="preserve"> </w:t>
      </w:r>
      <m:oMath>
        <m:sSup>
          <m:e>
            <m:r>
              <m:t>θ</m:t>
            </m:r>
          </m:e>
          <m:sup>
            <m:r>
              <m:rPr>
                <m:sty m:val="p"/>
              </m:rPr>
              <m:t>*</m:t>
            </m:r>
          </m:sup>
        </m:sSup>
      </m:oMath>
      <w:r>
        <w:rPr>
          <w:rFonts w:hint="eastAsia"/>
        </w:rPr>
        <w:t xml:space="preserve">、排他的な参入権を持つ単独企業の最適行使閾値</w:t>
      </w:r>
      <w:r>
        <w:t xml:space="preserve"> </w:t>
      </w:r>
      <m:oMath>
        <m:acc>
          <m:accPr>
            <m:chr m:val="‾"/>
          </m:accPr>
          <m:e>
            <m:r>
              <m:t>θ</m:t>
            </m:r>
          </m:e>
        </m:acc>
      </m:oMath>
      <w:r>
        <w:rPr>
          <w:rFonts w:hint="eastAsia"/>
        </w:rPr>
        <w:t xml:space="preserve">（年次の動的計画法で求める）、競争均衡の参入閾値</w:t>
      </w:r>
      <w:r>
        <w:t xml:space="preserve"> </w:t>
      </w:r>
      <m:oMath>
        <m:sSub>
          <m:e>
            <m:r>
              <m:t>θ</m:t>
            </m:r>
          </m:e>
          <m:sub>
            <m:r>
              <m:t>c</m:t>
            </m:r>
          </m:sub>
        </m:sSub>
      </m:oMath>
      <w:r>
        <w:t xml:space="preserve"> </w:t>
      </w:r>
      <w:r>
        <w:rPr>
          <w:rFonts w:hint="eastAsia"/>
        </w:rPr>
        <w:t xml:space="preserve">の三つである。</w:t>
      </w:r>
      <m:oMath>
        <m:sSub>
          <m:e>
            <m:r>
              <m:t>θ</m:t>
            </m:r>
          </m:e>
          <m:sub>
            <m:r>
              <m:t>c</m:t>
            </m:r>
          </m:sub>
        </m:sSub>
      </m:oMath>
      <w:r>
        <w:t xml:space="preserve"> </w:t>
      </w:r>
      <w:r>
        <w:rPr>
          <w:rFonts w:hint="eastAsia"/>
        </w:rPr>
        <w:t xml:space="preserve">は、閾値で参入した者の</w:t>
      </w:r>
      <w:r>
        <w:t xml:space="preserve"> NPV </w:t>
      </w:r>
      <w:r>
        <w:rPr>
          <w:rFonts w:hint="eastAsia"/>
        </w:rPr>
        <w:t xml:space="preserve">を、後続の参入で収入が閾値に押さえられることを織り込んで計算し、それが0になる水準であり、Dixit</w:t>
      </w:r>
      <w:r>
        <w:t xml:space="preserve"> and </w:t>
      </w:r>
      <w:r>
        <w:rPr>
          <w:rFonts w:hint="eastAsia"/>
        </w:rPr>
        <w:t xml:space="preserve">Pindyck（1994,</w:t>
      </w:r>
      <w:r>
        <w:t xml:space="preserve"> Chapter </w:t>
      </w:r>
      <w:r>
        <w:rPr>
          <w:rFonts w:hint="eastAsia"/>
        </w:rPr>
        <w:t xml:space="preserve">8）の産業均衡を年次・有限寿命に置き換えたものにあたる。割引は実物確率の下で</w:t>
      </w:r>
      <w:r>
        <w:t xml:space="preserve"> WACC </w:t>
      </w:r>
      <w:r>
        <w:rPr>
          <w:rFonts w:hint="eastAsia"/>
        </w:rPr>
        <w:t xml:space="preserve">によって行う。北海道の価格水準を複製できる取引商品がなく、リスクの市場価格を校正できないためであり（Dixit</w:t>
      </w:r>
      <w:r>
        <w:t xml:space="preserve"> &amp; Pindyck, 1994, Chapter </w:t>
      </w:r>
      <w:r>
        <w:rPr>
          <w:rFonts w:hint="eastAsia"/>
        </w:rPr>
        <w:t xml:space="preserve">4）、基準の6%（契約型の資本コストの水準）に、マーチャントの資産の資本コストに近い8%（8.7.2項）を併記する。割引率を上げれば閾値は上がるので、6%は参入に有利な側の置き方である。数値解法と検算は付録B.4.5</w:t>
      </w:r>
      <w:r>
        <w:t xml:space="preserve"> </w:t>
      </w:r>
      <w:r>
        <w:rPr>
          <w:rFonts w:hint="eastAsia"/>
        </w:rPr>
        <w:t xml:space="preserve">に示す。</w:t>
      </w:r>
    </w:p>
    <w:bookmarkEnd w:id="173"/>
    <w:bookmarkEnd w:id="174"/>
    <w:bookmarkStart w:id="177" w:name="価格モデルの再現と検証"/>
    <w:p>
      <w:pPr>
        <w:pStyle w:val="Heading2"/>
      </w:pPr>
      <w:r>
        <w:t xml:space="preserve">7.2　</w:t>
      </w:r>
      <w:r>
        <w:rPr>
          <w:rFonts w:hint="eastAsia"/>
        </w:rPr>
        <w:t xml:space="preserve">価格モデルの再現と検証</w:t>
      </w:r>
    </w:p>
    <w:bookmarkStart w:id="175" w:name="水準と分布の再現"/>
    <w:p>
      <w:pPr>
        <w:pStyle w:val="Heading3"/>
      </w:pPr>
      <w:r>
        <w:t xml:space="preserve">7.2.1　</w:t>
      </w:r>
      <w:r>
        <w:rPr>
          <w:rFonts w:hint="eastAsia"/>
        </w:rPr>
        <w:t xml:space="preserve">水準と分布の再現</w:t>
      </w:r>
    </w:p>
    <w:p>
      <w:pPr>
        <w:pStyle w:val="FirstParagraph"/>
      </w:pPr>
      <w:r>
        <w:rPr>
          <w:rFonts w:hint="eastAsia"/>
        </w:rPr>
        <w:t xml:space="preserve">標本内では、分断混合仕様は</w:t>
      </w:r>
      <w:r>
        <w:t xml:space="preserve"> TB4h </w:t>
      </w:r>
      <w:r>
        <w:rPr>
          <w:rFonts w:hint="eastAsia"/>
        </w:rPr>
        <w:t xml:space="preserve">の中央値（実績8.3〜9.6円/kWh）を8.0〜8.3円とほぼ再現する。しかし分布の裾が圧縮されるため、完全予見粗利は実績より9〜24%過小で、0.01円/kWh</w:t>
      </w:r>
      <w:r>
        <w:t xml:space="preserve"> </w:t>
      </w:r>
      <w:r>
        <w:rPr>
          <w:rFonts w:hint="eastAsia"/>
        </w:rPr>
        <w:t xml:space="preserve">に張り付く時間（以下、下限張り付き時間）も実績の5〜6割にとどまる（表C.21）。時刻別プレミアム</w:t>
      </w:r>
      <w:r>
        <w:t xml:space="preserve"> </w:t>
      </w:r>
      <m:oMath>
        <m:r>
          <m:t>μ</m:t>
        </m:r>
      </m:oMath>
      <w:r>
        <w:t xml:space="preserve"> </w:t>
      </w:r>
      <w:r>
        <w:rPr>
          <w:rFonts w:hint="eastAsia"/>
        </w:rPr>
        <w:t xml:space="preserve">を外すと、仕様A</w:t>
      </w:r>
      <w:r>
        <w:t xml:space="preserve"> </w:t>
      </w:r>
      <w:r>
        <w:rPr>
          <w:rFonts w:hint="eastAsia"/>
        </w:rPr>
        <w:t xml:space="preserve">の完全予見粗利は25%下がる。夕方のランプや希少性のプレミアムは、純需要だけでは説明できない一次的な要素である。</w:t>
      </w:r>
    </w:p>
    <w:p>
      <w:pPr>
        <w:pStyle w:val="BodyText"/>
      </w:pPr>
      <w:r>
        <w:t xml:space="preserve">FY2026 </w:t>
      </w:r>
      <w:r>
        <w:rPr>
          <w:rFonts w:hint="eastAsia"/>
        </w:rPr>
        <w:t xml:space="preserve">の4〜6月には、定常な仕様（</w:t>
      </w:r>
      <m:oMath>
        <m:r>
          <m:t>θ</m:t>
        </m:r>
        <m:r>
          <m:rPr>
            <m:sty m:val="p"/>
          </m:rPr>
          <m:t>=</m:t>
        </m:r>
        <m:r>
          <m:t>1</m:t>
        </m:r>
      </m:oMath>
      <w:r>
        <w:rPr>
          <w:rFonts w:hint="eastAsia"/>
        </w:rPr>
        <w:t xml:space="preserve">）の価格は実績の</w:t>
      </w:r>
      <w:r>
        <w:t xml:space="preserve"> TB4h </w:t>
      </w:r>
      <w:r>
        <w:rPr>
          <w:rFonts w:hint="eastAsia"/>
        </w:rPr>
        <w:t xml:space="preserve">の中央値と95パーセンタイル（p95）を大きく下回る（表7.1）。同じ期間に北海道エリアプライスは同じ純需要水準で約1.6〜1.7倍、システムプライスも約1.5〜1.6倍に上がっており、上側の水準のシフトは全国的な燃料・供給構造の変化である。年度別の水準係数は、FY2023〜25</w:t>
      </w:r>
      <w:r>
        <w:t xml:space="preserve"> </w:t>
      </w:r>
      <w:r>
        <w:rPr>
          <w:rFonts w:hint="eastAsia"/>
        </w:rPr>
        <w:t xml:space="preserve">の0.94・1.07・1.00に対し、FY2026上期が1.57、FY2022</w:t>
      </w:r>
      <w:r>
        <w:t xml:space="preserve"> </w:t>
      </w:r>
      <w:r>
        <w:rPr>
          <w:rFonts w:hint="eastAsia"/>
        </w:rPr>
        <w:t xml:space="preserve">が1.72である。形状を固定して</w:t>
      </w:r>
      <w:r>
        <w:t xml:space="preserve"> </w:t>
      </w:r>
      <m:oMath>
        <m:r>
          <m:t>θ</m:t>
        </m:r>
      </m:oMath>
      <w:r>
        <w:t xml:space="preserve"> </w:t>
      </w:r>
      <w:r>
        <w:rPr>
          <w:rFonts w:hint="eastAsia"/>
        </w:rPr>
        <w:t xml:space="preserve">だけを推定すると、FY2026上期の完全予見粗利は実績の78%まで再現される（直前の水準を与えると50〜51%）。これは水準を合わせたうえでの形状の検証であり、予測力の検証ではない。また</w:t>
      </w:r>
      <w:r>
        <w:t xml:space="preserve"> </w:t>
      </w:r>
      <m:oMath>
        <m:r>
          <m:t>θ</m:t>
        </m:r>
      </m:oMath>
      <w:r>
        <w:t xml:space="preserve"> </w:t>
      </w:r>
      <w:r>
        <w:rPr>
          <w:rFonts w:hint="eastAsia"/>
        </w:rPr>
        <w:t xml:space="preserve">は基準価格3円/kWh</w:t>
      </w:r>
      <w:r>
        <w:t xml:space="preserve"> </w:t>
      </w:r>
      <w:r>
        <w:rPr>
          <w:rFonts w:hint="eastAsia"/>
        </w:rPr>
        <w:t xml:space="preserve">以上の価格の水準を表す指数であり、年度間の完全予見粗利の違いは説明しない。残る乖離は下限張り付き時間とスパイクの裾の圧縮による定常的な過小評価で、FY2022</w:t>
      </w:r>
      <w:r>
        <w:t xml:space="preserve"> </w:t>
      </w:r>
      <w:r>
        <w:rPr>
          <w:rFonts w:hint="eastAsia"/>
        </w:rPr>
        <w:t xml:space="preserve">は連系線増強前の厚い裾のため56%しか再現できない。</w:t>
      </w:r>
    </w:p>
    <w:p>
      <w:pPr>
        <w:pStyle w:val="TableCaption"/>
      </w:pPr>
      <w:r>
        <w:rPr>
          <w:rFonts w:hint="eastAsia"/>
        </w:rPr>
        <w:t xml:space="preserve">表7.1</w:t>
      </w:r>
      <w:r>
        <w:t xml:space="preserve">　</w:t>
      </w:r>
      <w:r>
        <w:rPr>
          <w:rFonts w:hint="eastAsia"/>
        </w:rPr>
        <w:t xml:space="preserve">年度別の水準係数と価格過程の再現</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7.1　年度別の水準係数と価格過程の再現"/>
      </w:tblPr>
      <w:tblGrid>
        <w:gridCol w:w="1320"/>
        <w:gridCol w:w="1320"/>
        <w:gridCol w:w="1320"/>
        <w:gridCol w:w="1320"/>
        <w:gridCol w:w="1320"/>
        <w:gridCol w:w="1320"/>
      </w:tblGrid>
      <w:tr>
        <w:trPr>
          <w:tblHeader w:val="on"/>
        </w:trPr>
        <w:tc>
          <w:tcPr>
            <w:tcBorders>
              <w:bottom w:val="single" w:sz="6" w:color="000000"/>
            </w:tcBorders>
          </w:tcPr>
          <w:p>
            <w:pPr>
              <w:pStyle w:val="Compact"/>
            </w:pPr>
          </w:p>
        </w:tc>
        <w:tc>
          <w:tcPr>
            <w:tcBorders>
              <w:bottom w:val="single" w:sz="6" w:color="000000"/>
            </w:tcBorders>
          </w:tcPr>
          <w:p>
            <w:pPr>
              <w:pStyle w:val="Compact"/>
              <w:jc w:val="right"/>
            </w:pPr>
            <w:r>
              <w:rPr>
                <w:sz w:val="18"/>
              </w:rPr>
              <w:t xml:space="preserve">FY2022</w:t>
            </w:r>
          </w:p>
        </w:tc>
        <w:tc>
          <w:tcPr>
            <w:tcBorders>
              <w:bottom w:val="single" w:sz="6" w:color="000000"/>
            </w:tcBorders>
          </w:tcPr>
          <w:p>
            <w:pPr>
              <w:pStyle w:val="Compact"/>
              <w:jc w:val="right"/>
            </w:pPr>
            <w:r>
              <w:rPr>
                <w:sz w:val="18"/>
              </w:rPr>
              <w:t xml:space="preserve">FY2023</w:t>
            </w:r>
          </w:p>
        </w:tc>
        <w:tc>
          <w:tcPr>
            <w:tcBorders>
              <w:bottom w:val="single" w:sz="6" w:color="000000"/>
            </w:tcBorders>
          </w:tcPr>
          <w:p>
            <w:pPr>
              <w:pStyle w:val="Compact"/>
              <w:jc w:val="right"/>
            </w:pPr>
            <w:r>
              <w:rPr>
                <w:sz w:val="18"/>
              </w:rPr>
              <w:t xml:space="preserve">FY2024</w:t>
            </w:r>
          </w:p>
        </w:tc>
        <w:tc>
          <w:tcPr>
            <w:tcBorders>
              <w:bottom w:val="single" w:sz="6" w:color="000000"/>
            </w:tcBorders>
          </w:tcPr>
          <w:p>
            <w:pPr>
              <w:pStyle w:val="Compact"/>
              <w:jc w:val="right"/>
            </w:pPr>
            <w:r>
              <w:rPr>
                <w:sz w:val="18"/>
              </w:rPr>
              <w:t xml:space="preserve">FY2025</w:t>
            </w:r>
          </w:p>
        </w:tc>
        <w:tc>
          <w:tcPr>
            <w:tcBorders>
              <w:bottom w:val="single" w:sz="6" w:color="000000"/>
            </w:tcBorders>
          </w:tcPr>
          <w:p>
            <w:pPr>
              <w:pStyle w:val="Compact"/>
              <w:jc w:val="right"/>
            </w:pPr>
            <w:r>
              <w:rPr>
                <w:rFonts w:hint="eastAsia"/>
                <w:sz w:val="18"/>
              </w:rPr>
              <w:t xml:space="preserve">FY2026（4〜6月）</w:t>
            </w:r>
          </w:p>
        </w:tc>
      </w:tr>
      <w:tr>
        <w:tc>
          <w:tcPr/>
          <w:p>
            <w:pPr>
              <w:pStyle w:val="Compact"/>
            </w:pPr>
            <w:r>
              <w:rPr>
                <w:rFonts w:hint="eastAsia"/>
                <w:sz w:val="18"/>
              </w:rPr>
              <w:t xml:space="preserve">水準係数</w:t>
            </w:r>
            <w:r>
              <w:rPr>
                <w:sz w:val="18"/>
              </w:rPr>
              <w:t xml:space="preserve"> </w:t>
            </w:r>
            <m:oMath>
              <m:sSub>
                <m:e>
                  <m:r>
                    <m:t>θ</m:t>
                  </m:r>
                </m:e>
                <m:sub>
                  <m:r>
                    <m:rPr>
                      <m:sty m:val="p"/>
                    </m:rPr>
                    <m:t>F</m:t>
                  </m:r>
                  <m:r>
                    <m:rPr>
                      <m:sty m:val="p"/>
                    </m:rPr>
                    <m:t>Y</m:t>
                  </m:r>
                </m:sub>
              </m:sSub>
            </m:oMath>
          </w:p>
        </w:tc>
        <w:tc>
          <w:tcPr/>
          <w:p>
            <w:pPr>
              <w:pStyle w:val="Compact"/>
              <w:jc w:val="right"/>
            </w:pPr>
            <w:r>
              <w:rPr>
                <w:sz w:val="18"/>
              </w:rPr>
              <w:t xml:space="preserve">1.72</w:t>
            </w:r>
          </w:p>
        </w:tc>
        <w:tc>
          <w:tcPr/>
          <w:p>
            <w:pPr>
              <w:pStyle w:val="Compact"/>
              <w:jc w:val="right"/>
            </w:pPr>
            <w:r>
              <w:rPr>
                <w:sz w:val="18"/>
              </w:rPr>
              <w:t xml:space="preserve">0.94</w:t>
            </w:r>
          </w:p>
        </w:tc>
        <w:tc>
          <w:tcPr/>
          <w:p>
            <w:pPr>
              <w:pStyle w:val="Compact"/>
              <w:jc w:val="right"/>
            </w:pPr>
            <w:r>
              <w:rPr>
                <w:sz w:val="18"/>
              </w:rPr>
              <w:t xml:space="preserve">1.07</w:t>
            </w:r>
          </w:p>
        </w:tc>
        <w:tc>
          <w:tcPr/>
          <w:p>
            <w:pPr>
              <w:pStyle w:val="Compact"/>
              <w:jc w:val="right"/>
            </w:pPr>
            <w:r>
              <w:rPr>
                <w:sz w:val="18"/>
              </w:rPr>
              <w:t xml:space="preserve">1.00</w:t>
            </w:r>
          </w:p>
        </w:tc>
        <w:tc>
          <w:tcPr/>
          <w:p>
            <w:pPr>
              <w:pStyle w:val="Compact"/>
              <w:jc w:val="right"/>
            </w:pPr>
            <w:r>
              <w:rPr>
                <w:sz w:val="18"/>
              </w:rPr>
              <w:t xml:space="preserve">1.57</w:t>
            </w:r>
          </w:p>
        </w:tc>
      </w:tr>
      <w:tr>
        <w:tc>
          <w:tcPr/>
          <w:p>
            <w:pPr>
              <w:pStyle w:val="Compact"/>
            </w:pPr>
            <w:r>
              <w:rPr>
                <w:rFonts w:hint="eastAsia"/>
                <w:b/>
                <w:bCs/>
                <w:sz w:val="18"/>
              </w:rPr>
              <w:t xml:space="preserve">パネルA：TB4h</w:t>
            </w:r>
            <w:r>
              <w:rPr>
                <w:b/>
                <w:bCs/>
                <w:sz w:val="18"/>
              </w:rPr>
              <w:t xml:space="preserve"> </w:t>
            </w:r>
            <w:r>
              <w:rPr>
                <w:rFonts w:hint="eastAsia"/>
                <w:b/>
                <w:bCs/>
                <w:sz w:val="18"/>
              </w:rPr>
              <w:t xml:space="preserve">の中央値（円/kWh）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実績</w:t>
            </w:r>
          </w:p>
        </w:tc>
        <w:tc>
          <w:tcPr/>
          <w:p>
            <w:pPr>
              <w:pStyle w:val="Compact"/>
              <w:jc w:val="right"/>
            </w:pPr>
            <w:r>
              <w:rPr>
                <w:sz w:val="18"/>
              </w:rPr>
              <w:t xml:space="preserve">19.3</w:t>
            </w:r>
          </w:p>
        </w:tc>
        <w:tc>
          <w:tcPr/>
          <w:p>
            <w:pPr>
              <w:pStyle w:val="Compact"/>
              <w:jc w:val="right"/>
            </w:pPr>
            <w:r>
              <w:rPr>
                <w:sz w:val="18"/>
              </w:rPr>
              <w:t xml:space="preserve">8.3</w:t>
            </w:r>
          </w:p>
        </w:tc>
        <w:tc>
          <w:tcPr/>
          <w:p>
            <w:pPr>
              <w:pStyle w:val="Compact"/>
              <w:jc w:val="right"/>
            </w:pPr>
            <w:r>
              <w:rPr>
                <w:sz w:val="18"/>
              </w:rPr>
              <w:t xml:space="preserve">8.7</w:t>
            </w:r>
          </w:p>
        </w:tc>
        <w:tc>
          <w:tcPr/>
          <w:p>
            <w:pPr>
              <w:pStyle w:val="Compact"/>
              <w:jc w:val="right"/>
            </w:pPr>
            <w:r>
              <w:rPr>
                <w:sz w:val="18"/>
              </w:rPr>
              <w:t xml:space="preserve">9.6</w:t>
            </w:r>
          </w:p>
        </w:tc>
        <w:tc>
          <w:tcPr/>
          <w:p>
            <w:pPr>
              <w:pStyle w:val="Compact"/>
              <w:jc w:val="right"/>
            </w:pPr>
            <w:r>
              <w:rPr>
                <w:sz w:val="18"/>
              </w:rPr>
              <w:t xml:space="preserve">18.7</w:t>
            </w:r>
          </w:p>
        </w:tc>
      </w:tr>
      <w:tr>
        <w:tc>
          <w:tcPr/>
          <w:p>
            <w:pPr>
              <w:pStyle w:val="Compact"/>
            </w:pPr>
            <w:r>
              <w:rPr>
                <w:rFonts w:hint="eastAsia"/>
                <w:sz w:val="18"/>
              </w:rPr>
              <w:t xml:space="preserve">仕様A（</w:t>
            </w:r>
            <m:oMath>
              <m:r>
                <m:t>θ</m:t>
              </m:r>
              <m:r>
                <m:rPr>
                  <m:sty m:val="p"/>
                </m:rPr>
                <m:t>=</m:t>
              </m:r>
              <m:r>
                <m:t>1</m:t>
              </m:r>
            </m:oMath>
            <w:r>
              <w:rPr>
                <w:rFonts w:hint="eastAsia"/>
                <w:sz w:val="18"/>
              </w:rPr>
              <w:t xml:space="preserve">）</w:t>
            </w:r>
          </w:p>
        </w:tc>
        <w:tc>
          <w:tcPr/>
          <w:p>
            <w:pPr>
              <w:pStyle w:val="Compact"/>
              <w:jc w:val="right"/>
            </w:pPr>
            <w:r>
              <w:rPr>
                <w:sz w:val="18"/>
              </w:rPr>
              <w:t xml:space="preserve">7.8</w:t>
            </w:r>
          </w:p>
        </w:tc>
        <w:tc>
          <w:tcPr/>
          <w:p>
            <w:pPr>
              <w:pStyle w:val="Compact"/>
              <w:jc w:val="right"/>
            </w:pPr>
            <w:r>
              <w:rPr>
                <w:sz w:val="18"/>
              </w:rPr>
              <w:t xml:space="preserve">7.8</w:t>
            </w:r>
          </w:p>
        </w:tc>
        <w:tc>
          <w:tcPr/>
          <w:p>
            <w:pPr>
              <w:pStyle w:val="Compact"/>
              <w:jc w:val="right"/>
            </w:pPr>
            <w:r>
              <w:rPr>
                <w:sz w:val="18"/>
              </w:rPr>
              <w:t xml:space="preserve">7.8</w:t>
            </w:r>
          </w:p>
        </w:tc>
        <w:tc>
          <w:tcPr/>
          <w:p>
            <w:pPr>
              <w:pStyle w:val="Compact"/>
              <w:jc w:val="right"/>
            </w:pPr>
            <w:r>
              <w:rPr>
                <w:sz w:val="18"/>
              </w:rPr>
              <w:t xml:space="preserve">8.3</w:t>
            </w:r>
          </w:p>
        </w:tc>
        <w:tc>
          <w:tcPr/>
          <w:p>
            <w:pPr>
              <w:pStyle w:val="Compact"/>
              <w:jc w:val="right"/>
            </w:pPr>
            <w:r>
              <w:rPr>
                <w:sz w:val="18"/>
              </w:rPr>
              <w:t xml:space="preserve">9.2</w:t>
            </w:r>
          </w:p>
        </w:tc>
      </w:tr>
      <w:tr>
        <w:tc>
          <w:tcPr/>
          <w:p>
            <w:pPr>
              <w:pStyle w:val="Compact"/>
            </w:pPr>
            <w:r>
              <w:rPr>
                <w:rFonts w:hint="eastAsia"/>
                <w:sz w:val="18"/>
              </w:rPr>
              <w:t xml:space="preserve">仕様A（水準係数付き）</w:t>
            </w:r>
          </w:p>
        </w:tc>
        <w:tc>
          <w:tcPr/>
          <w:p>
            <w:pPr>
              <w:pStyle w:val="Compact"/>
              <w:jc w:val="right"/>
            </w:pPr>
            <w:r>
              <w:rPr>
                <w:sz w:val="18"/>
              </w:rPr>
              <w:t xml:space="preserve">13.4</w:t>
            </w:r>
          </w:p>
        </w:tc>
        <w:tc>
          <w:tcPr/>
          <w:p>
            <w:pPr>
              <w:pStyle w:val="Compact"/>
              <w:jc w:val="right"/>
            </w:pPr>
            <w:r>
              <w:rPr>
                <w:sz w:val="18"/>
              </w:rPr>
              <w:t xml:space="preserve">7.3</w:t>
            </w:r>
          </w:p>
        </w:tc>
        <w:tc>
          <w:tcPr/>
          <w:p>
            <w:pPr>
              <w:pStyle w:val="Compact"/>
              <w:jc w:val="right"/>
            </w:pPr>
            <w:r>
              <w:rPr>
                <w:sz w:val="18"/>
              </w:rPr>
              <w:t xml:space="preserve">8.3</w:t>
            </w:r>
          </w:p>
        </w:tc>
        <w:tc>
          <w:tcPr/>
          <w:p>
            <w:pPr>
              <w:pStyle w:val="Compact"/>
              <w:jc w:val="right"/>
            </w:pPr>
            <w:r>
              <w:rPr>
                <w:sz w:val="18"/>
              </w:rPr>
              <w:t xml:space="preserve">8.3</w:t>
            </w:r>
          </w:p>
        </w:tc>
        <w:tc>
          <w:tcPr/>
          <w:p>
            <w:pPr>
              <w:pStyle w:val="Compact"/>
              <w:jc w:val="right"/>
            </w:pPr>
            <w:r>
              <w:rPr>
                <w:sz w:val="18"/>
              </w:rPr>
              <w:t xml:space="preserve">14.3</w:t>
            </w:r>
          </w:p>
        </w:tc>
      </w:tr>
      <w:tr>
        <w:tc>
          <w:tcPr/>
          <w:p>
            <w:pPr>
              <w:pStyle w:val="Compact"/>
            </w:pPr>
            <w:r>
              <w:rPr>
                <w:rFonts w:hint="eastAsia"/>
                <w:b/>
                <w:bCs/>
                <w:sz w:val="18"/>
              </w:rPr>
              <w:t xml:space="preserve">パネルB：p95（円/kWh）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実績</w:t>
            </w:r>
          </w:p>
        </w:tc>
        <w:tc>
          <w:tcPr/>
          <w:p>
            <w:pPr>
              <w:pStyle w:val="Compact"/>
              <w:jc w:val="right"/>
            </w:pPr>
            <w:r>
              <w:rPr>
                <w:sz w:val="18"/>
              </w:rPr>
              <w:t xml:space="preserve">42.2</w:t>
            </w:r>
          </w:p>
        </w:tc>
        <w:tc>
          <w:tcPr/>
          <w:p>
            <w:pPr>
              <w:pStyle w:val="Compact"/>
              <w:jc w:val="right"/>
            </w:pPr>
            <w:r>
              <w:rPr>
                <w:sz w:val="18"/>
              </w:rPr>
              <w:t xml:space="preserve">18.1</w:t>
            </w:r>
          </w:p>
        </w:tc>
        <w:tc>
          <w:tcPr/>
          <w:p>
            <w:pPr>
              <w:pStyle w:val="Compact"/>
              <w:jc w:val="right"/>
            </w:pPr>
            <w:r>
              <w:rPr>
                <w:sz w:val="18"/>
              </w:rPr>
              <w:t xml:space="preserve">19.6</w:t>
            </w:r>
          </w:p>
        </w:tc>
        <w:tc>
          <w:tcPr/>
          <w:p>
            <w:pPr>
              <w:pStyle w:val="Compact"/>
              <w:jc w:val="right"/>
            </w:pPr>
            <w:r>
              <w:rPr>
                <w:sz w:val="18"/>
              </w:rPr>
              <w:t xml:space="preserve">19.6</w:t>
            </w:r>
          </w:p>
        </w:tc>
        <w:tc>
          <w:tcPr/>
          <w:p>
            <w:pPr>
              <w:pStyle w:val="Compact"/>
              <w:jc w:val="right"/>
            </w:pPr>
            <w:r>
              <w:rPr>
                <w:sz w:val="18"/>
              </w:rPr>
              <w:t xml:space="preserve">26.1</w:t>
            </w:r>
          </w:p>
        </w:tc>
      </w:tr>
      <w:tr>
        <w:tc>
          <w:tcPr/>
          <w:p>
            <w:pPr>
              <w:pStyle w:val="Compact"/>
            </w:pPr>
            <w:r>
              <w:rPr>
                <w:rFonts w:hint="eastAsia"/>
                <w:sz w:val="18"/>
              </w:rPr>
              <w:t xml:space="preserve">仕様A（</w:t>
            </w:r>
            <m:oMath>
              <m:r>
                <m:t>θ</m:t>
              </m:r>
              <m:r>
                <m:rPr>
                  <m:sty m:val="p"/>
                </m:rPr>
                <m:t>=</m:t>
              </m:r>
              <m:r>
                <m:t>1</m:t>
              </m:r>
            </m:oMath>
            <w:r>
              <w:rPr>
                <w:rFonts w:hint="eastAsia"/>
                <w:sz w:val="18"/>
              </w:rPr>
              <w:t xml:space="preserve">）</w:t>
            </w:r>
          </w:p>
        </w:tc>
        <w:tc>
          <w:tcPr/>
          <w:p>
            <w:pPr>
              <w:pStyle w:val="Compact"/>
              <w:jc w:val="right"/>
            </w:pPr>
            <w:r>
              <w:rPr>
                <w:sz w:val="18"/>
              </w:rPr>
              <w:t xml:space="preserve">18.7</w:t>
            </w:r>
          </w:p>
        </w:tc>
        <w:tc>
          <w:tcPr/>
          <w:p>
            <w:pPr>
              <w:pStyle w:val="Compact"/>
              <w:jc w:val="right"/>
            </w:pPr>
            <w:r>
              <w:rPr>
                <w:sz w:val="18"/>
              </w:rPr>
              <w:t xml:space="preserve">18.2</w:t>
            </w:r>
          </w:p>
        </w:tc>
        <w:tc>
          <w:tcPr/>
          <w:p>
            <w:pPr>
              <w:pStyle w:val="Compact"/>
              <w:jc w:val="right"/>
            </w:pPr>
            <w:r>
              <w:rPr>
                <w:sz w:val="18"/>
              </w:rPr>
              <w:t xml:space="preserve">17.9</w:t>
            </w:r>
          </w:p>
        </w:tc>
        <w:tc>
          <w:tcPr/>
          <w:p>
            <w:pPr>
              <w:pStyle w:val="Compact"/>
              <w:jc w:val="right"/>
            </w:pPr>
            <w:r>
              <w:rPr>
                <w:sz w:val="18"/>
              </w:rPr>
              <w:t xml:space="preserve">18.2</w:t>
            </w:r>
          </w:p>
        </w:tc>
        <w:tc>
          <w:tcPr/>
          <w:p>
            <w:pPr>
              <w:pStyle w:val="Compact"/>
              <w:jc w:val="right"/>
            </w:pPr>
            <w:r>
              <w:rPr>
                <w:sz w:val="18"/>
              </w:rPr>
              <w:t xml:space="preserve">14.5</w:t>
            </w:r>
          </w:p>
        </w:tc>
      </w:tr>
      <w:tr>
        <w:tc>
          <w:tcPr/>
          <w:p>
            <w:pPr>
              <w:pStyle w:val="Compact"/>
            </w:pPr>
            <w:r>
              <w:rPr>
                <w:rFonts w:hint="eastAsia"/>
                <w:sz w:val="18"/>
              </w:rPr>
              <w:t xml:space="preserve">仕様A（水準係数付き）</w:t>
            </w:r>
          </w:p>
        </w:tc>
        <w:tc>
          <w:tcPr/>
          <w:p>
            <w:pPr>
              <w:pStyle w:val="Compact"/>
              <w:jc w:val="right"/>
            </w:pPr>
            <w:r>
              <w:rPr>
                <w:sz w:val="18"/>
              </w:rPr>
              <w:t xml:space="preserve">32.1</w:t>
            </w:r>
          </w:p>
        </w:tc>
        <w:tc>
          <w:tcPr/>
          <w:p>
            <w:pPr>
              <w:pStyle w:val="Compact"/>
              <w:jc w:val="right"/>
            </w:pPr>
            <w:r>
              <w:rPr>
                <w:sz w:val="18"/>
              </w:rPr>
              <w:t xml:space="preserve">17.1</w:t>
            </w:r>
          </w:p>
        </w:tc>
        <w:tc>
          <w:tcPr/>
          <w:p>
            <w:pPr>
              <w:pStyle w:val="Compact"/>
              <w:jc w:val="right"/>
            </w:pPr>
            <w:r>
              <w:rPr>
                <w:sz w:val="18"/>
              </w:rPr>
              <w:t xml:space="preserve">19.0</w:t>
            </w:r>
          </w:p>
        </w:tc>
        <w:tc>
          <w:tcPr/>
          <w:p>
            <w:pPr>
              <w:pStyle w:val="Compact"/>
              <w:jc w:val="right"/>
            </w:pPr>
            <w:r>
              <w:rPr>
                <w:sz w:val="18"/>
              </w:rPr>
              <w:t xml:space="preserve">18.1</w:t>
            </w:r>
          </w:p>
        </w:tc>
        <w:tc>
          <w:tcPr/>
          <w:p>
            <w:pPr>
              <w:pStyle w:val="Compact"/>
              <w:jc w:val="right"/>
            </w:pPr>
            <w:r>
              <w:rPr>
                <w:sz w:val="18"/>
              </w:rPr>
              <w:t xml:space="preserve">22.7</w:t>
            </w:r>
          </w:p>
        </w:tc>
      </w:tr>
      <w:tr>
        <w:tc>
          <w:tcPr/>
          <w:p>
            <w:pPr>
              <w:pStyle w:val="Compact"/>
            </w:pPr>
            <w:r>
              <w:rPr>
                <w:rFonts w:hint="eastAsia"/>
                <w:b/>
                <w:bCs/>
                <w:sz w:val="18"/>
              </w:rPr>
              <w:t xml:space="preserve">パネルC：完全予見粗利（円/kW-年）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実績</w:t>
            </w:r>
          </w:p>
        </w:tc>
        <w:tc>
          <w:tcPr/>
          <w:p>
            <w:pPr>
              <w:pStyle w:val="Compact"/>
              <w:jc w:val="right"/>
            </w:pPr>
            <w:r>
              <w:rPr>
                <w:sz w:val="18"/>
              </w:rPr>
              <w:t xml:space="preserve">25,160</w:t>
            </w:r>
          </w:p>
        </w:tc>
        <w:tc>
          <w:tcPr/>
          <w:p>
            <w:pPr>
              <w:pStyle w:val="Compact"/>
              <w:jc w:val="right"/>
            </w:pPr>
            <w:r>
              <w:rPr>
                <w:sz w:val="18"/>
              </w:rPr>
              <w:t xml:space="preserve">9,873</w:t>
            </w:r>
          </w:p>
        </w:tc>
        <w:tc>
          <w:tcPr/>
          <w:p>
            <w:pPr>
              <w:pStyle w:val="Compact"/>
              <w:jc w:val="right"/>
            </w:pPr>
            <w:r>
              <w:rPr>
                <w:sz w:val="18"/>
              </w:rPr>
              <w:t xml:space="preserve">9,586</w:t>
            </w:r>
          </w:p>
        </w:tc>
        <w:tc>
          <w:tcPr/>
          <w:p>
            <w:pPr>
              <w:pStyle w:val="Compact"/>
              <w:jc w:val="right"/>
            </w:pPr>
            <w:r>
              <w:rPr>
                <w:sz w:val="18"/>
              </w:rPr>
              <w:t xml:space="preserve">11,493</w:t>
            </w:r>
          </w:p>
        </w:tc>
        <w:tc>
          <w:tcPr/>
          <w:p>
            <w:pPr>
              <w:pStyle w:val="Compact"/>
              <w:jc w:val="right"/>
            </w:pPr>
            <w:r>
              <w:rPr>
                <w:sz w:val="18"/>
              </w:rPr>
              <w:t xml:space="preserve">5,425</w:t>
            </w:r>
          </w:p>
        </w:tc>
      </w:tr>
      <w:tr>
        <w:tc>
          <w:tcPr/>
          <w:p>
            <w:pPr>
              <w:pStyle w:val="Compact"/>
            </w:pPr>
            <w:r>
              <w:rPr>
                <w:rFonts w:hint="eastAsia"/>
                <w:sz w:val="18"/>
              </w:rPr>
              <w:t xml:space="preserve">仕様A（</w:t>
            </w:r>
            <m:oMath>
              <m:r>
                <m:t>θ</m:t>
              </m:r>
              <m:r>
                <m:rPr>
                  <m:sty m:val="p"/>
                </m:rPr>
                <m:t>=</m:t>
              </m:r>
              <m:r>
                <m:t>1</m:t>
              </m:r>
            </m:oMath>
            <w:r>
              <w:rPr>
                <w:rFonts w:hint="eastAsia"/>
                <w:sz w:val="18"/>
              </w:rPr>
              <w:t xml:space="preserve">）</w:t>
            </w:r>
          </w:p>
        </w:tc>
        <w:tc>
          <w:tcPr/>
          <w:p>
            <w:pPr>
              <w:pStyle w:val="Compact"/>
              <w:jc w:val="right"/>
            </w:pPr>
            <w:r>
              <w:rPr>
                <w:sz w:val="18"/>
              </w:rPr>
              <w:t xml:space="preserve">8,262</w:t>
            </w:r>
          </w:p>
        </w:tc>
        <w:tc>
          <w:tcPr/>
          <w:p>
            <w:pPr>
              <w:pStyle w:val="Compact"/>
              <w:jc w:val="right"/>
            </w:pPr>
            <w:r>
              <w:rPr>
                <w:sz w:val="18"/>
              </w:rPr>
              <w:t xml:space="preserve">7,989</w:t>
            </w:r>
          </w:p>
        </w:tc>
        <w:tc>
          <w:tcPr/>
          <w:p>
            <w:pPr>
              <w:pStyle w:val="Compact"/>
              <w:jc w:val="right"/>
            </w:pPr>
            <w:r>
              <w:rPr>
                <w:sz w:val="18"/>
              </w:rPr>
              <w:t xml:space="preserve">8,319</w:t>
            </w:r>
          </w:p>
        </w:tc>
        <w:tc>
          <w:tcPr/>
          <w:p>
            <w:pPr>
              <w:pStyle w:val="Compact"/>
              <w:jc w:val="right"/>
            </w:pPr>
            <w:r>
              <w:rPr>
                <w:sz w:val="18"/>
              </w:rPr>
              <w:t xml:space="preserve">8,489</w:t>
            </w:r>
          </w:p>
        </w:tc>
        <w:tc>
          <w:tcPr/>
          <w:p>
            <w:pPr>
              <w:pStyle w:val="Compact"/>
              <w:jc w:val="right"/>
            </w:pPr>
            <w:r>
              <w:rPr>
                <w:sz w:val="18"/>
              </w:rPr>
              <w:t xml:space="preserve">2,707</w:t>
            </w:r>
          </w:p>
        </w:tc>
      </w:tr>
      <w:tr>
        <w:tc>
          <w:tcPr/>
          <w:p>
            <w:pPr>
              <w:pStyle w:val="Compact"/>
            </w:pPr>
            <w:r>
              <w:rPr>
                <w:rFonts w:hint="eastAsia"/>
                <w:sz w:val="18"/>
              </w:rPr>
              <w:t xml:space="preserve">仕様A（水準係数付き）</w:t>
            </w:r>
          </w:p>
        </w:tc>
        <w:tc>
          <w:tcPr/>
          <w:p>
            <w:pPr>
              <w:pStyle w:val="Compact"/>
              <w:jc w:val="right"/>
            </w:pPr>
            <w:r>
              <w:rPr>
                <w:sz w:val="18"/>
              </w:rPr>
              <w:t xml:space="preserve">14,173</w:t>
            </w:r>
          </w:p>
        </w:tc>
        <w:tc>
          <w:tcPr/>
          <w:p>
            <w:pPr>
              <w:pStyle w:val="Compact"/>
              <w:jc w:val="right"/>
            </w:pPr>
            <w:r>
              <w:rPr>
                <w:sz w:val="18"/>
              </w:rPr>
              <w:t xml:space="preserve">7,495</w:t>
            </w:r>
          </w:p>
        </w:tc>
        <w:tc>
          <w:tcPr/>
          <w:p>
            <w:pPr>
              <w:pStyle w:val="Compact"/>
              <w:jc w:val="right"/>
            </w:pPr>
            <w:r>
              <w:rPr>
                <w:sz w:val="18"/>
              </w:rPr>
              <w:t xml:space="preserve">8,860</w:t>
            </w:r>
          </w:p>
        </w:tc>
        <w:tc>
          <w:tcPr/>
          <w:p>
            <w:pPr>
              <w:pStyle w:val="Compact"/>
              <w:jc w:val="right"/>
            </w:pPr>
            <w:r>
              <w:rPr>
                <w:sz w:val="18"/>
              </w:rPr>
              <w:t xml:space="preserve">8,463</w:t>
            </w:r>
          </w:p>
        </w:tc>
        <w:tc>
          <w:tcPr/>
          <w:p>
            <w:pPr>
              <w:pStyle w:val="Compact"/>
              <w:jc w:val="right"/>
            </w:pPr>
            <w:r>
              <w:rPr>
                <w:sz w:val="18"/>
              </w:rPr>
              <w:t xml:space="preserve">4,241</w:t>
            </w:r>
          </w:p>
        </w:tc>
      </w:tr>
    </w:tbl>
    <w:p>
      <w:pPr>
        <w:pStyle w:val="TableNote"/>
      </w:pPr>
      <w:r>
        <w:rPr>
          <w:rFonts w:hint="eastAsia"/>
        </w:rPr>
        <w:t xml:space="preserve">注）p95</w:t>
      </w:r>
      <w:r>
        <w:t xml:space="preserve"> は95パーセンタイル。FY2026 </w:t>
      </w:r>
      <w:r>
        <w:rPr>
          <w:rFonts w:hint="eastAsia"/>
        </w:rPr>
        <w:t xml:space="preserve">は4〜6月の3か月分で、完全予見粗利も3か月分の値である。形状は</w:t>
      </w:r>
      <w:r>
        <w:t xml:space="preserve"> FY2023〜25 </w:t>
      </w:r>
      <w:r>
        <w:rPr>
          <w:rFonts w:hint="eastAsia"/>
        </w:rPr>
        <w:t xml:space="preserve">で推定し、FY2022</w:t>
      </w:r>
      <w:r>
        <w:t xml:space="preserve"> と FY2026 </w:t>
      </w:r>
      <w:r>
        <w:rPr>
          <w:rFonts w:hint="eastAsia"/>
        </w:rPr>
        <w:t xml:space="preserve">は形状の期間外検証で、水準係数は当該期間の価格で推定した。仕様A（</w:t>
      </w:r>
      <m:oMath>
        <m:r>
          <m:t>θ</m:t>
        </m:r>
        <m:r>
          <m:rPr>
            <m:sty m:val="p"/>
          </m:rPr>
          <m:t>=</m:t>
        </m:r>
        <m:r>
          <m:t>1</m:t>
        </m:r>
      </m:oMath>
      <w:r>
        <w:rPr>
          <w:rFonts w:hint="eastAsia"/>
        </w:rPr>
        <w:t xml:space="preserve">）は水準を固定した値、仕様A（水準係数付き）は各年度の</w:t>
      </w:r>
      <w:r>
        <w:t xml:space="preserve"> </w:t>
      </w:r>
      <m:oMath>
        <m:sSub>
          <m:e>
            <m:r>
              <m:t>θ</m:t>
            </m:r>
          </m:e>
          <m:sub>
            <m:r>
              <m:rPr>
                <m:sty m:val="p"/>
              </m:rPr>
              <m:t>F</m:t>
            </m:r>
            <m:r>
              <m:rPr>
                <m:sty m:val="p"/>
              </m:rPr>
              <m:t>Y</m:t>
            </m:r>
          </m:sub>
        </m:sSub>
      </m:oMath>
      <w:r>
        <w:t xml:space="preserve"> </w:t>
      </w:r>
      <w:r>
        <w:rPr>
          <w:rFonts w:hint="eastAsia"/>
        </w:rPr>
        <w:t xml:space="preserve">を当てた値である。</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実績とモデルの比は、完全予見粗利ではどの期間でも1を上回り（標本内1.25、年度抜き取り1.28、FY2026</w:t>
      </w:r>
      <w:r>
        <w:t xml:space="preserve"> </w:t>
      </w:r>
      <w:r>
        <w:rPr>
          <w:rFonts w:hint="eastAsia"/>
        </w:rPr>
        <w:t xml:space="preserve">の4〜6月1.28、FY2022</w:t>
      </w:r>
      <w:r>
        <w:t xml:space="preserve"> </w:t>
      </w:r>
      <w:r>
        <w:rPr>
          <w:rFonts w:hint="eastAsia"/>
        </w:rPr>
        <w:t xml:space="preserve">1.78）、戦略</w:t>
      </w:r>
      <w:r>
        <w:t xml:space="preserve"> c でも </w:t>
      </w:r>
      <w:r>
        <w:rPr>
          <w:rFonts w:hint="eastAsia"/>
        </w:rPr>
        <w:t xml:space="preserve">FY2024（0.94）を除いて1を上回る（標本内1.11、FY2026</w:t>
      </w:r>
      <w:r>
        <w:t xml:space="preserve"> </w:t>
      </w:r>
      <w:r>
        <w:rPr>
          <w:rFonts w:hint="eastAsia"/>
        </w:rPr>
        <w:t xml:space="preserve">の4〜6月1.23、FY2022</w:t>
      </w:r>
      <w:r>
        <w:t xml:space="preserve"> </w:t>
      </w:r>
      <w:r>
        <w:rPr>
          <w:rFonts w:hint="eastAsia"/>
        </w:rPr>
        <w:t xml:space="preserve">1.60）。比が期間外で小さくならないので、</w:t>
      </w:r>
      <m:oMath>
        <m:r>
          <m:t>K</m:t>
        </m:r>
        <m:r>
          <m:rPr>
            <m:sty m:val="p"/>
          </m:rPr>
          <m:t>=</m:t>
        </m:r>
        <m:r>
          <m:t>0</m:t>
        </m:r>
      </m:oMath>
      <w:r>
        <w:t xml:space="preserve"> </w:t>
      </w:r>
      <w:r>
        <w:rPr>
          <w:rFonts w:hint="eastAsia"/>
        </w:rPr>
        <w:t xml:space="preserve">の実績整合ケースは上限ではなく中心の推定とみなせる。</w:t>
      </w:r>
    </w:p>
    <w:bookmarkEnd w:id="175"/>
    <w:bookmarkStart w:id="176" w:name="風力への条件付き応答と仕様a"/>
    <w:p>
      <w:pPr>
        <w:pStyle w:val="Heading3"/>
      </w:pPr>
      <w:r>
        <w:t xml:space="preserve">7.2.2　</w:t>
      </w:r>
      <w:r>
        <w:rPr>
          <w:rFonts w:hint="eastAsia"/>
        </w:rPr>
        <w:t xml:space="preserve">風力への条件付き応答と仕様A′</w:t>
      </w:r>
    </w:p>
    <w:p>
      <w:pPr>
        <w:pStyle w:val="FirstParagraph"/>
      </w:pPr>
      <w:r>
        <w:rPr>
          <w:rFonts w:hint="eastAsia"/>
        </w:rPr>
        <w:t xml:space="preserve">仕様A</w:t>
      </w:r>
      <w:r>
        <w:t xml:space="preserve"> </w:t>
      </w:r>
      <w:r>
        <w:rPr>
          <w:rFonts w:hint="eastAsia"/>
        </w:rPr>
        <w:t xml:space="preserve">は不需要期で実績と有意に異なる。風力1GWh/日あたりの差は、TB4h</w:t>
      </w:r>
      <w:r>
        <w:t xml:space="preserve"> </w:t>
      </w:r>
      <w:r>
        <w:rPr>
          <w:rFonts w:hint="eastAsia"/>
        </w:rPr>
        <w:t xml:space="preserve">で+0.180円/kWh（p=0.010）、完全予見粗利で+0.60円/kW-日（p=0.012）であり、Holm</w:t>
      </w:r>
      <w:r>
        <w:t xml:space="preserve"> </w:t>
      </w:r>
      <w:r>
        <w:rPr>
          <w:rFonts w:hint="eastAsia"/>
        </w:rPr>
        <w:t xml:space="preserve">の補正後も</w:t>
      </w:r>
      <w:r>
        <w:t xml:space="preserve"> </w:t>
      </w:r>
      <w:r>
        <w:rPr>
          <w:rFonts w:hint="eastAsia"/>
        </w:rPr>
        <w:t xml:space="preserve">p=0.024〜0.037で残る。高風日の夕方の高値の低下を、実績の半分以下しか再現しないためである。水準係数を入れても同じ向きにずれる（完全予見粗利で+0.57円/kW-日、p=0.018）ので、ずれは水準の扱いでは解消しない。原因は時刻別プレミアム</w:t>
      </w:r>
      <w:r>
        <w:t xml:space="preserve"> </w:t>
      </w:r>
      <m:oMath>
        <m:r>
          <m:t>μ</m:t>
        </m:r>
      </m:oMath>
      <w:r>
        <w:t xml:space="preserve"> </w:t>
      </w:r>
      <w:r>
        <w:rPr>
          <w:rFonts w:hint="eastAsia"/>
        </w:rPr>
        <w:t xml:space="preserve">が日々の風力で変わることにあり、不需要期の高風日には夕方（17〜20時）のプレミアムが1〜2円/kWh</w:t>
      </w:r>
      <w:r>
        <w:t xml:space="preserve"> </w:t>
      </w:r>
      <w:r>
        <w:rPr>
          <w:rFonts w:hint="eastAsia"/>
        </w:rPr>
        <w:t xml:space="preserve">小さい。仕様A′</w:t>
      </w:r>
      <w:r>
        <w:t xml:space="preserve"> </w:t>
      </w:r>
      <w:r>
        <w:rPr>
          <w:rFonts w:hint="eastAsia"/>
        </w:rPr>
        <w:t xml:space="preserve">では、両仕様の全季節・全指標で差の</w:t>
      </w:r>
      <w:r>
        <w:t xml:space="preserve"> p </w:t>
      </w:r>
      <w:r>
        <w:rPr>
          <w:rFonts w:hint="eastAsia"/>
        </w:rPr>
        <w:t xml:space="preserve">が0.10を上回る（最小0.14）。ただし有意でないことは一致を意味しない。不需要期の完全予見粗利の差の点推定+0.35（95%区間−0.13〜+0.82）は残り、</w:t>
      </w:r>
      <m:oMath>
        <m:r>
          <m:t>μ</m:t>
        </m:r>
      </m:oMath>
      <w:r>
        <w:t xml:space="preserve"> </w:t>
      </w:r>
      <w:r>
        <w:rPr>
          <w:rFonts w:hint="eastAsia"/>
        </w:rPr>
        <w:t xml:space="preserve">を年度抜き取りで推定すると</w:t>
      </w:r>
      <w:r>
        <w:t xml:space="preserve"> p </w:t>
      </w:r>
      <w:r>
        <w:rPr>
          <w:rFonts w:hint="eastAsia"/>
        </w:rPr>
        <w:t xml:space="preserve">は0.09になる。仕様A′</w:t>
      </w:r>
      <w:r>
        <w:t xml:space="preserve"> </w:t>
      </w:r>
      <w:r>
        <w:rPr>
          <w:rFonts w:hint="eastAsia"/>
        </w:rPr>
        <w:t xml:space="preserve">は状態変数などの組合せを試して選んだので、この検証は標本内の確認にとどまる（表C.22）。風力1GWh/日あたりの年間の完全予見粗利の応答は、実績+37円、仕様A+139円、仕様A′+79円/kW-年である。仕様A′</w:t>
      </w:r>
      <w:r>
        <w:t xml:space="preserve"> </w:t>
      </w:r>
      <w:r>
        <w:rPr>
          <w:rFonts w:hint="eastAsia"/>
        </w:rPr>
        <w:t xml:space="preserve">もなお実績の約2倍の応答を示すので、仕様A′</w:t>
      </w:r>
      <w:r>
        <w:t xml:space="preserve"> </w:t>
      </w:r>
      <w:r>
        <w:rPr>
          <w:rFonts w:hint="eastAsia"/>
        </w:rPr>
        <w:t xml:space="preserve">で求めた風力の増加の効果も、参入に有利な側に偏った値である。なお、太陽光については両仕様とも不需要期の下位4時間を実績より深く下げており、ベースロード減の効果（7.7節）を読むときの留意点になる。</w:t>
      </w:r>
    </w:p>
    <w:bookmarkEnd w:id="176"/>
    <w:bookmarkEnd w:id="177"/>
    <w:bookmarkStart w:id="181" w:name="構造イベントの部分均衡効果"/>
    <w:p>
      <w:pPr>
        <w:pStyle w:val="Heading2"/>
      </w:pPr>
      <w:r>
        <w:t xml:space="preserve">7.3　</w:t>
      </w:r>
      <w:r>
        <w:rPr>
          <w:rFonts w:hint="eastAsia"/>
        </w:rPr>
        <w:t xml:space="preserve">構造イベントの部分均衡効果</w:t>
      </w:r>
    </w:p>
    <w:p>
      <w:pPr>
        <w:pStyle w:val="FirstParagraph"/>
      </w:pPr>
      <w:r>
        <w:t xml:space="preserve">FY2023〜25 </w:t>
      </w:r>
      <w:r>
        <w:rPr>
          <w:rFonts w:hint="eastAsia"/>
        </w:rPr>
        <w:t xml:space="preserve">の気象・需要パスの上で、分断混合仕様の価格過程に構造イベントを加えた（共通乱数。年度別の結果は表C.23）。風力の現行値121万kW</w:t>
      </w:r>
      <w:r>
        <w:t xml:space="preserve"> </w:t>
      </w:r>
      <w:r>
        <w:rPr>
          <w:rFonts w:hint="eastAsia"/>
        </w:rPr>
        <w:t xml:space="preserve">は、推定期間の認定容量の平均である。</w:t>
      </w:r>
    </w:p>
    <w:p>
      <w:pPr>
        <w:pStyle w:val="BodyText"/>
      </w:pPr>
      <w:r>
        <w:rPr>
          <w:rFonts w:hint="eastAsia"/>
        </w:rPr>
        <w:t xml:space="preserve">泊原子力発電所3号機（以下、泊3号）の再稼働（91.2万kW×稼働率90%）は、下限張り付き時間を5〜7倍に増やし、完全予見粗利を3年度平均で+1,184円/kW-年増やす。ただしその約7割（+812円）は、価格水準が下がって往復損失が安くなる効果であり、夏にはスプレッドがむしろ縮む。収益曲線と同じ決定論の仕様A</w:t>
      </w:r>
      <w:r>
        <w:t xml:space="preserve"> </w:t>
      </w:r>
      <w:r>
        <w:rPr>
          <w:rFonts w:hint="eastAsia"/>
        </w:rPr>
        <w:t xml:space="preserve">でも、増分+662円は往復損失の水準効果+847円とスプレッドの変化−197円などからなる。全時間一定のデータセンター等の需要+80万kW</w:t>
      </w:r>
      <w:r>
        <w:t xml:space="preserve"> </w:t>
      </w:r>
      <w:r>
        <w:rPr>
          <w:rFonts w:hint="eastAsia"/>
        </w:rPr>
        <w:t xml:space="preserve">は完全予見粗利を797円減らし、泊3号と合わせるとほぼ相殺するが、その単独の効果の大きさは供給曲線の上端の置き方に依存し、分断混合仕様では符号も識別できない（表C.23）。</w:t>
      </w:r>
    </w:p>
    <w:p>
      <w:pPr>
        <w:pStyle w:val="BodyText"/>
      </w:pPr>
      <w:r>
        <w:rPr>
          <w:rFonts w:hint="eastAsia"/>
        </w:rPr>
        <w:t xml:space="preserve">どの仕様・下端の扱いでも、</w:t>
      </w:r>
      <m:oMath>
        <m:sSup>
          <m:e>
            <m:r>
              <m:t>K</m:t>
            </m:r>
          </m:e>
          <m:sup>
            <m:r>
              <m:rPr>
                <m:sty m:val="p"/>
              </m:rPr>
              <m:t>*</m:t>
            </m:r>
          </m:sup>
        </m:sSup>
        <m:r>
          <m:rPr>
            <m:sty m:val="p"/>
          </m:rPr>
          <m:t>=</m:t>
        </m:r>
        <m:r>
          <m:t>0</m:t>
        </m:r>
      </m:oMath>
      <w:r>
        <w:t xml:space="preserve"> </w:t>
      </w:r>
      <w:r>
        <w:rPr>
          <w:rFonts w:hint="eastAsia"/>
        </w:rPr>
        <w:t xml:space="preserve">は変わらない。下限を残す三つの扱い（仕様A、下端の線形外挿、分断混合仕様）の価格の上で戦略</w:t>
      </w:r>
      <w:r>
        <w:t xml:space="preserve"> c </w:t>
      </w:r>
      <w:r>
        <w:rPr>
          <w:rFonts w:hint="eastAsia"/>
        </w:rPr>
        <w:t xml:space="preserve">を計算して現状に校正すると、泊3号から泊1〜3号の全基まで（泊3号の2基分を以下、泊2基相当と呼ぶ）の再稼働で、</w:t>
      </w:r>
      <m:oMath>
        <m:r>
          <m:t>π</m:t>
        </m:r>
        <m:r>
          <m:rPr>
            <m:sty m:val="p"/>
          </m:rPr>
          <m:t>(</m:t>
        </m:r>
        <m:r>
          <m:t>0</m:t>
        </m:r>
        <m:r>
          <m:rPr>
            <m:sty m:val="p"/>
          </m:rPr>
          <m:t>)</m:t>
        </m:r>
      </m:oMath>
      <w:r>
        <w:t xml:space="preserve"> </w:t>
      </w:r>
      <w:r>
        <w:rPr>
          <w:rFonts w:hint="eastAsia"/>
        </w:rPr>
        <w:t xml:space="preserve">は4,625〜7,384円/kW-年、</w:t>
      </w:r>
      <m:oMath>
        <m:sSup>
          <m:e>
            <m:r>
              <m:t>θ</m:t>
            </m:r>
          </m:e>
          <m:sup>
            <m:r>
              <m:rPr>
                <m:sty m:val="p"/>
              </m:rPr>
              <m:t>*</m:t>
            </m:r>
          </m:sup>
        </m:sSup>
      </m:oMath>
      <w:r>
        <w:rPr>
          <w:rFonts w:hint="eastAsia"/>
        </w:rPr>
        <w:t xml:space="preserve">（式(4.8)、WACC</w:t>
      </w:r>
      <w:r>
        <w:t xml:space="preserve"> </w:t>
      </w:r>
      <w:r>
        <w:rPr>
          <w:rFonts w:hint="eastAsia"/>
        </w:rPr>
        <w:t xml:space="preserve">6%）は2.75〜3.95であり、FY2026上期の1.57と</w:t>
      </w:r>
      <w:r>
        <w:t xml:space="preserve"> FY2022 </w:t>
      </w:r>
      <w:r>
        <w:rPr>
          <w:rFonts w:hint="eastAsia"/>
        </w:rPr>
        <w:t xml:space="preserve">の1.72を大きく上回る。分断混合仕様では泊2基相当と全基で完全予見粗利が大きく増えるが、増分は時間ごとに独立に引くレジームの切り替わりから生じるので、戦略</w:t>
      </w:r>
      <w:r>
        <w:t xml:space="preserve"> c </w:t>
      </w:r>
      <w:r>
        <w:rPr>
          <w:rFonts w:hint="eastAsia"/>
        </w:rPr>
        <w:t xml:space="preserve">はほとんど取れない（実現率0.80→0.52・0.41）。実現可能収益はむしろ下がる。</w:t>
      </w:r>
    </w:p>
    <w:p>
      <w:pPr>
        <w:pStyle w:val="BodyText"/>
      </w:pPr>
      <w:r>
        <w:rPr>
          <w:rFonts w:hint="eastAsia"/>
        </w:rPr>
        <w:t xml:space="preserve">風力導入量を現行の0.5〜3倍に振ると（表C.24、図7.1）、仕様A′</w:t>
      </w:r>
      <w:r>
        <w:t xml:space="preserve"> </w:t>
      </w:r>
      <w:r>
        <w:rPr>
          <w:rFonts w:hint="eastAsia"/>
        </w:rPr>
        <w:t xml:space="preserve">の完全予見粗利は現行の9,036円/kW-年から、2倍で+334円、3倍で+1,001円増える。現行水準の近くでは風力の効果はほぼ一様で、1.25倍の増分+35円は往復損失の水準効果+98円とスプレッドの変化−63円からなる。構造モデルの上では、導入量が増えると低純需要の時間が供給曲線の下端の急な部分に入り、安い時間ほど大きく下がる非平行の効果でスプレッドが開く（この機構は標本内の回帰では確認できない。7.7節）。しかし仕様A′</w:t>
      </w:r>
      <w:r>
        <w:t xml:space="preserve"> </w:t>
      </w:r>
      <w:r>
        <w:rPr>
          <w:rFonts w:hint="eastAsia"/>
        </w:rPr>
        <w:t xml:space="preserve">では、その効果は3倍でも+258円にとどまる。仕様A（3倍で+1,481円）と分断混合仕様（+1,961円）は増分をさらに大きく出すが、仕様A′</w:t>
      </w:r>
      <w:r>
        <w:t xml:space="preserve"> </w:t>
      </w:r>
      <w:r>
        <w:rPr>
          <w:rFonts w:hint="eastAsia"/>
        </w:rPr>
        <w:t xml:space="preserve">を含めいずれも風力への応答を実績より大きく出すので（7.2.2項）、これらの増分は上側の値である。</w:t>
      </w:r>
    </w:p>
    <w:p>
      <w:pPr>
        <w:pStyle w:val="CaptionedFigure"/>
      </w:pPr>
      <w:r>
        <w:drawing>
          <wp:inline>
            <wp:extent cx="5399999" cy="4426229"/>
            <wp:effectExtent b="0" l="0" r="0" t="0"/>
            <wp:docPr descr="図7.1　風力導入量と完全予見粗利・下限張り付き時間（分断混合仕様）" title="" id="179" name="Picture"/>
            <a:graphic>
              <a:graphicData uri="http://schemas.openxmlformats.org/drawingml/2006/picture">
                <pic:pic>
                  <pic:nvPicPr>
                    <pic:cNvPr descr="../figures/hokkaido/kwind_sweep.png" id="180" name="Picture"/>
                    <pic:cNvPicPr>
                      <a:picLocks noChangeArrowheads="1" noChangeAspect="1"/>
                    </pic:cNvPicPr>
                  </pic:nvPicPr>
                  <pic:blipFill>
                    <a:blip r:embed="rId178"/>
                    <a:stretch>
                      <a:fillRect/>
                    </a:stretch>
                  </pic:blipFill>
                  <pic:spPr bwMode="auto">
                    <a:xfrm>
                      <a:off x="0" y="0"/>
                      <a:ext cx="5399999" cy="4426229"/>
                    </a:xfrm>
                    <a:prstGeom prst="rect">
                      <a:avLst/>
                    </a:prstGeom>
                    <a:noFill/>
                    <a:ln w="9525">
                      <a:noFill/>
                      <a:headEnd/>
                      <a:tailEnd/>
                    </a:ln>
                  </pic:spPr>
                </pic:pic>
              </a:graphicData>
            </a:graphic>
          </wp:inline>
        </w:drawing>
      </w:r>
    </w:p>
    <w:p>
      <w:pPr>
        <w:pStyle w:val="ImageCaption"/>
      </w:pPr>
      <w:r>
        <w:rPr>
          <w:rFonts w:hint="eastAsia"/>
        </w:rPr>
        <w:t xml:space="preserve">図7.1</w:t>
      </w:r>
      <w:r>
        <w:t xml:space="preserve">　</w:t>
      </w:r>
      <w:r>
        <w:rPr>
          <w:rFonts w:hint="eastAsia"/>
        </w:rPr>
        <w:t xml:space="preserve">風力導入量と完全予見粗利・下限張り付き時間（分断混合仕様）</w:t>
      </w:r>
    </w:p>
    <w:p>
      <w:pPr>
        <w:pStyle w:val="TableNote"/>
      </w:pPr>
      <w:r>
        <w:rPr>
          <w:rFonts w:hint="eastAsia"/>
        </w:rPr>
        <w:t xml:space="preserve">注）FY2023〜25</w:t>
      </w:r>
      <w:r>
        <w:t xml:space="preserve"> </w:t>
      </w:r>
      <w:r>
        <w:rPr>
          <w:rFonts w:hint="eastAsia"/>
        </w:rPr>
        <w:t xml:space="preserve">の気象・需要パス、</w:t>
      </w:r>
      <m:oMath>
        <m:r>
          <m:t>K</m:t>
        </m:r>
        <m:r>
          <m:rPr>
            <m:sty m:val="p"/>
          </m:rPr>
          <m:t>=</m:t>
        </m:r>
        <m:r>
          <m:t>0</m:t>
        </m:r>
      </m:oMath>
      <w:r>
        <w:t xml:space="preserve"> </w:t>
      </w:r>
      <w:r>
        <w:rPr>
          <w:rFonts w:hint="eastAsia"/>
        </w:rPr>
        <w:t xml:space="preserve">の部分均衡。風力導入量は、出力制御前の設備利用率の過程を保って一律に伸縮させた。上は完全予見粗利（円/kW-年）、下は下限張り付き時間（時間/年）。系列は泊なし（現状）と泊3号の再稼働、縦の破線は風力導入量の現状（121万kW）。価格過程は水準係数を入れない分断混合仕様である。蓄電池フリートの応答、システムプライスの変化、供給側の内生的な反応は含まず、レジームの確率の推定範囲外への外挿を含む。分断混合仕様は風力の効果を実績より有利に出す仕様であり、主とする仕様A′</w:t>
      </w:r>
      <w:r>
        <w:t xml:space="preserve"> </w:t>
      </w:r>
      <w:r>
        <w:rPr>
          <w:rFonts w:hint="eastAsia"/>
        </w:rPr>
        <w:t xml:space="preserve">と仕様A</w:t>
      </w:r>
      <w:r>
        <w:t xml:space="preserve"> </w:t>
      </w:r>
      <w:r>
        <w:rPr>
          <w:rFonts w:hint="eastAsia"/>
        </w:rPr>
        <w:t xml:space="preserve">の値は表C.24</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より重要なのは、完全予見粗利が増えても、実行可能な粗利はほとんど増えないことである。風力3倍でのモデル価格の上の戦略</w:t>
      </w:r>
      <w:r>
        <w:t xml:space="preserve"> c </w:t>
      </w:r>
      <w:r>
        <w:rPr>
          <w:rFonts w:hint="eastAsia"/>
        </w:rPr>
        <w:t xml:space="preserve">の粗利の変化は、仕様A′</w:t>
      </w:r>
      <w:r>
        <w:t xml:space="preserve"> </w:t>
      </w:r>
      <w:r>
        <w:rPr>
          <w:rFonts w:hint="eastAsia"/>
        </w:rPr>
        <w:t xml:space="preserve">で−241円、仕様A</w:t>
      </w:r>
      <w:r>
        <w:t xml:space="preserve"> </w:t>
      </w:r>
      <w:r>
        <w:rPr>
          <w:rFonts w:hint="eastAsia"/>
        </w:rPr>
        <w:t xml:space="preserve">で+168円にとどまる。増える完全予見粗利の大半は、前日の気候値では予測できない日々の深い安値から来るからである。泊と組み合わせると、仕様A′</w:t>
      </w:r>
      <w:r>
        <w:t xml:space="preserve"> </w:t>
      </w:r>
      <w:r>
        <w:rPr>
          <w:rFonts w:hint="eastAsia"/>
        </w:rPr>
        <w:t xml:space="preserve">の完全予見粗利は風力2倍を頂点に下がる。いずれも</w:t>
      </w:r>
      <w:r>
        <w:t xml:space="preserve"> </w:t>
      </w:r>
      <m:oMath>
        <m:r>
          <m:t>K</m:t>
        </m:r>
        <m:r>
          <m:rPr>
            <m:sty m:val="p"/>
          </m:rPr>
          <m:t>=</m:t>
        </m:r>
        <m:r>
          <m:t>0</m:t>
        </m:r>
      </m:oMath>
      <w:r>
        <w:t xml:space="preserve"> </w:t>
      </w:r>
      <w:r>
        <w:rPr>
          <w:rFonts w:hint="eastAsia"/>
        </w:rPr>
        <w:t xml:space="preserve">の上の形であり、価値を大きく動かすのは蓄電池自身の競合である。</w:t>
      </w:r>
    </w:p>
    <w:bookmarkEnd w:id="181"/>
    <w:bookmarkStart w:id="185" w:name="限界参入者の収益曲線"/>
    <w:p>
      <w:pPr>
        <w:pStyle w:val="Heading2"/>
      </w:pPr>
      <w:r>
        <w:t xml:space="preserve">7.4　</w:t>
      </w:r>
      <w:r>
        <w:rPr>
          <w:rFonts w:hint="eastAsia"/>
        </w:rPr>
        <w:t xml:space="preserve">限界参入者の収益曲線</w:t>
      </w:r>
    </w:p>
    <w:p>
      <w:pPr>
        <w:pStyle w:val="FirstParagraph"/>
      </w:pPr>
      <w:r>
        <w:rPr>
          <w:rFonts w:hint="eastAsia"/>
        </w:rPr>
        <w:t xml:space="preserve">蓄電池フリートを内生化した限界参入者の実現可能収益</w:t>
      </w:r>
      <w:r>
        <w:t xml:space="preserve"> </w:t>
      </w:r>
      <m:oMath>
        <m:r>
          <m:t>π</m:t>
        </m:r>
        <m:r>
          <m:rPr>
            <m:sty m:val="p"/>
          </m:rPr>
          <m:t>(</m:t>
        </m:r>
        <m:r>
          <m:t>K</m:t>
        </m:r>
        <m:r>
          <m:rPr>
            <m:sty m:val="p"/>
          </m:rPr>
          <m:t>)</m:t>
        </m:r>
      </m:oMath>
      <w:r>
        <w:t xml:space="preserve"> </w:t>
      </w:r>
      <w:r>
        <w:rPr>
          <w:rFonts w:hint="eastAsia"/>
        </w:rPr>
        <w:t xml:space="preserve">を、表7.2</w:t>
      </w:r>
      <w:r>
        <w:t xml:space="preserve"> </w:t>
      </w:r>
      <w:r>
        <w:rPr>
          <w:rFonts w:hint="eastAsia"/>
        </w:rPr>
        <w:t xml:space="preserve">と図7.2(a)</w:t>
      </w:r>
      <w:r>
        <w:t xml:space="preserve"> </w:t>
      </w:r>
      <w:r>
        <w:rPr>
          <w:rFonts w:hint="eastAsia"/>
        </w:rPr>
        <w:t xml:space="preserve">に示す。</w:t>
      </w:r>
    </w:p>
    <w:p>
      <w:pPr>
        <w:pStyle w:val="TableCaption"/>
      </w:pPr>
      <w:r>
        <w:rPr>
          <w:rFonts w:hint="eastAsia"/>
        </w:rPr>
        <w:t xml:space="preserve">表7.2</w:t>
      </w:r>
      <w:r>
        <w:t xml:space="preserve">　</w:t>
      </w:r>
      <w:r>
        <w:rPr>
          <w:rFonts w:hint="eastAsia"/>
        </w:rPr>
        <w:t xml:space="preserve">限界参入者の実現可能スポット収益</w:t>
      </w:r>
      <w:r>
        <w:t xml:space="preserve"> </w:t>
      </w:r>
      <m:oMath>
        <m:r>
          <m:t>π</m:t>
        </m:r>
        <m:r>
          <m:rPr>
            <m:sty m:val="p"/>
          </m:rPr>
          <m:t>(</m:t>
        </m:r>
        <m:r>
          <m:t>K</m:t>
        </m:r>
        <m:r>
          <m:rPr>
            <m:sty m:val="p"/>
          </m:rPr>
          <m:t>)</m:t>
        </m:r>
      </m:oMath>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7.2　限界参入者の実現可能スポット収益 \pi(K)"/>
      </w:tblPr>
      <w:tblGrid>
        <w:gridCol w:w="1584"/>
        <w:gridCol w:w="2112"/>
        <w:gridCol w:w="2112"/>
        <w:gridCol w:w="2112"/>
      </w:tblGrid>
      <w:tr>
        <w:trPr>
          <w:tblHeader w:val="on"/>
        </w:trPr>
        <w:tc>
          <w:tcPr>
            <w:tcBorders>
              <w:bottom w:val="single" w:sz="6" w:color="000000"/>
            </w:tcBorders>
          </w:tcPr>
          <w:p>
            <w:pPr>
              <w:pStyle w:val="Compact"/>
            </w:pPr>
            <m:oMath>
              <m:r>
                <m:t>K</m:t>
              </m:r>
            </m:oMath>
            <w:r>
              <w:rPr>
                <w:rFonts w:hint="eastAsia"/>
                <w:sz w:val="18"/>
              </w:rPr>
              <w:t xml:space="preserve">（万kW、4時間）</w:t>
            </w:r>
          </w:p>
        </w:tc>
        <w:tc>
          <w:tcPr>
            <w:tcBorders>
              <w:bottom w:val="single" w:sz="6" w:color="000000"/>
            </w:tcBorders>
          </w:tcPr>
          <w:p>
            <w:pPr>
              <w:pStyle w:val="Compact"/>
              <w:jc w:val="right"/>
            </w:pPr>
            <w:r>
              <w:rPr>
                <w:rFonts w:hint="eastAsia"/>
                <w:sz w:val="18"/>
              </w:rPr>
              <w:t xml:space="preserve">現状</w:t>
            </w:r>
          </w:p>
        </w:tc>
        <w:tc>
          <w:tcPr>
            <w:tcBorders>
              <w:bottom w:val="single" w:sz="6" w:color="000000"/>
            </w:tcBorders>
          </w:tcPr>
          <w:p>
            <w:pPr>
              <w:pStyle w:val="Compact"/>
              <w:jc w:val="right"/>
            </w:pPr>
            <w:r>
              <w:rPr>
                <w:rFonts w:hint="eastAsia"/>
                <w:sz w:val="18"/>
              </w:rPr>
              <w:t xml:space="preserve">泊3号の再稼働</w:t>
            </w:r>
          </w:p>
        </w:tc>
        <w:tc>
          <w:tcPr>
            <w:tcBorders>
              <w:bottom w:val="single" w:sz="6" w:color="000000"/>
            </w:tcBorders>
          </w:tcPr>
          <w:p>
            <w:pPr>
              <w:pStyle w:val="Compact"/>
              <w:jc w:val="right"/>
            </w:pPr>
            <w:r>
              <w:rPr>
                <w:rFonts w:hint="eastAsia"/>
                <w:sz w:val="18"/>
              </w:rPr>
              <w:t xml:space="preserve">泊＋風力2倍</w:t>
            </w:r>
          </w:p>
        </w:tc>
      </w:tr>
      <w:tr>
        <w:tc>
          <w:tcPr/>
          <w:p>
            <w:pPr>
              <w:pStyle w:val="Compact"/>
            </w:pPr>
            <w:r>
              <w:rPr>
                <w:sz w:val="18"/>
              </w:rPr>
              <w:t xml:space="preserve">0</w:t>
            </w:r>
          </w:p>
        </w:tc>
        <w:tc>
          <w:tcPr/>
          <w:p>
            <w:pPr>
              <w:pStyle w:val="Compact"/>
              <w:jc w:val="right"/>
            </w:pPr>
            <w:r>
              <w:rPr>
                <w:rFonts w:hint="eastAsia"/>
                <w:sz w:val="18"/>
              </w:rPr>
              <w:t xml:space="preserve">6,675（5,886）</w:t>
            </w:r>
          </w:p>
        </w:tc>
        <w:tc>
          <w:tcPr/>
          <w:p>
            <w:pPr>
              <w:pStyle w:val="Compact"/>
              <w:jc w:val="right"/>
            </w:pPr>
            <w:r>
              <w:rPr>
                <w:rFonts w:hint="eastAsia"/>
                <w:sz w:val="18"/>
              </w:rPr>
              <w:t xml:space="preserve">7,384（6,529）</w:t>
            </w:r>
          </w:p>
        </w:tc>
        <w:tc>
          <w:tcPr/>
          <w:p>
            <w:pPr>
              <w:pStyle w:val="Compact"/>
              <w:jc w:val="right"/>
            </w:pPr>
            <w:r>
              <w:rPr>
                <w:rFonts w:hint="eastAsia"/>
                <w:sz w:val="18"/>
              </w:rPr>
              <w:t xml:space="preserve">7,249（6,406）</w:t>
            </w:r>
          </w:p>
        </w:tc>
      </w:tr>
      <w:tr>
        <w:tc>
          <w:tcPr/>
          <w:p>
            <w:pPr>
              <w:pStyle w:val="Compact"/>
            </w:pPr>
            <w:r>
              <w:rPr>
                <w:sz w:val="18"/>
              </w:rPr>
              <w:t xml:space="preserve">10</w:t>
            </w:r>
          </w:p>
        </w:tc>
        <w:tc>
          <w:tcPr/>
          <w:p>
            <w:pPr>
              <w:pStyle w:val="Compact"/>
              <w:jc w:val="right"/>
            </w:pPr>
            <w:r>
              <w:rPr>
                <w:rFonts w:hint="eastAsia"/>
                <w:sz w:val="18"/>
              </w:rPr>
              <w:t xml:space="preserve">5,577（4,891）</w:t>
            </w:r>
          </w:p>
        </w:tc>
        <w:tc>
          <w:tcPr/>
          <w:p>
            <w:pPr>
              <w:pStyle w:val="Compact"/>
              <w:jc w:val="right"/>
            </w:pPr>
            <w:r>
              <w:rPr>
                <w:rFonts w:hint="eastAsia"/>
                <w:sz w:val="18"/>
              </w:rPr>
              <w:t xml:space="preserve">6,336（5,579）</w:t>
            </w:r>
          </w:p>
        </w:tc>
        <w:tc>
          <w:tcPr/>
          <w:p>
            <w:pPr>
              <w:pStyle w:val="Compact"/>
              <w:jc w:val="right"/>
            </w:pPr>
            <w:r>
              <w:rPr>
                <w:rFonts w:hint="eastAsia"/>
                <w:sz w:val="18"/>
              </w:rPr>
              <w:t xml:space="preserve">6,320（5,564）</w:t>
            </w:r>
          </w:p>
        </w:tc>
      </w:tr>
      <w:tr>
        <w:tc>
          <w:tcPr/>
          <w:p>
            <w:pPr>
              <w:pStyle w:val="Compact"/>
            </w:pPr>
            <w:r>
              <w:rPr>
                <w:sz w:val="18"/>
              </w:rPr>
              <w:t xml:space="preserve">20</w:t>
            </w:r>
          </w:p>
        </w:tc>
        <w:tc>
          <w:tcPr/>
          <w:p>
            <w:pPr>
              <w:pStyle w:val="Compact"/>
              <w:jc w:val="right"/>
            </w:pPr>
            <w:r>
              <w:rPr>
                <w:rFonts w:hint="eastAsia"/>
                <w:sz w:val="18"/>
              </w:rPr>
              <w:t xml:space="preserve">4,500（3,915）</w:t>
            </w:r>
          </w:p>
        </w:tc>
        <w:tc>
          <w:tcPr/>
          <w:p>
            <w:pPr>
              <w:pStyle w:val="Compact"/>
              <w:jc w:val="right"/>
            </w:pPr>
            <w:r>
              <w:rPr>
                <w:rFonts w:hint="eastAsia"/>
                <w:sz w:val="18"/>
              </w:rPr>
              <w:t xml:space="preserve">5,337（4,674）</w:t>
            </w:r>
          </w:p>
        </w:tc>
        <w:tc>
          <w:tcPr/>
          <w:p>
            <w:pPr>
              <w:pStyle w:val="Compact"/>
              <w:jc w:val="right"/>
            </w:pPr>
            <w:r>
              <w:rPr>
                <w:rFonts w:hint="eastAsia"/>
                <w:sz w:val="18"/>
              </w:rPr>
              <w:t xml:space="preserve">5,467（4,792）</w:t>
            </w:r>
          </w:p>
        </w:tc>
      </w:tr>
      <w:tr>
        <w:tc>
          <w:tcPr/>
          <w:p>
            <w:pPr>
              <w:pStyle w:val="Compact"/>
            </w:pPr>
            <w:r>
              <w:rPr>
                <w:sz w:val="18"/>
              </w:rPr>
              <w:t xml:space="preserve">25</w:t>
            </w:r>
          </w:p>
        </w:tc>
        <w:tc>
          <w:tcPr/>
          <w:p>
            <w:pPr>
              <w:pStyle w:val="Compact"/>
              <w:jc w:val="right"/>
            </w:pPr>
            <w:r>
              <w:rPr>
                <w:rFonts w:hint="eastAsia"/>
                <w:sz w:val="18"/>
              </w:rPr>
              <w:t xml:space="preserve">3,964（3,429）</w:t>
            </w:r>
          </w:p>
        </w:tc>
        <w:tc>
          <w:tcPr/>
          <w:p>
            <w:pPr>
              <w:pStyle w:val="Compact"/>
              <w:jc w:val="right"/>
            </w:pPr>
            <w:r>
              <w:rPr>
                <w:rFonts w:hint="eastAsia"/>
                <w:sz w:val="18"/>
              </w:rPr>
              <w:t xml:space="preserve">4,837（4,221）</w:t>
            </w:r>
          </w:p>
        </w:tc>
        <w:tc>
          <w:tcPr/>
          <w:p>
            <w:pPr>
              <w:pStyle w:val="Compact"/>
              <w:jc w:val="right"/>
            </w:pPr>
            <w:r>
              <w:rPr>
                <w:rFonts w:hint="eastAsia"/>
                <w:sz w:val="18"/>
              </w:rPr>
              <w:t xml:space="preserve">5,038（4,403）</w:t>
            </w:r>
          </w:p>
        </w:tc>
      </w:tr>
      <w:tr>
        <w:tc>
          <w:tcPr/>
          <w:p>
            <w:pPr>
              <w:pStyle w:val="Compact"/>
            </w:pPr>
            <w:r>
              <w:rPr>
                <w:sz w:val="18"/>
              </w:rPr>
              <w:t xml:space="preserve">30</w:t>
            </w:r>
          </w:p>
        </w:tc>
        <w:tc>
          <w:tcPr/>
          <w:p>
            <w:pPr>
              <w:pStyle w:val="Compact"/>
              <w:jc w:val="right"/>
            </w:pPr>
            <w:r>
              <w:rPr>
                <w:rFonts w:hint="eastAsia"/>
                <w:sz w:val="18"/>
              </w:rPr>
              <w:t xml:space="preserve">3,448（2,961）</w:t>
            </w:r>
          </w:p>
        </w:tc>
        <w:tc>
          <w:tcPr/>
          <w:p>
            <w:pPr>
              <w:pStyle w:val="Compact"/>
              <w:jc w:val="right"/>
            </w:pPr>
            <w:r>
              <w:rPr>
                <w:rFonts w:hint="eastAsia"/>
                <w:sz w:val="18"/>
              </w:rPr>
              <w:t xml:space="preserve">4,353（3,782）</w:t>
            </w:r>
          </w:p>
        </w:tc>
        <w:tc>
          <w:tcPr/>
          <w:p>
            <w:pPr>
              <w:pStyle w:val="Compact"/>
              <w:jc w:val="right"/>
            </w:pPr>
            <w:r>
              <w:rPr>
                <w:rFonts w:hint="eastAsia"/>
                <w:sz w:val="18"/>
              </w:rPr>
              <w:t xml:space="preserve">4,626（4,029）</w:t>
            </w:r>
          </w:p>
        </w:tc>
      </w:tr>
      <w:tr>
        <w:tc>
          <w:tcPr/>
          <w:p>
            <w:pPr>
              <w:pStyle w:val="Compact"/>
            </w:pPr>
            <w:r>
              <w:rPr>
                <w:sz w:val="18"/>
              </w:rPr>
              <w:t xml:space="preserve">50</w:t>
            </w:r>
          </w:p>
        </w:tc>
        <w:tc>
          <w:tcPr/>
          <w:p>
            <w:pPr>
              <w:pStyle w:val="Compact"/>
              <w:jc w:val="right"/>
            </w:pPr>
            <w:r>
              <w:rPr>
                <w:rFonts w:hint="eastAsia"/>
                <w:sz w:val="18"/>
              </w:rPr>
              <w:t xml:space="preserve">1,592（1,279）</w:t>
            </w:r>
          </w:p>
        </w:tc>
        <w:tc>
          <w:tcPr/>
          <w:p>
            <w:pPr>
              <w:pStyle w:val="Compact"/>
              <w:jc w:val="right"/>
            </w:pPr>
            <w:r>
              <w:rPr>
                <w:rFonts w:hint="eastAsia"/>
                <w:sz w:val="18"/>
              </w:rPr>
              <w:t xml:space="preserve">2,638（2,227）</w:t>
            </w:r>
          </w:p>
        </w:tc>
        <w:tc>
          <w:tcPr/>
          <w:p>
            <w:pPr>
              <w:pStyle w:val="Compact"/>
              <w:jc w:val="right"/>
            </w:pPr>
            <w:r>
              <w:rPr>
                <w:rFonts w:hint="eastAsia"/>
                <w:sz w:val="18"/>
              </w:rPr>
              <w:t xml:space="preserve">2,920（2,482）</w:t>
            </w:r>
          </w:p>
        </w:tc>
      </w:tr>
      <w:tr>
        <w:tc>
          <w:tcPr/>
          <w:p>
            <w:pPr>
              <w:pStyle w:val="Compact"/>
            </w:pPr>
            <w:r>
              <w:rPr>
                <w:sz w:val="18"/>
              </w:rPr>
              <w:t xml:space="preserve">70</w:t>
            </w:r>
          </w:p>
        </w:tc>
        <w:tc>
          <w:tcPr/>
          <w:p>
            <w:pPr>
              <w:pStyle w:val="Compact"/>
              <w:jc w:val="right"/>
            </w:pPr>
            <w:r>
              <w:rPr>
                <w:rFonts w:hint="eastAsia"/>
                <w:sz w:val="18"/>
              </w:rPr>
              <w:t xml:space="preserve">159（−20）</w:t>
            </w:r>
          </w:p>
        </w:tc>
        <w:tc>
          <w:tcPr/>
          <w:p>
            <w:pPr>
              <w:pStyle w:val="Compact"/>
              <w:jc w:val="right"/>
            </w:pPr>
            <w:r>
              <w:rPr>
                <w:rFonts w:hint="eastAsia"/>
                <w:sz w:val="18"/>
              </w:rPr>
              <w:t xml:space="preserve">1,189（913）</w:t>
            </w:r>
          </w:p>
        </w:tc>
        <w:tc>
          <w:tcPr/>
          <w:p>
            <w:pPr>
              <w:pStyle w:val="Compact"/>
              <w:jc w:val="right"/>
            </w:pPr>
            <w:r>
              <w:rPr>
                <w:rFonts w:hint="eastAsia"/>
                <w:sz w:val="18"/>
              </w:rPr>
              <w:t xml:space="preserve">1,486（1,183）</w:t>
            </w:r>
          </w:p>
        </w:tc>
      </w:tr>
      <w:tr>
        <w:tc>
          <w:tcPr/>
          <w:p>
            <w:pPr>
              <w:pStyle w:val="Compact"/>
            </w:pPr>
            <w:r>
              <w:rPr>
                <w:sz w:val="18"/>
              </w:rPr>
              <w:t xml:space="preserve">100</w:t>
            </w:r>
          </w:p>
        </w:tc>
        <w:tc>
          <w:tcPr/>
          <w:p>
            <w:pPr>
              <w:pStyle w:val="Compact"/>
              <w:jc w:val="right"/>
            </w:pPr>
            <w:r>
              <w:rPr>
                <w:rFonts w:hint="eastAsia"/>
                <w:sz w:val="18"/>
              </w:rPr>
              <w:t xml:space="preserve">−1,190（−1,243）</w:t>
            </w:r>
          </w:p>
        </w:tc>
        <w:tc>
          <w:tcPr/>
          <w:p>
            <w:pPr>
              <w:pStyle w:val="Compact"/>
              <w:jc w:val="right"/>
            </w:pPr>
            <w:r>
              <w:rPr>
                <w:rFonts w:hint="eastAsia"/>
                <w:sz w:val="18"/>
              </w:rPr>
              <w:t xml:space="preserve">−333（−465）</w:t>
            </w:r>
          </w:p>
        </w:tc>
        <w:tc>
          <w:tcPr/>
          <w:p>
            <w:pPr>
              <w:pStyle w:val="Compact"/>
              <w:jc w:val="right"/>
            </w:pPr>
            <w:r>
              <w:rPr>
                <w:rFonts w:hint="eastAsia"/>
                <w:sz w:val="18"/>
              </w:rPr>
              <w:t xml:space="preserve">−81（−238）</w:t>
            </w:r>
          </w:p>
        </w:tc>
      </w:tr>
      <w:tr>
        <w:tc>
          <w:tcPr/>
          <w:p>
            <w:pPr>
              <w:pStyle w:val="Compact"/>
            </w:pPr>
            <w:r>
              <w:rPr>
                <w:sz w:val="18"/>
              </w:rPr>
              <w:t xml:space="preserve">150</w:t>
            </w:r>
          </w:p>
        </w:tc>
        <w:tc>
          <w:tcPr/>
          <w:p>
            <w:pPr>
              <w:pStyle w:val="Compact"/>
              <w:jc w:val="right"/>
            </w:pPr>
            <w:r>
              <w:rPr>
                <w:rFonts w:hint="eastAsia"/>
                <w:sz w:val="18"/>
              </w:rPr>
              <w:t xml:space="preserve">−1,993（−1,970）</w:t>
            </w:r>
          </w:p>
        </w:tc>
        <w:tc>
          <w:tcPr/>
          <w:p>
            <w:pPr>
              <w:pStyle w:val="Compact"/>
              <w:jc w:val="right"/>
            </w:pPr>
            <w:r>
              <w:rPr>
                <w:rFonts w:hint="eastAsia"/>
                <w:sz w:val="18"/>
              </w:rPr>
              <w:t xml:space="preserve">−1,571（−1,588）</w:t>
            </w:r>
          </w:p>
        </w:tc>
        <w:tc>
          <w:tcPr/>
          <w:p>
            <w:pPr>
              <w:pStyle w:val="Compact"/>
              <w:jc w:val="right"/>
            </w:pPr>
            <w:r>
              <w:rPr>
                <w:rFonts w:hint="eastAsia"/>
                <w:sz w:val="18"/>
              </w:rPr>
              <w:t xml:space="preserve">−1,472（−1,498）</w:t>
            </w:r>
          </w:p>
        </w:tc>
      </w:tr>
      <w:tr>
        <w:tc>
          <w:tcPr/>
          <w:p>
            <w:pPr>
              <w:pStyle w:val="Compact"/>
            </w:pPr>
            <m:oMath>
              <m:r>
                <m:t>π</m:t>
              </m:r>
              <m:r>
                <m:rPr>
                  <m:sty m:val="p"/>
                </m:rPr>
                <m:t>=</m:t>
              </m:r>
              <m:r>
                <m:t>0</m:t>
              </m:r>
            </m:oMath>
            <w:r>
              <w:rPr>
                <w:sz w:val="18"/>
              </w:rPr>
              <w:t xml:space="preserve"> </w:t>
            </w:r>
            <w:r>
              <w:rPr>
                <w:sz w:val="18"/>
              </w:rPr>
              <w:t xml:space="preserve">となる</w:t>
            </w:r>
            <w:r>
              <w:rPr>
                <w:sz w:val="18"/>
              </w:rPr>
              <w:t xml:space="preserve"> </w:t>
            </w:r>
            <m:oMath>
              <m:r>
                <m:t>K</m:t>
              </m:r>
            </m:oMath>
            <w:r>
              <w:rPr>
                <w:rFonts w:hint="eastAsia"/>
                <w:sz w:val="18"/>
              </w:rPr>
              <w:t xml:space="preserve">（万kW）</w:t>
            </w:r>
          </w:p>
        </w:tc>
        <w:tc>
          <w:tcPr/>
          <w:p>
            <w:pPr>
              <w:pStyle w:val="Compact"/>
              <w:jc w:val="right"/>
            </w:pPr>
            <w:r>
              <w:rPr>
                <w:rFonts w:hint="eastAsia"/>
                <w:sz w:val="18"/>
              </w:rPr>
              <w:t xml:space="preserve">72.6（69.6）</w:t>
            </w:r>
          </w:p>
        </w:tc>
        <w:tc>
          <w:tcPr/>
          <w:p>
            <w:pPr>
              <w:pStyle w:val="Compact"/>
              <w:jc w:val="right"/>
            </w:pPr>
            <w:r>
              <w:rPr>
                <w:rFonts w:hint="eastAsia"/>
                <w:sz w:val="18"/>
              </w:rPr>
              <w:t xml:space="preserve">91.9（88.0）</w:t>
            </w:r>
          </w:p>
        </w:tc>
        <w:tc>
          <w:tcPr/>
          <w:p>
            <w:pPr>
              <w:pStyle w:val="Compact"/>
              <w:jc w:val="right"/>
            </w:pPr>
            <w:r>
              <w:rPr>
                <w:rFonts w:hint="eastAsia"/>
                <w:sz w:val="18"/>
              </w:rPr>
              <w:t xml:space="preserve">98.4（94.2）</w:t>
            </w:r>
          </w:p>
        </w:tc>
      </w:tr>
    </w:tbl>
    <w:p>
      <w:pPr>
        <w:pStyle w:val="TableNote"/>
      </w:pPr>
      <w:r>
        <w:rPr>
          <w:rFonts w:hint="eastAsia"/>
        </w:rPr>
        <w:t xml:space="preserve">注）円/kW-年。各セルは実績整合ケース（括弧内はモデル直値）。仕様A（水準固定。校正係数は1.103で、</w:t>
      </w:r>
      <m:oMath>
        <m:r>
          <m:t>K</m:t>
        </m:r>
        <m:r>
          <m:rPr>
            <m:sty m:val="p"/>
          </m:rPr>
          <m:t>=</m:t>
        </m:r>
        <m:r>
          <m:t>0</m:t>
        </m:r>
      </m:oMath>
      <w:r>
        <w:t xml:space="preserve"> </w:t>
      </w:r>
      <w:r>
        <w:rPr>
          <w:rFonts w:hint="eastAsia"/>
        </w:rPr>
        <w:t xml:space="preserve">で実績の戦略</w:t>
      </w:r>
      <w:r>
        <w:t xml:space="preserve"> c </w:t>
      </w:r>
      <w:r>
        <w:rPr>
          <w:rFonts w:hint="eastAsia"/>
        </w:rPr>
        <w:t xml:space="preserve">8,427円に一致させる。7.1.3項の</w:t>
      </w:r>
      <w:r>
        <w:t xml:space="preserve"> </w:t>
      </w:r>
      <m:oMath>
        <m:r>
          <m:t>λ</m:t>
        </m:r>
        <m:r>
          <m:rPr>
            <m:sty m:val="p"/>
          </m:rPr>
          <m:t>=</m:t>
        </m:r>
        <m:r>
          <m:t>1.108</m:t>
        </m:r>
      </m:oMath>
      <w:r>
        <w:t xml:space="preserve"> </w:t>
      </w:r>
      <w:r>
        <w:rPr>
          <w:rFonts w:hint="eastAsia"/>
        </w:rPr>
        <w:t xml:space="preserve">は水準係数付きの仕様A</w:t>
      </w:r>
      <w:r>
        <w:t xml:space="preserve"> </w:t>
      </w:r>
      <w:r>
        <w:rPr>
          <w:rFonts w:hint="eastAsia"/>
        </w:rPr>
        <w:t xml:space="preserve">の値）、増分貪欲（1万kW</w:t>
      </w:r>
      <w:r>
        <w:t xml:space="preserve"> </w:t>
      </w:r>
      <w:r>
        <w:rPr>
          <w:rFonts w:hint="eastAsia"/>
        </w:rPr>
        <w:t xml:space="preserve">刻み）、フリートは完全予見で配分、充電従量負担を控除、FY2023〜25</w:t>
      </w:r>
      <w:r>
        <w:t xml:space="preserve"> </w:t>
      </w:r>
      <w:r>
        <w:rPr>
          <w:rFonts w:hint="eastAsia"/>
        </w:rPr>
        <w:t xml:space="preserve">パスの平均。泊＋風力2倍の列は仕様A</w:t>
      </w:r>
      <w:r>
        <w:t xml:space="preserve"> </w:t>
      </w:r>
      <w:r>
        <w:rPr>
          <w:rFonts w:hint="eastAsia"/>
        </w:rPr>
        <w:t xml:space="preserve">による（風力への条件付き応答を標本内で修正した仕様A′</w:t>
      </w:r>
      <w:r>
        <w:t xml:space="preserve"> </w:t>
      </w:r>
      <w:r>
        <w:rPr>
          <w:rFonts w:hint="eastAsia"/>
        </w:rPr>
        <w:t xml:space="preserve">では、泊＋風力2倍の</w:t>
      </w:r>
      <w:r>
        <w:t xml:space="preserve"> </w:t>
      </w:r>
      <m:oMath>
        <m:r>
          <m:t>π</m:t>
        </m:r>
        <m:r>
          <m:rPr>
            <m:sty m:val="p"/>
          </m:rPr>
          <m:t>(</m:t>
        </m:r>
        <m:r>
          <m:t>0</m:t>
        </m:r>
        <m:r>
          <m:rPr>
            <m:sty m:val="p"/>
          </m:rPr>
          <m:t>)</m:t>
        </m:r>
      </m:oMath>
      <w:r>
        <w:t xml:space="preserve"> </w:t>
      </w:r>
      <w:r>
        <w:rPr>
          <w:rFonts w:hint="eastAsia"/>
        </w:rPr>
        <w:t xml:space="preserve">は6,629円、</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は98.2万kW）。</w:t>
      </w:r>
    </w:p>
    <w:p>
      <w:pPr>
        <w:pStyle w:val="TableNote"/>
      </w:pPr>
      <w:r>
        <w:rPr>
          <w:rFonts w:hint="eastAsia"/>
        </w:rPr>
        <w:t xml:space="preserve">出所）表7.1</w:t>
      </w:r>
      <w:r>
        <w:t xml:space="preserve"> </w:t>
      </w:r>
      <w:r>
        <w:rPr>
          <w:rFonts w:hint="eastAsia"/>
        </w:rPr>
        <w:t xml:space="preserve">と同じ。</w:t>
      </w:r>
    </w:p>
    <w:p>
      <w:pPr>
        <w:pStyle w:val="CaptionedFigure"/>
      </w:pPr>
      <w:r>
        <w:drawing>
          <wp:inline>
            <wp:extent cx="5399999" cy="5228100"/>
            <wp:effectExtent b="0" l="0" r="0" t="0"/>
            <wp:docPr descr="図7.2　限界参入者の実現可能収益と価格水準" title="" id="183" name="Picture"/>
            <a:graphic>
              <a:graphicData uri="http://schemas.openxmlformats.org/drawingml/2006/picture">
                <pic:pic>
                  <pic:nvPicPr>
                    <pic:cNvPr descr="../figures/hokkaido/pi_k_curve_v3.png" id="184" name="Picture"/>
                    <pic:cNvPicPr>
                      <a:picLocks noChangeArrowheads="1" noChangeAspect="1"/>
                    </pic:cNvPicPr>
                  </pic:nvPicPr>
                  <pic:blipFill>
                    <a:blip r:embed="rId182"/>
                    <a:stretch>
                      <a:fillRect/>
                    </a:stretch>
                  </pic:blipFill>
                  <pic:spPr bwMode="auto">
                    <a:xfrm>
                      <a:off x="0" y="0"/>
                      <a:ext cx="5399999" cy="5228100"/>
                    </a:xfrm>
                    <a:prstGeom prst="rect">
                      <a:avLst/>
                    </a:prstGeom>
                    <a:noFill/>
                    <a:ln w="9525">
                      <a:noFill/>
                      <a:headEnd/>
                      <a:tailEnd/>
                    </a:ln>
                  </pic:spPr>
                </pic:pic>
              </a:graphicData>
            </a:graphic>
          </wp:inline>
        </w:drawing>
      </w:r>
    </w:p>
    <w:p>
      <w:pPr>
        <w:pStyle w:val="ImageCaption"/>
      </w:pPr>
      <w:r>
        <w:rPr>
          <w:rFonts w:hint="eastAsia"/>
        </w:rPr>
        <w:t xml:space="preserve">図7.2</w:t>
      </w:r>
      <w:r>
        <w:t xml:space="preserve">　</w:t>
      </w:r>
      <w:r>
        <w:rPr>
          <w:rFonts w:hint="eastAsia"/>
        </w:rPr>
        <w:t xml:space="preserve">限界参入者の実現可能収益と価格水準</w:t>
      </w:r>
    </w:p>
    <w:p>
      <w:pPr>
        <w:pStyle w:val="TableNote"/>
      </w:pPr>
      <w:r>
        <w:rPr>
          <w:rFonts w:hint="eastAsia"/>
        </w:rPr>
        <w:t xml:space="preserve">注）(a)</w:t>
      </w:r>
      <w:r>
        <w:t xml:space="preserve"> は</w:t>
      </w:r>
      <w:r>
        <w:t xml:space="preserve"> </w:t>
      </w:r>
      <m:oMath>
        <m:r>
          <m:t>θ</m:t>
        </m:r>
        <m:r>
          <m:rPr>
            <m:sty m:val="p"/>
          </m:rPr>
          <m:t>=</m:t>
        </m:r>
        <m:r>
          <m:t>1</m:t>
        </m:r>
      </m:oMath>
      <w:r>
        <w:t xml:space="preserve"> </w:t>
      </w:r>
      <w:r>
        <w:rPr>
          <w:rFonts w:hint="eastAsia"/>
        </w:rPr>
        <w:t xml:space="preserve">の現状の</w:t>
      </w:r>
      <w:r>
        <w:t xml:space="preserve"> </w:t>
      </w:r>
      <m:oMath>
        <m:r>
          <m:t>π</m:t>
        </m:r>
        <m:r>
          <m:rPr>
            <m:sty m:val="p"/>
          </m:rPr>
          <m:t>(</m:t>
        </m:r>
        <m:r>
          <m:t>K</m:t>
        </m:r>
        <m:r>
          <m:rPr>
            <m:sty m:val="p"/>
          </m:rPr>
          <m:t>)</m:t>
        </m:r>
      </m:oMath>
      <w:r>
        <w:t xml:space="preserve">、(b) は</w:t>
      </w:r>
      <w:r>
        <w:t xml:space="preserve"> </w:t>
      </w:r>
      <m:oMath>
        <m:r>
          <m:t>K</m:t>
        </m:r>
        <m:r>
          <m:rPr>
            <m:sty m:val="p"/>
          </m:rPr>
          <m:t>=</m:t>
        </m:r>
        <m:r>
          <m:t>0</m:t>
        </m:r>
      </m:oMath>
      <w:r>
        <w:t xml:space="preserve"> </w:t>
      </w:r>
      <w:r>
        <w:rPr>
          <w:rFonts w:hint="eastAsia"/>
        </w:rPr>
        <w:t xml:space="preserve">の収益と価格水準係数</w:t>
      </w:r>
      <w:r>
        <w:t xml:space="preserve"> </w:t>
      </w:r>
      <m:oMath>
        <m:r>
          <m:t>θ</m:t>
        </m:r>
      </m:oMath>
      <w:r>
        <w:t xml:space="preserve"> </w:t>
      </w:r>
      <w:r>
        <w:rPr>
          <w:rFonts w:hint="eastAsia"/>
        </w:rPr>
        <w:t xml:space="preserve">の関係および参入に必要な水準。水準係数付きの仕様A、FY2023〜25</w:t>
      </w:r>
      <w:r>
        <w:t xml:space="preserve"> </w:t>
      </w:r>
      <w:r>
        <w:rPr>
          <w:rFonts w:hint="eastAsia"/>
        </w:rPr>
        <w:t xml:space="preserve">パス、増分貪欲（1万kW</w:t>
      </w:r>
      <w:r>
        <w:t xml:space="preserve"> </w:t>
      </w:r>
      <w:r>
        <w:rPr>
          <w:rFonts w:hint="eastAsia"/>
        </w:rPr>
        <w:t xml:space="preserve">刻み）、充電従量負担を控除。実線は実績整合ケース、破線はモデル直値、一点鎖線はフリートも戦略</w:t>
      </w:r>
      <w:r>
        <w:t xml:space="preserve"> c </w:t>
      </w:r>
      <w:r>
        <w:rPr>
          <w:rFonts w:hint="eastAsia"/>
        </w:rPr>
        <w:t xml:space="preserve">の窓で動く感応度。</w:t>
      </w:r>
    </w:p>
    <w:p>
      <w:pPr>
        <w:pStyle w:val="TableNote"/>
      </w:pPr>
      <w:r>
        <w:rPr>
          <w:rFonts w:hint="eastAsia"/>
        </w:rPr>
        <w:t xml:space="preserve">出所）表7.1</w:t>
      </w:r>
      <w:r>
        <w:t xml:space="preserve"> </w:t>
      </w:r>
      <w:r>
        <w:rPr>
          <w:rFonts w:hint="eastAsia"/>
        </w:rPr>
        <w:t xml:space="preserve">と同じ。</w:t>
      </w:r>
    </w:p>
    <w:p>
      <w:pPr>
        <w:pStyle w:val="BodyText"/>
      </w:pPr>
      <w:r>
        <w:rPr>
          <w:rFonts w:hint="eastAsia"/>
        </w:rPr>
        <w:t xml:space="preserve">カニバリゼーションは速い。</w:t>
      </w:r>
      <m:oMath>
        <m:r>
          <m:t>π</m:t>
        </m:r>
        <m:r>
          <m:rPr>
            <m:sty m:val="p"/>
          </m:rPr>
          <m:t>(</m:t>
        </m:r>
        <m:r>
          <m:t>K</m:t>
        </m:r>
        <m:r>
          <m:rPr>
            <m:sty m:val="p"/>
          </m:rPr>
          <m:t>)</m:t>
        </m:r>
      </m:oMath>
      <w:r>
        <w:t xml:space="preserve"> </w:t>
      </w:r>
      <w:r>
        <w:rPr>
          <w:rFonts w:hint="eastAsia"/>
        </w:rPr>
        <w:t xml:space="preserve">は25万kW</w:t>
      </w:r>
      <w:r>
        <w:t xml:space="preserve"> で</w:t>
      </w:r>
      <w:r>
        <w:t xml:space="preserve"> </w:t>
      </w:r>
      <m:oMath>
        <m:r>
          <m:t>K</m:t>
        </m:r>
        <m:r>
          <m:rPr>
            <m:sty m:val="p"/>
          </m:rPr>
          <m:t>=</m:t>
        </m:r>
        <m:r>
          <m:t>0</m:t>
        </m:r>
      </m:oMath>
      <w:r>
        <w:t xml:space="preserve"> </w:t>
      </w:r>
      <w:r>
        <w:rPr>
          <w:rFonts w:hint="eastAsia"/>
        </w:rPr>
        <w:t xml:space="preserve">の59%、約31万kW</w:t>
      </w:r>
      <w:r>
        <w:t xml:space="preserve"> </w:t>
      </w:r>
      <w:r>
        <w:rPr>
          <w:rFonts w:hint="eastAsia"/>
        </w:rPr>
        <w:t xml:space="preserve">で半減し、50万kW</w:t>
      </w:r>
      <w:r>
        <w:t xml:space="preserve"> </w:t>
      </w:r>
      <w:r>
        <w:rPr>
          <w:rFonts w:hint="eastAsia"/>
        </w:rPr>
        <w:t xml:space="preserve">で24%、約72万kW</w:t>
      </w:r>
      <w:r>
        <w:t xml:space="preserve"> </w:t>
      </w:r>
      <w:r>
        <w:rPr>
          <w:rFonts w:hint="eastAsia"/>
        </w:rPr>
        <w:t xml:space="preserve">で負に転じる。泊の再稼働や風力の倍増は曲線を上方に移すが、負に転じる点は約92〜98万kW</w:t>
      </w:r>
      <w:r>
        <w:t xml:space="preserve"> </w:t>
      </w:r>
      <w:r>
        <w:rPr>
          <w:rFonts w:hint="eastAsia"/>
        </w:rPr>
        <w:t xml:space="preserve">に動くにとどまる。この減衰は、1GW</w:t>
      </w:r>
      <w:r>
        <w:t xml:space="preserve"> </w:t>
      </w:r>
      <w:r>
        <w:rPr>
          <w:rFonts w:hint="eastAsia"/>
        </w:rPr>
        <w:t xml:space="preserve">の貯蔵で裁定価値が2割超減るとした</w:t>
      </w:r>
      <w:r>
        <w:t xml:space="preserve"> Sioshansi et </w:t>
      </w:r>
      <w:r>
        <w:rPr>
          <w:rFonts w:hint="eastAsia"/>
        </w:rPr>
        <w:t xml:space="preserve">al.（2009）以来の自己共食いの議論と整合する（Karaduman,</w:t>
      </w:r>
      <w:r>
        <w:t xml:space="preserve"> 2023; Lamont, 2013; Lamp &amp; Samano, </w:t>
      </w:r>
      <w:r>
        <w:rPr>
          <w:rFonts w:hint="eastAsia"/>
        </w:rPr>
        <w:t xml:space="preserve">2022）。海外の市場の実績との比較は10.2.3項で行う。</w:t>
      </w:r>
    </w:p>
    <w:p>
      <w:pPr>
        <w:pStyle w:val="BodyText"/>
      </w:pPr>
      <w:r>
        <w:rPr>
          <w:rFonts w:hint="eastAsia"/>
        </w:rPr>
        <w:t xml:space="preserve">限界参入者の戦略</w:t>
      </w:r>
      <w:r>
        <w:t xml:space="preserve"> c </w:t>
      </w:r>
      <w:r>
        <w:rPr>
          <w:rFonts w:hint="eastAsia"/>
        </w:rPr>
        <w:t xml:space="preserve">の実現率は、</w:t>
      </w:r>
      <m:oMath>
        <m:r>
          <m:t>K</m:t>
        </m:r>
        <m:r>
          <m:rPr>
            <m:sty m:val="p"/>
          </m:rPr>
          <m:t>≤</m:t>
        </m:r>
        <m:r>
          <m:t>50</m:t>
        </m:r>
      </m:oMath>
      <w:r>
        <w:rPr>
          <w:rFonts w:hint="eastAsia"/>
        </w:rPr>
        <w:t xml:space="preserve">万kW</w:t>
      </w:r>
      <w:r>
        <w:t xml:space="preserve"> </w:t>
      </w:r>
      <w:r>
        <w:rPr>
          <w:rFonts w:hint="eastAsia"/>
        </w:rPr>
        <w:t xml:space="preserve">で0.91〜0.94とほぼ一定で、100万kW</w:t>
      </w:r>
      <w:r>
        <w:t xml:space="preserve"> </w:t>
      </w:r>
      <w:r>
        <w:rPr>
          <w:rFonts w:hint="eastAsia"/>
        </w:rPr>
        <w:t xml:space="preserve">で0.59〜0.67に下がる。フリート自身も戦略</w:t>
      </w:r>
      <w:r>
        <w:t xml:space="preserve"> c </w:t>
      </w:r>
      <w:r>
        <w:rPr>
          <w:rFonts w:hint="eastAsia"/>
        </w:rPr>
        <w:t xml:space="preserve">の窓で動くと仮定すると実現率はより速く下がり、</w:t>
      </w:r>
      <m:oMath>
        <m:r>
          <m:t>π</m:t>
        </m:r>
        <m:r>
          <m:rPr>
            <m:sty m:val="p"/>
          </m:rPr>
          <m:t>=</m:t>
        </m:r>
        <m:r>
          <m:t>0</m:t>
        </m:r>
      </m:oMath>
      <w:r>
        <w:t xml:space="preserve"> </w:t>
      </w:r>
      <w:r>
        <w:rPr>
          <w:rFonts w:hint="eastAsia"/>
        </w:rPr>
        <w:t xml:space="preserve">となる容量は約53万kW</w:t>
      </w:r>
      <w:r>
        <w:t xml:space="preserve"> </w:t>
      </w:r>
      <w:r>
        <w:rPr>
          <w:rFonts w:hint="eastAsia"/>
        </w:rPr>
        <w:t xml:space="preserve">に前倒しになる。フリートの情報の仮定によって負に転じる点は53〜72万kW</w:t>
      </w:r>
      <w:r>
        <w:t xml:space="preserve"> </w:t>
      </w:r>
      <w:r>
        <w:rPr>
          <w:rFonts w:hint="eastAsia"/>
        </w:rPr>
        <w:t xml:space="preserve">の幅で動くが、</w:t>
      </w:r>
      <m:oMath>
        <m:sSup>
          <m:e>
            <m:r>
              <m:t>K</m:t>
            </m:r>
          </m:e>
          <m:sup>
            <m:r>
              <m:rPr>
                <m:sty m:val="p"/>
              </m:rPr>
              <m:t>*</m:t>
            </m:r>
          </m:sup>
        </m:sSup>
        <m:r>
          <m:rPr>
            <m:sty m:val="p"/>
          </m:rPr>
          <m:t>=</m:t>
        </m:r>
        <m:r>
          <m:t>0</m:t>
        </m:r>
      </m:oMath>
      <w:r>
        <w:t xml:space="preserve"> </w:t>
      </w:r>
      <w:r>
        <w:t xml:space="preserve">は</w:t>
      </w:r>
      <w:r>
        <w:t xml:space="preserve"> </w:t>
      </w:r>
      <m:oMath>
        <m:r>
          <m:t>π</m:t>
        </m:r>
        <m:r>
          <m:rPr>
            <m:sty m:val="p"/>
          </m:rPr>
          <m:t>(</m:t>
        </m:r>
        <m:r>
          <m:t>0</m:t>
        </m:r>
        <m:r>
          <m:rPr>
            <m:sty m:val="p"/>
          </m:rPr>
          <m:t>)</m:t>
        </m:r>
      </m:oMath>
      <w:r>
        <w:t xml:space="preserve"> </w:t>
      </w:r>
      <w:r>
        <w:rPr>
          <w:rFonts w:hint="eastAsia"/>
        </w:rPr>
        <w:t xml:space="preserve">だけで決まるので、この仮定にも、</w:t>
      </w:r>
      <m:oMath>
        <m:r>
          <m:t>K</m:t>
        </m:r>
        <m:r>
          <m:rPr>
            <m:sty m:val="p"/>
          </m:rPr>
          <m:t>&gt;</m:t>
        </m:r>
        <m:r>
          <m:t>0</m:t>
        </m:r>
      </m:oMath>
      <w:r>
        <w:t xml:space="preserve"> </w:t>
      </w:r>
      <w:r>
        <w:t xml:space="preserve">で</w:t>
      </w:r>
      <w:r>
        <w:t xml:space="preserve"> </w:t>
      </w:r>
      <m:oMath>
        <m:r>
          <m:t>λ</m:t>
        </m:r>
      </m:oMath>
      <w:r>
        <w:t xml:space="preserve"> </w:t>
      </w:r>
      <w:r>
        <w:rPr>
          <w:rFonts w:hint="eastAsia"/>
        </w:rPr>
        <w:t xml:space="preserve">を一定とする仮定にも左右されない。</w:t>
      </w:r>
    </w:p>
    <w:bookmarkEnd w:id="185"/>
    <w:bookmarkStart w:id="186" w:name="均衡容量と損益分岐の価格水準"/>
    <w:p>
      <w:pPr>
        <w:pStyle w:val="Heading2"/>
      </w:pPr>
      <w:r>
        <w:t xml:space="preserve">7.5　</w:t>
      </w:r>
      <w:r>
        <w:rPr>
          <w:rFonts w:hint="eastAsia"/>
        </w:rPr>
        <w:t xml:space="preserve">均衡容量と損益分岐の価格水準</w:t>
      </w:r>
    </w:p>
    <w:p>
      <w:pPr>
        <w:pStyle w:val="FirstParagraph"/>
      </w:pPr>
      <w:r>
        <w:rPr>
          <w:rFonts w:hint="eastAsia"/>
        </w:rPr>
        <w:t xml:space="preserve">参入に必要なスポット収益</w:t>
      </w:r>
      <w:r>
        <w:t xml:space="preserve"> </w:t>
      </w:r>
      <m:oMath>
        <m:sSub>
          <m:e>
            <m:r>
              <m:t>c</m:t>
            </m:r>
          </m:e>
          <m:sub>
            <m:r>
              <m:rPr>
                <m:sty m:val="p"/>
              </m:rPr>
              <m:t>r</m:t>
            </m:r>
            <m:r>
              <m:rPr>
                <m:sty m:val="p"/>
              </m:rPr>
              <m:t>e</m:t>
            </m:r>
            <m:r>
              <m:rPr>
                <m:sty m:val="p"/>
              </m:rPr>
              <m:t>q</m:t>
            </m:r>
          </m:sub>
        </m:sSub>
        <m:r>
          <m:rPr>
            <m:sty m:val="p"/>
          </m:rPr>
          <m:t>−</m:t>
        </m:r>
        <m:r>
          <m:t>κ</m:t>
        </m:r>
        <m:sSub>
          <m:e>
            <m:r>
              <m:t>P</m:t>
            </m:r>
          </m:e>
          <m:sub>
            <m:r>
              <m:rPr>
                <m:sty m:val="p"/>
              </m:rPr>
              <m:t>c</m:t>
            </m:r>
            <m:r>
              <m:rPr>
                <m:sty m:val="p"/>
              </m:rPr>
              <m:t>a</m:t>
            </m:r>
            <m:r>
              <m:rPr>
                <m:sty m:val="p"/>
              </m:rPr>
              <m:t>p</m:t>
            </m:r>
          </m:sub>
        </m:sSub>
      </m:oMath>
      <w:r>
        <w:t xml:space="preserve"> </w:t>
      </w:r>
      <w:r>
        <w:rPr>
          <w:rFonts w:hint="eastAsia"/>
        </w:rPr>
        <w:t xml:space="preserve">は、式(4.6)（WACC</w:t>
      </w:r>
      <w:r>
        <w:t xml:space="preserve"> </w:t>
      </w:r>
      <w:r>
        <w:rPr>
          <w:rFonts w:hint="eastAsia"/>
        </w:rPr>
        <w:t xml:space="preserve">6%）の</w:t>
      </w:r>
      <w:r>
        <w:t xml:space="preserve"> </w:t>
      </w:r>
      <m:oMath>
        <m:sSub>
          <m:e>
            <m:r>
              <m:t>c</m:t>
            </m:r>
          </m:e>
          <m:sub>
            <m:r>
              <m:rPr>
                <m:sty m:val="p"/>
              </m:rPr>
              <m:t>r</m:t>
            </m:r>
            <m:r>
              <m:rPr>
                <m:sty m:val="p"/>
              </m:rPr>
              <m:t>e</m:t>
            </m:r>
            <m:r>
              <m:rPr>
                <m:sty m:val="p"/>
              </m:rPr>
              <m:t>q</m:t>
            </m:r>
          </m:sub>
        </m:sSub>
      </m:oMath>
      <w:r>
        <w:t xml:space="preserve"> </w:t>
      </w:r>
      <w:r>
        <w:rPr>
          <w:rFonts w:hint="eastAsia"/>
        </w:rPr>
        <w:t xml:space="preserve">で23,414円、標準・楽観・保守ケースで22,000円・19,500円・28,700円/kW-年である。これに対し</w:t>
      </w:r>
      <w:r>
        <w:t xml:space="preserve"> </w:t>
      </w:r>
      <m:oMath>
        <m:r>
          <m:t>π</m:t>
        </m:r>
        <m:r>
          <m:rPr>
            <m:sty m:val="p"/>
          </m:rPr>
          <m:t>(</m:t>
        </m:r>
        <m:r>
          <m:t>0</m:t>
        </m:r>
        <m:r>
          <m:rPr>
            <m:sty m:val="p"/>
          </m:rPr>
          <m:t>)</m:t>
        </m:r>
      </m:oMath>
      <w:r>
        <w:t xml:space="preserve"> </w:t>
      </w:r>
      <w:r>
        <w:rPr>
          <w:rFonts w:hint="eastAsia"/>
        </w:rPr>
        <w:t xml:space="preserve">は6,675〜7,384円（モデル直値5,886〜6,529円）にすぎず、いずれのシナリオ・ケースでも参入に必要な水準に達しない。したがって現行の資本費と価格構造の下では、スポット裁定と容量収入だけに依存するマーチャントの均衡容量は</w:t>
      </w:r>
      <w:r>
        <w:t xml:space="preserve"> </w:t>
      </w:r>
      <m:oMath>
        <m:sSup>
          <m:e>
            <m:r>
              <m:t>K</m:t>
            </m:r>
          </m:e>
          <m:sup>
            <m:r>
              <m:rPr>
                <m:sty m:val="p"/>
              </m:rPr>
              <m:t>*</m:t>
            </m:r>
          </m:sup>
        </m:sSup>
        <m:r>
          <m:rPr>
            <m:sty m:val="p"/>
          </m:rPr>
          <m:t>=</m:t>
        </m:r>
        <m:r>
          <m:t>0</m:t>
        </m:r>
      </m:oMath>
      <w:r>
        <w:t xml:space="preserve"> </w:t>
      </w:r>
      <w:r>
        <w:rPr>
          <w:rFonts w:hint="eastAsia"/>
        </w:rPr>
        <w:t xml:space="preserve">である（需給調整市場のレントは7.6節で扱う）。これは私的な参入誘因についての命題である。価格上限が停電価値を下回らなければ競争的な貯蔵のゼロ利潤均衡がシステム費用の最小化と一致するという</w:t>
      </w:r>
      <w:r>
        <w:t xml:space="preserve"> </w:t>
      </w:r>
      <w:r>
        <w:rPr>
          <w:rFonts w:hint="eastAsia"/>
        </w:rPr>
        <w:t xml:space="preserve">Schmalensee（2022）の同値は、価格が歪められていない場合のものである。下限価格が拘束力を持ち、出力制御が無補償で、容量市場と</w:t>
      </w:r>
      <w:r>
        <w:t xml:space="preserve"> LTDA </w:t>
      </w:r>
      <w:r>
        <w:rPr>
          <w:rFonts w:hint="eastAsia"/>
        </w:rPr>
        <w:t xml:space="preserve">がある本研究の設定では、</w:t>
      </w:r>
      <m:oMath>
        <m:sSup>
          <m:e>
            <m:r>
              <m:t>K</m:t>
            </m:r>
          </m:e>
          <m:sup>
            <m:r>
              <m:rPr>
                <m:sty m:val="p"/>
              </m:rPr>
              <m:t>*</m:t>
            </m:r>
          </m:sup>
        </m:sSup>
        <m:r>
          <m:rPr>
            <m:sty m:val="p"/>
          </m:rPr>
          <m:t>=</m:t>
        </m:r>
        <m:r>
          <m:t>0</m:t>
        </m:r>
      </m:oMath>
      <w:r>
        <w:t xml:space="preserve"> </w:t>
      </w:r>
      <w:r>
        <w:rPr>
          <w:rFonts w:hint="eastAsia"/>
        </w:rPr>
        <w:t xml:space="preserve">からシステム費用についての含意は導けない（本研究は厚生分析を扱わない）。</w:t>
      </w:r>
    </w:p>
    <w:p>
      <w:pPr>
        <w:pStyle w:val="BodyText"/>
      </w:pPr>
      <w:r>
        <w:rPr>
          <w:rFonts w:hint="eastAsia"/>
        </w:rPr>
        <w:t xml:space="preserve">価格水準を上げても判定は変わらない（図7.2(b)）。</w:t>
      </w:r>
      <m:oMath>
        <m:r>
          <m:t>π</m:t>
        </m:r>
        <m:r>
          <m:rPr>
            <m:sty m:val="p"/>
          </m:rPr>
          <m:t>(</m:t>
        </m:r>
        <m:r>
          <m:t>0</m:t>
        </m:r>
        <m:r>
          <m:rPr>
            <m:sty m:val="p"/>
          </m:rPr>
          <m:t>)</m:t>
        </m:r>
      </m:oMath>
      <w:r>
        <w:t xml:space="preserve"> </w:t>
      </w:r>
      <w:r>
        <w:t xml:space="preserve">は </w:t>
      </w:r>
      <w:r>
        <w:rPr>
          <w:rFonts w:hint="eastAsia"/>
        </w:rPr>
        <w:t xml:space="preserve">FY2026上期の水準（</w:t>
      </w:r>
      <m:oMath>
        <m:r>
          <m:t>θ</m:t>
        </m:r>
        <m:r>
          <m:rPr>
            <m:sty m:val="p"/>
          </m:rPr>
          <m:t>=</m:t>
        </m:r>
        <m:r>
          <m:t>1.57</m:t>
        </m:r>
      </m:oMath>
      <w:r>
        <w:rPr>
          <w:rFonts w:hint="eastAsia"/>
        </w:rPr>
        <w:t xml:space="preserve">）で11,452円、燃料危機の</w:t>
      </w:r>
      <w:r>
        <w:t xml:space="preserve"> FY2022 </w:t>
      </w:r>
      <w:r>
        <w:rPr>
          <w:rFonts w:hint="eastAsia"/>
        </w:rPr>
        <w:t xml:space="preserve">の水準（</w:t>
      </w:r>
      <m:oMath>
        <m:r>
          <m:t>θ</m:t>
        </m:r>
        <m:r>
          <m:rPr>
            <m:sty m:val="p"/>
          </m:rPr>
          <m:t>=</m:t>
        </m:r>
        <m:r>
          <m:t>1.72</m:t>
        </m:r>
      </m:oMath>
      <w:r>
        <w:rPr>
          <w:rFonts w:hint="eastAsia"/>
        </w:rPr>
        <w:t xml:space="preserve">）で12,705円にとどまり、楽観ケースの19,500円に届かない（</w:t>
      </w:r>
      <m:oMath>
        <m:r>
          <m:t>K</m:t>
        </m:r>
        <m:r>
          <m:rPr>
            <m:sty m:val="p"/>
          </m:rPr>
          <m:t>&gt;</m:t>
        </m:r>
        <m:r>
          <m:t>0</m:t>
        </m:r>
      </m:oMath>
      <w:r>
        <w:t xml:space="preserve"> </w:t>
      </w:r>
      <w:r>
        <w:rPr>
          <w:rFonts w:hint="eastAsia"/>
        </w:rPr>
        <w:t xml:space="preserve">は表C.25）。式(4.8)の損益分岐は</w:t>
      </w:r>
      <w:r>
        <w:t xml:space="preserve"> </w:t>
      </w:r>
      <m:oMath>
        <m:sSup>
          <m:e>
            <m:r>
              <m:t>θ</m:t>
            </m:r>
          </m:e>
          <m:sup>
            <m:r>
              <m:rPr>
                <m:sty m:val="p"/>
              </m:rPr>
              <m:t>*</m:t>
            </m:r>
          </m:sup>
        </m:sSup>
        <m:r>
          <m:rPr>
            <m:sty m:val="p"/>
          </m:rPr>
          <m:t>=</m:t>
        </m:r>
        <m:r>
          <m:t>2.99</m:t>
        </m:r>
      </m:oMath>
      <w:r>
        <w:rPr>
          <w:rFonts w:hint="eastAsia"/>
        </w:rPr>
        <w:t xml:space="preserve">（モデル直値3.31、</w:t>
      </w:r>
      <m:oMath>
        <m:r>
          <m:t>λ</m:t>
        </m:r>
      </m:oMath>
      <w:r>
        <w:t xml:space="preserve"> </w:t>
      </w:r>
      <w:r>
        <w:rPr>
          <w:rFonts w:hint="eastAsia"/>
        </w:rPr>
        <w:t xml:space="preserve">の95%区間で2.78〜3.21、3ケースで2.52〜3.61）であり、FY2026上期の水準の1.91倍、FY2022</w:t>
      </w:r>
      <w:r>
        <w:t xml:space="preserve"> </w:t>
      </w:r>
      <w:r>
        <w:rPr>
          <w:rFonts w:hint="eastAsia"/>
        </w:rPr>
        <w:t xml:space="preserve">の1.74倍にあたる。</w:t>
      </w:r>
    </w:p>
    <w:p>
      <w:pPr>
        <w:pStyle w:val="BodyText"/>
      </w:pPr>
      <w:r>
        <w:t xml:space="preserve">ただしこの</w:t>
      </w:r>
      <w:r>
        <w:t xml:space="preserve"> </w:t>
      </w:r>
      <m:oMath>
        <m:sSup>
          <m:e>
            <m:r>
              <m:t>θ</m:t>
            </m:r>
          </m:e>
          <m:sup>
            <m:r>
              <m:rPr>
                <m:sty m:val="p"/>
              </m:rPr>
              <m:t>*</m:t>
            </m:r>
          </m:sup>
        </m:sSup>
      </m:oMath>
      <w:r>
        <w:t xml:space="preserve"> </w:t>
      </w:r>
      <w:r>
        <w:rPr>
          <w:rFonts w:hint="eastAsia"/>
        </w:rPr>
        <w:t xml:space="preserve">は、推定期間で校正した</w:t>
      </w:r>
      <w:r>
        <w:t xml:space="preserve"> </w:t>
      </w:r>
      <m:oMath>
        <m:r>
          <m:t>λ</m:t>
        </m:r>
      </m:oMath>
      <w:r>
        <w:t xml:space="preserve"> </w:t>
      </w:r>
      <w:r>
        <w:rPr>
          <w:rFonts w:hint="eastAsia"/>
        </w:rPr>
        <w:t xml:space="preserve">を高い価格水準でも一定とし、収益を</w:t>
      </w:r>
      <w:r>
        <w:t xml:space="preserve"> </w:t>
      </w:r>
      <m:oMath>
        <m:r>
          <m:t>θ</m:t>
        </m:r>
      </m:oMath>
      <w:r>
        <w:t xml:space="preserve"> </w:t>
      </w:r>
      <w:r>
        <w:rPr>
          <w:rFonts w:hint="eastAsia"/>
        </w:rPr>
        <w:t xml:space="preserve">に比例させて求めた値である。期間外の実績とモデルの比は、戦略</w:t>
      </w:r>
      <w:r>
        <w:t xml:space="preserve"> c で </w:t>
      </w:r>
      <w:r>
        <w:rPr>
          <w:rFonts w:hint="eastAsia"/>
        </w:rPr>
        <w:t xml:space="preserve">FY2026上期1.23、FY2022</w:t>
      </w:r>
      <w:r>
        <w:t xml:space="preserve"> 1.60と</w:t>
      </w:r>
      <w:r>
        <w:t xml:space="preserve"> </w:t>
      </w:r>
      <m:oMath>
        <m:r>
          <m:t>λ</m:t>
        </m:r>
      </m:oMath>
      <w:r>
        <w:t xml:space="preserve"> </w:t>
      </w:r>
      <w:r>
        <w:rPr>
          <w:rFonts w:hint="eastAsia"/>
        </w:rPr>
        <w:t xml:space="preserve">を上回る（7.2.1項）。価格水準が高い局面では、モデルが実績の取り分を過小に見て、</w:t>
      </w:r>
      <m:oMath>
        <m:sSup>
          <m:e>
            <m:r>
              <m:t>θ</m:t>
            </m:r>
          </m:e>
          <m:sup>
            <m:r>
              <m:rPr>
                <m:sty m:val="p"/>
              </m:rPr>
              <m:t>*</m:t>
            </m:r>
          </m:sup>
        </m:sSup>
      </m:oMath>
      <w:r>
        <w:t xml:space="preserve"> </w:t>
      </w:r>
      <w:r>
        <w:rPr>
          <w:rFonts w:hint="eastAsia"/>
        </w:rPr>
        <w:t xml:space="preserve">を高めに出している可能性がある。この比を</w:t>
      </w:r>
      <w:r>
        <w:t xml:space="preserve"> </w:t>
      </w:r>
      <m:oMath>
        <m:r>
          <m:t>λ</m:t>
        </m:r>
      </m:oMath>
      <w:r>
        <w:t xml:space="preserve"> </w:t>
      </w:r>
      <w:r>
        <w:rPr>
          <w:rFonts w:hint="eastAsia"/>
        </w:rPr>
        <w:t xml:space="preserve">の代わりに当てると、</w:t>
      </w:r>
      <m:oMath>
        <m:sSup>
          <m:e>
            <m:r>
              <m:t>θ</m:t>
            </m:r>
          </m:e>
          <m:sup>
            <m:r>
              <m:rPr>
                <m:sty m:val="p"/>
              </m:rPr>
              <m:t>*</m:t>
            </m:r>
          </m:sup>
        </m:sSup>
      </m:oMath>
      <w:r>
        <w:t xml:space="preserve"> </w:t>
      </w:r>
      <w:r>
        <w:rPr>
          <w:rFonts w:hint="eastAsia"/>
        </w:rPr>
        <w:t xml:space="preserve">は約2.7・約2.1に下がる。</w:t>
      </w:r>
      <m:oMath>
        <m:r>
          <m:t>λ</m:t>
        </m:r>
      </m:oMath>
      <w:r>
        <w:t xml:space="preserve"> </w:t>
      </w:r>
      <w:r>
        <w:rPr>
          <w:rFonts w:hint="eastAsia"/>
        </w:rPr>
        <w:t xml:space="preserve">の95%区間による幅は推定期間内の標本誤差だけを表し、この下側の不確実性を含まない。FY2023〜25</w:t>
      </w:r>
      <w:r>
        <w:t xml:space="preserve"> </w:t>
      </w:r>
      <w:r>
        <w:rPr>
          <w:rFonts w:hint="eastAsia"/>
        </w:rPr>
        <w:t xml:space="preserve">の実績価格の上で実現率を1とする極端な場合でも、式(4.8)の</w:t>
      </w:r>
      <w:r>
        <w:t xml:space="preserve"> </w:t>
      </w:r>
      <m:oMath>
        <m:sSup>
          <m:e>
            <m:r>
              <m:t>θ</m:t>
            </m:r>
          </m:e>
          <m:sup>
            <m:r>
              <m:rPr>
                <m:sty m:val="p"/>
              </m:rPr>
              <m:t>*</m:t>
            </m:r>
          </m:sup>
        </m:sSup>
      </m:oMath>
      <w:r>
        <w:t xml:space="preserve"> </w:t>
      </w:r>
      <w:r>
        <w:rPr>
          <w:rFonts w:hint="eastAsia"/>
        </w:rPr>
        <w:t xml:space="preserve">は2.44である（付録C.2.7）。いずれも</w:t>
      </w:r>
      <w:r>
        <w:t xml:space="preserve"> FY2022 </w:t>
      </w:r>
      <w:r>
        <w:rPr>
          <w:rFonts w:hint="eastAsia"/>
        </w:rPr>
        <w:t xml:space="preserve">の水準1.72を上回るが、必要な価格水準は、収益の基準の置き方によって2倍強から約3倍の幅を持つ。</w:t>
      </w:r>
    </w:p>
    <w:p>
      <w:pPr>
        <w:pStyle w:val="BodyText"/>
      </w:pPr>
      <w:r>
        <w:rPr>
          <w:rFonts w:hint="eastAsia"/>
        </w:rPr>
        <w:t xml:space="preserve">例外に近いのは</w:t>
      </w:r>
      <w:r>
        <w:t xml:space="preserve"> FY2022 </w:t>
      </w:r>
      <w:r>
        <w:rPr>
          <w:rFonts w:hint="eastAsia"/>
        </w:rPr>
        <w:t xml:space="preserve">の実績価格そのものである。連系線増強前の分断構造の上で戦略</w:t>
      </w:r>
      <w:r>
        <w:t xml:space="preserve"> c </w:t>
      </w:r>
      <w:r>
        <w:rPr>
          <w:rFonts w:hint="eastAsia"/>
        </w:rPr>
        <w:t xml:space="preserve">が実際に得た粗利21,017円を用いれば、実現可能収益は19,265円で、参入に必要なスポット収益の82%（式(4.6)）、88%（標準ケース）、99%（楽観ケース）に達する。マーチャントの参入は、燃料危機の水準と当時の分断構造が同時に恒常化する場合にのみ開く。なお、以上は価格水準が一定のまま続くと置いた静学の判定であり、待機の価値を考慮すると参入閾値はさらに上がる（7.8節）。</w:t>
      </w:r>
    </w:p>
    <w:p>
      <w:pPr>
        <w:pStyle w:val="BodyText"/>
      </w:pPr>
      <w:r>
        <w:rPr>
          <w:rFonts w:hint="eastAsia"/>
        </w:rPr>
        <w:t xml:space="preserve">資本費の側からみると、</w:t>
      </w:r>
      <m:oMath>
        <m:r>
          <m:t>K</m:t>
        </m:r>
        <m:r>
          <m:rPr>
            <m:sty m:val="p"/>
          </m:rPr>
          <m:t>=</m:t>
        </m:r>
        <m:r>
          <m:t>0</m:t>
        </m:r>
      </m:oMath>
      <w:r>
        <w:t xml:space="preserve"> </w:t>
      </w:r>
      <w:r>
        <w:rPr>
          <w:rFonts w:hint="eastAsia"/>
        </w:rPr>
        <w:t xml:space="preserve">で参入が立つ年間固定費（資本費の年額と運転維持・廃止費の合計）は約1.23万円/kW-年で、資本費に換算すると約2.0万円/kWh、現行の6.8万円/kWh</w:t>
      </w:r>
      <w:r>
        <w:t xml:space="preserve"> </w:t>
      </w:r>
      <w:r>
        <w:rPr>
          <w:rFonts w:hint="eastAsia"/>
        </w:rPr>
        <w:t xml:space="preserve">の3割弱である。資本費が蓄電池産業戦略の長期目標である揚水並みの2.3万円/kWh</w:t>
      </w:r>
      <w:r>
        <w:t xml:space="preserve"> </w:t>
      </w:r>
      <w:r>
        <w:rPr>
          <w:rFonts w:hint="eastAsia"/>
        </w:rPr>
        <w:t xml:space="preserve">まで下がれば、</w:t>
      </w:r>
      <m:oMath>
        <m:sSup>
          <m:e>
            <m:r>
              <m:t>θ</m:t>
            </m:r>
          </m:e>
          <m:sup>
            <m:r>
              <m:rPr>
                <m:sty m:val="p"/>
              </m:rPr>
              <m:t>*</m:t>
            </m:r>
          </m:sup>
        </m:sSup>
      </m:oMath>
      <w:r>
        <w:t xml:space="preserve"> </w:t>
      </w:r>
      <w:r>
        <w:t xml:space="preserve">は1.12となる。FY2023〜25 </w:t>
      </w:r>
      <w:r>
        <w:rPr>
          <w:rFonts w:hint="eastAsia"/>
        </w:rPr>
        <w:t xml:space="preserve">の水準では参入は開かないが余裕は小さく、恒久成分の推定値1.22（7.8節）や</w:t>
      </w:r>
      <w:r>
        <w:t xml:space="preserve"> </w:t>
      </w:r>
      <w:r>
        <w:rPr>
          <w:rFonts w:hint="eastAsia"/>
        </w:rPr>
        <w:t xml:space="preserve">FY2026上期の水準1.57が続けば開く（</w:t>
      </w:r>
      <m:oMath>
        <m:r>
          <m:t>θ</m:t>
        </m:r>
        <m:r>
          <m:rPr>
            <m:sty m:val="p"/>
          </m:rPr>
          <m:t>=</m:t>
        </m:r>
        <m:r>
          <m:t>1.22</m:t>
        </m:r>
      </m:oMath>
      <w:r>
        <w:t xml:space="preserve"> </w:t>
      </w:r>
      <w:r>
        <w:rPr>
          <w:rFonts w:hint="eastAsia"/>
        </w:rPr>
        <w:t xml:space="preserve">での損益分岐の資本費は2.5万円/kWh）。Butters</w:t>
      </w:r>
      <w:r>
        <w:t xml:space="preserve"> et </w:t>
      </w:r>
      <w:r>
        <w:rPr>
          <w:rFonts w:hint="eastAsia"/>
        </w:rPr>
        <w:t xml:space="preserve">al.（2025）は</w:t>
      </w:r>
      <w:r>
        <w:t xml:space="preserve"> CAISO </w:t>
      </w:r>
      <w:r>
        <w:rPr>
          <w:rFonts w:hint="eastAsia"/>
        </w:rPr>
        <w:t xml:space="preserve">で資本費が30%下がれば導入が大きく進むと報告したが、北海道では資本費の約7割の低下か、価格水準の約3倍への上昇が必要である。系統利用料が裁定価値を20〜50%削るという</w:t>
      </w:r>
      <w:r>
        <w:t xml:space="preserve"> Mercier et </w:t>
      </w:r>
      <w:r>
        <w:rPr>
          <w:rFonts w:hint="eastAsia"/>
        </w:rPr>
        <w:t xml:space="preserve">al.（2023）の指摘のとおり、託送等固定費と充電従量負担も損益分岐に一次的に効く。</w:t>
      </w:r>
    </w:p>
    <w:bookmarkEnd w:id="186"/>
    <w:bookmarkStart w:id="190" w:name="頑健性の確認-1"/>
    <w:p>
      <w:pPr>
        <w:pStyle w:val="Heading2"/>
      </w:pPr>
      <w:r>
        <w:t xml:space="preserve">7.6　</w:t>
      </w:r>
      <w:r>
        <w:rPr>
          <w:rFonts w:hint="eastAsia"/>
        </w:rPr>
        <w:t xml:space="preserve">頑健性の確認</w:t>
      </w:r>
    </w:p>
    <w:p>
      <w:pPr>
        <w:pStyle w:val="FirstParagraph"/>
      </w:pPr>
      <w:r>
        <w:rPr>
          <w:rFonts w:hint="eastAsia"/>
        </w:rPr>
        <w:t xml:space="preserve">主要な感応度を表7.3</w:t>
      </w:r>
      <w:r>
        <w:t xml:space="preserve"> </w:t>
      </w:r>
      <w:r>
        <w:rPr>
          <w:rFonts w:hint="eastAsia"/>
        </w:rPr>
        <w:t xml:space="preserve">にまとめる。需給調整市場のレント（後述）を除き、どの前提の変更でも</w:t>
      </w:r>
      <w:r>
        <w:t xml:space="preserve"> </w:t>
      </w:r>
      <m:oMath>
        <m:sSup>
          <m:e>
            <m:r>
              <m:t>K</m:t>
            </m:r>
          </m:e>
          <m:sup>
            <m:r>
              <m:rPr>
                <m:sty m:val="p"/>
              </m:rPr>
              <m:t>*</m:t>
            </m:r>
          </m:sup>
        </m:sSup>
        <m:r>
          <m:rPr>
            <m:sty m:val="p"/>
          </m:rPr>
          <m:t>=</m:t>
        </m:r>
        <m:r>
          <m:t>0</m:t>
        </m:r>
      </m:oMath>
      <w:r>
        <w:t xml:space="preserve"> </w:t>
      </w:r>
      <w:r>
        <w:rPr>
          <w:rFonts w:hint="eastAsia"/>
        </w:rPr>
        <w:t xml:space="preserve">の判定は変わらない。</w:t>
      </w:r>
    </w:p>
    <w:p>
      <w:pPr>
        <w:pStyle w:val="TableCaption"/>
      </w:pPr>
      <w:r>
        <w:rPr>
          <w:rFonts w:hint="eastAsia"/>
        </w:rPr>
        <w:t xml:space="preserve">表7.3</w:t>
      </w:r>
      <w:r>
        <w:t xml:space="preserve">　</w:t>
      </w:r>
      <w:r>
        <w:rPr>
          <w:rFonts w:hint="eastAsia"/>
        </w:rPr>
        <w:t xml:space="preserve">均衡の判定の感応度</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7.3　均衡の判定の感応度"/>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変える前提</w:t>
            </w:r>
          </w:p>
        </w:tc>
        <w:tc>
          <w:tcPr>
            <w:tcBorders>
              <w:bottom w:val="single" w:sz="6" w:color="000000"/>
            </w:tcBorders>
          </w:tcPr>
          <w:p>
            <w:pPr>
              <w:pStyle w:val="Compact"/>
            </w:pPr>
            <w:r>
              <w:rPr>
                <w:rFonts w:hint="eastAsia"/>
                <w:sz w:val="18"/>
              </w:rPr>
              <w:t xml:space="preserve">置き方</w:t>
            </w:r>
          </w:p>
        </w:tc>
        <w:tc>
          <w:tcPr>
            <w:tcBorders>
              <w:bottom w:val="single" w:sz="6" w:color="000000"/>
            </w:tcBorders>
          </w:tcPr>
          <w:p>
            <w:pPr>
              <w:pStyle w:val="Compact"/>
            </w:pPr>
            <w:r>
              <w:rPr>
                <w:rFonts w:hint="eastAsia"/>
                <w:sz w:val="18"/>
              </w:rPr>
              <w:t xml:space="preserve">主な結果</w:t>
            </w:r>
          </w:p>
        </w:tc>
        <w:tc>
          <w:tcPr>
            <w:tcBorders>
              <w:bottom w:val="single" w:sz="6" w:color="000000"/>
            </w:tcBorders>
          </w:tcPr>
          <w:p>
            <w:pPr>
              <w:pStyle w:val="Compact"/>
            </w:pPr>
            <m:oMath>
              <m:sSup>
                <m:e>
                  <m:r>
                    <m:t>K</m:t>
                  </m:r>
                </m:e>
                <m:sup>
                  <m:r>
                    <m:rPr>
                      <m:sty m:val="p"/>
                    </m:rPr>
                    <m:t>*</m:t>
                  </m:r>
                </m:sup>
              </m:sSup>
              <m:r>
                <m:rPr>
                  <m:sty m:val="p"/>
                </m:rPr>
                <m:t>=</m:t>
              </m:r>
              <m:r>
                <m:t>0</m:t>
              </m:r>
            </m:oMath>
          </w:p>
        </w:tc>
      </w:tr>
      <w:tr>
        <w:tc>
          <w:tcPr/>
          <w:p>
            <w:pPr>
              <w:pStyle w:val="Compact"/>
            </w:pPr>
            <w:r>
              <w:rPr>
                <w:rFonts w:hint="eastAsia"/>
                <w:sz w:val="18"/>
              </w:rPr>
              <w:t xml:space="preserve">価格過程の仕様と下端の扱い</w:t>
            </w:r>
          </w:p>
        </w:tc>
        <w:tc>
          <w:tcPr/>
          <w:p>
            <w:pPr>
              <w:pStyle w:val="Compact"/>
            </w:pPr>
            <w:r>
              <w:rPr>
                <w:rFonts w:hint="eastAsia"/>
                <w:sz w:val="18"/>
              </w:rPr>
              <w:t xml:space="preserve">仕様A、線形外挿、分断混合（泊3号〜全基）</w:t>
            </w:r>
          </w:p>
        </w:tc>
        <w:tc>
          <w:tcPr/>
          <w:p>
            <w:pPr>
              <w:pStyle w:val="Compact"/>
            </w:pPr>
            <m:oMath>
              <m:r>
                <m:t>π</m:t>
              </m:r>
              <m:r>
                <m:rPr>
                  <m:sty m:val="p"/>
                </m:rPr>
                <m:t>(</m:t>
              </m:r>
              <m:r>
                <m:t>0</m:t>
              </m:r>
              <m:r>
                <m:rPr>
                  <m:sty m:val="p"/>
                </m:rPr>
                <m:t>)</m:t>
              </m:r>
            </m:oMath>
            <w:r>
              <w:rPr>
                <w:sz w:val="18"/>
              </w:rPr>
              <w:t xml:space="preserve"> </w:t>
            </w:r>
            <w:r>
              <w:rPr>
                <w:rFonts w:hint="eastAsia"/>
                <w:sz w:val="18"/>
              </w:rPr>
              <w:t xml:space="preserve">4,625〜7,384円、</w:t>
            </w:r>
            <m:oMath>
              <m:sSup>
                <m:e>
                  <m:r>
                    <m:t>θ</m:t>
                  </m:r>
                </m:e>
                <m:sup>
                  <m:r>
                    <m:rPr>
                      <m:sty m:val="p"/>
                    </m:rPr>
                    <m:t>*</m:t>
                  </m:r>
                </m:sup>
              </m:sSup>
            </m:oMath>
            <w:r>
              <w:rPr>
                <w:sz w:val="18"/>
              </w:rPr>
              <w:t xml:space="preserve"> </w:t>
            </w:r>
            <w:r>
              <w:rPr>
                <w:sz w:val="18"/>
              </w:rPr>
              <w:t xml:space="preserve">2.75〜3.95</w:t>
            </w:r>
          </w:p>
        </w:tc>
        <w:tc>
          <w:tcPr/>
          <w:p>
            <w:pPr>
              <w:pStyle w:val="Compact"/>
            </w:pPr>
            <w:r>
              <w:rPr>
                <w:rFonts w:hint="eastAsia"/>
                <w:sz w:val="18"/>
              </w:rPr>
              <w:t xml:space="preserve">不変</w:t>
            </w:r>
          </w:p>
        </w:tc>
      </w:tr>
      <w:tr>
        <w:tc>
          <w:tcPr/>
          <w:p>
            <w:pPr>
              <w:pStyle w:val="Compact"/>
            </w:pPr>
            <w:r>
              <w:rPr>
                <w:rFonts w:hint="eastAsia"/>
                <w:sz w:val="18"/>
              </w:rPr>
              <w:t xml:space="preserve">風力導入量と泊の組合せ</w:t>
            </w:r>
          </w:p>
        </w:tc>
        <w:tc>
          <w:tcPr/>
          <w:p>
            <w:pPr>
              <w:pStyle w:val="Compact"/>
            </w:pPr>
            <w:r>
              <w:rPr>
                <w:rFonts w:hint="eastAsia"/>
                <w:sz w:val="18"/>
              </w:rPr>
              <w:t xml:space="preserve">風力0.5〜3倍、泊の有無</w:t>
            </w:r>
          </w:p>
        </w:tc>
        <w:tc>
          <w:tcPr/>
          <w:p>
            <w:pPr>
              <w:pStyle w:val="Compact"/>
            </w:pPr>
            <m:oMath>
              <m:r>
                <m:t>π</m:t>
              </m:r>
              <m:r>
                <m:rPr>
                  <m:sty m:val="p"/>
                </m:rPr>
                <m:t>(</m:t>
              </m:r>
              <m:r>
                <m:t>0</m:t>
              </m:r>
              <m:r>
                <m:rPr>
                  <m:sty m:val="p"/>
                </m:rPr>
                <m:t>)</m:t>
              </m:r>
            </m:oMath>
            <w:r>
              <w:rPr>
                <w:sz w:val="18"/>
              </w:rPr>
              <w:t xml:space="preserve"> </w:t>
            </w:r>
            <w:r>
              <w:rPr>
                <w:rFonts w:hint="eastAsia"/>
                <w:sz w:val="18"/>
              </w:rPr>
              <w:t xml:space="preserve">の最大7,177円</w:t>
            </w:r>
          </w:p>
        </w:tc>
        <w:tc>
          <w:tcPr/>
          <w:p>
            <w:pPr>
              <w:pStyle w:val="Compact"/>
            </w:pPr>
            <w:r>
              <w:rPr>
                <w:rFonts w:hint="eastAsia"/>
                <w:sz w:val="18"/>
              </w:rPr>
              <w:t xml:space="preserve">不変</w:t>
            </w:r>
          </w:p>
        </w:tc>
      </w:tr>
      <w:tr>
        <w:tc>
          <w:tcPr/>
          <w:p>
            <w:pPr>
              <w:pStyle w:val="Compact"/>
            </w:pPr>
            <w:r>
              <w:rPr>
                <w:rFonts w:hint="eastAsia"/>
                <w:sz w:val="18"/>
              </w:rPr>
              <w:t xml:space="preserve">フリートの情報の仮定</w:t>
            </w:r>
          </w:p>
        </w:tc>
        <w:tc>
          <w:tcPr/>
          <w:p>
            <w:pPr>
              <w:pStyle w:val="Compact"/>
            </w:pPr>
            <w:r>
              <w:rPr>
                <w:rFonts w:hint="eastAsia"/>
                <w:sz w:val="18"/>
              </w:rPr>
              <w:t xml:space="preserve">完全予見、戦略</w:t>
            </w:r>
            <w:r>
              <w:rPr>
                <w:sz w:val="18"/>
              </w:rPr>
              <w:t xml:space="preserve"> c </w:t>
            </w:r>
            <w:r>
              <w:rPr>
                <w:rFonts w:hint="eastAsia"/>
                <w:sz w:val="18"/>
              </w:rPr>
              <w:t xml:space="preserve">の窓、半々</w:t>
            </w:r>
          </w:p>
        </w:tc>
        <w:tc>
          <w:tcPr/>
          <w:p>
            <w:pPr>
              <w:pStyle w:val="Compact"/>
            </w:pPr>
            <m:oMath>
              <m:r>
                <m:t>π</m:t>
              </m:r>
              <m:r>
                <m:rPr>
                  <m:sty m:val="p"/>
                </m:rPr>
                <m:t>=</m:t>
              </m:r>
              <m:r>
                <m:t>0</m:t>
              </m:r>
            </m:oMath>
            <w:r>
              <w:rPr>
                <w:sz w:val="18"/>
              </w:rPr>
              <w:t xml:space="preserve"> </w:t>
            </w:r>
            <w:r>
              <w:rPr>
                <w:sz w:val="18"/>
              </w:rPr>
              <w:t xml:space="preserve">の</w:t>
            </w:r>
            <w:r>
              <w:rPr>
                <w:sz w:val="18"/>
              </w:rPr>
              <w:t xml:space="preserve"> </w:t>
            </w:r>
            <m:oMath>
              <m:r>
                <m:t>K</m:t>
              </m:r>
            </m:oMath>
            <w:r>
              <w:rPr>
                <w:sz w:val="18"/>
              </w:rPr>
              <w:t xml:space="preserve"> </w:t>
            </w:r>
            <w:r>
              <w:rPr>
                <w:rFonts w:hint="eastAsia"/>
                <w:sz w:val="18"/>
              </w:rPr>
              <w:t xml:space="preserve">53〜72万kW</w:t>
            </w:r>
          </w:p>
        </w:tc>
        <w:tc>
          <w:tcPr/>
          <w:p>
            <w:pPr>
              <w:pStyle w:val="Compact"/>
            </w:pPr>
            <w:r>
              <w:rPr>
                <w:rFonts w:hint="eastAsia"/>
                <w:sz w:val="18"/>
              </w:rPr>
              <w:t xml:space="preserve">不変</w:t>
            </w:r>
          </w:p>
        </w:tc>
      </w:tr>
      <w:tr>
        <w:tc>
          <w:tcPr/>
          <w:p>
            <w:pPr>
              <w:pStyle w:val="Compact"/>
            </w:pPr>
            <w:r>
              <w:rPr>
                <w:rFonts w:hint="eastAsia"/>
                <w:sz w:val="18"/>
              </w:rPr>
              <w:t xml:space="preserve">校正係数</w:t>
            </w:r>
            <w:r>
              <w:rPr>
                <w:sz w:val="18"/>
              </w:rPr>
              <w:t xml:space="preserve"> </w:t>
            </w:r>
            <m:oMath>
              <m:r>
                <m:t>λ</m:t>
              </m:r>
            </m:oMath>
          </w:p>
        </w:tc>
        <w:tc>
          <w:tcPr/>
          <w:p>
            <w:pPr>
              <w:pStyle w:val="Compact"/>
            </w:pPr>
            <w:r>
              <w:rPr>
                <w:rFonts w:hint="eastAsia"/>
                <w:sz w:val="18"/>
              </w:rPr>
              <w:t xml:space="preserve">95%区間1.03〜1.19、</w:t>
            </w:r>
            <m:oMath>
              <m:r>
                <m:t>λ</m:t>
              </m:r>
              <m:r>
                <m:rPr>
                  <m:sty m:val="p"/>
                </m:rPr>
                <m:t>=</m:t>
              </m:r>
              <m:r>
                <m:t>1</m:t>
              </m:r>
            </m:oMath>
            <w:r>
              <w:rPr>
                <w:rFonts w:hint="eastAsia"/>
                <w:sz w:val="18"/>
              </w:rPr>
              <w:t xml:space="preserve">、期間外の比1.23・1.60</w:t>
            </w:r>
          </w:p>
        </w:tc>
        <w:tc>
          <w:tcPr/>
          <w:p>
            <w:pPr>
              <w:pStyle w:val="Compact"/>
            </w:pPr>
            <m:oMath>
              <m:sSup>
                <m:e>
                  <m:r>
                    <m:t>θ</m:t>
                  </m:r>
                </m:e>
                <m:sup>
                  <m:r>
                    <m:rPr>
                      <m:sty m:val="p"/>
                    </m:rPr>
                    <m:t>*</m:t>
                  </m:r>
                </m:sup>
              </m:sSup>
            </m:oMath>
            <w:r>
              <w:rPr>
                <w:sz w:val="18"/>
              </w:rPr>
              <w:t xml:space="preserve"> </w:t>
            </w:r>
            <w:r>
              <w:rPr>
                <w:rFonts w:hint="eastAsia"/>
                <w:sz w:val="18"/>
              </w:rPr>
              <w:t xml:space="preserve">2.78〜3.21、3.31、約2.7・約2.1</w:t>
            </w:r>
          </w:p>
        </w:tc>
        <w:tc>
          <w:tcPr/>
          <w:p>
            <w:pPr>
              <w:pStyle w:val="Compact"/>
            </w:pPr>
            <w:r>
              <w:rPr>
                <w:rFonts w:hint="eastAsia"/>
                <w:sz w:val="18"/>
              </w:rPr>
              <w:t xml:space="preserve">不変</w:t>
            </w:r>
          </w:p>
        </w:tc>
      </w:tr>
      <w:tr>
        <w:tc>
          <w:tcPr/>
          <w:p>
            <w:pPr>
              <w:pStyle w:val="Compact"/>
            </w:pPr>
            <w:r>
              <w:rPr>
                <w:rFonts w:hint="eastAsia"/>
                <w:sz w:val="18"/>
              </w:rPr>
              <w:t xml:space="preserve">割引率</w:t>
            </w:r>
          </w:p>
        </w:tc>
        <w:tc>
          <w:tcPr/>
          <w:p>
            <w:pPr>
              <w:pStyle w:val="Compact"/>
            </w:pPr>
            <w:r>
              <w:rPr>
                <w:sz w:val="18"/>
              </w:rPr>
              <w:t xml:space="preserve">5%〜9%</w:t>
            </w:r>
          </w:p>
        </w:tc>
        <w:tc>
          <w:tcPr/>
          <w:p>
            <w:pPr>
              <w:pStyle w:val="Compact"/>
            </w:pPr>
            <m:oMath>
              <m:sSup>
                <m:e>
                  <m:r>
                    <m:t>θ</m:t>
                  </m:r>
                </m:e>
                <m:sup>
                  <m:r>
                    <m:rPr>
                      <m:sty m:val="p"/>
                    </m:rPr>
                    <m:t>*</m:t>
                  </m:r>
                </m:sup>
              </m:sSup>
            </m:oMath>
            <w:r>
              <w:rPr>
                <w:sz w:val="18"/>
              </w:rPr>
              <w:t xml:space="preserve"> </w:t>
            </w:r>
            <w:r>
              <w:rPr>
                <w:sz w:val="18"/>
              </w:rPr>
              <w:t xml:space="preserve">2.76〜3.71</w:t>
            </w:r>
          </w:p>
        </w:tc>
        <w:tc>
          <w:tcPr/>
          <w:p>
            <w:pPr>
              <w:pStyle w:val="Compact"/>
            </w:pPr>
            <w:r>
              <w:rPr>
                <w:rFonts w:hint="eastAsia"/>
                <w:sz w:val="18"/>
              </w:rPr>
              <w:t xml:space="preserve">不変</w:t>
            </w:r>
          </w:p>
        </w:tc>
      </w:tr>
      <w:tr>
        <w:tc>
          <w:tcPr/>
          <w:p>
            <w:pPr>
              <w:pStyle w:val="Compact"/>
            </w:pPr>
            <w:r>
              <w:rPr>
                <w:rFonts w:hint="eastAsia"/>
                <w:sz w:val="18"/>
              </w:rPr>
              <w:t xml:space="preserve">容量市場の参加区分</w:t>
            </w:r>
          </w:p>
        </w:tc>
        <w:tc>
          <w:tcPr/>
          <w:p>
            <w:pPr>
              <w:pStyle w:val="Compact"/>
            </w:pPr>
            <w:r>
              <w:rPr>
                <w:rFonts w:hint="eastAsia"/>
                <w:sz w:val="18"/>
              </w:rPr>
              <w:t xml:space="preserve">発動指令電源（実効0.83万円）</w:t>
            </w:r>
          </w:p>
        </w:tc>
        <w:tc>
          <w:tcPr/>
          <w:p>
            <w:pPr>
              <w:pStyle w:val="Compact"/>
            </w:pPr>
            <m:oMath>
              <m:sSup>
                <m:e>
                  <m:r>
                    <m:t>θ</m:t>
                  </m:r>
                </m:e>
                <m:sup>
                  <m:r>
                    <m:rPr>
                      <m:sty m:val="p"/>
                    </m:rPr>
                    <m:t>*</m:t>
                  </m:r>
                </m:sup>
              </m:sSup>
            </m:oMath>
            <w:r>
              <w:rPr>
                <w:sz w:val="18"/>
              </w:rPr>
              <w:t xml:space="preserve"> </w:t>
            </w:r>
            <w:r>
              <w:rPr>
                <w:sz w:val="18"/>
              </w:rPr>
              <w:t xml:space="preserve">3.48</w:t>
            </w:r>
          </w:p>
        </w:tc>
        <w:tc>
          <w:tcPr/>
          <w:p>
            <w:pPr>
              <w:pStyle w:val="Compact"/>
            </w:pPr>
            <w:r>
              <w:rPr>
                <w:rFonts w:hint="eastAsia"/>
                <w:sz w:val="18"/>
              </w:rPr>
              <w:t xml:space="preserve">不変</w:t>
            </w:r>
          </w:p>
        </w:tc>
      </w:tr>
      <w:tr>
        <w:tc>
          <w:tcPr/>
          <w:p>
            <w:pPr>
              <w:pStyle w:val="Compact"/>
            </w:pPr>
            <w:r>
              <w:rPr>
                <w:rFonts w:hint="eastAsia"/>
                <w:sz w:val="18"/>
              </w:rPr>
              <w:t xml:space="preserve">既設・契約型の容量</w:t>
            </w:r>
          </w:p>
        </w:tc>
        <w:tc>
          <w:tcPr/>
          <w:p>
            <w:pPr>
              <w:pStyle w:val="Compact"/>
            </w:pPr>
            <m:oMath>
              <m:sSub>
                <m:e>
                  <m:r>
                    <m:t>K</m:t>
                  </m:r>
                </m:e>
                <m:sub>
                  <m:r>
                    <m:rPr>
                      <m:sty m:val="p"/>
                    </m:rPr>
                    <m:t>e</m:t>
                  </m:r>
                  <m:r>
                    <m:rPr>
                      <m:sty m:val="p"/>
                    </m:rPr>
                    <m:t>x</m:t>
                  </m:r>
                  <m:r>
                    <m:rPr>
                      <m:sty m:val="p"/>
                    </m:rPr>
                    <m:t>o</m:t>
                  </m:r>
                </m:sub>
              </m:sSub>
              <m:r>
                <m:rPr>
                  <m:sty m:val="p"/>
                </m:rPr>
                <m:t>=</m:t>
              </m:r>
              <m:r>
                <m:t>20</m:t>
              </m:r>
            </m:oMath>
            <w:r>
              <w:rPr>
                <w:rFonts w:hint="eastAsia"/>
                <w:sz w:val="18"/>
              </w:rPr>
              <w:t xml:space="preserve">万kW、87.4万kW</w:t>
            </w:r>
          </w:p>
        </w:tc>
        <w:tc>
          <w:tcPr/>
          <w:p>
            <w:pPr>
              <w:pStyle w:val="Compact"/>
            </w:pPr>
            <m:oMath>
              <m:sSup>
                <m:e>
                  <m:r>
                    <m:t>θ</m:t>
                  </m:r>
                </m:e>
                <m:sup>
                  <m:r>
                    <m:rPr>
                      <m:sty m:val="p"/>
                    </m:rPr>
                    <m:t>*</m:t>
                  </m:r>
                </m:sup>
              </m:sSup>
            </m:oMath>
            <w:r>
              <w:rPr>
                <w:sz w:val="18"/>
              </w:rPr>
              <w:t xml:space="preserve"> </w:t>
            </w:r>
            <w:r>
              <w:rPr>
                <w:rFonts w:hint="eastAsia"/>
                <w:sz w:val="18"/>
              </w:rPr>
              <w:t xml:space="preserve">4.05、約26</w:t>
            </w:r>
          </w:p>
        </w:tc>
        <w:tc>
          <w:tcPr/>
          <w:p>
            <w:pPr>
              <w:pStyle w:val="Compact"/>
            </w:pPr>
            <w:r>
              <w:rPr>
                <w:rFonts w:hint="eastAsia"/>
                <w:sz w:val="18"/>
              </w:rPr>
              <w:t xml:space="preserve">不変</w:t>
            </w:r>
          </w:p>
        </w:tc>
      </w:tr>
      <w:tr>
        <w:tc>
          <w:tcPr/>
          <w:p>
            <w:pPr>
              <w:pStyle w:val="Compact"/>
            </w:pPr>
            <w:r>
              <w:rPr>
                <w:rFonts w:hint="eastAsia"/>
                <w:sz w:val="18"/>
              </w:rPr>
              <w:t xml:space="preserve">容量市場価格の</w:t>
            </w:r>
            <w:r>
              <w:rPr>
                <w:sz w:val="18"/>
              </w:rPr>
              <w:t xml:space="preserve"> </w:t>
            </w:r>
            <m:oMath>
              <m:r>
                <m:t>K</m:t>
              </m:r>
            </m:oMath>
            <w:r>
              <w:rPr>
                <w:sz w:val="18"/>
              </w:rPr>
              <w:t xml:space="preserve"> </w:t>
            </w:r>
            <w:r>
              <w:rPr>
                <w:rFonts w:hint="eastAsia"/>
                <w:sz w:val="18"/>
              </w:rPr>
              <w:t xml:space="preserve">依存</w:t>
            </w:r>
          </w:p>
        </w:tc>
        <w:tc>
          <w:tcPr/>
          <w:p>
            <w:pPr>
              <w:pStyle w:val="Compact"/>
            </w:pPr>
            <w:r>
              <w:rPr>
                <w:rFonts w:hint="eastAsia"/>
                <w:sz w:val="18"/>
              </w:rPr>
              <w:t xml:space="preserve">北海道ブロック按分、全国連系</w:t>
            </w:r>
          </w:p>
        </w:tc>
        <w:tc>
          <w:tcPr/>
          <w:p>
            <w:pPr>
              <w:pStyle w:val="Compact"/>
            </w:pPr>
            <w:r>
              <w:rPr>
                <w:rFonts w:hint="eastAsia"/>
                <w:sz w:val="18"/>
              </w:rPr>
              <w:t xml:space="preserve">按分では約27万kW</w:t>
            </w:r>
            <w:r>
              <w:rPr>
                <w:sz w:val="18"/>
              </w:rPr>
              <w:t xml:space="preserve"> </w:t>
            </w:r>
            <w:r>
              <w:rPr>
                <w:rFonts w:hint="eastAsia"/>
                <w:sz w:val="18"/>
              </w:rPr>
              <w:t xml:space="preserve">で約定価格0</w:t>
            </w:r>
          </w:p>
        </w:tc>
        <w:tc>
          <w:tcPr/>
          <w:p>
            <w:pPr>
              <w:pStyle w:val="Compact"/>
            </w:pPr>
            <w:r>
              <w:rPr>
                <w:rFonts w:hint="eastAsia"/>
                <w:sz w:val="18"/>
              </w:rPr>
              <w:t xml:space="preserve">不変</w:t>
            </w:r>
          </w:p>
        </w:tc>
      </w:tr>
      <w:tr>
        <w:tc>
          <w:tcPr/>
          <w:p>
            <w:pPr>
              <w:pStyle w:val="Compact"/>
            </w:pPr>
            <w:r>
              <w:rPr>
                <w:rFonts w:hint="eastAsia"/>
                <w:sz w:val="18"/>
              </w:rPr>
              <w:t xml:space="preserve">需給調整市場のレント</w:t>
            </w:r>
          </w:p>
        </w:tc>
        <w:tc>
          <w:tcPr/>
          <w:p>
            <w:pPr>
              <w:pStyle w:val="Compact"/>
            </w:pPr>
            <w:r>
              <w:rPr>
                <w:rFonts w:hint="eastAsia"/>
                <w:sz w:val="18"/>
              </w:rPr>
              <w:t xml:space="preserve">上限</w:t>
            </w:r>
            <w:r>
              <w:rPr>
                <w:sz w:val="18"/>
              </w:rPr>
              <w:t xml:space="preserve"> </w:t>
            </w:r>
            <m:oMath>
              <m:r>
                <m:rPr>
                  <m:sty m:val="p"/>
                </m:rPr>
                <m:t>min</m:t>
              </m:r>
              <m:r>
                <m:rPr>
                  <m:sty m:val="p"/>
                </m:rPr>
                <m:t>(</m:t>
              </m:r>
              <m:r>
                <m:t>Q</m:t>
              </m:r>
              <m:r>
                <m:rPr>
                  <m:sty m:val="p"/>
                </m:rPr>
                <m:t>/</m:t>
              </m:r>
              <m:r>
                <m:t>K</m:t>
              </m:r>
              <m:r>
                <m:rPr>
                  <m:sty m:val="p"/>
                </m:rPr>
                <m:t>,</m:t>
              </m:r>
              <m:r>
                <m:t>1</m:t>
              </m:r>
              <m:r>
                <m:rPr>
                  <m:sty m:val="p"/>
                </m:rPr>
                <m:t>)</m:t>
              </m:r>
              <m:r>
                <m:rPr>
                  <m:sty m:val="p"/>
                </m:rPr>
                <m:t>×</m:t>
              </m:r>
              <m:r>
                <m:t>2</m:t>
              </m:r>
              <m:sSub>
                <m:e>
                  <m:r>
                    <m:t>p</m:t>
                  </m:r>
                </m:e>
                <m:sub>
                  <m:r>
                    <m:rPr>
                      <m:sty m:val="p"/>
                    </m:rPr>
                    <m:t>Δ</m:t>
                  </m:r>
                </m:sub>
              </m:sSub>
              <m:r>
                <m:rPr>
                  <m:sty m:val="p"/>
                </m:rPr>
                <m:t>×</m:t>
              </m:r>
              <m:r>
                <m:t>8</m:t>
              </m:r>
              <m:r>
                <m:rPr>
                  <m:sty m:val="p"/>
                </m:rPr>
                <m:t>,</m:t>
              </m:r>
              <m:r>
                <m:t>760</m:t>
              </m:r>
            </m:oMath>
          </w:p>
        </w:tc>
        <w:tc>
          <w:tcPr/>
          <w:p>
            <w:pPr>
              <w:pStyle w:val="Compact"/>
            </w:pPr>
            <w:r>
              <w:rPr>
                <w:rFonts w:hint="eastAsia"/>
                <w:sz w:val="18"/>
              </w:rPr>
              <w:t xml:space="preserve">50万kW</w:t>
            </w:r>
            <w:r>
              <w:rPr>
                <w:sz w:val="18"/>
              </w:rPr>
              <w:t xml:space="preserve"> </w:t>
            </w:r>
            <w:r>
              <w:rPr>
                <w:rFonts w:hint="eastAsia"/>
                <w:sz w:val="18"/>
              </w:rPr>
              <w:t xml:space="preserve">で17,520〜262,800円</w:t>
            </w:r>
          </w:p>
        </w:tc>
        <w:tc>
          <w:tcPr/>
          <w:p>
            <w:pPr>
              <w:pStyle w:val="Compact"/>
            </w:pPr>
            <w:r>
              <w:rPr>
                <w:rFonts w:hint="eastAsia"/>
                <w:sz w:val="18"/>
              </w:rPr>
              <w:t xml:space="preserve">覆りうる（支えうる容量は</w:t>
            </w:r>
            <w:r>
              <w:rPr>
                <w:sz w:val="18"/>
              </w:rPr>
              <w:t xml:space="preserve"> </w:t>
            </w:r>
            <m:oMath>
              <m:r>
                <m:t>Q</m:t>
              </m:r>
            </m:oMath>
            <w:r>
              <w:rPr>
                <w:sz w:val="18"/>
              </w:rPr>
              <w:t xml:space="preserve"> </w:t>
            </w:r>
            <w:r>
              <w:rPr>
                <w:rFonts w:hint="eastAsia"/>
                <w:sz w:val="18"/>
              </w:rPr>
              <w:t xml:space="preserve">程度まで）</w:t>
            </w:r>
          </w:p>
        </w:tc>
      </w:tr>
    </w:tbl>
    <w:p>
      <w:pPr>
        <w:pStyle w:val="TableNote"/>
      </w:pPr>
      <w:r>
        <w:rPr>
          <w:rFonts w:hint="eastAsia"/>
        </w:rPr>
        <w:t xml:space="preserve">注）</w:t>
      </w:r>
      <m:oMath>
        <m:sSup>
          <m:e>
            <m:r>
              <m:t>θ</m:t>
            </m:r>
          </m:e>
          <m:sup>
            <m:r>
              <m:rPr>
                <m:sty m:val="p"/>
              </m:rPr>
              <m:t>*</m:t>
            </m:r>
          </m:sup>
        </m:sSup>
      </m:oMath>
      <w:r>
        <w:t xml:space="preserve"> </w:t>
      </w:r>
      <w:r>
        <w:rPr>
          <w:rFonts w:hint="eastAsia"/>
        </w:rPr>
        <w:t xml:space="preserve">は式(4.8)（WACC</w:t>
      </w:r>
      <w:r>
        <w:t xml:space="preserve"> </w:t>
      </w:r>
      <w:r>
        <w:rPr>
          <w:rFonts w:hint="eastAsia"/>
        </w:rPr>
        <w:t xml:space="preserve">6%、実績整合ケース）による。校正係数の期間外の比は、FY2026上期と</w:t>
      </w:r>
      <w:r>
        <w:t xml:space="preserve"> FY2022 </w:t>
      </w:r>
      <w:r>
        <w:rPr>
          <w:rFonts w:hint="eastAsia"/>
        </w:rPr>
        <w:t xml:space="preserve">の戦略</w:t>
      </w:r>
      <w:r>
        <w:t xml:space="preserve"> c </w:t>
      </w:r>
      <w:r>
        <w:rPr>
          <w:rFonts w:hint="eastAsia"/>
        </w:rPr>
        <w:t xml:space="preserve">の実績とモデルの比（7.2.1項）を</w:t>
      </w:r>
      <w:r>
        <w:t xml:space="preserve"> </w:t>
      </w:r>
      <m:oMath>
        <m:r>
          <m:t>λ</m:t>
        </m:r>
      </m:oMath>
      <w:r>
        <w:t xml:space="preserve"> </w:t>
      </w:r>
      <w:r>
        <w:rPr>
          <w:rFonts w:hint="eastAsia"/>
        </w:rPr>
        <w:t xml:space="preserve">の代わりに当てた場合である。容量市場の参加区分の比較の対象は安定電源（実効1.25万円）。容量市場価格の</w:t>
      </w:r>
      <w:r>
        <w:t xml:space="preserve"> </w:t>
      </w:r>
      <m:oMath>
        <m:r>
          <m:t>K</m:t>
        </m:r>
      </m:oMath>
      <w:r>
        <w:t xml:space="preserve"> </w:t>
      </w:r>
      <w:r>
        <w:rPr>
          <w:rFonts w:hint="eastAsia"/>
        </w:rPr>
        <w:t xml:space="preserve">依存は</w:t>
      </w:r>
      <w:r>
        <w:t xml:space="preserve"> </w:t>
      </w:r>
      <m:oMath>
        <m:r>
          <m:t>K</m:t>
        </m:r>
        <m:r>
          <m:rPr>
            <m:sty m:val="p"/>
          </m:rPr>
          <m:t>&gt;</m:t>
        </m:r>
        <m:r>
          <m:t>0</m:t>
        </m:r>
      </m:oMath>
      <w:r>
        <w:t xml:space="preserve"> </w:t>
      </w:r>
      <w:r>
        <w:rPr>
          <w:rFonts w:hint="eastAsia"/>
        </w:rPr>
        <w:t xml:space="preserve">の収入だけを下げるので、</w:t>
      </w:r>
      <m:oMath>
        <m:r>
          <m:t>K</m:t>
        </m:r>
        <m:r>
          <m:rPr>
            <m:sty m:val="p"/>
          </m:rPr>
          <m:t>=</m:t>
        </m:r>
        <m:r>
          <m:t>0</m:t>
        </m:r>
      </m:oMath>
      <w:r>
        <w:t xml:space="preserve"> </w:t>
      </w:r>
      <w:r>
        <w:rPr>
          <w:rFonts w:hint="eastAsia"/>
        </w:rPr>
        <w:t xml:space="preserve">で決まる判定には効かない。</w:t>
      </w:r>
      <m:oMath>
        <m:r>
          <m:t>Q</m:t>
        </m:r>
      </m:oMath>
      <w:r>
        <w:t xml:space="preserve"> </w:t>
      </w:r>
      <w:r>
        <w:rPr>
          <w:rFonts w:hint="eastAsia"/>
        </w:rPr>
        <w:t xml:space="preserve">は北海道の調達量（10〜50万kW</w:t>
      </w:r>
      <w:r>
        <w:t xml:space="preserve"> </w:t>
      </w:r>
      <w:r>
        <w:rPr>
          <w:rFonts w:hint="eastAsia"/>
        </w:rPr>
        <w:t xml:space="preserve">の仮定）、</w:t>
      </w:r>
      <m:oMath>
        <m:sSub>
          <m:e>
            <m:r>
              <m:t>p</m:t>
            </m:r>
          </m:e>
          <m:sub>
            <m:r>
              <m:rPr>
                <m:sty m:val="p"/>
              </m:rPr>
              <m:t>Δ</m:t>
            </m:r>
          </m:sub>
        </m:sSub>
      </m:oMath>
      <w:r>
        <w:t xml:space="preserve"> </w:t>
      </w:r>
      <w:r>
        <w:t xml:space="preserve">は ΔkW </w:t>
      </w:r>
      <w:r>
        <w:rPr>
          <w:rFonts w:hint="eastAsia"/>
        </w:rPr>
        <w:t xml:space="preserve">価格（5〜15円/ΔkW・h）で、レントはスポット裁定と排他的なので、</w:t>
      </w:r>
      <m:oMath>
        <m:r>
          <m:t>π</m:t>
        </m:r>
        <m:r>
          <m:rPr>
            <m:sty m:val="p"/>
          </m:rPr>
          <m:t>(</m:t>
        </m:r>
        <m:r>
          <m:t>K</m:t>
        </m:r>
        <m:r>
          <m:rPr>
            <m:sty m:val="p"/>
          </m:rPr>
          <m:t>)</m:t>
        </m:r>
      </m:oMath>
      <w:r>
        <w:t xml:space="preserve"> </w:t>
      </w:r>
      <w:r>
        <w:rPr>
          <w:rFonts w:hint="eastAsia"/>
        </w:rPr>
        <w:t xml:space="preserve">と置き換えて比べる上限である。詳細は付録C.3.6</w:t>
      </w:r>
      <w:r>
        <w:t xml:space="preserve"> </w:t>
      </w:r>
      <w:r>
        <w:rPr>
          <w:rFonts w:hint="eastAsia"/>
        </w:rPr>
        <w:t xml:space="preserve">に示す。</w:t>
      </w:r>
    </w:p>
    <w:p>
      <w:pPr>
        <w:pStyle w:val="TableNote"/>
      </w:pPr>
      <w:r>
        <w:rPr>
          <w:rFonts w:hint="eastAsia"/>
        </w:rPr>
        <w:t xml:space="preserve">出所）表7.1</w:t>
      </w:r>
      <w:r>
        <w:t xml:space="preserve"> </w:t>
      </w:r>
      <w:r>
        <w:rPr>
          <w:rFonts w:hint="eastAsia"/>
        </w:rPr>
        <w:t xml:space="preserve">の出所、電力広域的運営推進機関『容量市場メインオークション約定結果』『メインオークション需要曲線』より筆者作成。</w:t>
      </w:r>
    </w:p>
    <w:p>
      <w:pPr>
        <w:pStyle w:val="BodyText"/>
      </w:pPr>
      <w:r>
        <w:rPr>
          <w:rFonts w:hint="eastAsia"/>
        </w:rPr>
        <w:t xml:space="preserve">風力導入量と蓄電池容量の2次元の感応度面では、仕様A′</w:t>
      </w:r>
      <w:r>
        <w:t xml:space="preserve"> </w:t>
      </w:r>
      <w:r>
        <w:rPr>
          <w:rFonts w:hint="eastAsia"/>
        </w:rPr>
        <w:t xml:space="preserve">で風力を3倍にしても</w:t>
      </w:r>
      <w:r>
        <w:t xml:space="preserve"> </w:t>
      </w:r>
      <m:oMath>
        <m:r>
          <m:t>π</m:t>
        </m:r>
        <m:r>
          <m:rPr>
            <m:sty m:val="p"/>
          </m:rPr>
          <m:t>(</m:t>
        </m:r>
        <m:r>
          <m:t>0</m:t>
        </m:r>
        <m:r>
          <m:rPr>
            <m:sty m:val="p"/>
          </m:rPr>
          <m:t>)</m:t>
        </m:r>
      </m:oMath>
      <w:r>
        <w:t xml:space="preserve"> </w:t>
      </w:r>
      <w:r>
        <w:rPr>
          <w:rFonts w:hint="eastAsia"/>
        </w:rPr>
        <w:t xml:space="preserve">は6,434円にむしろ下がる。フリート50万kW</w:t>
      </w:r>
      <w:r>
        <w:t xml:space="preserve"> </w:t>
      </w:r>
      <w:r>
        <w:rPr>
          <w:rFonts w:hint="eastAsia"/>
        </w:rPr>
        <w:t xml:space="preserve">分のカニバリゼーション（6,675円から1,888円）のほうが、風力の効果よりはるかに大きい（表C.26、図7.3）。既設・契約型の容量を外生に置くと</w:t>
      </w:r>
      <w:r>
        <w:t xml:space="preserve"> </w:t>
      </w:r>
      <m:oMath>
        <m:sSup>
          <m:e>
            <m:r>
              <m:t>θ</m:t>
            </m:r>
          </m:e>
          <m:sup>
            <m:r>
              <m:rPr>
                <m:sty m:val="p"/>
              </m:rPr>
              <m:t>*</m:t>
            </m:r>
          </m:sup>
        </m:sSup>
      </m:oMath>
      <w:r>
        <w:t xml:space="preserve"> </w:t>
      </w:r>
      <w:r>
        <w:rPr>
          <w:rFonts w:hint="eastAsia"/>
        </w:rPr>
        <w:t xml:space="preserve">は大きく上がるが、推定期間の価格には当時稼働していた蓄電池の影響がすでに入っているので、その値は二重計上を含む上限側である。容量市場の約定価格は、需要曲線を北海道の需要シェアで按分した近似では、蓄電池の追加4.4万kW</w:t>
      </w:r>
      <w:r>
        <w:t xml:space="preserve"> </w:t>
      </w:r>
      <w:r>
        <w:rPr>
          <w:rFonts w:hint="eastAsia"/>
        </w:rPr>
        <w:t xml:space="preserve">で指標価格まで下がる（表C.27）。容量市場側のカニバリゼーションはスポット側より速く、2030年度向けの指標価格の引上げによる容量収入の上振れを打ち消す側に働く。</w:t>
      </w:r>
    </w:p>
    <w:p>
      <w:pPr>
        <w:pStyle w:val="CaptionedFigure"/>
      </w:pPr>
      <w:r>
        <w:drawing>
          <wp:inline>
            <wp:extent cx="5399999" cy="3540983"/>
            <wp:effectExtent b="0" l="0" r="0" t="0"/>
            <wp:docPr descr="図7.3　風力導入量別の限界参入者の実現可能収益" title="" id="188" name="Picture"/>
            <a:graphic>
              <a:graphicData uri="http://schemas.openxmlformats.org/drawingml/2006/picture">
                <pic:pic>
                  <pic:nvPicPr>
                    <pic:cNvPr descr="../figures/hokkaido/equilibrium_surface_v3.png" id="189" name="Picture"/>
                    <pic:cNvPicPr>
                      <a:picLocks noChangeArrowheads="1" noChangeAspect="1"/>
                    </pic:cNvPicPr>
                  </pic:nvPicPr>
                  <pic:blipFill>
                    <a:blip r:embed="rId187"/>
                    <a:stretch>
                      <a:fillRect/>
                    </a:stretch>
                  </pic:blipFill>
                  <pic:spPr bwMode="auto">
                    <a:xfrm>
                      <a:off x="0" y="0"/>
                      <a:ext cx="5399999" cy="3540983"/>
                    </a:xfrm>
                    <a:prstGeom prst="rect">
                      <a:avLst/>
                    </a:prstGeom>
                    <a:noFill/>
                    <a:ln w="9525">
                      <a:noFill/>
                      <a:headEnd/>
                      <a:tailEnd/>
                    </a:ln>
                  </pic:spPr>
                </pic:pic>
              </a:graphicData>
            </a:graphic>
          </wp:inline>
        </w:drawing>
      </w:r>
    </w:p>
    <w:p>
      <w:pPr>
        <w:pStyle w:val="ImageCaption"/>
      </w:pPr>
      <w:r>
        <w:rPr>
          <w:rFonts w:hint="eastAsia"/>
        </w:rPr>
        <w:t xml:space="preserve">図7.3</w:t>
      </w:r>
      <w:r>
        <w:t xml:space="preserve">　</w:t>
      </w:r>
      <w:r>
        <w:rPr>
          <w:rFonts w:hint="eastAsia"/>
        </w:rPr>
        <w:t xml:space="preserve">風力導入量別の限界参入者の実現可能収益</w:t>
      </w:r>
    </w:p>
    <w:p>
      <w:pPr>
        <w:pStyle w:val="TableNote"/>
      </w:pPr>
      <w:r>
        <w:rPr>
          <w:rFonts w:hint="eastAsia"/>
        </w:rPr>
        <w:t xml:space="preserve">注）(a)</w:t>
      </w:r>
      <w:r>
        <w:t xml:space="preserve"> </w:t>
      </w:r>
      <w:r>
        <w:rPr>
          <w:rFonts w:hint="eastAsia"/>
        </w:rPr>
        <w:t xml:space="preserve">は供給曲線の下端を段差とする仕様A、(b)</w:t>
      </w:r>
      <w:r>
        <w:t xml:space="preserve"> </w:t>
      </w:r>
      <w:r>
        <w:rPr>
          <w:rFonts w:hint="eastAsia"/>
        </w:rPr>
        <w:t xml:space="preserve">は下端を線形外挿し下限を残した仕様A。実線は泊なし、破線は泊3号の再稼働で、色は風力導入量（現状の0.5〜3倍）。水準係数付きの価格過程（</w:t>
      </w:r>
      <m:oMath>
        <m:r>
          <m:t>θ</m:t>
        </m:r>
        <m:r>
          <m:rPr>
            <m:sty m:val="p"/>
          </m:rPr>
          <m:t>=</m:t>
        </m:r>
        <m:r>
          <m:t>1</m:t>
        </m:r>
      </m:oMath>
      <w:r>
        <w:rPr>
          <w:rFonts w:hint="eastAsia"/>
        </w:rPr>
        <w:t xml:space="preserve">）、FY2023〜25</w:t>
      </w:r>
      <w:r>
        <w:t xml:space="preserve"> </w:t>
      </w:r>
      <w:r>
        <w:rPr>
          <w:rFonts w:hint="eastAsia"/>
        </w:rPr>
        <w:t xml:space="preserve">パス、増分貪欲（1万kW</w:t>
      </w:r>
      <w:r>
        <w:t xml:space="preserve"> </w:t>
      </w:r>
      <w:r>
        <w:rPr>
          <w:rFonts w:hint="eastAsia"/>
        </w:rPr>
        <w:t xml:space="preserve">刻み）。実績整合ケースは各下端の扱いの現状・</w:t>
      </w:r>
      <m:oMath>
        <m:r>
          <m:t>K</m:t>
        </m:r>
        <m:r>
          <m:rPr>
            <m:sty m:val="p"/>
          </m:rPr>
          <m:t>=</m:t>
        </m:r>
        <m:r>
          <m:t>0</m:t>
        </m:r>
      </m:oMath>
      <w:r>
        <w:t xml:space="preserve"> </w:t>
      </w:r>
      <w:r>
        <w:rPr>
          <w:rFonts w:hint="eastAsia"/>
        </w:rPr>
        <w:t xml:space="preserve">で実績の戦略</w:t>
      </w:r>
      <w:r>
        <w:t xml:space="preserve"> </w:t>
      </w:r>
      <w:r>
        <w:rPr>
          <w:rFonts w:hint="eastAsia"/>
        </w:rPr>
        <w:t xml:space="preserve">c（8,427円/kW-年）に校正し、充電従量負担を控除した。参入に必要なスポット収益（容量収入1.25万円のとき、式(4.6)（WACC</w:t>
      </w:r>
      <w:r>
        <w:t xml:space="preserve"> </w:t>
      </w:r>
      <w:r>
        <w:rPr>
          <w:rFonts w:hint="eastAsia"/>
        </w:rPr>
        <w:t xml:space="preserve">6%）で約2.34万円、楽観ケースで1.95万円）には、どの組合せでも届かない。仕様A′</w:t>
      </w:r>
      <w:r>
        <w:t xml:space="preserve"> </w:t>
      </w:r>
      <w:r>
        <w:rPr>
          <w:rFonts w:hint="eastAsia"/>
        </w:rPr>
        <w:t xml:space="preserve">は含まない。</w:t>
      </w:r>
    </w:p>
    <w:p>
      <w:pPr>
        <w:pStyle w:val="TableNote"/>
      </w:pPr>
      <w:r>
        <w:rPr>
          <w:rFonts w:hint="eastAsia"/>
        </w:rPr>
        <w:t xml:space="preserve">出所）図7.1</w:t>
      </w:r>
      <w:r>
        <w:t xml:space="preserve"> </w:t>
      </w:r>
      <w:r>
        <w:rPr>
          <w:rFonts w:hint="eastAsia"/>
        </w:rPr>
        <w:t xml:space="preserve">と同じ。</w:t>
      </w:r>
    </w:p>
    <w:p>
      <w:pPr>
        <w:pStyle w:val="BodyText"/>
      </w:pPr>
      <w:r>
        <w:rPr>
          <w:rFonts w:hint="eastAsia"/>
        </w:rPr>
        <w:t xml:space="preserve">需給調整市場のレントの上限は、フリートが小さいうちは参入に必要なスポット収益（23,414円）を埋めうる大きさである（表C.28）。表7.3</w:t>
      </w:r>
      <w:r>
        <w:t xml:space="preserve"> </w:t>
      </w:r>
      <w:r>
        <w:rPr>
          <w:rFonts w:hint="eastAsia"/>
        </w:rPr>
        <w:t xml:space="preserve">の前提のうち、</w:t>
      </w:r>
      <m:oMath>
        <m:sSup>
          <m:e>
            <m:r>
              <m:t>K</m:t>
            </m:r>
          </m:e>
          <m:sup>
            <m:r>
              <m:rPr>
                <m:sty m:val="p"/>
              </m:rPr>
              <m:t>*</m:t>
            </m:r>
          </m:sup>
        </m:sSup>
        <m:r>
          <m:rPr>
            <m:sty m:val="p"/>
          </m:rPr>
          <m:t>=</m:t>
        </m:r>
        <m:r>
          <m:t>0</m:t>
        </m:r>
      </m:oMath>
      <w:r>
        <w:t xml:space="preserve"> </w:t>
      </w:r>
      <w:r>
        <w:rPr>
          <w:rFonts w:hint="eastAsia"/>
        </w:rPr>
        <w:t xml:space="preserve">の判定を覆しうるのは、このレントを0と置く主の置き方だけである。ただしこの上限は、</w:t>
      </w:r>
      <m:oMath>
        <m:r>
          <m:t>K</m:t>
        </m:r>
      </m:oMath>
      <w:r>
        <w:t xml:space="preserve"> </w:t>
      </w:r>
      <w:r>
        <w:rPr>
          <w:rFonts w:hint="eastAsia"/>
        </w:rPr>
        <w:t xml:space="preserve">が調達量</w:t>
      </w:r>
      <w:r>
        <w:t xml:space="preserve"> </w:t>
      </w:r>
      <m:oMath>
        <m:r>
          <m:t>Q</m:t>
        </m:r>
      </m:oMath>
      <w:r>
        <w:t xml:space="preserve"> </w:t>
      </w:r>
      <w:r>
        <w:rPr>
          <w:rFonts w:hint="eastAsia"/>
        </w:rPr>
        <w:t xml:space="preserve">を超えても</w:t>
      </w:r>
      <w:r>
        <w:t xml:space="preserve"> ΔkW </w:t>
      </w:r>
      <w:r>
        <w:rPr>
          <w:rFonts w:hint="eastAsia"/>
        </w:rPr>
        <w:t xml:space="preserve">価格が</w:t>
      </w:r>
      <w:r>
        <w:t xml:space="preserve"> </w:t>
      </w:r>
      <m:oMath>
        <m:sSub>
          <m:e>
            <m:r>
              <m:t>p</m:t>
            </m:r>
          </m:e>
          <m:sub>
            <m:r>
              <m:rPr>
                <m:sty m:val="p"/>
              </m:rPr>
              <m:t>Δ</m:t>
            </m:r>
          </m:sub>
        </m:sSub>
      </m:oMath>
      <w:r>
        <w:t xml:space="preserve"> </w:t>
      </w:r>
      <w:r>
        <w:rPr>
          <w:rFonts w:hint="eastAsia"/>
        </w:rPr>
        <w:t xml:space="preserve">に保たれると置いた値である。</w:t>
      </w:r>
      <m:oMath>
        <m:r>
          <m:t>K</m:t>
        </m:r>
      </m:oMath>
      <w:r>
        <w:t xml:space="preserve"> </w:t>
      </w:r>
      <w:r>
        <w:t xml:space="preserve">が</w:t>
      </w:r>
      <w:r>
        <w:t xml:space="preserve"> </w:t>
      </w:r>
      <m:oMath>
        <m:r>
          <m:t>Q</m:t>
        </m:r>
      </m:oMath>
      <w:r>
        <w:t xml:space="preserve"> </w:t>
      </w:r>
      <w:r>
        <w:rPr>
          <w:rFonts w:hint="eastAsia"/>
        </w:rPr>
        <w:t xml:space="preserve">を超えると、蓄電池どうしが</w:t>
      </w:r>
      <w:r>
        <w:t xml:space="preserve"> </w:t>
      </w:r>
      <m:oMath>
        <m:r>
          <m:t>Q</m:t>
        </m:r>
      </m:oMath>
      <w:r>
        <w:t xml:space="preserve"> </w:t>
      </w:r>
      <w:r>
        <w:rPr>
          <w:rFonts w:hint="eastAsia"/>
        </w:rPr>
        <w:t xml:space="preserve">の枠を争うので、ΔkW</w:t>
      </w:r>
      <w:r>
        <w:t xml:space="preserve"> </w:t>
      </w:r>
      <w:r>
        <w:rPr>
          <w:rFonts w:hint="eastAsia"/>
        </w:rPr>
        <w:t xml:space="preserve">価格はスポット裁定の機会費用まで下がり、スポット裁定を上回るレントは残らない。蓄電池の落札単価が急速に下がった実績（3.4節）は、この競争が速く進むことを示している。既設や契約型の蓄電池も同じ枠を争うので、需給調整市場のレントで支えうるマーチャントの容量は、多くとも調達量</w:t>
      </w:r>
      <w:r>
        <w:t xml:space="preserve"> </w:t>
      </w:r>
      <m:oMath>
        <m:r>
          <m:t>Q</m:t>
        </m:r>
      </m:oMath>
      <w:r>
        <w:t xml:space="preserve"> </w:t>
      </w:r>
      <w:r>
        <w:rPr>
          <w:rFonts w:hint="eastAsia"/>
        </w:rPr>
        <w:t xml:space="preserve">の程度（仮定の幅で10〜50万kW）で頭打ちになり、契約申込の234万kW</w:t>
      </w:r>
      <w:r>
        <w:t xml:space="preserve"> </w:t>
      </w:r>
      <w:r>
        <w:rPr>
          <w:rFonts w:hint="eastAsia"/>
        </w:rPr>
        <w:t xml:space="preserve">には遠く及ばない。北海道エリアの商品別の約定量と約定価格によるレントの実測は行っていないので、本章の</w:t>
      </w:r>
      <w:r>
        <w:t xml:space="preserve"> </w:t>
      </w:r>
      <m:oMath>
        <m:sSup>
          <m:e>
            <m:r>
              <m:t>K</m:t>
            </m:r>
          </m:e>
          <m:sup>
            <m:r>
              <m:rPr>
                <m:sty m:val="p"/>
              </m:rPr>
              <m:t>*</m:t>
            </m:r>
          </m:sup>
        </m:sSup>
        <m:r>
          <m:rPr>
            <m:sty m:val="p"/>
          </m:rPr>
          <m:t>=</m:t>
        </m:r>
        <m:r>
          <m:t>0</m:t>
        </m:r>
      </m:oMath>
      <w:r>
        <w:t xml:space="preserve"> </w:t>
      </w:r>
      <w:r>
        <w:rPr>
          <w:rFonts w:hint="eastAsia"/>
        </w:rPr>
        <w:t xml:space="preserve">は、スポット裁定と容量収入だけに依存するマーチャントについての判定として読む必要がある。</w:t>
      </w:r>
    </w:p>
    <w:p>
      <w:pPr>
        <w:pStyle w:val="BodyText"/>
      </w:pPr>
      <w:r>
        <w:rPr>
          <w:rFonts w:hint="eastAsia"/>
        </w:rPr>
        <w:t xml:space="preserve">最後に、割引率の選び方について述べる。補助金のないマーチャントの事業</w:t>
      </w:r>
      <w:r>
        <w:t xml:space="preserve"> IRR は</w:t>
      </w:r>
      <w:r>
        <w:t xml:space="preserve"> </w:t>
      </w:r>
      <m:oMath>
        <m:r>
          <m:t>θ</m:t>
        </m:r>
      </m:oMath>
      <w:r>
        <w:t xml:space="preserve"> </w:t>
      </w:r>
      <w:r>
        <w:rPr>
          <w:rFonts w:hint="eastAsia"/>
        </w:rPr>
        <w:t xml:space="preserve">が1〜1.72の範囲で負なので、実効容量収入が1.25万円にとどまる限り、判定は割引率の選び方によらない（8.7.1項）。判定が割引率に依存するのは、FY2022</w:t>
      </w:r>
      <w:r>
        <w:t xml:space="preserve"> </w:t>
      </w:r>
      <w:r>
        <w:rPr>
          <w:rFonts w:hint="eastAsia"/>
        </w:rPr>
        <w:t xml:space="preserve">の実績価格そのもの（IRR</w:t>
      </w:r>
      <w:r>
        <w:t xml:space="preserve"> </w:t>
      </w:r>
      <w:r>
        <w:rPr>
          <w:rFonts w:hint="eastAsia"/>
        </w:rPr>
        <w:t xml:space="preserve">は3.75%）、2030年度向け以降の容量収入の上振れ、補助金を受けるマーチャントの場合である（7.8節・8.7節）。</w:t>
      </w:r>
    </w:p>
    <w:bookmarkEnd w:id="190"/>
    <w:bookmarkStart w:id="197" w:name="価格モデルの曲線と下限価格の機構"/>
    <w:p>
      <w:pPr>
        <w:pStyle w:val="Heading2"/>
      </w:pPr>
      <w:r>
        <w:t xml:space="preserve">7.7　</w:t>
      </w:r>
      <w:r>
        <w:rPr>
          <w:rFonts w:hint="eastAsia"/>
        </w:rPr>
        <w:t xml:space="preserve">価格モデルの曲線と下限価格の機構</w:t>
      </w:r>
    </w:p>
    <w:p>
      <w:pPr>
        <w:pStyle w:val="FirstParagraph"/>
      </w:pPr>
      <w:r>
        <w:rPr>
          <w:rFonts w:hint="eastAsia"/>
        </w:rPr>
        <w:t xml:space="preserve">7.3〜7.6節の構造イベントと風力の効果は、供給曲線の低純需要の側の形と下限価格の扱いに依存する。本節はその機構を示す。ただし下端の機構は構造モデル上のもので、標本内の回帰では確認できない。春の風力の</w:t>
      </w:r>
      <w:r>
        <w:t xml:space="preserve"> TB4h </w:t>
      </w:r>
      <w:r>
        <w:rPr>
          <w:rFonts w:hint="eastAsia"/>
        </w:rPr>
        <w:t xml:space="preserve">への係数（5.3.1項）を日の純需要の三分位で分けても、低純需要の日ほど大きく正になる形は現れない。</w:t>
      </w:r>
    </w:p>
    <w:p>
      <w:pPr>
        <w:pStyle w:val="BodyText"/>
      </w:pPr>
      <w:r>
        <w:rPr>
          <w:rFonts w:hint="eastAsia"/>
        </w:rPr>
        <w:t xml:space="preserve">図7.4</w:t>
      </w:r>
      <w:r>
        <w:t xml:space="preserve"> </w:t>
      </w:r>
      <w:r>
        <w:rPr>
          <w:rFonts w:hint="eastAsia"/>
        </w:rPr>
        <w:t xml:space="preserve">は仕様A</w:t>
      </w:r>
      <w:r>
        <w:t xml:space="preserve"> </w:t>
      </w:r>
      <w:r>
        <w:rPr>
          <w:rFonts w:hint="eastAsia"/>
        </w:rPr>
        <w:t xml:space="preserve">の供給曲線と純需要の分布である。</w:t>
      </w:r>
      <m:oMath>
        <m:r>
          <m:t>g</m:t>
        </m:r>
      </m:oMath>
      <w:r>
        <w:t xml:space="preserve"> </w:t>
      </w:r>
      <w:r>
        <w:rPr>
          <w:rFonts w:hint="eastAsia"/>
        </w:rPr>
        <w:t xml:space="preserve">は各季節の最下位ビンの中心より低い純需要では識別できず、仕様A</w:t>
      </w:r>
      <w:r>
        <w:t xml:space="preserve"> </w:t>
      </w:r>
      <w:r>
        <w:rPr>
          <w:rFonts w:hint="eastAsia"/>
        </w:rPr>
        <w:t xml:space="preserve">はこの推定範囲外を0.01円とする。推定範囲外の時間は現状では全時間の0.2%にすぎないが、泊3号（−821MW）で5.2%、泊2基相当（−1,642MW）で29%に増える。推定範囲内の下端の傾きは、春と秋で急（1.14円・0.70円/kWh</w:t>
      </w:r>
      <w:r>
        <w:t xml:space="preserve"> per </w:t>
      </w:r>
      <w:r>
        <w:rPr>
          <w:rFonts w:hint="eastAsia"/>
        </w:rPr>
        <w:t xml:space="preserve">100MW）、冬と夏で緩やか（0.31円・0.35円）である。仕様A</w:t>
      </w:r>
      <w:r>
        <w:t xml:space="preserve"> </w:t>
      </w:r>
      <w:r>
        <w:rPr>
          <w:rFonts w:hint="eastAsia"/>
        </w:rPr>
        <w:t xml:space="preserve">で冬・夏に現れる急な落ち込みは、推定範囲外を0.01円とする段差の仮定による。</w:t>
      </w:r>
    </w:p>
    <w:p>
      <w:pPr>
        <w:pStyle w:val="CaptionedFigure"/>
      </w:pPr>
      <w:r>
        <w:drawing>
          <wp:inline>
            <wp:extent cx="5399999" cy="5766101"/>
            <wp:effectExtent b="0" l="0" r="0" t="0"/>
            <wp:docPr descr="図7.4　仕様A の供給曲線と純需要の分布" title="" id="192" name="Picture"/>
            <a:graphic>
              <a:graphicData uri="http://schemas.openxmlformats.org/drawingml/2006/picture">
                <pic:pic>
                  <pic:nvPicPr>
                    <pic:cNvPr descr="../figures/hokkaido/supply_curve_net_dist.png" id="193" name="Picture"/>
                    <pic:cNvPicPr>
                      <a:picLocks noChangeArrowheads="1" noChangeAspect="1"/>
                    </pic:cNvPicPr>
                  </pic:nvPicPr>
                  <pic:blipFill>
                    <a:blip r:embed="rId191"/>
                    <a:stretch>
                      <a:fillRect/>
                    </a:stretch>
                  </pic:blipFill>
                  <pic:spPr bwMode="auto">
                    <a:xfrm>
                      <a:off x="0" y="0"/>
                      <a:ext cx="5399999" cy="5766101"/>
                    </a:xfrm>
                    <a:prstGeom prst="rect">
                      <a:avLst/>
                    </a:prstGeom>
                    <a:noFill/>
                    <a:ln w="9525">
                      <a:noFill/>
                      <a:headEnd/>
                      <a:tailEnd/>
                    </a:ln>
                  </pic:spPr>
                </pic:pic>
              </a:graphicData>
            </a:graphic>
          </wp:inline>
        </w:drawing>
      </w:r>
    </w:p>
    <w:p>
      <w:pPr>
        <w:pStyle w:val="ImageCaption"/>
      </w:pPr>
      <w:r>
        <w:rPr>
          <w:rFonts w:hint="eastAsia"/>
        </w:rPr>
        <w:t xml:space="preserve">図7.4</w:t>
      </w:r>
      <w:r>
        <w:t xml:space="preserve">　</w:t>
      </w:r>
      <w:r>
        <w:rPr>
          <w:rFonts w:hint="eastAsia"/>
        </w:rPr>
        <w:t xml:space="preserve">仕様A</w:t>
      </w:r>
      <w:r>
        <w:t xml:space="preserve"> </w:t>
      </w:r>
      <w:r>
        <w:rPr>
          <w:rFonts w:hint="eastAsia"/>
        </w:rPr>
        <w:t xml:space="preserve">の供給曲線と純需要の分布</w:t>
      </w:r>
    </w:p>
    <w:p>
      <w:pPr>
        <w:pStyle w:val="TableNote"/>
      </w:pPr>
      <w:r>
        <w:rPr>
          <w:rFonts w:hint="eastAsia"/>
        </w:rPr>
        <w:t xml:space="preserve">注）上段は季節別の供給曲線</w:t>
      </w:r>
      <w:r>
        <w:t xml:space="preserve"> </w:t>
      </w:r>
      <m:oMath>
        <m:r>
          <m:t>g</m:t>
        </m:r>
      </m:oMath>
      <w:r>
        <w:rPr>
          <w:rFonts w:hint="eastAsia"/>
        </w:rPr>
        <w:t xml:space="preserve">、時刻別の</w:t>
      </w:r>
      <w:r>
        <w:t xml:space="preserve"> </w:t>
      </w:r>
      <m:oMath>
        <m:r>
          <m:t>g</m:t>
        </m:r>
        <m:r>
          <m:rPr>
            <m:sty m:val="p"/>
          </m:rPr>
          <m:t>+</m:t>
        </m:r>
        <m:r>
          <m:t>μ</m:t>
        </m:r>
      </m:oMath>
      <w:r>
        <w:rPr>
          <w:rFonts w:hint="eastAsia"/>
        </w:rPr>
        <w:t xml:space="preserve">（3時・12時・18時）、下端の線形外挿と実績（FY2023〜25）で、網掛けは推定範囲外。下段は</w:t>
      </w:r>
      <w:r>
        <w:t xml:space="preserve"> FY2023〜25 </w:t>
      </w:r>
      <w:r>
        <w:rPr>
          <w:rFonts w:hint="eastAsia"/>
        </w:rPr>
        <w:t xml:space="preserve">の気象・需要パスの純需要の分布（現状、泊3号、泊2基相当、風力2倍）。</w:t>
      </w:r>
    </w:p>
    <w:p>
      <w:pPr>
        <w:pStyle w:val="TableNote"/>
      </w:pPr>
      <w:r>
        <w:rPr>
          <w:rFonts w:hint="eastAsia"/>
        </w:rPr>
        <w:t xml:space="preserve">出所）表7.1</w:t>
      </w:r>
      <w:r>
        <w:t xml:space="preserve"> </w:t>
      </w:r>
      <w:r>
        <w:rPr>
          <w:rFonts w:hint="eastAsia"/>
        </w:rPr>
        <w:t xml:space="preserve">と同じ。</w:t>
      </w:r>
    </w:p>
    <w:p>
      <w:pPr>
        <w:pStyle w:val="BodyText"/>
      </w:pPr>
      <w:r>
        <w:rPr>
          <w:rFonts w:hint="eastAsia"/>
        </w:rPr>
        <w:t xml:space="preserve">ベースロードを一律に減らした応答を図7.5</w:t>
      </w:r>
      <w:r>
        <w:t xml:space="preserve"> </w:t>
      </w:r>
      <w:r>
        <w:rPr>
          <w:rFonts w:hint="eastAsia"/>
        </w:rPr>
        <w:t xml:space="preserve">に示す（分解は表C.29）。仕様A</w:t>
      </w:r>
      <w:r>
        <w:t xml:space="preserve"> </w:t>
      </w:r>
      <w:r>
        <w:rPr>
          <w:rFonts w:hint="eastAsia"/>
        </w:rPr>
        <w:t xml:space="preserve">では、泊3号の再稼働で上位4時間の平均価格は15.9円から11.9円/kWh、下位4時間は7.9円から4.0円/kWh</w:t>
      </w:r>
      <w:r>
        <w:t xml:space="preserve"> </w:t>
      </w:r>
      <w:r>
        <w:rPr>
          <w:rFonts w:hint="eastAsia"/>
        </w:rPr>
        <w:t xml:space="preserve">へほぼ同じ幅で下がり、TB4h</w:t>
      </w:r>
      <w:r>
        <w:t xml:space="preserve"> </w:t>
      </w:r>
      <w:r>
        <w:rPr>
          <w:rFonts w:hint="eastAsia"/>
        </w:rPr>
        <w:t xml:space="preserve">は8.04円から7.89円へわずかに縮む。夏は上位4時間の帯の供給曲線が下位4時間の帯より急なので、完全予見粗利は179円減る。ベースロードをさらに減らすと、完全予見粗利は約1,100MW</w:t>
      </w:r>
      <w:r>
        <w:t xml:space="preserve"> </w:t>
      </w:r>
      <w:r>
        <w:rPr>
          <w:rFonts w:hint="eastAsia"/>
        </w:rPr>
        <w:t xml:space="preserve">で頂点に達した後に下がり、泊1〜3号の全基（1,863MW）では7,782円と現状の8,266円を下回る。上位4時間が下がり続ける一方で、下位4時間は下限価格に張り付いてそれ以上下がらなくなるためである。山の高さは推定範囲外の置き方にも依存し、下端を線形外挿して下限を残すと、泊3号の増分は+662円から+163円に、泊2基相当は−1,342円になる。どちらの置き方が正しいかは、データからは判定できない。</w:t>
      </w:r>
    </w:p>
    <w:p>
      <w:pPr>
        <w:pStyle w:val="CaptionedFigure"/>
      </w:pPr>
      <w:r>
        <w:drawing>
          <wp:inline>
            <wp:extent cx="5399999" cy="6110526"/>
            <wp:effectExtent b="0" l="0" r="0" t="0"/>
            <wp:docPr descr="図7.5　ベースロードの一律減への完全予見粗利の応答と分解" title="" id="195" name="Picture"/>
            <a:graphic>
              <a:graphicData uri="http://schemas.openxmlformats.org/drawingml/2006/picture">
                <pic:pic>
                  <pic:nvPicPr>
                    <pic:cNvPr descr="../figures/hokkaido/baseload_shift_response.png" id="196" name="Picture"/>
                    <pic:cNvPicPr>
                      <a:picLocks noChangeArrowheads="1" noChangeAspect="1"/>
                    </pic:cNvPicPr>
                  </pic:nvPicPr>
                  <pic:blipFill>
                    <a:blip r:embed="rId194"/>
                    <a:stretch>
                      <a:fillRect/>
                    </a:stretch>
                  </pic:blipFill>
                  <pic:spPr bwMode="auto">
                    <a:xfrm>
                      <a:off x="0" y="0"/>
                      <a:ext cx="5399999" cy="6110526"/>
                    </a:xfrm>
                    <a:prstGeom prst="rect">
                      <a:avLst/>
                    </a:prstGeom>
                    <a:noFill/>
                    <a:ln w="9525">
                      <a:noFill/>
                      <a:headEnd/>
                      <a:tailEnd/>
                    </a:ln>
                  </pic:spPr>
                </pic:pic>
              </a:graphicData>
            </a:graphic>
          </wp:inline>
        </w:drawing>
      </w:r>
    </w:p>
    <w:p>
      <w:pPr>
        <w:pStyle w:val="ImageCaption"/>
      </w:pPr>
      <w:r>
        <w:rPr>
          <w:rFonts w:hint="eastAsia"/>
        </w:rPr>
        <w:t xml:space="preserve">図7.5</w:t>
      </w:r>
      <w:r>
        <w:t xml:space="preserve">　</w:t>
      </w:r>
      <w:r>
        <w:rPr>
          <w:rFonts w:hint="eastAsia"/>
        </w:rPr>
        <w:t xml:space="preserve">ベースロードの一律減への完全予見粗利の応答と分解</w:t>
      </w:r>
    </w:p>
    <w:p>
      <w:pPr>
        <w:pStyle w:val="TableNote"/>
      </w:pPr>
      <w:r>
        <w:rPr>
          <w:rFonts w:hint="eastAsia"/>
        </w:rPr>
        <w:t xml:space="preserve">注）FY2023〜25</w:t>
      </w:r>
      <w:r>
        <w:t xml:space="preserve"> </w:t>
      </w:r>
      <w:r>
        <w:rPr>
          <w:rFonts w:hint="eastAsia"/>
        </w:rPr>
        <w:t xml:space="preserve">パスの部分均衡。A</w:t>
      </w:r>
      <w:r>
        <w:t xml:space="preserve"> </w:t>
      </w:r>
      <w:r>
        <w:rPr>
          <w:rFonts w:hint="eastAsia"/>
        </w:rPr>
        <w:t xml:space="preserve">は年間の完全予見粗利（仕様A、線形外挿の下限あり・下限なし）、B</w:t>
      </w:r>
      <w:r>
        <w:t xml:space="preserve"> </w:t>
      </w:r>
      <w:r>
        <w:rPr>
          <w:rFonts w:hint="eastAsia"/>
        </w:rPr>
        <w:t xml:space="preserve">は仕様A</w:t>
      </w:r>
      <w:r>
        <w:t xml:space="preserve"> </w:t>
      </w:r>
      <w:r>
        <w:rPr>
          <w:rFonts w:hint="eastAsia"/>
        </w:rPr>
        <w:t xml:space="preserve">の変化の式(7.1)による分解、C</w:t>
      </w:r>
      <w:r>
        <w:t xml:space="preserve"> </w:t>
      </w:r>
      <w:r>
        <w:rPr>
          <w:rFonts w:hint="eastAsia"/>
        </w:rPr>
        <w:t xml:space="preserve">は季節別の変化、D〜F</w:t>
      </w:r>
      <w:r>
        <w:t xml:space="preserve"> </w:t>
      </w:r>
      <w:r>
        <w:rPr>
          <w:rFonts w:hint="eastAsia"/>
        </w:rPr>
        <w:t xml:space="preserve">は仕様A</w:t>
      </w:r>
      <w:r>
        <w:t xml:space="preserve"> </w:t>
      </w:r>
      <w:r>
        <w:rPr>
          <w:rFonts w:hint="eastAsia"/>
        </w:rPr>
        <w:t xml:space="preserve">の価格指標、季節別の</w:t>
      </w:r>
      <w:r>
        <w:t xml:space="preserve"> </w:t>
      </w:r>
      <w:r>
        <w:rPr>
          <w:rFonts w:hint="eastAsia"/>
        </w:rPr>
        <w:t xml:space="preserve">TB4h、下限張り付き時間。縦の点線は泊3号と泊2基相当。季節は夏7〜9月、冬12〜2月、不需要期3〜6月と10〜11月。</w:t>
      </w:r>
    </w:p>
    <w:p>
      <w:pPr>
        <w:pStyle w:val="TableNote"/>
      </w:pPr>
      <w:r>
        <w:rPr>
          <w:rFonts w:hint="eastAsia"/>
        </w:rPr>
        <w:t xml:space="preserve">出所）表7.1</w:t>
      </w:r>
      <w:r>
        <w:t xml:space="preserve"> </w:t>
      </w:r>
      <w:r>
        <w:rPr>
          <w:rFonts w:hint="eastAsia"/>
        </w:rPr>
        <w:t xml:space="preserve">と同じ。</w:t>
      </w:r>
    </w:p>
    <w:p>
      <w:pPr>
        <w:pStyle w:val="BodyText"/>
      </w:pPr>
      <w:r>
        <w:rPr>
          <w:rFonts w:hint="eastAsia"/>
        </w:rPr>
        <w:t xml:space="preserve">下限価格そのものの役割は、まず実績価格で確かめられる（表7.4</w:t>
      </w:r>
      <w:r>
        <w:t xml:space="preserve"> </w:t>
      </w:r>
      <w:r>
        <w:rPr>
          <w:rFonts w:hint="eastAsia"/>
        </w:rPr>
        <w:t xml:space="preserve">のパネルA）。FY2023〜25</w:t>
      </w:r>
      <w:r>
        <w:t xml:space="preserve"> </w:t>
      </w:r>
      <w:r>
        <w:rPr>
          <w:rFonts w:hint="eastAsia"/>
        </w:rPr>
        <w:t xml:space="preserve">の実績価格を一様に</w:t>
      </w:r>
      <w:r>
        <w:t xml:space="preserve"> </w:t>
      </w:r>
      <m:oMath>
        <m:r>
          <m:rPr>
            <m:sty m:val="p"/>
          </m:rPr>
          <m:t>Δ</m:t>
        </m:r>
        <m:r>
          <m:t>p</m:t>
        </m:r>
      </m:oMath>
      <w:r>
        <w:t xml:space="preserve"> </w:t>
      </w:r>
      <w:r>
        <w:rPr>
          <w:rFonts w:hint="eastAsia"/>
        </w:rPr>
        <w:t xml:space="preserve">円/kWh</w:t>
      </w:r>
      <w:r>
        <w:t xml:space="preserve"> </w:t>
      </w:r>
      <w:r>
        <w:rPr>
          <w:rFonts w:hint="eastAsia"/>
        </w:rPr>
        <w:t xml:space="preserve">下げると、0.01円で打ち切らない限り、完全予見粗利は1円あたり219円/kW-年（0.6×365日）増えるだけである。加法的な水準の変化への反応は、往復損失を通じた弱いものにとどまる。0.01円で打ち切ると、完全予見粗利はほぼ横ばいの後に下がる。平行に下がる価格が下限で打ち切られると、安い側だけが下がらなくなり、スプレッドが縮むからである。充電脚でプットを売っているので、潜在価格が下限を下回るほど、得られたはずの値下がりを失う。</w:t>
      </w:r>
    </w:p>
    <w:p>
      <w:pPr>
        <w:pStyle w:val="TableCaption"/>
      </w:pPr>
      <w:r>
        <w:rPr>
          <w:rFonts w:hint="eastAsia"/>
        </w:rPr>
        <w:t xml:space="preserve">表7.4</w:t>
      </w:r>
      <w:r>
        <w:t xml:space="preserve">　</w:t>
      </w:r>
      <w:r>
        <w:rPr>
          <w:rFonts w:hint="eastAsia"/>
        </w:rPr>
        <w:t xml:space="preserve">下限価格の機構の検証</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7.4　下限価格の機構の検証"/>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p>
        </w:tc>
        <w:tc>
          <w:tcPr>
            <w:tcBorders>
              <w:bottom w:val="single" w:sz="6" w:color="000000"/>
            </w:tcBorders>
          </w:tcPr>
          <w:p>
            <w:pPr>
              <w:pStyle w:val="Compact"/>
              <w:jc w:val="right"/>
            </w:pPr>
            <w:r>
              <w:rPr>
                <w:rFonts w:hint="eastAsia"/>
                <w:sz w:val="18"/>
              </w:rPr>
              <w:t xml:space="preserve">仕様A</w:t>
            </w:r>
          </w:p>
        </w:tc>
        <w:tc>
          <w:tcPr>
            <w:tcBorders>
              <w:bottom w:val="single" w:sz="6" w:color="000000"/>
            </w:tcBorders>
          </w:tcPr>
          <w:p>
            <w:pPr>
              <w:pStyle w:val="Compact"/>
              <w:jc w:val="right"/>
            </w:pPr>
            <w:r>
              <w:rPr>
                <w:rFonts w:hint="eastAsia"/>
                <w:sz w:val="18"/>
              </w:rPr>
              <w:t xml:space="preserve">下限あり</w:t>
            </w:r>
          </w:p>
        </w:tc>
        <w:tc>
          <w:tcPr>
            <w:tcBorders>
              <w:bottom w:val="single" w:sz="6" w:color="000000"/>
            </w:tcBorders>
          </w:tcPr>
          <w:p>
            <w:pPr>
              <w:pStyle w:val="Compact"/>
              <w:jc w:val="right"/>
            </w:pPr>
            <w:r>
              <w:rPr>
                <w:rFonts w:hint="eastAsia"/>
                <w:sz w:val="18"/>
              </w:rPr>
              <w:t xml:space="preserve">下限なし</w:t>
            </w:r>
          </w:p>
        </w:tc>
        <w:tc>
          <w:tcPr>
            <w:tcBorders>
              <w:bottom w:val="single" w:sz="6" w:color="000000"/>
            </w:tcBorders>
          </w:tcPr>
          <w:p>
            <w:pPr>
              <w:pStyle w:val="Compact"/>
              <w:jc w:val="right"/>
            </w:pPr>
            <w:r>
              <w:rPr>
                <w:rFonts w:hint="eastAsia"/>
                <w:sz w:val="18"/>
              </w:rPr>
              <w:t xml:space="preserve">段差の効果</w:t>
            </w:r>
          </w:p>
        </w:tc>
        <w:tc>
          <w:tcPr>
            <w:tcBorders>
              <w:bottom w:val="single" w:sz="6" w:color="000000"/>
            </w:tcBorders>
          </w:tcPr>
          <w:p>
            <w:pPr>
              <w:pStyle w:val="Compact"/>
              <w:jc w:val="right"/>
            </w:pPr>
            <w:r>
              <w:rPr>
                <w:rFonts w:hint="eastAsia"/>
                <w:sz w:val="18"/>
              </w:rPr>
              <w:t xml:space="preserve">下限価格の効果</w:t>
            </w:r>
          </w:p>
        </w:tc>
        <w:tc>
          <w:tcPr>
            <w:tcBorders>
              <w:bottom w:val="single" w:sz="6" w:color="000000"/>
            </w:tcBorders>
          </w:tcPr>
          <w:p>
            <w:pPr>
              <w:pStyle w:val="Compact"/>
              <w:jc w:val="right"/>
            </w:pPr>
            <w:r>
              <w:rPr>
                <w:rFonts w:hint="eastAsia"/>
                <w:sz w:val="18"/>
              </w:rPr>
              <w:t xml:space="preserve">0.01円以下の時間</w:t>
            </w:r>
          </w:p>
        </w:tc>
      </w:tr>
      <w:tr>
        <w:tc>
          <w:tcPr/>
          <w:p>
            <w:pPr>
              <w:pStyle w:val="Compact"/>
            </w:pPr>
            <w:r>
              <w:rPr>
                <w:rFonts w:hint="eastAsia"/>
                <w:b/>
                <w:bCs/>
                <w:sz w:val="18"/>
              </w:rPr>
              <w:t xml:space="preserve">パネルA：実績価格を一様に</w:t>
            </w:r>
            <w:r>
              <w:rPr>
                <w:b/>
                <w:bCs/>
                <w:sz w:val="18"/>
              </w:rPr>
              <w:t xml:space="preserve"> </w:t>
            </w:r>
            <m:oMath>
              <m:r>
                <m:rPr>
                  <m:sty m:val="p"/>
                </m:rPr>
                <m:t>Δ</m:t>
              </m:r>
              <m:r>
                <m:t>p</m:t>
              </m:r>
            </m:oMath>
            <w:r>
              <w:rPr>
                <w:b/>
                <w:bCs/>
                <w:sz w:val="18"/>
              </w:rPr>
              <w:t xml:space="preserve"> </w:t>
            </w:r>
            <w:r>
              <w:rPr>
                <w:rFonts w:hint="eastAsia"/>
                <w:b/>
                <w:bCs/>
                <w:sz w:val="18"/>
              </w:rPr>
              <w:t xml:space="preserve">円/kWh</w:t>
            </w:r>
            <w:r>
              <w:rPr>
                <w:b/>
                <w:bCs/>
                <w:sz w:val="18"/>
              </w:rPr>
              <w:t xml:space="preserve"> </w:t>
            </w:r>
            <w:r>
              <w:rPr>
                <w:rFonts w:hint="eastAsia"/>
                <w:b/>
                <w:bCs/>
                <w:sz w:val="18"/>
              </w:rPr>
              <w:t xml:space="preserve">下げた場合（水準）</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m:oMath>
              <m:r>
                <m:rPr>
                  <m:sty m:val="p"/>
                </m:rPr>
                <m:t>Δ</m:t>
              </m:r>
              <m:r>
                <m:t>p</m:t>
              </m:r>
              <m:r>
                <m:rPr>
                  <m:sty m:val="p"/>
                </m:rPr>
                <m:t>=</m:t>
              </m:r>
              <m:r>
                <m:t>0</m:t>
              </m:r>
            </m:oMath>
          </w:p>
        </w:tc>
        <w:tc>
          <w:tcPr/>
          <w:p>
            <w:pPr>
              <w:pStyle w:val="Compact"/>
              <w:jc w:val="right"/>
            </w:pPr>
            <w:r>
              <w:rPr>
                <w:sz w:val="18"/>
              </w:rPr>
              <w:t xml:space="preserve">—</w:t>
            </w:r>
          </w:p>
        </w:tc>
        <w:tc>
          <w:tcPr/>
          <w:p>
            <w:pPr>
              <w:pStyle w:val="Compact"/>
              <w:jc w:val="right"/>
            </w:pPr>
            <w:r>
              <w:rPr>
                <w:sz w:val="18"/>
              </w:rPr>
              <w:t xml:space="preserve">10,317</w:t>
            </w:r>
          </w:p>
        </w:tc>
        <w:tc>
          <w:tcPr/>
          <w:p>
            <w:pPr>
              <w:pStyle w:val="Compact"/>
              <w:jc w:val="right"/>
            </w:pPr>
            <w:r>
              <w:rPr>
                <w:sz w:val="18"/>
              </w:rPr>
              <w:t xml:space="preserve">10,317</w:t>
            </w:r>
          </w:p>
        </w:tc>
        <w:tc>
          <w:tcPr/>
          <w:p>
            <w:pPr>
              <w:pStyle w:val="Compact"/>
              <w:jc w:val="right"/>
            </w:pPr>
            <w:r>
              <w:rPr>
                <w:sz w:val="18"/>
              </w:rPr>
              <w:t xml:space="preserve">—</w:t>
            </w:r>
          </w:p>
        </w:tc>
        <w:tc>
          <w:tcPr/>
          <w:p>
            <w:pPr>
              <w:pStyle w:val="Compact"/>
              <w:jc w:val="right"/>
            </w:pPr>
            <w:r>
              <w:rPr>
                <w:sz w:val="18"/>
              </w:rPr>
              <w:t xml:space="preserve">0</w:t>
            </w:r>
          </w:p>
        </w:tc>
        <w:tc>
          <w:tcPr/>
          <w:p>
            <w:pPr>
              <w:pStyle w:val="Compact"/>
              <w:jc w:val="right"/>
            </w:pPr>
            <w:r>
              <w:rPr>
                <w:sz w:val="18"/>
              </w:rPr>
              <w:t xml:space="preserve">203</w:t>
            </w:r>
          </w:p>
        </w:tc>
      </w:tr>
      <w:tr>
        <w:tc>
          <w:tcPr/>
          <w:p>
            <w:pPr>
              <w:pStyle w:val="Compact"/>
            </w:pPr>
            <m:oMath>
              <m:r>
                <m:rPr>
                  <m:sty m:val="p"/>
                </m:rPr>
                <m:t>Δ</m:t>
              </m:r>
              <m:r>
                <m:t>p</m:t>
              </m:r>
              <m:r>
                <m:rPr>
                  <m:sty m:val="p"/>
                </m:rPr>
                <m:t>=</m:t>
              </m:r>
              <m:r>
                <m:t>1</m:t>
              </m:r>
            </m:oMath>
          </w:p>
        </w:tc>
        <w:tc>
          <w:tcPr/>
          <w:p>
            <w:pPr>
              <w:pStyle w:val="Compact"/>
              <w:jc w:val="right"/>
            </w:pPr>
            <w:r>
              <w:rPr>
                <w:sz w:val="18"/>
              </w:rPr>
              <w:t xml:space="preserve">—</w:t>
            </w:r>
          </w:p>
        </w:tc>
        <w:tc>
          <w:tcPr/>
          <w:p>
            <w:pPr>
              <w:pStyle w:val="Compact"/>
              <w:jc w:val="right"/>
            </w:pPr>
            <w:r>
              <w:rPr>
                <w:sz w:val="18"/>
              </w:rPr>
              <w:t xml:space="preserve">10,339</w:t>
            </w:r>
          </w:p>
        </w:tc>
        <w:tc>
          <w:tcPr/>
          <w:p>
            <w:pPr>
              <w:pStyle w:val="Compact"/>
              <w:jc w:val="right"/>
            </w:pPr>
            <w:r>
              <w:rPr>
                <w:sz w:val="18"/>
              </w:rPr>
              <w:t xml:space="preserve">10,535</w:t>
            </w:r>
          </w:p>
        </w:tc>
        <w:tc>
          <w:tcPr/>
          <w:p>
            <w:pPr>
              <w:pStyle w:val="Compact"/>
              <w:jc w:val="right"/>
            </w:pPr>
            <w:r>
              <w:rPr>
                <w:sz w:val="18"/>
              </w:rPr>
              <w:t xml:space="preserve">—</w:t>
            </w:r>
          </w:p>
        </w:tc>
        <w:tc>
          <w:tcPr/>
          <w:p>
            <w:pPr>
              <w:pStyle w:val="Compact"/>
              <w:jc w:val="right"/>
            </w:pPr>
            <w:r>
              <w:rPr>
                <w:sz w:val="18"/>
              </w:rPr>
              <w:t xml:space="preserve">−196</w:t>
            </w:r>
          </w:p>
        </w:tc>
        <w:tc>
          <w:tcPr/>
          <w:p>
            <w:pPr>
              <w:pStyle w:val="Compact"/>
              <w:jc w:val="right"/>
            </w:pPr>
            <w:r>
              <w:rPr>
                <w:sz w:val="18"/>
              </w:rPr>
              <w:t xml:space="preserve">309</w:t>
            </w:r>
          </w:p>
        </w:tc>
      </w:tr>
      <w:tr>
        <w:tc>
          <w:tcPr/>
          <w:p>
            <w:pPr>
              <w:pStyle w:val="Compact"/>
            </w:pPr>
            <m:oMath>
              <m:r>
                <m:rPr>
                  <m:sty m:val="p"/>
                </m:rPr>
                <m:t>Δ</m:t>
              </m:r>
              <m:r>
                <m:t>p</m:t>
              </m:r>
              <m:r>
                <m:rPr>
                  <m:sty m:val="p"/>
                </m:rPr>
                <m:t>=</m:t>
              </m:r>
              <m:r>
                <m:t>2</m:t>
              </m:r>
            </m:oMath>
          </w:p>
        </w:tc>
        <w:tc>
          <w:tcPr/>
          <w:p>
            <w:pPr>
              <w:pStyle w:val="Compact"/>
              <w:jc w:val="right"/>
            </w:pPr>
            <w:r>
              <w:rPr>
                <w:sz w:val="18"/>
              </w:rPr>
              <w:t xml:space="preserve">—</w:t>
            </w:r>
          </w:p>
        </w:tc>
        <w:tc>
          <w:tcPr/>
          <w:p>
            <w:pPr>
              <w:pStyle w:val="Compact"/>
              <w:jc w:val="right"/>
            </w:pPr>
            <w:r>
              <w:rPr>
                <w:sz w:val="18"/>
              </w:rPr>
              <w:t xml:space="preserve">10,316</w:t>
            </w:r>
          </w:p>
        </w:tc>
        <w:tc>
          <w:tcPr/>
          <w:p>
            <w:pPr>
              <w:pStyle w:val="Compact"/>
              <w:jc w:val="right"/>
            </w:pPr>
            <w:r>
              <w:rPr>
                <w:sz w:val="18"/>
              </w:rPr>
              <w:t xml:space="preserve">10,754</w:t>
            </w:r>
          </w:p>
        </w:tc>
        <w:tc>
          <w:tcPr/>
          <w:p>
            <w:pPr>
              <w:pStyle w:val="Compact"/>
              <w:jc w:val="right"/>
            </w:pPr>
            <w:r>
              <w:rPr>
                <w:sz w:val="18"/>
              </w:rPr>
              <w:t xml:space="preserve">—</w:t>
            </w:r>
          </w:p>
        </w:tc>
        <w:tc>
          <w:tcPr/>
          <w:p>
            <w:pPr>
              <w:pStyle w:val="Compact"/>
              <w:jc w:val="right"/>
            </w:pPr>
            <w:r>
              <w:rPr>
                <w:sz w:val="18"/>
              </w:rPr>
              <w:t xml:space="preserve">−437</w:t>
            </w:r>
          </w:p>
        </w:tc>
        <w:tc>
          <w:tcPr/>
          <w:p>
            <w:pPr>
              <w:pStyle w:val="Compact"/>
              <w:jc w:val="right"/>
            </w:pPr>
            <w:r>
              <w:rPr>
                <w:sz w:val="18"/>
              </w:rPr>
              <w:t xml:space="preserve">366</w:t>
            </w:r>
          </w:p>
        </w:tc>
      </w:tr>
      <w:tr>
        <w:tc>
          <w:tcPr/>
          <w:p>
            <w:pPr>
              <w:pStyle w:val="Compact"/>
            </w:pPr>
            <m:oMath>
              <m:r>
                <m:rPr>
                  <m:sty m:val="p"/>
                </m:rPr>
                <m:t>Δ</m:t>
              </m:r>
              <m:r>
                <m:t>p</m:t>
              </m:r>
              <m:r>
                <m:rPr>
                  <m:sty m:val="p"/>
                </m:rPr>
                <m:t>=</m:t>
              </m:r>
              <m:r>
                <m:t>3</m:t>
              </m:r>
            </m:oMath>
          </w:p>
        </w:tc>
        <w:tc>
          <w:tcPr/>
          <w:p>
            <w:pPr>
              <w:pStyle w:val="Compact"/>
              <w:jc w:val="right"/>
            </w:pPr>
            <w:r>
              <w:rPr>
                <w:sz w:val="18"/>
              </w:rPr>
              <w:t xml:space="preserve">—</w:t>
            </w:r>
          </w:p>
        </w:tc>
        <w:tc>
          <w:tcPr/>
          <w:p>
            <w:pPr>
              <w:pStyle w:val="Compact"/>
              <w:jc w:val="right"/>
            </w:pPr>
            <w:r>
              <w:rPr>
                <w:sz w:val="18"/>
              </w:rPr>
              <w:t xml:space="preserve">10,263</w:t>
            </w:r>
          </w:p>
        </w:tc>
        <w:tc>
          <w:tcPr/>
          <w:p>
            <w:pPr>
              <w:pStyle w:val="Compact"/>
              <w:jc w:val="right"/>
            </w:pPr>
            <w:r>
              <w:rPr>
                <w:sz w:val="18"/>
              </w:rPr>
              <w:t xml:space="preserve">10,972</w:t>
            </w:r>
          </w:p>
        </w:tc>
        <w:tc>
          <w:tcPr/>
          <w:p>
            <w:pPr>
              <w:pStyle w:val="Compact"/>
              <w:jc w:val="right"/>
            </w:pPr>
            <w:r>
              <w:rPr>
                <w:sz w:val="18"/>
              </w:rPr>
              <w:t xml:space="preserve">—</w:t>
            </w:r>
          </w:p>
        </w:tc>
        <w:tc>
          <w:tcPr/>
          <w:p>
            <w:pPr>
              <w:pStyle w:val="Compact"/>
              <w:jc w:val="right"/>
            </w:pPr>
            <w:r>
              <w:rPr>
                <w:sz w:val="18"/>
              </w:rPr>
              <w:t xml:space="preserve">−709</w:t>
            </w:r>
          </w:p>
        </w:tc>
        <w:tc>
          <w:tcPr/>
          <w:p>
            <w:pPr>
              <w:pStyle w:val="Compact"/>
              <w:jc w:val="right"/>
            </w:pPr>
            <w:r>
              <w:rPr>
                <w:sz w:val="18"/>
              </w:rPr>
              <w:t xml:space="preserve">430</w:t>
            </w:r>
          </w:p>
        </w:tc>
      </w:tr>
      <w:tr>
        <w:tc>
          <w:tcPr/>
          <w:p>
            <w:pPr>
              <w:pStyle w:val="Compact"/>
            </w:pPr>
            <m:oMath>
              <m:r>
                <m:rPr>
                  <m:sty m:val="p"/>
                </m:rPr>
                <m:t>Δ</m:t>
              </m:r>
              <m:r>
                <m:t>p</m:t>
              </m:r>
              <m:r>
                <m:rPr>
                  <m:sty m:val="p"/>
                </m:rPr>
                <m:t>=</m:t>
              </m:r>
              <m:r>
                <m:t>5</m:t>
              </m:r>
            </m:oMath>
          </w:p>
        </w:tc>
        <w:tc>
          <w:tcPr/>
          <w:p>
            <w:pPr>
              <w:pStyle w:val="Compact"/>
              <w:jc w:val="right"/>
            </w:pPr>
            <w:r>
              <w:rPr>
                <w:sz w:val="18"/>
              </w:rPr>
              <w:t xml:space="preserve">—</w:t>
            </w:r>
          </w:p>
        </w:tc>
        <w:tc>
          <w:tcPr/>
          <w:p>
            <w:pPr>
              <w:pStyle w:val="Compact"/>
              <w:jc w:val="right"/>
            </w:pPr>
            <w:r>
              <w:rPr>
                <w:sz w:val="18"/>
              </w:rPr>
              <w:t xml:space="preserve">10,053</w:t>
            </w:r>
          </w:p>
        </w:tc>
        <w:tc>
          <w:tcPr/>
          <w:p>
            <w:pPr>
              <w:pStyle w:val="Compact"/>
              <w:jc w:val="right"/>
            </w:pPr>
            <w:r>
              <w:rPr>
                <w:sz w:val="18"/>
              </w:rPr>
              <w:t xml:space="preserve">11,410</w:t>
            </w:r>
          </w:p>
        </w:tc>
        <w:tc>
          <w:tcPr/>
          <w:p>
            <w:pPr>
              <w:pStyle w:val="Compact"/>
              <w:jc w:val="right"/>
            </w:pPr>
            <w:r>
              <w:rPr>
                <w:sz w:val="18"/>
              </w:rPr>
              <w:t xml:space="preserve">—</w:t>
            </w:r>
          </w:p>
        </w:tc>
        <w:tc>
          <w:tcPr/>
          <w:p>
            <w:pPr>
              <w:pStyle w:val="Compact"/>
              <w:jc w:val="right"/>
            </w:pPr>
            <w:r>
              <w:rPr>
                <w:sz w:val="18"/>
              </w:rPr>
              <w:t xml:space="preserve">−1,357</w:t>
            </w:r>
          </w:p>
        </w:tc>
        <w:tc>
          <w:tcPr/>
          <w:p>
            <w:pPr>
              <w:pStyle w:val="Compact"/>
              <w:jc w:val="right"/>
            </w:pPr>
            <w:r>
              <w:rPr>
                <w:sz w:val="18"/>
              </w:rPr>
              <w:t xml:space="preserve">557</w:t>
            </w:r>
          </w:p>
        </w:tc>
      </w:tr>
      <w:tr>
        <w:tc>
          <w:tcPr/>
          <w:p>
            <w:pPr>
              <w:pStyle w:val="Compact"/>
            </w:pPr>
            <m:oMath>
              <m:r>
                <m:rPr>
                  <m:sty m:val="p"/>
                </m:rPr>
                <m:t>Δ</m:t>
              </m:r>
              <m:r>
                <m:t>p</m:t>
              </m:r>
              <m:r>
                <m:rPr>
                  <m:sty m:val="p"/>
                </m:rPr>
                <m:t>=</m:t>
              </m:r>
              <m:r>
                <m:t>8</m:t>
              </m:r>
            </m:oMath>
          </w:p>
        </w:tc>
        <w:tc>
          <w:tcPr/>
          <w:p>
            <w:pPr>
              <w:pStyle w:val="Compact"/>
              <w:jc w:val="right"/>
            </w:pPr>
            <w:r>
              <w:rPr>
                <w:sz w:val="18"/>
              </w:rPr>
              <w:t xml:space="preserve">—</w:t>
            </w:r>
          </w:p>
        </w:tc>
        <w:tc>
          <w:tcPr/>
          <w:p>
            <w:pPr>
              <w:pStyle w:val="Compact"/>
              <w:jc w:val="right"/>
            </w:pPr>
            <w:r>
              <w:rPr>
                <w:sz w:val="18"/>
              </w:rPr>
              <w:t xml:space="preserve">9,259</w:t>
            </w:r>
          </w:p>
        </w:tc>
        <w:tc>
          <w:tcPr/>
          <w:p>
            <w:pPr>
              <w:pStyle w:val="Compact"/>
              <w:jc w:val="right"/>
            </w:pPr>
            <w:r>
              <w:rPr>
                <w:sz w:val="18"/>
              </w:rPr>
              <w:t xml:space="preserve">12,067</w:t>
            </w:r>
          </w:p>
        </w:tc>
        <w:tc>
          <w:tcPr/>
          <w:p>
            <w:pPr>
              <w:pStyle w:val="Compact"/>
              <w:jc w:val="right"/>
            </w:pPr>
            <w:r>
              <w:rPr>
                <w:sz w:val="18"/>
              </w:rPr>
              <w:t xml:space="preserve">—</w:t>
            </w:r>
          </w:p>
        </w:tc>
        <w:tc>
          <w:tcPr/>
          <w:p>
            <w:pPr>
              <w:pStyle w:val="Compact"/>
              <w:jc w:val="right"/>
            </w:pPr>
            <w:r>
              <w:rPr>
                <w:sz w:val="18"/>
              </w:rPr>
              <w:t xml:space="preserve">−2,808</w:t>
            </w:r>
          </w:p>
        </w:tc>
        <w:tc>
          <w:tcPr/>
          <w:p>
            <w:pPr>
              <w:pStyle w:val="Compact"/>
              <w:jc w:val="right"/>
            </w:pPr>
            <w:r>
              <w:rPr>
                <w:sz w:val="18"/>
              </w:rPr>
              <w:t xml:space="preserve">1,152</w:t>
            </w:r>
          </w:p>
        </w:tc>
      </w:tr>
      <w:tr>
        <w:tc>
          <w:tcPr/>
          <w:p>
            <w:pPr>
              <w:pStyle w:val="Compact"/>
            </w:pPr>
            <m:oMath>
              <m:r>
                <m:rPr>
                  <m:sty m:val="p"/>
                </m:rPr>
                <m:t>Δ</m:t>
              </m:r>
              <m:r>
                <m:t>p</m:t>
              </m:r>
              <m:r>
                <m:rPr>
                  <m:sty m:val="p"/>
                </m:rPr>
                <m:t>=</m:t>
              </m:r>
              <m:r>
                <m:t>10</m:t>
              </m:r>
            </m:oMath>
          </w:p>
        </w:tc>
        <w:tc>
          <w:tcPr/>
          <w:p>
            <w:pPr>
              <w:pStyle w:val="Compact"/>
              <w:jc w:val="right"/>
            </w:pPr>
            <w:r>
              <w:rPr>
                <w:sz w:val="18"/>
              </w:rPr>
              <w:t xml:space="preserve">—</w:t>
            </w:r>
          </w:p>
        </w:tc>
        <w:tc>
          <w:tcPr/>
          <w:p>
            <w:pPr>
              <w:pStyle w:val="Compact"/>
              <w:jc w:val="right"/>
            </w:pPr>
            <w:r>
              <w:rPr>
                <w:sz w:val="18"/>
              </w:rPr>
              <w:t xml:space="preserve">7,967</w:t>
            </w:r>
          </w:p>
        </w:tc>
        <w:tc>
          <w:tcPr/>
          <w:p>
            <w:pPr>
              <w:pStyle w:val="Compact"/>
              <w:jc w:val="right"/>
            </w:pPr>
            <w:r>
              <w:rPr>
                <w:sz w:val="18"/>
              </w:rPr>
              <w:t xml:space="preserve">12,506</w:t>
            </w:r>
          </w:p>
        </w:tc>
        <w:tc>
          <w:tcPr/>
          <w:p>
            <w:pPr>
              <w:pStyle w:val="Compact"/>
              <w:jc w:val="right"/>
            </w:pPr>
            <w:r>
              <w:rPr>
                <w:sz w:val="18"/>
              </w:rPr>
              <w:t xml:space="preserve">—</w:t>
            </w:r>
          </w:p>
        </w:tc>
        <w:tc>
          <w:tcPr/>
          <w:p>
            <w:pPr>
              <w:pStyle w:val="Compact"/>
              <w:jc w:val="right"/>
            </w:pPr>
            <w:r>
              <w:rPr>
                <w:sz w:val="18"/>
              </w:rPr>
              <w:t xml:space="preserve">−4,539</w:t>
            </w:r>
          </w:p>
        </w:tc>
        <w:tc>
          <w:tcPr/>
          <w:p>
            <w:pPr>
              <w:pStyle w:val="Compact"/>
              <w:jc w:val="right"/>
            </w:pPr>
            <w:r>
              <w:rPr>
                <w:sz w:val="18"/>
              </w:rPr>
              <w:t xml:space="preserve">2,625</w:t>
            </w:r>
          </w:p>
        </w:tc>
      </w:tr>
      <w:tr>
        <w:tc>
          <w:tcPr/>
          <w:p>
            <w:pPr>
              <w:pStyle w:val="Compact"/>
            </w:pPr>
            <w:r>
              <w:rPr>
                <w:rFonts w:hint="eastAsia"/>
                <w:b/>
                <w:bCs/>
                <w:sz w:val="18"/>
              </w:rPr>
              <w:t xml:space="preserve">パネルB：価格過程のシナリオ（現状からの変化）</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風力2倍</w:t>
            </w:r>
          </w:p>
        </w:tc>
        <w:tc>
          <w:tcPr/>
          <w:p>
            <w:pPr>
              <w:pStyle w:val="Compact"/>
              <w:jc w:val="right"/>
            </w:pPr>
            <w:r>
              <w:rPr>
                <w:rFonts w:hint="eastAsia"/>
                <w:sz w:val="18"/>
              </w:rPr>
              <w:t xml:space="preserve">+605（+236）</w:t>
            </w:r>
          </w:p>
        </w:tc>
        <w:tc>
          <w:tcPr/>
          <w:p>
            <w:pPr>
              <w:pStyle w:val="Compact"/>
              <w:jc w:val="right"/>
            </w:pPr>
            <w:r>
              <w:rPr>
                <w:rFonts w:hint="eastAsia"/>
                <w:sz w:val="18"/>
              </w:rPr>
              <w:t xml:space="preserve">+412（+72）</w:t>
            </w:r>
          </w:p>
        </w:tc>
        <w:tc>
          <w:tcPr/>
          <w:p>
            <w:pPr>
              <w:pStyle w:val="Compact"/>
              <w:jc w:val="right"/>
            </w:pPr>
            <w:r>
              <w:rPr>
                <w:rFonts w:hint="eastAsia"/>
                <w:sz w:val="18"/>
              </w:rPr>
              <w:t xml:space="preserve">+1,054（+618）</w:t>
            </w:r>
          </w:p>
        </w:tc>
        <w:tc>
          <w:tcPr/>
          <w:p>
            <w:pPr>
              <w:pStyle w:val="Compact"/>
              <w:jc w:val="right"/>
            </w:pPr>
            <w:r>
              <w:rPr>
                <w:sz w:val="18"/>
              </w:rPr>
              <w:t xml:space="preserve">+193</w:t>
            </w:r>
          </w:p>
        </w:tc>
        <w:tc>
          <w:tcPr/>
          <w:p>
            <w:pPr>
              <w:pStyle w:val="Compact"/>
              <w:jc w:val="right"/>
            </w:pPr>
            <w:r>
              <w:rPr>
                <w:sz w:val="18"/>
              </w:rPr>
              <w:t xml:space="preserve">−642</w:t>
            </w:r>
          </w:p>
        </w:tc>
        <w:tc>
          <w:tcPr/>
          <w:p>
            <w:pPr>
              <w:pStyle w:val="Compact"/>
              <w:jc w:val="right"/>
            </w:pPr>
            <w:r>
              <w:rPr>
                <w:sz w:val="18"/>
              </w:rPr>
              <w:t xml:space="preserve">—</w:t>
            </w:r>
          </w:p>
        </w:tc>
      </w:tr>
      <w:tr>
        <w:tc>
          <w:tcPr/>
          <w:p>
            <w:pPr>
              <w:pStyle w:val="Compact"/>
            </w:pPr>
            <w:r>
              <w:rPr>
                <w:rFonts w:hint="eastAsia"/>
                <w:sz w:val="18"/>
              </w:rPr>
              <w:t xml:space="preserve">風力3倍</w:t>
            </w:r>
          </w:p>
        </w:tc>
        <w:tc>
          <w:tcPr/>
          <w:p>
            <w:pPr>
              <w:pStyle w:val="Compact"/>
              <w:jc w:val="right"/>
            </w:pPr>
            <w:r>
              <w:rPr>
                <w:rFonts w:hint="eastAsia"/>
                <w:sz w:val="18"/>
              </w:rPr>
              <w:t xml:space="preserve">+1,481（+740）</w:t>
            </w:r>
          </w:p>
        </w:tc>
        <w:tc>
          <w:tcPr/>
          <w:p>
            <w:pPr>
              <w:pStyle w:val="Compact"/>
              <w:jc w:val="right"/>
            </w:pPr>
            <w:r>
              <w:rPr>
                <w:rFonts w:hint="eastAsia"/>
                <w:sz w:val="18"/>
              </w:rPr>
              <w:t xml:space="preserve">+975（+312）</w:t>
            </w:r>
          </w:p>
        </w:tc>
        <w:tc>
          <w:tcPr/>
          <w:p>
            <w:pPr>
              <w:pStyle w:val="Compact"/>
              <w:jc w:val="right"/>
            </w:pPr>
            <w:r>
              <w:rPr>
                <w:rFonts w:hint="eastAsia"/>
                <w:sz w:val="18"/>
              </w:rPr>
              <w:t xml:space="preserve">+2,808（+1,869）</w:t>
            </w:r>
          </w:p>
        </w:tc>
        <w:tc>
          <w:tcPr/>
          <w:p>
            <w:pPr>
              <w:pStyle w:val="Compact"/>
              <w:jc w:val="right"/>
            </w:pPr>
            <w:r>
              <w:rPr>
                <w:sz w:val="18"/>
              </w:rPr>
              <w:t xml:space="preserve">+506</w:t>
            </w:r>
          </w:p>
        </w:tc>
        <w:tc>
          <w:tcPr/>
          <w:p>
            <w:pPr>
              <w:pStyle w:val="Compact"/>
              <w:jc w:val="right"/>
            </w:pPr>
            <w:r>
              <w:rPr>
                <w:sz w:val="18"/>
              </w:rPr>
              <w:t xml:space="preserve">−1,833</w:t>
            </w:r>
          </w:p>
        </w:tc>
        <w:tc>
          <w:tcPr/>
          <w:p>
            <w:pPr>
              <w:pStyle w:val="Compact"/>
              <w:jc w:val="right"/>
            </w:pPr>
            <w:r>
              <w:rPr>
                <w:sz w:val="18"/>
              </w:rPr>
              <w:t xml:space="preserve">—</w:t>
            </w:r>
          </w:p>
        </w:tc>
      </w:tr>
      <w:tr>
        <w:tc>
          <w:tcPr/>
          <w:p>
            <w:pPr>
              <w:pStyle w:val="Compact"/>
            </w:pPr>
            <w:r>
              <w:rPr>
                <w:rFonts w:hint="eastAsia"/>
                <w:sz w:val="18"/>
              </w:rPr>
              <w:t xml:space="preserve">泊3号（−821MW）</w:t>
            </w:r>
          </w:p>
        </w:tc>
        <w:tc>
          <w:tcPr/>
          <w:p>
            <w:pPr>
              <w:pStyle w:val="Compact"/>
              <w:jc w:val="right"/>
            </w:pPr>
            <w:r>
              <w:rPr>
                <w:rFonts w:hint="eastAsia"/>
                <w:sz w:val="18"/>
              </w:rPr>
              <w:t xml:space="preserve">+662（−197）</w:t>
            </w:r>
          </w:p>
        </w:tc>
        <w:tc>
          <w:tcPr/>
          <w:p>
            <w:pPr>
              <w:pStyle w:val="Compact"/>
              <w:jc w:val="right"/>
            </w:pPr>
            <w:r>
              <w:rPr>
                <w:rFonts w:hint="eastAsia"/>
                <w:sz w:val="18"/>
              </w:rPr>
              <w:t xml:space="preserve">+163（−621）</w:t>
            </w:r>
          </w:p>
        </w:tc>
        <w:tc>
          <w:tcPr/>
          <w:p>
            <w:pPr>
              <w:pStyle w:val="Compact"/>
              <w:jc w:val="right"/>
            </w:pPr>
            <w:r>
              <w:rPr>
                <w:rFonts w:hint="eastAsia"/>
                <w:sz w:val="18"/>
              </w:rPr>
              <w:t xml:space="preserve">+1,887（+844）</w:t>
            </w:r>
          </w:p>
        </w:tc>
        <w:tc>
          <w:tcPr/>
          <w:p>
            <w:pPr>
              <w:pStyle w:val="Compact"/>
              <w:jc w:val="right"/>
            </w:pPr>
            <w:r>
              <w:rPr>
                <w:sz w:val="18"/>
              </w:rPr>
              <w:t xml:space="preserve">+499</w:t>
            </w:r>
          </w:p>
        </w:tc>
        <w:tc>
          <w:tcPr/>
          <w:p>
            <w:pPr>
              <w:pStyle w:val="Compact"/>
              <w:jc w:val="right"/>
            </w:pPr>
            <w:r>
              <w:rPr>
                <w:sz w:val="18"/>
              </w:rPr>
              <w:t xml:space="preserve">−1,723</w:t>
            </w:r>
          </w:p>
        </w:tc>
        <w:tc>
          <w:tcPr/>
          <w:p>
            <w:pPr>
              <w:pStyle w:val="Compact"/>
              <w:jc w:val="right"/>
            </w:pPr>
            <w:r>
              <w:rPr>
                <w:sz w:val="18"/>
              </w:rPr>
              <w:t xml:space="preserve">—</w:t>
            </w:r>
          </w:p>
        </w:tc>
      </w:tr>
      <w:tr>
        <w:tc>
          <w:tcPr/>
          <w:p>
            <w:pPr>
              <w:pStyle w:val="Compact"/>
            </w:pPr>
            <w:r>
              <w:rPr>
                <w:rFonts w:hint="eastAsia"/>
                <w:sz w:val="18"/>
              </w:rPr>
              <w:t xml:space="preserve">泊2基相当（−1,642MW）</w:t>
            </w:r>
          </w:p>
        </w:tc>
        <w:tc>
          <w:tcPr/>
          <w:p>
            <w:pPr>
              <w:pStyle w:val="Compact"/>
              <w:jc w:val="right"/>
            </w:pPr>
            <w:r>
              <w:rPr>
                <w:rFonts w:hint="eastAsia"/>
                <w:sz w:val="18"/>
              </w:rPr>
              <w:t xml:space="preserve">+293（−1,269）</w:t>
            </w:r>
          </w:p>
        </w:tc>
        <w:tc>
          <w:tcPr/>
          <w:p>
            <w:pPr>
              <w:pStyle w:val="Compact"/>
              <w:jc w:val="right"/>
            </w:pPr>
            <w:r>
              <w:rPr>
                <w:rFonts w:hint="eastAsia"/>
                <w:sz w:val="18"/>
              </w:rPr>
              <w:t xml:space="preserve">−1,342（−2,653）</w:t>
            </w:r>
          </w:p>
        </w:tc>
        <w:tc>
          <w:tcPr/>
          <w:p>
            <w:pPr>
              <w:pStyle w:val="Compact"/>
              <w:jc w:val="right"/>
            </w:pPr>
            <w:r>
              <w:rPr>
                <w:rFonts w:hint="eastAsia"/>
                <w:sz w:val="18"/>
              </w:rPr>
              <w:t xml:space="preserve">+4,245（+2,072）</w:t>
            </w:r>
          </w:p>
        </w:tc>
        <w:tc>
          <w:tcPr/>
          <w:p>
            <w:pPr>
              <w:pStyle w:val="Compact"/>
              <w:jc w:val="right"/>
            </w:pPr>
            <w:r>
              <w:rPr>
                <w:sz w:val="18"/>
              </w:rPr>
              <w:t xml:space="preserve">+1,635</w:t>
            </w:r>
          </w:p>
        </w:tc>
        <w:tc>
          <w:tcPr/>
          <w:p>
            <w:pPr>
              <w:pStyle w:val="Compact"/>
              <w:jc w:val="right"/>
            </w:pPr>
            <w:r>
              <w:rPr>
                <w:sz w:val="18"/>
              </w:rPr>
              <w:t xml:space="preserve">−5,587</w:t>
            </w:r>
          </w:p>
        </w:tc>
        <w:tc>
          <w:tcPr/>
          <w:p>
            <w:pPr>
              <w:pStyle w:val="Compact"/>
              <w:jc w:val="right"/>
            </w:pPr>
            <w:r>
              <w:rPr>
                <w:sz w:val="18"/>
              </w:rPr>
              <w:t xml:space="preserve">—</w:t>
            </w:r>
          </w:p>
        </w:tc>
      </w:tr>
      <w:tr>
        <w:tc>
          <w:tcPr/>
          <w:p>
            <w:pPr>
              <w:pStyle w:val="Compact"/>
            </w:pPr>
            <w:r>
              <w:rPr>
                <w:rFonts w:hint="eastAsia"/>
                <w:sz w:val="18"/>
              </w:rPr>
              <w:t xml:space="preserve">泊1〜3号全基（−1,863MW）</w:t>
            </w:r>
          </w:p>
        </w:tc>
        <w:tc>
          <w:tcPr/>
          <w:p>
            <w:pPr>
              <w:pStyle w:val="Compact"/>
              <w:jc w:val="right"/>
            </w:pPr>
            <w:r>
              <w:rPr>
                <w:rFonts w:hint="eastAsia"/>
                <w:sz w:val="18"/>
              </w:rPr>
              <w:t xml:space="preserve">−484（−2,155）</w:t>
            </w:r>
          </w:p>
        </w:tc>
        <w:tc>
          <w:tcPr/>
          <w:p>
            <w:pPr>
              <w:pStyle w:val="Compact"/>
              <w:jc w:val="right"/>
            </w:pPr>
            <w:r>
              <w:rPr>
                <w:rFonts w:hint="eastAsia"/>
                <w:sz w:val="18"/>
              </w:rPr>
              <w:t xml:space="preserve">−2,027（−3,435）</w:t>
            </w:r>
          </w:p>
        </w:tc>
        <w:tc>
          <w:tcPr/>
          <w:p>
            <w:pPr>
              <w:pStyle w:val="Compact"/>
              <w:jc w:val="right"/>
            </w:pPr>
            <w:r>
              <w:rPr>
                <w:rFonts w:hint="eastAsia"/>
                <w:sz w:val="18"/>
              </w:rPr>
              <w:t xml:space="preserve">+4,709（+2,228）</w:t>
            </w:r>
          </w:p>
        </w:tc>
        <w:tc>
          <w:tcPr/>
          <w:p>
            <w:pPr>
              <w:pStyle w:val="Compact"/>
              <w:jc w:val="right"/>
            </w:pPr>
            <w:r>
              <w:rPr>
                <w:sz w:val="18"/>
              </w:rPr>
              <w:t xml:space="preserve">+1,543</w:t>
            </w:r>
          </w:p>
        </w:tc>
        <w:tc>
          <w:tcPr/>
          <w:p>
            <w:pPr>
              <w:pStyle w:val="Compact"/>
              <w:jc w:val="right"/>
            </w:pPr>
            <w:r>
              <w:rPr>
                <w:sz w:val="18"/>
              </w:rPr>
              <w:t xml:space="preserve">−6,737</w:t>
            </w:r>
          </w:p>
        </w:tc>
        <w:tc>
          <w:tcPr/>
          <w:p>
            <w:pPr>
              <w:pStyle w:val="Compact"/>
              <w:jc w:val="right"/>
            </w:pPr>
            <w:r>
              <w:rPr>
                <w:sz w:val="18"/>
              </w:rPr>
              <w:t xml:space="preserve">—</w:t>
            </w:r>
          </w:p>
        </w:tc>
      </w:tr>
    </w:tbl>
    <w:p>
      <w:pPr>
        <w:pStyle w:val="TableNote"/>
      </w:pPr>
      <w:r>
        <w:rPr>
          <w:rFonts w:hint="eastAsia"/>
        </w:rPr>
        <w:t xml:space="preserve">注）値は完全予見粗利（円/kW-年。FY2023〜25</w:t>
      </w:r>
      <w:r>
        <w:t xml:space="preserve"> </w:t>
      </w:r>
      <w:r>
        <w:rPr>
          <w:rFonts w:hint="eastAsia"/>
        </w:rPr>
        <w:t xml:space="preserve">の年度合計の3年平均）。下限ありは0.01円で打ち切った価格、下限なしは打ち切らない価格の上の値であり、下限価格の効果は下限ありと下限なしの差（負の値は下限価格が削る価値）である。パネルA</w:t>
      </w:r>
      <w:r>
        <w:t xml:space="preserve"> </w:t>
      </w:r>
      <w:r>
        <w:rPr>
          <w:rFonts w:hint="eastAsia"/>
        </w:rPr>
        <w:t xml:space="preserve">は実績価格の上の水準で、下限なしの増分は往復損失の水準効果だけからなる。0.01円以下の時間は、引き下げた価格が0.01円以下となる年間の時間数（時間/年）である。パネルB</w:t>
      </w:r>
      <w:r>
        <w:t xml:space="preserve"> </w:t>
      </w:r>
      <w:r>
        <w:rPr>
          <w:rFonts w:hint="eastAsia"/>
        </w:rPr>
        <w:t xml:space="preserve">は仕様A（水準固定）の上の現状からの変化で、括弧内はうちスプレッドの変化（3.4·ΔTB4h）。パネルB</w:t>
      </w:r>
      <w:r>
        <w:t xml:space="preserve"> </w:t>
      </w:r>
      <w:r>
        <w:rPr>
          <w:rFonts w:hint="eastAsia"/>
        </w:rPr>
        <w:t xml:space="preserve">の下限あり・下限なしは下端を線形外挿した価格過程の値であり、段差の効果は仕様A</w:t>
      </w:r>
      <w:r>
        <w:t xml:space="preserve"> </w:t>
      </w:r>
      <w:r>
        <w:rPr>
          <w:rFonts w:hint="eastAsia"/>
        </w:rPr>
        <w:t xml:space="preserve">と線形外挿・下限ありの差である。風力の行は、風力の効果を実績より有利に出す仕様A</w:t>
      </w:r>
      <w:r>
        <w:t xml:space="preserve"> </w:t>
      </w:r>
      <w:r>
        <w:rPr>
          <w:rFonts w:hint="eastAsia"/>
        </w:rPr>
        <w:t xml:space="preserve">の値である。—は該当しないことを示す。</w:t>
      </w:r>
    </w:p>
    <w:p>
      <w:pPr>
        <w:pStyle w:val="TableNote"/>
      </w:pPr>
      <w:r>
        <w:rPr>
          <w:rFonts w:hint="eastAsia"/>
        </w:rPr>
        <w:t xml:space="preserve">出所）表7.1</w:t>
      </w:r>
      <w:r>
        <w:t xml:space="preserve"> </w:t>
      </w:r>
      <w:r>
        <w:rPr>
          <w:rFonts w:hint="eastAsia"/>
        </w:rPr>
        <w:t xml:space="preserve">と同じ。</w:t>
      </w:r>
    </w:p>
    <w:p>
      <w:pPr>
        <w:pStyle w:val="BodyText"/>
      </w:pPr>
      <w:r>
        <w:rPr>
          <w:rFonts w:hint="eastAsia"/>
        </w:rPr>
        <w:t xml:space="preserve">価格過程でも同じことが言える（パネルB）。下端を線形外挿したうえで下限も外すと、下限価格が削る価値は泊3号で1,723円、泊2基相当で5,587円、風力3倍で1,833円である。この反実仮想の負の価格は浅い（泊3号で平均−5.0円）。泊3号で削る1,723円は、第9章の段差モデルで負の価格の深さを約4.5円と置いた場合の値にあたるので、これは下限価格が削る価値の上限ではない。それでも符号は明確であり、下限価格は裁定価値を作るのではなく削る。下限を外すと山型は消え（図7.5</w:t>
      </w:r>
      <w:r>
        <w:t xml:space="preserve"> </w:t>
      </w:r>
      <w:r>
        <w:rPr>
          <w:rFonts w:hint="eastAsia"/>
        </w:rPr>
        <w:t xml:space="preserve">のA）、単一曲線の仕様で山型を作っているのは下限価格である。分断混合仕様ではベースロードの減少とともに完全予見粗利が単調に増えるが、これは連系時にシステムプライスを外生に置く外挿によるもので、戦略</w:t>
      </w:r>
      <w:r>
        <w:t xml:space="preserve"> c </w:t>
      </w:r>
      <w:r>
        <w:rPr>
          <w:rFonts w:hint="eastAsia"/>
        </w:rPr>
        <w:t xml:space="preserve">ではほとんど取れない（7.3節）。原子力の日次発電量が変動する九州の日次回帰も、原子力がスプレッドを広げる証拠を示さないが（表C.30）、年月固定効果の仕様の片側95%上限は泊の規模で1〜3円/kWh</w:t>
      </w:r>
      <w:r>
        <w:t xml:space="preserve"> </w:t>
      </w:r>
      <w:r>
        <w:rPr>
          <w:rFonts w:hint="eastAsia"/>
        </w:rPr>
        <w:t xml:space="preserve">の拡大を排除しないので、「泊の再稼働はスプレッドをほとんど広げない」という記述の根拠は主に北海道の価格モデルである。量的な大きさは推定範囲外の扱いと仕様に依存するが、どの扱いでも</w:t>
      </w:r>
      <w:r>
        <w:t xml:space="preserve"> </w:t>
      </w:r>
      <m:oMath>
        <m:sSup>
          <m:e>
            <m:r>
              <m:t>K</m:t>
            </m:r>
          </m:e>
          <m:sup>
            <m:r>
              <m:rPr>
                <m:sty m:val="p"/>
              </m:rPr>
              <m:t>*</m:t>
            </m:r>
          </m:sup>
        </m:sSup>
        <m:r>
          <m:rPr>
            <m:sty m:val="p"/>
          </m:rPr>
          <m:t>=</m:t>
        </m:r>
        <m:r>
          <m:t>0</m:t>
        </m:r>
      </m:oMath>
      <w:r>
        <w:t xml:space="preserve"> </w:t>
      </w:r>
      <w:r>
        <w:rPr>
          <w:rFonts w:hint="eastAsia"/>
        </w:rPr>
        <w:t xml:space="preserve">は変わらない。下限価格が余剰の価値を市場から隠すという第9章の議論は、この機構の上に立つ。</w:t>
      </w:r>
    </w:p>
    <w:bookmarkEnd w:id="197"/>
    <w:bookmarkStart w:id="205" w:name="不確実性の下での参入閾値-1"/>
    <w:p>
      <w:pPr>
        <w:pStyle w:val="Heading2"/>
      </w:pPr>
      <w:r>
        <w:t xml:space="preserve">7.8　</w:t>
      </w:r>
      <w:r>
        <w:rPr>
          <w:rFonts w:hint="eastAsia"/>
        </w:rPr>
        <w:t xml:space="preserve">不確実性の下での参入閾値</w:t>
      </w:r>
    </w:p>
    <w:bookmarkStart w:id="201" w:name="価格水準の2因子分解"/>
    <w:p>
      <w:pPr>
        <w:pStyle w:val="Heading3"/>
      </w:pPr>
      <w:r>
        <w:t xml:space="preserve">7.8.1　</w:t>
      </w:r>
      <w:r>
        <w:rPr>
          <w:rFonts w:hint="eastAsia"/>
        </w:rPr>
        <w:t xml:space="preserve">価格水準の2因子分解</w:t>
      </w:r>
    </w:p>
    <w:p>
      <w:pPr>
        <w:pStyle w:val="FirstParagraph"/>
      </w:pPr>
      <w:r>
        <w:rPr>
          <w:rFonts w:hint="eastAsia"/>
        </w:rPr>
        <w:t xml:space="preserve">全期間の推定では、恒久成分のボラティリティ</w:t>
      </w:r>
      <w:r>
        <w:t xml:space="preserve"> </w:t>
      </w:r>
      <m:oMath>
        <m:sSub>
          <m:e>
            <m:r>
              <m:t>σ</m:t>
            </m:r>
          </m:e>
          <m:sub>
            <m:r>
              <m:t>ξ</m:t>
            </m:r>
          </m:sub>
        </m:sSub>
      </m:oMath>
      <w:r>
        <w:t xml:space="preserve"> </w:t>
      </w:r>
      <w:r>
        <w:rPr>
          <w:rFonts w:hint="eastAsia"/>
        </w:rPr>
        <w:t xml:space="preserve">は年0.30、一時成分の半減期は1.2か月である（図7.6(a)、表C.31）。ただし</w:t>
      </w:r>
      <w:r>
        <w:t xml:space="preserve"> </w:t>
      </w:r>
      <m:oMath>
        <m:sSub>
          <m:e>
            <m:r>
              <m:t>σ</m:t>
            </m:r>
          </m:e>
          <m:sub>
            <m:r>
              <m:t>ξ</m:t>
            </m:r>
          </m:sub>
        </m:sSub>
      </m:oMath>
      <w:r>
        <w:t xml:space="preserve"> </w:t>
      </w:r>
      <w:r>
        <w:t xml:space="preserve">はほぼ FY2021〜22 </w:t>
      </w:r>
      <w:r>
        <w:rPr>
          <w:rFonts w:hint="eastAsia"/>
        </w:rPr>
        <w:t xml:space="preserve">の燃料危機で決まり、2016年4月〜2021年3月では0、2023年4月以降では0.11である。プロファイル尤度による95%区間は全期間で0〜0.64と広く、</w:t>
      </w:r>
      <m:oMath>
        <m:sSub>
          <m:e>
            <m:r>
              <m:t>σ</m:t>
            </m:r>
          </m:e>
          <m:sub>
            <m:r>
              <m:t>ξ</m:t>
            </m:r>
          </m:sub>
        </m:sSub>
        <m:r>
          <m:rPr>
            <m:sty m:val="p"/>
          </m:rPr>
          <m:t>=</m:t>
        </m:r>
        <m:r>
          <m:t>0</m:t>
        </m:r>
      </m:oMath>
      <w:r>
        <w:t xml:space="preserve"> </w:t>
      </w:r>
      <w:r>
        <w:rPr>
          <w:rFonts w:hint="eastAsia"/>
        </w:rPr>
        <w:t xml:space="preserve">も棄却できない。単位根の検定も決め手にならず、ADF</w:t>
      </w:r>
      <w:r>
        <w:t xml:space="preserve"> </w:t>
      </w:r>
      <w:r>
        <w:rPr>
          <w:rFonts w:hint="eastAsia"/>
        </w:rPr>
        <w:t xml:space="preserve">検定（Dickey</w:t>
      </w:r>
      <w:r>
        <w:t xml:space="preserve"> &amp; Fuller, </w:t>
      </w:r>
      <w:r>
        <w:rPr>
          <w:rFonts w:hint="eastAsia"/>
        </w:rPr>
        <w:t xml:space="preserve">1979）は単位根を5%で棄却できず（p=0.055）、KPSS</w:t>
      </w:r>
      <w:r>
        <w:t xml:space="preserve"> </w:t>
      </w:r>
      <w:r>
        <w:rPr>
          <w:rFonts w:hint="eastAsia"/>
        </w:rPr>
        <w:t xml:space="preserve">検定（Kwiatkowski</w:t>
      </w:r>
      <w:r>
        <w:t xml:space="preserve"> et al., </w:t>
      </w:r>
      <w:r>
        <w:rPr>
          <w:rFonts w:hint="eastAsia"/>
        </w:rPr>
        <w:t xml:space="preserve">1992）は定常性を棄却する（p=0.022）。分散比も、Lo</w:t>
      </w:r>
      <w:r>
        <w:t xml:space="preserve"> and </w:t>
      </w:r>
      <w:r>
        <w:rPr>
          <w:rFonts w:hint="eastAsia"/>
        </w:rPr>
        <w:t xml:space="preserve">MacKinlay（1988）の頑健な統計量ではランダムウォークを棄却できない。ショックが恒久的か一時的かは識別できないので、以下では</w:t>
      </w:r>
      <w:r>
        <w:t xml:space="preserve"> </w:t>
      </w:r>
      <m:oMath>
        <m:r>
          <m:t>σ</m:t>
        </m:r>
      </m:oMath>
      <w:r>
        <w:t xml:space="preserve"> </w:t>
      </w:r>
      <w:r>
        <w:rPr>
          <w:rFonts w:hint="eastAsia"/>
        </w:rPr>
        <w:t xml:space="preserve">を0.10〜0.30の幅で示す。FY2026（4〜6月）の代理の水準1.55のうち、FY2023〜25</w:t>
      </w:r>
      <w:r>
        <w:t xml:space="preserve"> </w:t>
      </w:r>
      <w:r>
        <w:rPr>
          <w:rFonts w:hint="eastAsia"/>
        </w:rPr>
        <w:t xml:space="preserve">の水準からの上昇幅0.55に占める恒久成分の上昇は3〜4割にとどまる。20年の投資判断に効くのは恒久成分なので、2026年6月の推定値</w:t>
      </w:r>
      <w:r>
        <w:t xml:space="preserve"> </w:t>
      </w:r>
      <m:oMath>
        <m:r>
          <m:t>ξ</m:t>
        </m:r>
        <m:r>
          <m:rPr>
            <m:sty m:val="p"/>
          </m:rPr>
          <m:t>=</m:t>
        </m:r>
        <m:r>
          <m:t>1.22</m:t>
        </m:r>
      </m:oMath>
      <w:r>
        <w:t xml:space="preserve"> </w:t>
      </w:r>
      <w:r>
        <w:rPr>
          <w:rFonts w:hint="eastAsia"/>
        </w:rPr>
        <w:t xml:space="preserve">を出発点とする。</w:t>
      </w:r>
    </w:p>
    <w:p>
      <w:pPr>
        <w:pStyle w:val="CaptionedFigure"/>
      </w:pPr>
      <w:r>
        <w:drawing>
          <wp:inline>
            <wp:extent cx="5399999" cy="5222368"/>
            <wp:effectExtent b="0" l="0" r="0" t="0"/>
            <wp:docPr descr="図7.6　不確実性の下での参入閾値" title="" id="199" name="Picture"/>
            <a:graphic>
              <a:graphicData uri="http://schemas.openxmlformats.org/drawingml/2006/picture">
                <pic:pic>
                  <pic:nvPicPr>
                    <pic:cNvPr descr="../figures/hokkaido/real_option_threshold.png" id="200" name="Picture"/>
                    <pic:cNvPicPr>
                      <a:picLocks noChangeArrowheads="1" noChangeAspect="1"/>
                    </pic:cNvPicPr>
                  </pic:nvPicPr>
                  <pic:blipFill>
                    <a:blip r:embed="rId198"/>
                    <a:stretch>
                      <a:fillRect/>
                    </a:stretch>
                  </pic:blipFill>
                  <pic:spPr bwMode="auto">
                    <a:xfrm>
                      <a:off x="0" y="0"/>
                      <a:ext cx="5399999" cy="5222368"/>
                    </a:xfrm>
                    <a:prstGeom prst="rect">
                      <a:avLst/>
                    </a:prstGeom>
                    <a:noFill/>
                    <a:ln w="9525">
                      <a:noFill/>
                      <a:headEnd/>
                      <a:tailEnd/>
                    </a:ln>
                  </pic:spPr>
                </pic:pic>
              </a:graphicData>
            </a:graphic>
          </wp:inline>
        </w:drawing>
      </w:r>
    </w:p>
    <w:p>
      <w:pPr>
        <w:pStyle w:val="ImageCaption"/>
      </w:pPr>
      <w:r>
        <w:rPr>
          <w:rFonts w:hint="eastAsia"/>
        </w:rPr>
        <w:t xml:space="preserve">図7.6</w:t>
      </w:r>
      <w:r>
        <w:t xml:space="preserve">　</w:t>
      </w:r>
      <w:r>
        <w:rPr>
          <w:rFonts w:hint="eastAsia"/>
        </w:rPr>
        <w:t xml:space="preserve">不確実性の下での参入閾値</w:t>
      </w:r>
    </w:p>
    <w:p>
      <w:pPr>
        <w:pStyle w:val="TableNote"/>
      </w:pPr>
      <w:r>
        <w:rPr>
          <w:rFonts w:hint="eastAsia"/>
        </w:rPr>
        <w:t xml:space="preserve">注）(a)</w:t>
      </w:r>
      <w:r>
        <w:t xml:space="preserve"> </w:t>
      </w:r>
      <w:r>
        <w:rPr>
          <w:rFonts w:hint="eastAsia"/>
        </w:rPr>
        <w:t xml:space="preserve">は価格水準の代理（月平均システムプライス÷FY2023〜25</w:t>
      </w:r>
      <w:r>
        <w:t xml:space="preserve"> </w:t>
      </w:r>
      <w:r>
        <w:rPr>
          <w:rFonts w:hint="eastAsia"/>
        </w:rPr>
        <w:t xml:space="preserve">の同月平均、対数目盛）と恒久成分の推定値、(b)</w:t>
      </w:r>
      <w:r>
        <w:t xml:space="preserve"> </w:t>
      </w:r>
      <w:r>
        <w:rPr>
          <w:rFonts w:hint="eastAsia"/>
        </w:rPr>
        <w:t xml:space="preserve">は恒久成分のボラティリティ</w:t>
      </w:r>
      <w:r>
        <w:t xml:space="preserve"> </w:t>
      </w:r>
      <m:oMath>
        <m:r>
          <m:t>σ</m:t>
        </m:r>
      </m:oMath>
      <w:r>
        <w:t xml:space="preserve"> </w:t>
      </w:r>
      <w:r>
        <w:rPr>
          <w:rFonts w:hint="eastAsia"/>
        </w:rPr>
        <w:t xml:space="preserve">と参入閾値（WACC</w:t>
      </w:r>
      <w:r>
        <w:t xml:space="preserve"> </w:t>
      </w:r>
      <w:r>
        <w:rPr>
          <w:rFonts w:hint="eastAsia"/>
        </w:rPr>
        <w:t xml:space="preserve">6%）で、</w:t>
      </w:r>
      <m:oMath>
        <m:sSub>
          <m:e>
            <m:r>
              <m:t>θ</m:t>
            </m:r>
          </m:e>
          <m:sub>
            <m:r>
              <m:t>c</m:t>
            </m:r>
          </m:sub>
        </m:sSub>
      </m:oMath>
      <w:r>
        <w:t xml:space="preserve"> </w:t>
      </w:r>
      <w:r>
        <w:rPr>
          <w:rFonts w:hint="eastAsia"/>
        </w:rPr>
        <w:t xml:space="preserve">は競争均衡の閾値、</w:t>
      </w:r>
      <m:oMath>
        <m:acc>
          <m:accPr>
            <m:chr m:val="‾"/>
          </m:accPr>
          <m:e>
            <m:r>
              <m:t>θ</m:t>
            </m:r>
          </m:e>
        </m:acc>
      </m:oMath>
      <w:r>
        <w:t xml:space="preserve"> </w:t>
      </w:r>
      <w:r>
        <w:rPr>
          <w:rFonts w:hint="eastAsia"/>
        </w:rPr>
        <w:t xml:space="preserve">は排他的な権利を持つ単独企業の閾値、</w:t>
      </w:r>
      <m:oMath>
        <m:sSub>
          <m:e>
            <m:r>
              <m:t>g</m:t>
            </m:r>
          </m:e>
          <m:sub>
            <m:r>
              <m:t>I</m:t>
            </m:r>
          </m:sub>
        </m:sSub>
      </m:oMath>
      <w:r>
        <w:t xml:space="preserve"> </w:t>
      </w:r>
      <w:r>
        <w:rPr>
          <w:rFonts w:hint="eastAsia"/>
        </w:rPr>
        <w:t xml:space="preserve">は資本費の年低下率である。(c)</w:t>
      </w:r>
      <w:r>
        <w:t xml:space="preserve"> </w:t>
      </w:r>
      <w:r>
        <w:rPr>
          <w:rFonts w:hint="eastAsia"/>
        </w:rPr>
        <w:t xml:space="preserve">は資本費低下5%/年の下でマーチャント参入が開く累積確率（</w:t>
      </w:r>
      <m:oMath>
        <m:r>
          <m:t>σ</m:t>
        </m:r>
        <m:r>
          <m:rPr>
            <m:sty m:val="p"/>
          </m:rPr>
          <m:t>=</m:t>
        </m:r>
        <m:r>
          <m:t>0.15</m:t>
        </m:r>
      </m:oMath>
      <w:r>
        <w:t xml:space="preserve">、</w:t>
      </w:r>
      <m:oMath>
        <m:r>
          <m:t>0.30</m:t>
        </m:r>
      </m:oMath>
      <w:r>
        <w:rPr>
          <w:rFonts w:hint="eastAsia"/>
        </w:rPr>
        <w:t xml:space="preserve">、静学と競争均衡の規則）。粗収益は実績整合ケース。</w:t>
      </w:r>
    </w:p>
    <w:p>
      <w:pPr>
        <w:pStyle w:val="TableNote"/>
      </w:pPr>
      <w:r>
        <w:rPr>
          <w:rFonts w:hint="eastAsia"/>
        </w:rPr>
        <w:t xml:space="preserve">出所）日本卸電力取引所『スポット市場取引結果』より筆者作成。</w:t>
      </w:r>
    </w:p>
    <w:bookmarkEnd w:id="201"/>
    <w:bookmarkStart w:id="202" w:name="参入閾値"/>
    <w:p>
      <w:pPr>
        <w:pStyle w:val="Heading3"/>
      </w:pPr>
      <w:r>
        <w:t xml:space="preserve">7.8.2　</w:t>
      </w:r>
      <w:r>
        <w:rPr>
          <w:rFonts w:hint="eastAsia"/>
        </w:rPr>
        <w:t xml:space="preserve">参入閾値</w:t>
      </w:r>
    </w:p>
    <w:p>
      <w:pPr>
        <w:pStyle w:val="FirstParagraph"/>
      </w:pPr>
      <w:r>
        <w:rPr>
          <w:rFonts w:hint="eastAsia"/>
        </w:rPr>
        <w:t xml:space="preserve">参入に必要な価格水準係数を図7.6(b)</w:t>
      </w:r>
      <w:r>
        <w:t xml:space="preserve"> </w:t>
      </w:r>
      <w:r>
        <w:rPr>
          <w:rFonts w:hint="eastAsia"/>
        </w:rPr>
        <w:t xml:space="preserve">に示す（</w:t>
      </w:r>
      <m:oMath>
        <m:r>
          <m:t>σ</m:t>
        </m:r>
      </m:oMath>
      <w:r>
        <w:rPr>
          <w:rFonts w:hint="eastAsia"/>
        </w:rPr>
        <w:t xml:space="preserve">・資本費の低下率・WACC</w:t>
      </w:r>
      <w:r>
        <w:t xml:space="preserve"> </w:t>
      </w:r>
      <w:r>
        <w:rPr>
          <w:rFonts w:hint="eastAsia"/>
        </w:rPr>
        <w:t xml:space="preserve">の組合せごとの値は表C.32）。資本費一定・WACC</w:t>
      </w:r>
      <w:r>
        <w:t xml:space="preserve"> 6%では、</w:t>
      </w:r>
      <m:oMath>
        <m:r>
          <m:t>σ</m:t>
        </m:r>
      </m:oMath>
      <w:r>
        <w:t xml:space="preserve"> </w:t>
      </w:r>
      <w:r>
        <w:rPr>
          <w:rFonts w:hint="eastAsia"/>
        </w:rPr>
        <w:t xml:space="preserve">が0.10〜0.30の範囲で、競争均衡の閾値</w:t>
      </w:r>
      <w:r>
        <w:t xml:space="preserve"> </w:t>
      </w:r>
      <m:oMath>
        <m:sSub>
          <m:e>
            <m:r>
              <m:t>θ</m:t>
            </m:r>
          </m:e>
          <m:sub>
            <m:r>
              <m:t>c</m:t>
            </m:r>
          </m:sub>
        </m:sSub>
      </m:oMath>
      <w:r>
        <w:t xml:space="preserve"> </w:t>
      </w:r>
      <w:r>
        <w:rPr>
          <w:rFonts w:hint="eastAsia"/>
        </w:rPr>
        <w:t xml:space="preserve">は3.5〜4.8（静学の1.17〜1.59倍）、単独企業の閾値</w:t>
      </w:r>
      <w:r>
        <w:t xml:space="preserve"> </w:t>
      </w:r>
      <m:oMath>
        <m:acc>
          <m:accPr>
            <m:chr m:val="‾"/>
          </m:accPr>
          <m:e>
            <m:r>
              <m:t>θ</m:t>
            </m:r>
          </m:e>
        </m:acc>
      </m:oMath>
      <w:r>
        <w:t xml:space="preserve"> </w:t>
      </w:r>
      <w:r>
        <w:rPr>
          <w:rFonts w:hint="eastAsia"/>
        </w:rPr>
        <w:t xml:space="preserve">は3.8〜5.9（1.26〜1.97倍）である。資本費が年5%下がる見込みの下では、</w:t>
      </w:r>
      <m:oMath>
        <m:r>
          <m:t>σ</m:t>
        </m:r>
        <m:r>
          <m:rPr>
            <m:sty m:val="p"/>
          </m:rPr>
          <m:t>→</m:t>
        </m:r>
        <m:r>
          <m:t>0</m:t>
        </m:r>
      </m:oMath>
      <w:r>
        <w:t xml:space="preserve"> </w:t>
      </w:r>
      <w:r>
        <w:rPr>
          <w:rFonts w:hint="eastAsia"/>
        </w:rPr>
        <w:t xml:space="preserve">でも閾値は競争均衡で4.2、単独企業で5.3に上がる。後から安く参入する者が価格を押し下げるので、資本費の低下は競争の下でも待つ理由になる（</w:t>
      </w:r>
      <m:oMath>
        <m:r>
          <m:t>σ</m:t>
        </m:r>
        <m:r>
          <m:rPr>
            <m:sty m:val="p"/>
          </m:rPr>
          <m:t>→</m:t>
        </m:r>
        <m:r>
          <m:t>0</m:t>
        </m:r>
      </m:oMath>
      <w:r>
        <w:t xml:space="preserve"> </w:t>
      </w:r>
      <w:r>
        <w:rPr>
          <w:rFonts w:hint="eastAsia"/>
        </w:rPr>
        <w:t xml:space="preserve">の単独企業の値5.33は、Jorgenson（1963）型の使用者費用による閉形式と一致する）。</w:t>
      </w:r>
      <m:oMath>
        <m:r>
          <m:t>σ</m:t>
        </m:r>
      </m:oMath>
      <w:r>
        <w:t xml:space="preserve"> </w:t>
      </w:r>
      <w:r>
        <w:t xml:space="preserve">が0.10〜0.30で、WACC 6〜8%、</w:t>
      </w:r>
      <m:oMath>
        <m:sSub>
          <m:e>
            <m:r>
              <m:t>g</m:t>
            </m:r>
          </m:e>
          <m:sub>
            <m:r>
              <m:t>I</m:t>
            </m:r>
          </m:sub>
        </m:sSub>
      </m:oMath>
      <w:r>
        <w:t xml:space="preserve"> </w:t>
      </w:r>
      <w:r>
        <w:rPr>
          <w:rFonts w:hint="eastAsia"/>
        </w:rPr>
        <w:t xml:space="preserve">が0〜5%のいずれの組合せでも、競争均衡の閾値は恒久成分の推定値1.22の2.9〜5.1倍である。</w:t>
      </w:r>
    </w:p>
    <w:p>
      <w:pPr>
        <w:pStyle w:val="BodyText"/>
      </w:pPr>
      <w:r>
        <w:rPr>
          <w:rFonts w:hint="eastAsia"/>
        </w:rPr>
        <w:t xml:space="preserve">閾値の計算は、年1回判断の補正（Broadie</w:t>
      </w:r>
      <w:r>
        <w:t xml:space="preserve"> et al., 1997; Howison, </w:t>
      </w:r>
      <w:r>
        <w:rPr>
          <w:rFonts w:hint="eastAsia"/>
        </w:rPr>
        <w:t xml:space="preserve">2007）を掛けた連続時間の閉形式との比較、連続時間・無限寿命の競争均衡のモンテカルロによる再現、</w:t>
      </w:r>
      <m:oMath>
        <m:r>
          <m:t>σ</m:t>
        </m:r>
        <m:r>
          <m:rPr>
            <m:sty m:val="p"/>
          </m:rPr>
          <m:t>→</m:t>
        </m:r>
        <m:r>
          <m:t>0</m:t>
        </m:r>
      </m:oMath>
      <w:r>
        <w:t xml:space="preserve"> </w:t>
      </w:r>
      <w:r>
        <w:rPr>
          <w:rFonts w:hint="eastAsia"/>
        </w:rPr>
        <w:t xml:space="preserve">での閉形式との比較の三通りで検算した（付録B.4.5）。寿命を100年に延ばすと</w:t>
      </w:r>
      <w:r>
        <w:t xml:space="preserve"> </w:t>
      </w:r>
      <m:oMath>
        <m:sSub>
          <m:e>
            <m:r>
              <m:t>θ</m:t>
            </m:r>
          </m:e>
          <m:sub>
            <m:r>
              <m:t>c</m:t>
            </m:r>
          </m:sub>
        </m:sSub>
      </m:oMath>
      <w:r>
        <w:t xml:space="preserve"> </w:t>
      </w:r>
      <w:r>
        <w:t xml:space="preserve">と</w:t>
      </w:r>
      <w:r>
        <w:t xml:space="preserve"> </w:t>
      </w:r>
      <m:oMath>
        <m:acc>
          <m:accPr>
            <m:chr m:val="‾"/>
          </m:accPr>
          <m:e>
            <m:r>
              <m:t>θ</m:t>
            </m:r>
          </m:e>
        </m:acc>
      </m:oMath>
      <w:r>
        <w:t xml:space="preserve"> </w:t>
      </w:r>
      <w:r>
        <w:rPr>
          <w:rFonts w:hint="eastAsia"/>
        </w:rPr>
        <w:t xml:space="preserve">が一致し、近視眼的な閾値が競争均衡の閾値になるという</w:t>
      </w:r>
      <w:r>
        <w:t xml:space="preserve"> </w:t>
      </w:r>
      <w:r>
        <w:rPr>
          <w:rFonts w:hint="eastAsia"/>
        </w:rPr>
        <w:t xml:space="preserve">Leahy（1993）の命題が再現される。</w:t>
      </w:r>
      <m:oMath>
        <m:sSub>
          <m:e>
            <m:r>
              <m:t>θ</m:t>
            </m:r>
          </m:e>
          <m:sub>
            <m:r>
              <m:t>c</m:t>
            </m:r>
          </m:sub>
        </m:sSub>
      </m:oMath>
      <w:r>
        <w:t xml:space="preserve"> </w:t>
      </w:r>
      <w:r>
        <w:rPr>
          <w:rFonts w:hint="eastAsia"/>
        </w:rPr>
        <w:t xml:space="preserve">で参入した者の</w:t>
      </w:r>
      <w:r>
        <w:t xml:space="preserve"> NPV </w:t>
      </w:r>
      <w:r>
        <w:rPr>
          <w:rFonts w:hint="eastAsia"/>
        </w:rPr>
        <w:t xml:space="preserve">は、将来の参入を織り込めば0だが、静学で計算すれば投資額の18〜63%になる。</w:t>
      </w:r>
    </w:p>
    <w:bookmarkEnd w:id="202"/>
    <w:bookmarkStart w:id="203" w:name="参入が開く確率"/>
    <w:p>
      <w:pPr>
        <w:pStyle w:val="Heading3"/>
      </w:pPr>
      <w:r>
        <w:t xml:space="preserve">7.8.3　</w:t>
      </w:r>
      <w:r>
        <w:rPr>
          <w:rFonts w:hint="eastAsia"/>
        </w:rPr>
        <w:t xml:space="preserve">参入が開く確率</w:t>
      </w:r>
    </w:p>
    <w:p>
      <w:pPr>
        <w:pStyle w:val="FirstParagraph"/>
      </w:pPr>
      <w:r>
        <w:rPr>
          <w:rFonts w:hint="eastAsia"/>
        </w:rPr>
        <w:t xml:space="preserve">恒久成分の推定値1.22を出発点に</w:t>
      </w:r>
      <w:r>
        <w:t xml:space="preserve"> </w:t>
      </w:r>
      <m:oMath>
        <m:r>
          <m:t>θ</m:t>
        </m:r>
      </m:oMath>
      <w:r>
        <w:t xml:space="preserve"> </w:t>
      </w:r>
      <w:r>
        <w:rPr>
          <w:rFonts w:hint="eastAsia"/>
        </w:rPr>
        <w:t xml:space="preserve">を年次のマルチンゲールとして動かし、補助金のないマーチャントについて、実効容量収入1.25万円の下で、既設の容量のない市場に参入が開く確率と、2040年度のフリート容量の期待値を求めた（図7.6(c)。</w:t>
      </w:r>
      <m:oMath>
        <m:r>
          <m:t>σ</m:t>
        </m:r>
      </m:oMath>
      <w:r>
        <w:t xml:space="preserve"> </w:t>
      </w:r>
      <w:r>
        <w:rPr>
          <w:rFonts w:hint="eastAsia"/>
        </w:rPr>
        <w:t xml:space="preserve">と資本費の置き方ごとの値は表C.33）。</w:t>
      </w:r>
    </w:p>
    <w:p>
      <w:pPr>
        <w:pStyle w:val="BodyText"/>
      </w:pPr>
      <w:r>
        <w:rPr>
          <w:rFonts w:hint="eastAsia"/>
        </w:rPr>
        <w:t xml:space="preserve">資本費一定では、2040年度までに参入が開く確率は、競争均衡の閾値で</w:t>
      </w:r>
      <w:r>
        <w:t xml:space="preserve"> </w:t>
      </w:r>
      <m:oMath>
        <m:r>
          <m:t>σ</m:t>
        </m:r>
        <m:r>
          <m:rPr>
            <m:sty m:val="p"/>
          </m:rPr>
          <m:t>=</m:t>
        </m:r>
        <m:r>
          <m:t>0.30</m:t>
        </m:r>
      </m:oMath>
      <w:r>
        <w:t xml:space="preserve"> </w:t>
      </w:r>
      <w:r>
        <w:t xml:space="preserve">でも7.3%であり、</w:t>
      </w:r>
      <m:oMath>
        <m:r>
          <m:t>σ</m:t>
        </m:r>
      </m:oMath>
      <w:r>
        <w:t xml:space="preserve"> </w:t>
      </w:r>
      <w:r>
        <w:rPr>
          <w:rFonts w:hint="eastAsia"/>
        </w:rPr>
        <w:t xml:space="preserve">が0.15〜0.30では静学の規則の3分の1から4割程度にあたる。資本費が年5%下がると、静学の規則では確率が23.2〜35.4%に上がる。しかし資本費が下がり続ける間は待つことが合理的になるので、競争均衡では3.6〜14.2%にとどまる。2030年度までの確率は、競争均衡ではどの場合も0.69%以下である。2040年度の期待容量は最大3.95万kW</w:t>
      </w:r>
      <w:r>
        <w:t xml:space="preserve"> </w:t>
      </w:r>
      <w:r>
        <w:rPr>
          <w:rFonts w:hint="eastAsia"/>
        </w:rPr>
        <w:t xml:space="preserve">で、契約申込234万kW</w:t>
      </w:r>
      <w:r>
        <w:t xml:space="preserve"> </w:t>
      </w:r>
      <w:r>
        <w:rPr>
          <w:rFonts w:hint="eastAsia"/>
        </w:rPr>
        <w:t xml:space="preserve">の約60分の1である。</w:t>
      </w:r>
    </w:p>
    <w:p>
      <w:pPr>
        <w:pStyle w:val="BodyText"/>
      </w:pPr>
      <w:r>
        <w:rPr>
          <w:rFonts w:hint="eastAsia"/>
        </w:rPr>
        <w:t xml:space="preserve">前提を参入に有利な側へ動かすと、確率は上がる（表C.34・表C.35）。2040年度までの確率の最大は、FY2030</w:t>
      </w:r>
      <w:r>
        <w:t xml:space="preserve"> </w:t>
      </w:r>
      <w:r>
        <w:rPr>
          <w:rFonts w:hint="eastAsia"/>
        </w:rPr>
        <w:t xml:space="preserve">以降に実効容量収入1.75万円が続けば24%、価格水準の期待成長を年2%と置けば22%、2因子モデルどおり対数のドリフトを0とすれば34%である。期待成長は、参入の時期を左右する最大の不確定要因である。環境共創イニシアチブ（SII）の系統用蓄電池の導入支援事業による1/2補助（上限なし）を受ける参入者では、静学の損益分岐は1.58と</w:t>
      </w:r>
      <w:r>
        <w:t xml:space="preserve"> </w:t>
      </w:r>
      <w:r>
        <w:rPr>
          <w:rFonts w:hint="eastAsia"/>
        </w:rPr>
        <w:t xml:space="preserve">FY2026上期の水準にほぼ等しく、確率は最大48%に上がる。ただし北海道の交付額で賄える容量で打ち切ると、2040年度の期待容量は5万kW</w:t>
      </w:r>
      <w:r>
        <w:t xml:space="preserve"> </w:t>
      </w:r>
      <w:r>
        <w:rPr>
          <w:rFonts w:hint="eastAsia"/>
        </w:rPr>
        <w:t xml:space="preserve">以下である。</w:t>
      </w:r>
    </w:p>
    <w:bookmarkEnd w:id="203"/>
    <w:bookmarkStart w:id="204" w:name="参入閾値の解釈"/>
    <w:p>
      <w:pPr>
        <w:pStyle w:val="Heading3"/>
      </w:pPr>
      <w:r>
        <w:t xml:space="preserve">7.8.4　</w:t>
      </w:r>
      <w:r>
        <w:rPr>
          <w:rFonts w:hint="eastAsia"/>
        </w:rPr>
        <w:t xml:space="preserve">参入閾値の解釈</w:t>
      </w:r>
    </w:p>
    <w:p>
      <w:pPr>
        <w:pStyle w:val="FirstParagraph"/>
      </w:pPr>
      <w:r>
        <w:rPr>
          <w:rFonts w:hint="eastAsia"/>
        </w:rPr>
        <w:t xml:space="preserve">以上の結果は三点に整理できる。第一に、7.1.4項で述べたとおり、静学のゼロレント条件は動学的な参入閾値の下限であり、競争が消すのは参入時点の超過</w:t>
      </w:r>
      <w:r>
        <w:t xml:space="preserve"> NPV </w:t>
      </w:r>
      <w:r>
        <w:rPr>
          <w:rFonts w:hint="eastAsia"/>
        </w:rPr>
        <w:t xml:space="preserve">であって閾値の上乗せではない。不確実性と資本費の低下を考慮すると、7.5節の</w:t>
      </w:r>
      <w:r>
        <w:t xml:space="preserve"> </w:t>
      </w:r>
      <m:oMath>
        <m:sSup>
          <m:e>
            <m:r>
              <m:t>K</m:t>
            </m:r>
          </m:e>
          <m:sup>
            <m:r>
              <m:rPr>
                <m:sty m:val="p"/>
              </m:rPr>
              <m:t>*</m:t>
            </m:r>
          </m:sup>
        </m:sSup>
        <m:r>
          <m:rPr>
            <m:sty m:val="p"/>
          </m:rPr>
          <m:t>=</m:t>
        </m:r>
        <m:r>
          <m:t>0</m:t>
        </m:r>
      </m:oMath>
      <w:r>
        <w:t xml:space="preserve"> </w:t>
      </w:r>
      <w:r>
        <w:rPr>
          <w:rFonts w:hint="eastAsia"/>
        </w:rPr>
        <w:t xml:space="preserve">はより強く成り立つ。第二に、</w:t>
      </w:r>
      <m:oMath>
        <m:sSup>
          <m:e>
            <m:r>
              <m:t>K</m:t>
            </m:r>
          </m:e>
          <m:sup>
            <m:r>
              <m:rPr>
                <m:sty m:val="p"/>
              </m:rPr>
              <m:t>*</m:t>
            </m:r>
          </m:sup>
        </m:sSup>
        <m:r>
          <m:rPr>
            <m:sty m:val="p"/>
          </m:rPr>
          <m:t>=</m:t>
        </m:r>
        <m:r>
          <m:t>0</m:t>
        </m:r>
      </m:oMath>
      <w:r>
        <w:t xml:space="preserve"> </w:t>
      </w:r>
      <w:r>
        <w:rPr>
          <w:rFonts w:hint="eastAsia"/>
        </w:rPr>
        <w:t xml:space="preserve">は参入が永久に起きないという意味ではなく、資本費の低下と価格水準の恒久的な上昇が重なるまで普及が遅れると読むのが正確である。第三に、恒久成分の識別には1世紀規模の価格系列（Pindyck,</w:t>
      </w:r>
      <w:r>
        <w:t xml:space="preserve"> </w:t>
      </w:r>
      <w:r>
        <w:rPr>
          <w:rFonts w:hint="eastAsia"/>
        </w:rPr>
        <w:t xml:space="preserve">1999）か先物の期間構造（Schwartz</w:t>
      </w:r>
      <w:r>
        <w:t xml:space="preserve"> &amp; Smith, </w:t>
      </w:r>
      <w:r>
        <w:rPr>
          <w:rFonts w:hint="eastAsia"/>
        </w:rPr>
        <w:t xml:space="preserve">2000）が要るが、北海道にはどちらもなく、ボラティリティと期待成長はデータから識別できない。それでも補助金がなければ、2030年度までの確率は容量収入を上限近傍の2.5万円と置く場合を除いて3%以下と小さく、2040年度の期待容量は12万kW</w:t>
      </w:r>
      <w:r>
        <w:t xml:space="preserve"> </w:t>
      </w:r>
      <w:r>
        <w:rPr>
          <w:rFonts w:hint="eastAsia"/>
        </w:rPr>
        <w:t xml:space="preserve">未満で、契約申込の234万kW</w:t>
      </w:r>
      <w:r>
        <w:t xml:space="preserve"> </w:t>
      </w:r>
      <w:r>
        <w:rPr>
          <w:rFonts w:hint="eastAsia"/>
        </w:rPr>
        <w:t xml:space="preserve">とは桁が違う。この二点は、どの置き方でも頑健である。</w:t>
      </w:r>
    </w:p>
    <w:p>
      <w:pPr>
        <w:pStyle w:val="BodyText"/>
      </w:pPr>
      <w:r>
        <w:rPr>
          <w:rFonts w:hint="eastAsia"/>
        </w:rPr>
        <w:t xml:space="preserve">ただし、待機の価値による閾値の上乗せの大きさは推定値ではない。</w:t>
      </w:r>
      <m:oMath>
        <m:sSub>
          <m:e>
            <m:r>
              <m:t>σ</m:t>
            </m:r>
          </m:e>
          <m:sub>
            <m:r>
              <m:t>ξ</m:t>
            </m:r>
          </m:sub>
        </m:sSub>
        <m:r>
          <m:rPr>
            <m:sty m:val="p"/>
          </m:rPr>
          <m:t>=</m:t>
        </m:r>
        <m:r>
          <m:t>0</m:t>
        </m:r>
      </m:oMath>
      <w:r>
        <w:t xml:space="preserve"> </w:t>
      </w:r>
      <w:r>
        <w:rPr>
          <w:rFonts w:hint="eastAsia"/>
        </w:rPr>
        <w:t xml:space="preserve">も棄却できないので（7.8.1項）、静学の損益分岐に対する1.17〜1.59倍という倍率は、</w:t>
      </w:r>
      <m:oMath>
        <m:r>
          <m:t>σ</m:t>
        </m:r>
      </m:oMath>
      <w:r>
        <w:t xml:space="preserve"> </w:t>
      </w:r>
      <w:r>
        <w:rPr>
          <w:rFonts w:hint="eastAsia"/>
        </w:rPr>
        <w:t xml:space="preserve">に置いた0.10〜0.30の幅で決まっている。また状態変数は価格水準</w:t>
      </w:r>
      <w:r>
        <w:t xml:space="preserve"> </w:t>
      </w:r>
      <m:oMath>
        <m:r>
          <m:t>θ</m:t>
        </m:r>
      </m:oMath>
      <w:r>
        <w:t xml:space="preserve"> </w:t>
      </w:r>
      <w:r>
        <w:rPr>
          <w:rFonts w:hint="eastAsia"/>
        </w:rPr>
        <w:t xml:space="preserve">だけであるが、1年の収入の変動でみると、その主因は</w:t>
      </w:r>
      <w:r>
        <w:t xml:space="preserve"> </w:t>
      </w:r>
      <m:oMath>
        <m:r>
          <m:t>θ</m:t>
        </m:r>
      </m:oMath>
      <w:r>
        <w:t xml:space="preserve"> </w:t>
      </w:r>
      <w:r>
        <w:rPr>
          <w:rFonts w:hint="eastAsia"/>
        </w:rPr>
        <w:t xml:space="preserve">ではない。マーチャントの年間の市場収入の</w:t>
      </w:r>
      <w:r>
        <w:t xml:space="preserve"> CFaR </w:t>
      </w:r>
      <w:r>
        <w:rPr>
          <w:rFonts w:hint="eastAsia"/>
        </w:rPr>
        <w:t xml:space="preserve">を要因に分けると、容量価格の約定水準が51%、他者の参入が35%を占め、</w:t>
      </w:r>
      <m:oMath>
        <m:r>
          <m:t>θ</m:t>
        </m:r>
      </m:oMath>
      <w:r>
        <w:t xml:space="preserve"> </w:t>
      </w:r>
      <w:r>
        <w:rPr>
          <w:rFonts w:hint="eastAsia"/>
        </w:rPr>
        <w:t xml:space="preserve">は8%にとどまる（8.7.5項）。不可逆な投資では、収入の不確実性が増えるほど待機の価値は大きくなるのが通常なので、容量価格・他者の参入・価格の形状の不確実性を状態変数に加えれば、閾値はさらに上がる方向に動く。その意味で、1.17〜1.59倍は閾値の上乗せの下側の値とみなせる。</w:t>
      </w:r>
    </w:p>
    <w:p>
      <w:pPr>
        <w:pStyle w:val="BodyText"/>
      </w:pPr>
      <w:r>
        <w:rPr>
          <w:rFonts w:hint="eastAsia"/>
        </w:rPr>
        <w:t xml:space="preserve">札幌市の</w:t>
      </w:r>
      <w:r>
        <w:t xml:space="preserve"> </w:t>
      </w:r>
      <w:r>
        <w:rPr>
          <w:rFonts w:hint="eastAsia"/>
        </w:rPr>
        <w:t xml:space="preserve">Helios（5万kW/10.4万kWh、2025年12月運開）は、長期の買取契約を持たないマーチャントの蓄電池であり（ESS</w:t>
      </w:r>
      <w:r>
        <w:t xml:space="preserve"> News, 2025; HD Renewable Energy, </w:t>
      </w:r>
      <w:r>
        <w:rPr>
          <w:rFonts w:hint="eastAsia"/>
        </w:rPr>
        <w:t xml:space="preserve">2025）、</w:t>
      </w:r>
      <m:oMath>
        <m:sSup>
          <m:e>
            <m:r>
              <m:t>K</m:t>
            </m:r>
          </m:e>
          <m:sup>
            <m:r>
              <m:rPr>
                <m:sty m:val="p"/>
              </m:rPr>
              <m:t>*</m:t>
            </m:r>
          </m:sup>
        </m:sSup>
        <m:r>
          <m:rPr>
            <m:sty m:val="p"/>
          </m:rPr>
          <m:t>=</m:t>
        </m:r>
        <m:r>
          <m:t>0</m:t>
        </m:r>
      </m:oMath>
      <w:r>
        <w:t xml:space="preserve"> </w:t>
      </w:r>
      <w:r>
        <w:rPr>
          <w:rFonts w:hint="eastAsia"/>
        </w:rPr>
        <w:t xml:space="preserve">と矛盾するように見える。しかし</w:t>
      </w:r>
      <w:r>
        <w:t xml:space="preserve"> duration </w:t>
      </w:r>
      <w:r>
        <w:rPr>
          <w:rFonts w:hint="eastAsia"/>
        </w:rPr>
        <w:t xml:space="preserve">は約2時間で、容量市場の安定電源の要件（3時間以上）を満たさず、容量収入を見込まない静学の損益分岐</w:t>
      </w:r>
      <w:r>
        <w:t xml:space="preserve"> </w:t>
      </w:r>
      <m:oMath>
        <m:sSup>
          <m:e>
            <m:r>
              <m:t>θ</m:t>
            </m:r>
          </m:e>
          <m:sup>
            <m:r>
              <m:rPr>
                <m:sty m:val="p"/>
              </m:rPr>
              <m:t>*</m:t>
            </m:r>
          </m:sup>
        </m:sSup>
      </m:oMath>
      <w:r>
        <w:t xml:space="preserve"> </w:t>
      </w:r>
      <w:r>
        <w:rPr>
          <w:rFonts w:hint="eastAsia"/>
        </w:rPr>
        <w:t xml:space="preserve">は5.0と、同じく容量収入を0とした4時間仕様の4.5より高い（表C.17）。短い</w:t>
      </w:r>
      <w:r>
        <w:t xml:space="preserve"> duration </w:t>
      </w:r>
      <w:r>
        <w:rPr>
          <w:rFonts w:hint="eastAsia"/>
        </w:rPr>
        <w:t xml:space="preserve">はスポット裁定だけでは参入を有利にせず、差を埋めうるのは需給調整市場の収入である。推測を含むが、Helios</w:t>
      </w:r>
      <w:r>
        <w:t xml:space="preserve"> </w:t>
      </w:r>
      <w:r>
        <w:rPr>
          <w:rFonts w:hint="eastAsia"/>
        </w:rPr>
        <w:t xml:space="preserve">は需給調整市場の移行期のレントや成長オプションに依存する案件と読むのが自然であり、スポット裁定と容量収入だけに依存するマーチャント容量についての</w:t>
      </w:r>
      <w:r>
        <w:t xml:space="preserve"> </w:t>
      </w:r>
      <m:oMath>
        <m:sSup>
          <m:e>
            <m:r>
              <m:t>K</m:t>
            </m:r>
          </m:e>
          <m:sup>
            <m:r>
              <m:rPr>
                <m:sty m:val="p"/>
              </m:rPr>
              <m:t>*</m:t>
            </m:r>
          </m:sup>
        </m:sSup>
        <m:r>
          <m:rPr>
            <m:sty m:val="p"/>
          </m:rPr>
          <m:t>=</m:t>
        </m:r>
        <m:r>
          <m:t>0</m:t>
        </m:r>
      </m:oMath>
      <w:r>
        <w:t xml:space="preserve"> </w:t>
      </w:r>
      <w:r>
        <w:rPr>
          <w:rFonts w:hint="eastAsia"/>
        </w:rPr>
        <w:t xml:space="preserve">とは両立する（8.4.3項）。</w:t>
      </w:r>
    </w:p>
    <w:bookmarkEnd w:id="204"/>
    <w:bookmarkEnd w:id="205"/>
    <w:bookmarkStart w:id="206" w:name="小括-2"/>
    <w:p>
      <w:pPr>
        <w:pStyle w:val="Heading2"/>
      </w:pPr>
      <w:r>
        <w:t xml:space="preserve">7.9　</w:t>
      </w:r>
      <w:r>
        <w:rPr>
          <w:rFonts w:hint="eastAsia"/>
        </w:rPr>
        <w:t xml:space="preserve">小括</w:t>
      </w:r>
    </w:p>
    <w:p>
      <w:pPr>
        <w:pStyle w:val="FirstParagraph"/>
      </w:pPr>
      <w:r>
        <w:rPr>
          <w:rFonts w:hint="eastAsia"/>
        </w:rPr>
        <w:t xml:space="preserve">本章の主要な結果は次の5点である。</w:t>
      </w:r>
    </w:p>
    <w:p>
      <w:pPr>
        <w:pStyle w:val="Compact"/>
        <w:numPr>
          <w:ilvl w:val="0"/>
          <w:numId w:val="1004"/>
        </w:numPr>
      </w:pPr>
      <w:r>
        <w:rPr>
          <w:rFonts w:hint="eastAsia"/>
        </w:rPr>
        <w:t xml:space="preserve">構造型価格モデルは、年度別の水準係数を入れると価格の水準と形状をおおむね再現するが、分布の裾を圧縮する。そこで限界参入者の収益は、モデル価格の上で戦略</w:t>
      </w:r>
      <w:r>
        <w:t xml:space="preserve"> c </w:t>
      </w:r>
      <w:r>
        <w:rPr>
          <w:rFonts w:hint="eastAsia"/>
        </w:rPr>
        <w:t xml:space="preserve">を直接計算し、</w:t>
      </w:r>
      <m:oMath>
        <m:r>
          <m:t>K</m:t>
        </m:r>
        <m:r>
          <m:rPr>
            <m:sty m:val="p"/>
          </m:rPr>
          <m:t>=</m:t>
        </m:r>
        <m:r>
          <m:t>0</m:t>
        </m:r>
      </m:oMath>
      <w:r>
        <w:t xml:space="preserve"> </w:t>
      </w:r>
      <w:r>
        <w:rPr>
          <w:rFonts w:hint="eastAsia"/>
        </w:rPr>
        <w:t xml:space="preserve">で実績に校正した実績整合ケースで測った。風力を動かす反実仮想に用いた仕様A′</w:t>
      </w:r>
      <w:r>
        <w:t xml:space="preserve"> </w:t>
      </w:r>
      <w:r>
        <w:rPr>
          <w:rFonts w:hint="eastAsia"/>
        </w:rPr>
        <w:t xml:space="preserve">も、なお風力の効果を実績より大きく出す。</w:t>
      </w:r>
    </w:p>
    <w:p>
      <w:pPr>
        <w:pStyle w:val="Compact"/>
        <w:numPr>
          <w:ilvl w:val="0"/>
          <w:numId w:val="1004"/>
        </w:numPr>
      </w:pPr>
      <w:r>
        <w:rPr>
          <w:rFonts w:hint="eastAsia"/>
        </w:rPr>
        <w:t xml:space="preserve">限界参入者の実現可能収益は、フリートの拡大に対して速く減衰し、約31万kW</w:t>
      </w:r>
      <w:r>
        <w:t xml:space="preserve"> </w:t>
      </w:r>
      <w:r>
        <w:rPr>
          <w:rFonts w:hint="eastAsia"/>
        </w:rPr>
        <w:t xml:space="preserve">で半減、約72万kW</w:t>
      </w:r>
      <w:r>
        <w:t xml:space="preserve"> </w:t>
      </w:r>
      <w:r>
        <w:rPr>
          <w:rFonts w:hint="eastAsia"/>
        </w:rPr>
        <w:t xml:space="preserve">で負に転じる。泊の再稼働や風力の倍増は、負に転じる点を約92〜98万kW</w:t>
      </w:r>
      <w:r>
        <w:t xml:space="preserve"> </w:t>
      </w:r>
      <w:r>
        <w:rPr>
          <w:rFonts w:hint="eastAsia"/>
        </w:rPr>
        <w:t xml:space="preserve">に動かすにとどまる。</w:t>
      </w:r>
    </w:p>
    <w:p>
      <w:pPr>
        <w:pStyle w:val="Compact"/>
        <w:numPr>
          <w:ilvl w:val="0"/>
          <w:numId w:val="1004"/>
        </w:numPr>
      </w:pPr>
      <w:r>
        <w:rPr>
          <w:rFonts w:hint="eastAsia"/>
        </w:rPr>
        <w:t xml:space="preserve">現行の資本費と価格構造の下で、スポット裁定と容量収入だけに依存するマーチャントの均衡容量は</w:t>
      </w:r>
      <w:r>
        <w:t xml:space="preserve"> </w:t>
      </w:r>
      <m:oMath>
        <m:sSup>
          <m:e>
            <m:r>
              <m:t>K</m:t>
            </m:r>
          </m:e>
          <m:sup>
            <m:r>
              <m:rPr>
                <m:sty m:val="p"/>
              </m:rPr>
              <m:t>*</m:t>
            </m:r>
          </m:sup>
        </m:sSup>
        <m:r>
          <m:rPr>
            <m:sty m:val="p"/>
          </m:rPr>
          <m:t>=</m:t>
        </m:r>
        <m:r>
          <m:t>0</m:t>
        </m:r>
      </m:oMath>
      <w:r>
        <w:t xml:space="preserve"> </w:t>
      </w:r>
      <w:r>
        <w:rPr>
          <w:rFonts w:hint="eastAsia"/>
        </w:rPr>
        <w:t xml:space="preserve">である。参入には</w:t>
      </w:r>
      <w:r>
        <w:t xml:space="preserve"> FY2023〜25 </w:t>
      </w:r>
      <w:r>
        <w:rPr>
          <w:rFonts w:hint="eastAsia"/>
        </w:rPr>
        <w:t xml:space="preserve">の2倍強から約3倍の価格水準が必要であり、FY2026上期や燃料危機期の価格水準を与えても、価格過程の仕様、風力導入量、割引率、既設容量のいずれの感応度でも、判定は変わらない。例外に近いのは燃料危機期の実績価格そのものと、調達量の程度で頭打ちになる需給調整市場のレントである。</w:t>
      </w:r>
    </w:p>
    <w:p>
      <w:pPr>
        <w:pStyle w:val="Compact"/>
        <w:numPr>
          <w:ilvl w:val="0"/>
          <w:numId w:val="1004"/>
        </w:numPr>
      </w:pPr>
      <w:r>
        <w:rPr>
          <w:rFonts w:hint="eastAsia"/>
        </w:rPr>
        <w:t xml:space="preserve">泊の再稼働による完全予見粗利の増分の大半は往復損失の水準効果であり、風力の増加で増える完全予見粗利は前日には予測できない安値から来るので、実行可能な粗利はほとんど増えない。下限価格は、充電脚のプットの売りとして裁定価値を削る。</w:t>
      </w:r>
    </w:p>
    <w:p>
      <w:pPr>
        <w:pStyle w:val="Compact"/>
        <w:numPr>
          <w:ilvl w:val="0"/>
          <w:numId w:val="1004"/>
        </w:numPr>
      </w:pPr>
      <w:r>
        <w:rPr>
          <w:rFonts w:hint="eastAsia"/>
        </w:rPr>
        <w:t xml:space="preserve">価格水準の不確実性と資本費の低下を考慮すると、静学の損益分岐は動学的な参入閾値の下限にあたり、</w:t>
      </w:r>
      <m:oMath>
        <m:sSup>
          <m:e>
            <m:r>
              <m:t>K</m:t>
            </m:r>
          </m:e>
          <m:sup>
            <m:r>
              <m:rPr>
                <m:sty m:val="p"/>
              </m:rPr>
              <m:t>*</m:t>
            </m:r>
          </m:sup>
        </m:sSup>
        <m:r>
          <m:rPr>
            <m:sty m:val="p"/>
          </m:rPr>
          <m:t>=</m:t>
        </m:r>
        <m:r>
          <m:t>0</m:t>
        </m:r>
      </m:oMath>
      <w:r>
        <w:t xml:space="preserve"> </w:t>
      </w:r>
      <w:r>
        <w:rPr>
          <w:rFonts w:hint="eastAsia"/>
        </w:rPr>
        <w:t xml:space="preserve">はより強く成り立つ。補助金のないマーチャントの参入が2030年度までに開く確率はどの置き方でも小さく、2040年度のフリート容量の期待値は契約申込と桁が違う。</w:t>
      </w:r>
    </w:p>
    <w:p>
      <w:pPr>
        <w:pStyle w:val="FirstParagraph"/>
      </w:pPr>
      <w:r>
        <w:rPr>
          <w:rFonts w:hint="eastAsia"/>
        </w:rPr>
        <w:t xml:space="preserve">仮説2の後半（裁定価値はフリートの拡大とともに減衰する）は支持される。仮説3のうち、マーチャントの均衡容量が接続済みと契約申込の容量を大きく下回ること、価格水準の不確実性と投資の不可逆性を考えてもこの判定が弱まらないことは支持される。仮説6の前半（下限価格が充電脚のプットの売りとして裁定価値を削る）も支持される。</w:t>
      </w:r>
    </w:p>
    <w:p>
      <w:pPr>
        <w:pStyle w:val="BodyText"/>
      </w:pPr>
      <w:r>
        <w:t xml:space="preserve">RQ2 </w:t>
      </w:r>
      <w:r>
        <w:rPr>
          <w:rFonts w:hint="eastAsia"/>
        </w:rPr>
        <w:t xml:space="preserve">の後半と</w:t>
      </w:r>
      <w:r>
        <w:t xml:space="preserve"> RQ3 </w:t>
      </w:r>
      <w:r>
        <w:rPr>
          <w:rFonts w:hint="eastAsia"/>
        </w:rPr>
        <w:t xml:space="preserve">の前半への答えは、北海道の蓄電池のスポット裁定価値はフリートの拡大とともに急速に減衰し、スポット裁定と容量収入だけに依存するマーチャントの自由参入均衡の容量はゼロである、というものである。ところが、実際の接続済み容量（約20万kW）と契約申込（約234万kW）は、いずれもこの均衡を超えている。次章では、この乖離を市場外の収入と契約の評価によって分解する。</w:t>
      </w:r>
    </w:p>
    <w:bookmarkEnd w:id="206"/>
    <w:bookmarkEnd w:id="207"/>
    <w:bookmarkStart w:id="265" w:name="第8章-均衡からの乖離と契約の評価"/>
    <w:p>
      <w:pPr>
        <w:pStyle w:val="Heading1"/>
        <w:pageBreakBefore/>
      </w:pPr>
      <w:r>
        <w:rPr>
          <w:rFonts w:hint="eastAsia"/>
        </w:rPr>
        <w:t xml:space="preserve">第8章</w:t>
      </w:r>
      <w:r>
        <w:t xml:space="preserve">　</w:t>
      </w:r>
      <w:r>
        <w:rPr>
          <w:rFonts w:hint="eastAsia"/>
        </w:rPr>
        <w:t xml:space="preserve">均衡からの乖離と契約の評価</w:t>
      </w:r>
    </w:p>
    <w:p>
      <w:pPr>
        <w:pStyle w:val="FirstParagraph"/>
      </w:pPr>
      <w:r>
        <w:rPr>
          <w:rFonts w:hint="eastAsia"/>
        </w:rPr>
        <w:t xml:space="preserve">第7章は、市場収入（スポット裁定と容量収入）だけで運営する蓄電池、すなわちマーチャントの均衡容量が、現行の資本費と価格構造の下では</w:t>
      </w:r>
      <w:r>
        <w:t xml:space="preserve"> </w:t>
      </w:r>
      <m:oMath>
        <m:sSup>
          <m:e>
            <m:r>
              <m:t>K</m:t>
            </m:r>
          </m:e>
          <m:sup>
            <m:r>
              <m:rPr>
                <m:sty m:val="p"/>
              </m:rPr>
              <m:t>*</m:t>
            </m:r>
          </m:sup>
        </m:sSup>
        <m:r>
          <m:rPr>
            <m:sty m:val="p"/>
          </m:rPr>
          <m:t>=</m:t>
        </m:r>
        <m:r>
          <m:t>0</m:t>
        </m:r>
      </m:oMath>
      <w:r>
        <w:t xml:space="preserve"> </w:t>
      </w:r>
      <w:r>
        <w:rPr>
          <w:rFonts w:hint="eastAsia"/>
        </w:rPr>
        <w:t xml:space="preserve">であることを示した。それでも北海道では系統用蓄電池の参入が続いている。本章は、この乖離がいくらで何に帰属するか（RQ3</w:t>
      </w:r>
      <w:r>
        <w:t xml:space="preserve"> </w:t>
      </w:r>
      <w:r>
        <w:rPr>
          <w:rFonts w:hint="eastAsia"/>
        </w:rPr>
        <w:t xml:space="preserve">の後半）、併設蓄電池の抑制回避の価値はどれだけあり、どの条件で参入が立つか（RQ4）、どの条件で</w:t>
      </w:r>
      <w:r>
        <w:t xml:space="preserve"> </w:t>
      </w:r>
      <m:oMath>
        <m:sSup>
          <m:e>
            <m:r>
              <m:t>K</m:t>
            </m:r>
          </m:e>
          <m:sup>
            <m:r>
              <m:rPr>
                <m:sty m:val="p"/>
              </m:rPr>
              <m:t>*</m:t>
            </m:r>
          </m:sup>
        </m:sSup>
        <m:r>
          <m:rPr>
            <m:sty m:val="p"/>
          </m:rPr>
          <m:t>&gt;</m:t>
        </m:r>
        <m:r>
          <m:t>0</m:t>
        </m:r>
      </m:oMath>
      <w:r>
        <w:t xml:space="preserve"> </w:t>
      </w:r>
      <w:r>
        <w:rPr>
          <w:rFonts w:hint="eastAsia"/>
        </w:rPr>
        <w:t xml:space="preserve">に転じるか（RQ5）を問う。方法は、乖離を市場外収入と期待に分解して容量（kW）と1kWあたりの現在価値で勘定し、契約型とマーチャントの収益性とリスクを企業金融の道具で比べることである。8.1節で方法を、8.2節で乖離の勘定を、8.3節と8.4節で乖離の成分を、8.5節で併設蓄電池を、8.6節で参入が開く条件を、8.7節でリスク・リターンを示し、8.8節で頑健性を確かめ、8.9節で小括する。</w:t>
      </w:r>
    </w:p>
    <w:bookmarkStart w:id="213" w:name="分析の方法-3"/>
    <w:p>
      <w:pPr>
        <w:pStyle w:val="Heading2"/>
      </w:pPr>
      <w:r>
        <w:t xml:space="preserve">8.1　</w:t>
      </w:r>
      <w:r>
        <w:rPr>
          <w:rFonts w:hint="eastAsia"/>
        </w:rPr>
        <w:t xml:space="preserve">分析の方法</w:t>
      </w:r>
    </w:p>
    <w:bookmarkStart w:id="208" w:name="乖離の分解と容量の勘定"/>
    <w:p>
      <w:pPr>
        <w:pStyle w:val="Heading3"/>
      </w:pPr>
      <w:r>
        <w:t xml:space="preserve">8.1.1　</w:t>
      </w:r>
      <w:r>
        <w:rPr>
          <w:rFonts w:hint="eastAsia"/>
        </w:rPr>
        <w:t xml:space="preserve">乖離の分解と容量の勘定</w:t>
      </w:r>
    </w:p>
    <w:p>
      <w:pPr>
        <w:pStyle w:val="FirstParagraph"/>
      </w:pPr>
      <w:r>
        <w:rPr>
          <w:rFonts w:hint="eastAsia"/>
        </w:rPr>
        <w:t xml:space="preserve">乖離は、参入者が直面する収益源に分解する。容量市場の収入は約定価格に調整係数を掛けた実効値で、長期脱炭素電源オークション（LTDA）の収入は約定結果と還付の構造から求めた実効値で、補助金は公募要領の補助率で評価する。これらで説明できない残りは、計測していない市場収入（需給調整市場の移行期レント）、参入者の期待（将来の価格水準、資本費の低下）、接続枠の保有に帰属させ、第7章の実物オプションの枠組み（7.1.5項）で解釈する。</w:t>
      </w:r>
    </w:p>
    <w:p>
      <w:pPr>
        <w:pStyle w:val="BodyText"/>
      </w:pPr>
      <w:r>
        <w:rPr>
          <w:rFonts w:hint="eastAsia"/>
        </w:rPr>
        <w:t xml:space="preserve">容量の勘定では、接続済み約20万kW</w:t>
      </w:r>
      <w:r>
        <w:t xml:space="preserve"> </w:t>
      </w:r>
      <w:r>
        <w:rPr>
          <w:rFonts w:hint="eastAsia"/>
        </w:rPr>
        <w:t xml:space="preserve">と契約申込約234万kW</w:t>
      </w:r>
      <w:r>
        <w:t xml:space="preserve"> </w:t>
      </w:r>
      <w:r>
        <w:rPr>
          <w:rFonts w:hint="eastAsia"/>
        </w:rPr>
        <w:t xml:space="preserve">の合計254万kW</w:t>
      </w:r>
      <w:r>
        <w:t xml:space="preserve"> </w:t>
      </w:r>
      <w:r>
        <w:rPr>
          <w:rFonts w:hint="eastAsia"/>
        </w:rPr>
        <w:t xml:space="preserve">を、LTDA、補助、マーチャント、併設、不明の五つの属性に割り当てる。補助は環境共創イニシアチブ（SII）の交付決定のうち北海道の12件、マーチャントは事業者の発表で確認できる案件である。LTDA</w:t>
      </w:r>
      <w:r>
        <w:t xml:space="preserve"> </w:t>
      </w:r>
      <w:r>
        <w:rPr>
          <w:rFonts w:hint="eastAsia"/>
        </w:rPr>
        <w:t xml:space="preserve">は落札容量（契約容量）で数え、LTDA</w:t>
      </w:r>
      <w:r>
        <w:t xml:space="preserve"> </w:t>
      </w:r>
      <w:r>
        <w:rPr>
          <w:rFonts w:hint="eastAsia"/>
        </w:rPr>
        <w:t xml:space="preserve">の北海道分と補助の</w:t>
      </w:r>
      <w:r>
        <w:t xml:space="preserve"> kW </w:t>
      </w:r>
      <w:r>
        <w:rPr>
          <w:rFonts w:hint="eastAsia"/>
        </w:rPr>
        <w:t xml:space="preserve">は公表資料から推定する（付録B.5.1）。各属性には、8.1.3項の調整現在価値（APV）を、マーチャントの資産の資本コスト</w:t>
      </w:r>
      <w:r>
        <w:t xml:space="preserve"> </w:t>
      </w:r>
      <m:oMath>
        <m:sSubSup>
          <m:e>
            <m:r>
              <m:t>r</m:t>
            </m:r>
          </m:e>
          <m:sub>
            <m:r>
              <m:t>A</m:t>
            </m:r>
          </m:sub>
          <m:sup>
            <m:r>
              <m:t>M</m:t>
            </m:r>
          </m:sup>
        </m:sSubSup>
        <m:r>
          <m:rPr>
            <m:sty m:val="p"/>
          </m:rPr>
          <m:t>=</m:t>
        </m:r>
        <m:r>
          <m:t>9</m:t>
        </m:r>
        <m:r>
          <m:rPr>
            <m:sty m:val="p"/>
          </m:rPr>
          <m:t>%</m:t>
        </m:r>
      </m:oMath>
      <w:r>
        <w:t xml:space="preserve"> </w:t>
      </w:r>
      <w:r>
        <w:rPr>
          <w:rFonts w:hint="eastAsia"/>
        </w:rPr>
        <w:t xml:space="preserve">と実績整合ケースの収益で計算して対応させる。残差は、不明の</w:t>
      </w:r>
      <w:r>
        <w:t xml:space="preserve"> kW </w:t>
      </w:r>
      <w:r>
        <w:rPr>
          <w:rFonts w:hint="eastAsia"/>
        </w:rPr>
        <w:t xml:space="preserve">と、それをマーチャントの4時間蓄電池とみなした1kWあたりの</w:t>
      </w:r>
      <w:r>
        <w:t xml:space="preserve"> APV </w:t>
      </w:r>
      <w:r>
        <w:rPr>
          <w:rFonts w:hint="eastAsia"/>
        </w:rPr>
        <w:t xml:space="preserve">の不足（参入に最も有利な</w:t>
      </w:r>
      <w:r>
        <w:t xml:space="preserve"> </w:t>
      </w:r>
      <m:oMath>
        <m:r>
          <m:t>K</m:t>
        </m:r>
        <m:r>
          <m:rPr>
            <m:sty m:val="p"/>
          </m:rPr>
          <m:t>=</m:t>
        </m:r>
        <m:r>
          <m:t>0</m:t>
        </m:r>
      </m:oMath>
      <w:r>
        <w:t xml:space="preserve"> </w:t>
      </w:r>
      <w:r>
        <w:rPr>
          <w:rFonts w:hint="eastAsia"/>
        </w:rPr>
        <w:t xml:space="preserve">で評価）の積として、円で示す。</w:t>
      </w:r>
    </w:p>
    <w:bookmarkEnd w:id="208"/>
    <w:bookmarkStart w:id="209" w:name="併設蓄電池の増分価値"/>
    <w:p>
      <w:pPr>
        <w:pStyle w:val="Heading3"/>
      </w:pPr>
      <w:r>
        <w:t xml:space="preserve">8.1.2　</w:t>
      </w:r>
      <w:r>
        <w:rPr>
          <w:rFonts w:hint="eastAsia"/>
        </w:rPr>
        <w:t xml:space="preserve">併設蓄電池の増分価値</w:t>
      </w:r>
    </w:p>
    <w:p>
      <w:pPr>
        <w:pStyle w:val="FirstParagraph"/>
      </w:pPr>
      <w:r>
        <w:rPr>
          <w:rFonts w:hint="eastAsia"/>
        </w:rPr>
        <w:t xml:space="preserve">併設蓄電池の価値は、エリア価格でのスポット裁定</w:t>
      </w:r>
      <w:r>
        <w:t xml:space="preserve"> </w:t>
      </w:r>
      <m:oMath>
        <m:sSubSup>
          <m:e>
            <m:r>
              <m:t>π</m:t>
            </m:r>
          </m:e>
          <m:sub>
            <m:r>
              <m:rPr>
                <m:sty m:val="p"/>
              </m:rPr>
              <m:t>s</m:t>
            </m:r>
            <m:r>
              <m:rPr>
                <m:sty m:val="p"/>
              </m:rPr>
              <m:t>p</m:t>
            </m:r>
            <m:r>
              <m:rPr>
                <m:sty m:val="p"/>
              </m:rPr>
              <m:t>o</m:t>
            </m:r>
            <m:r>
              <m:rPr>
                <m:sty m:val="p"/>
              </m:rPr>
              <m:t>t</m:t>
            </m:r>
          </m:sub>
          <m:sup>
            <m:r>
              <m:rPr>
                <m:sty m:val="p"/>
              </m:rPr>
              <m:t>′</m:t>
            </m:r>
          </m:sup>
        </m:sSubSup>
      </m:oMath>
      <w:r>
        <w:rPr>
          <w:rFonts w:hint="eastAsia"/>
        </w:rPr>
        <w:t xml:space="preserve">（系統用蓄電池のスポット裁定</w:t>
      </w:r>
      <w:r>
        <w:t xml:space="preserve"> </w:t>
      </w:r>
      <m:oMath>
        <m:sSub>
          <m:e>
            <m:r>
              <m:t>π</m:t>
            </m:r>
          </m:e>
          <m:sub>
            <m:r>
              <m:rPr>
                <m:sty m:val="p"/>
              </m:rPr>
              <m:t>s</m:t>
            </m:r>
            <m:r>
              <m:rPr>
                <m:sty m:val="p"/>
              </m:rPr>
              <m:t>p</m:t>
            </m:r>
            <m:r>
              <m:rPr>
                <m:sty m:val="p"/>
              </m:rPr>
              <m:t>o</m:t>
            </m:r>
            <m:r>
              <m:rPr>
                <m:sty m:val="p"/>
              </m:rPr>
              <m:t>t</m:t>
            </m:r>
          </m:sub>
        </m:sSub>
      </m:oMath>
      <w:r>
        <w:t xml:space="preserve"> </w:t>
      </w:r>
      <w:r>
        <w:rPr>
          <w:rFonts w:hint="eastAsia"/>
        </w:rPr>
        <w:t xml:space="preserve">に対応する）と、再エネの出力制御（以下、抑制）の回避</w:t>
      </w:r>
      <w:r>
        <w:t xml:space="preserve"> </w:t>
      </w:r>
      <m:oMath>
        <m:sSub>
          <m:e>
            <m:r>
              <m:t>π</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からなる。両者は同じ時間の充電を取り合うので足し合わせられず、日ごとの線形計画で同時に最適化して、</w:t>
      </w:r>
      <m:oMath>
        <m:sSub>
          <m:e>
            <m:r>
              <m:t>π</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を系統から充電する場合に比べた増分と定義する。参入条件は</w:t>
      </w:r>
      <w:r>
        <w:t xml:space="preserve"> </w:t>
      </w:r>
      <m:oMath>
        <m:sSubSup>
          <m:e>
            <m:r>
              <m:t>π</m:t>
            </m:r>
          </m:e>
          <m:sub>
            <m:r>
              <m:rPr>
                <m:sty m:val="p"/>
              </m:rPr>
              <m:t>s</m:t>
            </m:r>
            <m:r>
              <m:rPr>
                <m:sty m:val="p"/>
              </m:rPr>
              <m:t>p</m:t>
            </m:r>
            <m:r>
              <m:rPr>
                <m:sty m:val="p"/>
              </m:rPr>
              <m:t>o</m:t>
            </m:r>
            <m:r>
              <m:rPr>
                <m:sty m:val="p"/>
              </m:rPr>
              <m:t>t</m:t>
            </m:r>
          </m:sub>
          <m:sup>
            <m:r>
              <m:rPr>
                <m:sty m:val="p"/>
              </m:rPr>
              <m:t>′</m:t>
            </m:r>
          </m:sup>
        </m:sSubSup>
        <m:r>
          <m:rPr>
            <m:sty m:val="p"/>
          </m:rPr>
          <m:t>+</m:t>
        </m:r>
        <m:sSub>
          <m:e>
            <m:r>
              <m:t>π</m:t>
            </m:r>
          </m:e>
          <m:sub>
            <m:r>
              <m:rPr>
                <m:sty m:val="p"/>
              </m:rPr>
              <m:t>l</m:t>
            </m:r>
            <m:r>
              <m:rPr>
                <m:sty m:val="p"/>
              </m:rPr>
              <m:t>o</m:t>
            </m:r>
            <m:r>
              <m:rPr>
                <m:sty m:val="p"/>
              </m:rPr>
              <m:t>c</m:t>
            </m:r>
            <m:r>
              <m:rPr>
                <m:sty m:val="p"/>
              </m:rPr>
              <m:t>a</m:t>
            </m:r>
            <m:r>
              <m:rPr>
                <m:sty m:val="p"/>
              </m:rPr>
              <m:t>l</m:t>
            </m:r>
          </m:sub>
        </m:sSub>
        <m:r>
          <m:rPr>
            <m:sty m:val="p"/>
          </m:rPr>
          <m:t>+</m:t>
        </m:r>
        <m:r>
          <m:t>κ</m:t>
        </m:r>
        <m:sSub>
          <m:e>
            <m:r>
              <m:t>P</m:t>
            </m:r>
          </m:e>
          <m:sub>
            <m:r>
              <m:rPr>
                <m:sty m:val="p"/>
              </m:rPr>
              <m:t>c</m:t>
            </m:r>
            <m:r>
              <m:rPr>
                <m:sty m:val="p"/>
              </m:rPr>
              <m:t>a</m:t>
            </m:r>
            <m:r>
              <m:rPr>
                <m:sty m:val="p"/>
              </m:rPr>
              <m:t>p</m:t>
            </m:r>
          </m:sub>
        </m:sSub>
        <m:r>
          <m:rPr>
            <m:sty m:val="p"/>
          </m:rPr>
          <m:t>≥</m:t>
        </m:r>
        <m:sSubSup>
          <m:e>
            <m:r>
              <m:t>c</m:t>
            </m:r>
          </m:e>
          <m:sub>
            <m:r>
              <m:rPr>
                <m:sty m:val="p"/>
              </m:rPr>
              <m:t>r</m:t>
            </m:r>
            <m:r>
              <m:rPr>
                <m:sty m:val="p"/>
              </m:rPr>
              <m:t>e</m:t>
            </m:r>
            <m:r>
              <m:rPr>
                <m:sty m:val="p"/>
              </m:rPr>
              <m:t>q</m:t>
            </m:r>
          </m:sub>
          <m:sup>
            <m:r>
              <m:rPr>
                <m:sty m:val="p"/>
              </m:rPr>
              <m:t>c</m:t>
            </m:r>
            <m:r>
              <m:rPr>
                <m:sty m:val="p"/>
              </m:rPr>
              <m:t>o</m:t>
            </m:r>
          </m:sup>
        </m:sSubSup>
      </m:oMath>
      <w:r>
        <w:t xml:space="preserve"> </w:t>
      </w:r>
      <w:r>
        <w:t xml:space="preserve">である。</w:t>
      </w:r>
      <m:oMath>
        <m:r>
          <m:t>κ</m:t>
        </m:r>
        <m:sSub>
          <m:e>
            <m:r>
              <m:t>P</m:t>
            </m:r>
          </m:e>
          <m:sub>
            <m:r>
              <m:rPr>
                <m:sty m:val="p"/>
              </m:rPr>
              <m:t>c</m:t>
            </m:r>
            <m:r>
              <m:rPr>
                <m:sty m:val="p"/>
              </m:rPr>
              <m:t>a</m:t>
            </m:r>
            <m:r>
              <m:rPr>
                <m:sty m:val="p"/>
              </m:rPr>
              <m:t>p</m:t>
            </m:r>
          </m:sub>
        </m:sSub>
      </m:oMath>
      <w:r>
        <w:t xml:space="preserve"> </w:t>
      </w:r>
      <w:r>
        <w:rPr>
          <w:rFonts w:hint="eastAsia"/>
        </w:rPr>
        <w:t xml:space="preserve">は実効容量収入、</w:t>
      </w:r>
      <m:oMath>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は併設の参入必要収益（円/kW-年）で、系統用と同じ定義と、託送の固定費を発電所と共有し系統から充電しない定義の2通りとする。この条件を、資本費、割引率、duration、容量収入の有無、FIP</w:t>
      </w:r>
      <w:r>
        <w:t xml:space="preserve"> </w:t>
      </w:r>
      <w:r>
        <w:rPr>
          <w:rFonts w:hint="eastAsia"/>
        </w:rPr>
        <w:t xml:space="preserve">のプレミアムの格子で評価し、参入が開く抑制率と資本費を求める（付録B.5.2）。</w:t>
      </w:r>
    </w:p>
    <w:bookmarkEnd w:id="209"/>
    <w:bookmarkStart w:id="211" w:name="損益分岐と企業金融の評価"/>
    <w:p>
      <w:pPr>
        <w:pStyle w:val="Heading3"/>
      </w:pPr>
      <w:r>
        <w:t xml:space="preserve">8.1.3　</w:t>
      </w:r>
      <w:r>
        <w:rPr>
          <w:rFonts w:hint="eastAsia"/>
        </w:rPr>
        <w:t xml:space="preserve">損益分岐と企業金融の評価</w:t>
      </w:r>
    </w:p>
    <w:p>
      <w:pPr>
        <w:pStyle w:val="FirstParagraph"/>
      </w:pPr>
      <w:r>
        <w:rPr>
          <w:rFonts w:hint="eastAsia"/>
        </w:rPr>
        <w:t xml:space="preserve">参入条件</w:t>
      </w:r>
      <w:r>
        <w:t xml:space="preserve"> </w:t>
      </w:r>
      <m:oMath>
        <m:r>
          <m:t>θ</m:t>
        </m:r>
        <m:r>
          <m:t> </m:t>
        </m:r>
        <m:r>
          <m:t>a</m:t>
        </m:r>
        <m:r>
          <m:rPr>
            <m:sty m:val="p"/>
          </m:rPr>
          <m:t>(</m:t>
        </m:r>
        <m:r>
          <m:t>0</m:t>
        </m:r>
        <m:r>
          <m:rPr>
            <m:sty m:val="p"/>
          </m:rPr>
          <m:t>)</m:t>
        </m:r>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r>
          <m:rPr>
            <m:sty m:val="p"/>
          </m:rPr>
          <m:t>≥</m:t>
        </m:r>
        <m:sSub>
          <m:e>
            <m:r>
              <m:t>c</m:t>
            </m:r>
          </m:e>
          <m:sub>
            <m:r>
              <m:rPr>
                <m:sty m:val="p"/>
              </m:rPr>
              <m:t>r</m:t>
            </m:r>
            <m:r>
              <m:rPr>
                <m:sty m:val="p"/>
              </m:rPr>
              <m:t>e</m:t>
            </m:r>
            <m:r>
              <m:rPr>
                <m:sty m:val="p"/>
              </m:rPr>
              <m:t>q</m:t>
            </m:r>
          </m:sub>
        </m:sSub>
      </m:oMath>
      <w:r>
        <w:rPr>
          <w:rFonts w:hint="eastAsia"/>
        </w:rPr>
        <w:t xml:space="preserve">（4.2.5項）は価格水準係数</w:t>
      </w:r>
      <w:r>
        <w:t xml:space="preserve"> </w:t>
      </w:r>
      <m:oMath>
        <m:r>
          <m:t>θ</m:t>
        </m:r>
      </m:oMath>
      <w:r>
        <w:t xml:space="preserve"> </w:t>
      </w:r>
      <w:r>
        <w:rPr>
          <w:rFonts w:hint="eastAsia"/>
        </w:rPr>
        <w:t xml:space="preserve">について線形なので、</w:t>
      </w:r>
      <m:oMath>
        <m:r>
          <m:t>K</m:t>
        </m:r>
        <m:r>
          <m:rPr>
            <m:sty m:val="p"/>
          </m:rPr>
          <m:t>=</m:t>
        </m:r>
        <m:r>
          <m:t>0</m:t>
        </m:r>
      </m:oMath>
      <w:r>
        <w:t xml:space="preserve"> </w:t>
      </w:r>
      <w:r>
        <w:rPr>
          <w:rFonts w:hint="eastAsia"/>
        </w:rPr>
        <w:t xml:space="preserve">で参入が開く損益分岐の水準係数</w:t>
      </w:r>
      <w:r>
        <w:t xml:space="preserve"> </w:t>
      </w:r>
      <m:oMath>
        <m:sSup>
          <m:e>
            <m:r>
              <m:t>θ</m:t>
            </m:r>
          </m:e>
          <m:sup>
            <m:r>
              <m:rPr>
                <m:sty m:val="p"/>
              </m:rPr>
              <m:t>*</m:t>
            </m:r>
          </m:sup>
        </m:sSup>
      </m:oMath>
      <w:r>
        <w:t xml:space="preserve"> </w:t>
      </w:r>
      <w:r>
        <w:rPr>
          <w:rFonts w:hint="eastAsia"/>
        </w:rPr>
        <w:t xml:space="preserve">は式(4.8)で閉じた形で求まる。本章では式(4.8)の分母</w:t>
      </w:r>
      <w:r>
        <w:t xml:space="preserve"> </w:t>
      </w:r>
      <m:oMath>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oMath>
      <w:r>
        <w:t xml:space="preserve"> </w:t>
      </w:r>
      <w:r>
        <w:t xml:space="preserve">を</w:t>
      </w:r>
      <w:r>
        <w:t xml:space="preserve"> </w:t>
      </w:r>
      <m:oMath>
        <m:r>
          <m:t>a</m:t>
        </m:r>
        <m:r>
          <m:rPr>
            <m:sty m:val="p"/>
          </m:rPr>
          <m:t>(</m:t>
        </m:r>
        <m:r>
          <m:t>0</m:t>
        </m:r>
        <m:r>
          <m:rPr>
            <m:sty m:val="p"/>
          </m:rPr>
          <m:t>)</m:t>
        </m:r>
      </m:oMath>
      <w:r>
        <w:rPr>
          <w:rFonts w:hint="eastAsia"/>
        </w:rPr>
        <w:t xml:space="preserve">（実績整合ケースで8,427円/kW-年。4.2.4項）と書き、分子の</w:t>
      </w:r>
      <w:r>
        <w:t xml:space="preserve"> </w:t>
      </w:r>
      <m:oMath>
        <m:sSub>
          <m:e>
            <m:r>
              <m:t>c</m:t>
            </m:r>
          </m:e>
          <m:sub>
            <m:r>
              <m:rPr>
                <m:sty m:val="p"/>
              </m:rPr>
              <m:t>r</m:t>
            </m:r>
            <m:r>
              <m:rPr>
                <m:sty m:val="p"/>
              </m:rPr>
              <m:t>e</m:t>
            </m:r>
            <m:r>
              <m:rPr>
                <m:sty m:val="p"/>
              </m:rPr>
              <m:t>q</m:t>
            </m:r>
          </m:sub>
        </m:sSub>
      </m:oMath>
      <w:r>
        <w:rPr>
          <w:rFonts w:hint="eastAsia"/>
        </w:rPr>
        <w:t xml:space="preserve">（式(4.6)）では割引率</w:t>
      </w:r>
      <w:r>
        <w:t xml:space="preserve"> </w:t>
      </w:r>
      <m:oMath>
        <m:r>
          <m:t>r</m:t>
        </m:r>
      </m:oMath>
      <w:r>
        <w:t xml:space="preserve"> </w:t>
      </w:r>
      <w:r>
        <w:rPr>
          <w:rFonts w:hint="eastAsia"/>
        </w:rPr>
        <w:t xml:space="preserve">と資本費</w:t>
      </w:r>
      <w:r>
        <w:t xml:space="preserve"> </w:t>
      </w:r>
      <m:oMath>
        <m:r>
          <m:t>I</m:t>
        </m:r>
      </m:oMath>
      <w:r>
        <w:t xml:space="preserve"> </w:t>
      </w:r>
      <w:r>
        <w:rPr>
          <w:rFonts w:hint="eastAsia"/>
        </w:rPr>
        <w:t xml:space="preserve">を動かす</w:t>
      </w:r>
      <w:r>
        <w:rPr>
          <w:rStyle w:val="FootnoteReference"/>
        </w:rPr>
        <w:footnoteReference w:id="210"/>
      </w:r>
      <w:r>
        <w:t xml:space="preserve">。</w:t>
      </w:r>
    </w:p>
    <w:p>
      <w:pPr>
        <w:pStyle w:val="BodyText"/>
      </w:pPr>
      <w:r>
        <w:rPr>
          <w:rFonts w:hint="eastAsia"/>
        </w:rPr>
        <w:t xml:space="preserve">契約型とマーチャントの比較は、無レバレッジ・税前・実質・20年の毎年同額のキャッシュフローで行う。金額・割引率・IRR</w:t>
      </w:r>
      <w:r>
        <w:t xml:space="preserve"> </w:t>
      </w:r>
      <w:r>
        <w:rPr>
          <w:rFonts w:hint="eastAsia"/>
        </w:rPr>
        <w:t xml:space="preserve">はすべて実質であり、一般物価の上昇は織り込まない。ただし価格水準係数</w:t>
      </w:r>
      <w:r>
        <w:t xml:space="preserve"> </w:t>
      </w:r>
      <m:oMath>
        <m:r>
          <m:t>θ</m:t>
        </m:r>
      </m:oMath>
      <w:r>
        <w:t xml:space="preserve"> </w:t>
      </w:r>
      <w:r>
        <w:rPr>
          <w:rFonts w:hint="eastAsia"/>
        </w:rPr>
        <w:t xml:space="preserve">は名目の価格の比なので、基準期間以後の物価の上昇分を含みうる（付録B.4.5）。スポット収入は実績整合ケース（</w:t>
      </w:r>
      <m:oMath>
        <m:r>
          <m:t>K</m:t>
        </m:r>
        <m:r>
          <m:rPr>
            <m:sty m:val="p"/>
          </m:rPr>
          <m:t>=</m:t>
        </m:r>
        <m:r>
          <m:t>0</m:t>
        </m:r>
      </m:oMath>
      <w:r>
        <w:t xml:space="preserve">・</w:t>
      </w:r>
      <m:oMath>
        <m:r>
          <m:t>θ</m:t>
        </m:r>
        <m:r>
          <m:rPr>
            <m:sty m:val="p"/>
          </m:rPr>
          <m:t>=</m:t>
        </m:r>
        <m:r>
          <m:t>1</m:t>
        </m:r>
      </m:oMath>
      <w:r>
        <w:t xml:space="preserve"> </w:t>
      </w:r>
      <w:r>
        <w:t xml:space="preserve">で</w:t>
      </w:r>
      <w:r>
        <w:t xml:space="preserve"> </w:t>
      </w:r>
      <m:oMath>
        <m:r>
          <m:t>π</m:t>
        </m:r>
        <m:r>
          <m:rPr>
            <m:sty m:val="p"/>
          </m:rPr>
          <m:t>(</m:t>
        </m:r>
        <m:r>
          <m:t>0</m:t>
        </m:r>
        <m:r>
          <m:rPr>
            <m:sty m:val="p"/>
          </m:rPr>
          <m:t>)</m:t>
        </m:r>
        <m:r>
          <m:rPr>
            <m:sty m:val="p"/>
          </m:rPr>
          <m:t>=</m:t>
        </m:r>
        <m:r>
          <m:t>6</m:t>
        </m:r>
        <m:r>
          <m:rPr>
            <m:sty m:val="p"/>
          </m:rPr>
          <m:t>,</m:t>
        </m:r>
        <m:r>
          <m:t>675</m:t>
        </m:r>
      </m:oMath>
      <w:r>
        <w:t xml:space="preserve"> </w:t>
      </w:r>
      <w:r>
        <w:rPr>
          <w:rFonts w:hint="eastAsia"/>
        </w:rPr>
        <w:t xml:space="preserve">円/kW-年）、実効容量収入は2029年度向けの12,517円/kW-年を主とする（付録B.5.3）。まず、割引率に左右されない事業の内部収益率（事業</w:t>
      </w:r>
      <w:r>
        <w:t xml:space="preserve"> </w:t>
      </w:r>
      <w:r>
        <w:rPr>
          <w:rFonts w:hint="eastAsia"/>
        </w:rPr>
        <w:t xml:space="preserve">IRR）で比べる（IRR</w:t>
      </w:r>
      <w:r>
        <w:t xml:space="preserve"> </w:t>
      </w:r>
      <w:r>
        <w:rPr>
          <w:rFonts w:hint="eastAsia"/>
        </w:rPr>
        <w:t xml:space="preserve">が負なら、どの非負の割引率でも正味現在価値（NPV）は負である）。次に、割引率を資産の資本コストとして契約型（</w:t>
      </w:r>
      <m:oMath>
        <m:sSub>
          <m:e>
            <m:r>
              <m:t>r</m:t>
            </m:r>
          </m:e>
          <m:sub>
            <m:r>
              <m:t>C</m:t>
            </m:r>
          </m:sub>
        </m:sSub>
      </m:oMath>
      <w:r>
        <w:rPr>
          <w:rFonts w:hint="eastAsia"/>
        </w:rPr>
        <w:t xml:space="preserve">）とマーチャント（</w:t>
      </w:r>
      <m:oMath>
        <m:sSubSup>
          <m:e>
            <m:r>
              <m:t>r</m:t>
            </m:r>
          </m:e>
          <m:sub>
            <m:r>
              <m:t>A</m:t>
            </m:r>
          </m:sub>
          <m:sup>
            <m:r>
              <m:t>M</m:t>
            </m:r>
          </m:sup>
        </m:sSubSup>
      </m:oMath>
      <w:r>
        <w:rPr>
          <w:rFonts w:hint="eastAsia"/>
        </w:rPr>
        <w:t xml:space="preserve">）に分ける（Modigliani</w:t>
      </w:r>
      <w:r>
        <w:t xml:space="preserve"> &amp; Miller, </w:t>
      </w:r>
      <w:r>
        <w:rPr>
          <w:rFonts w:hint="eastAsia"/>
        </w:rPr>
        <w:t xml:space="preserve">1958）。そのうえで乖離の各成分を、Myers（1974）の</w:t>
      </w:r>
      <w:r>
        <w:t xml:space="preserve"> APV </w:t>
      </w:r>
      <w:r>
        <w:rPr>
          <w:rFonts w:hint="eastAsia"/>
        </w:rPr>
        <w:t xml:space="preserve">を制度収入の成分に拡張した形で、1kWあたりの現在価値にそろえる。基礎は借入のないマーチャント事業の</w:t>
      </w:r>
      <w:r>
        <w:t xml:space="preserve"> </w:t>
      </w:r>
      <w:r>
        <w:rPr>
          <w:rFonts w:hint="eastAsia"/>
        </w:rPr>
        <w:t xml:space="preserve">NPV（</w:t>
      </w:r>
      <m:oMath>
        <m:sSubSup>
          <m:e>
            <m:r>
              <m:t>r</m:t>
            </m:r>
          </m:e>
          <m:sub>
            <m:r>
              <m:t>A</m:t>
            </m:r>
          </m:sub>
          <m:sup>
            <m:r>
              <m:t>M</m:t>
            </m:r>
          </m:sup>
        </m:sSubSup>
      </m:oMath>
      <w:r>
        <w:t xml:space="preserve"> </w:t>
      </w:r>
      <w:r>
        <w:rPr>
          <w:rFonts w:hint="eastAsia"/>
        </w:rPr>
        <w:t xml:space="preserve">で割引）で、容量市場の収入も同じ率で割り引き、補助金は建設時の受取として割り引かない。</w:t>
      </w:r>
    </w:p>
    <w:p>
      <w:pPr>
        <w:pStyle w:val="BodyText"/>
      </w:pPr>
      <w:r>
        <w:t xml:space="preserve">LTDA </w:t>
      </w:r>
      <w:r>
        <w:rPr>
          <w:rFonts w:hint="eastAsia"/>
        </w:rPr>
        <w:t xml:space="preserve">は、他市場収益の約9割の還付と容量市場への参加を、20年間の固定収入と交換するレベニュースワップとして扱う。固定収入を</w:t>
      </w:r>
      <w:r>
        <w:t xml:space="preserve"> </w:t>
      </w:r>
      <m:oMath>
        <m:r>
          <m:t>q</m:t>
        </m:r>
      </m:oMath>
      <w:r>
        <w:rPr>
          <w:rFonts w:hint="eastAsia"/>
        </w:rPr>
        <w:t xml:space="preserve">、手放す収入を</w:t>
      </w:r>
      <w:r>
        <w:t xml:space="preserve"> </w:t>
      </w:r>
      <m:oMath>
        <m:r>
          <m:t>z</m:t>
        </m:r>
      </m:oMath>
      <w:r>
        <w:rPr>
          <w:rFonts w:hint="eastAsia"/>
        </w:rPr>
        <w:t xml:space="preserve">、割引率</w:t>
      </w:r>
      <w:r>
        <w:t xml:space="preserve"> </w:t>
      </w:r>
      <m:oMath>
        <m:r>
          <m:t>r</m:t>
        </m:r>
      </m:oMath>
      <w:r>
        <w:t xml:space="preserve"> </w:t>
      </w:r>
      <w:r>
        <w:rPr>
          <w:rFonts w:hint="eastAsia"/>
        </w:rPr>
        <w:t xml:space="preserve">での現在価値を</w:t>
      </w:r>
      <w:r>
        <w:t xml:space="preserve"> </w:t>
      </w:r>
      <m:oMath>
        <m:r>
          <m:rPr>
            <m:sty m:val="p"/>
          </m:rPr>
          <m:t>P</m:t>
        </m:r>
        <m:r>
          <m:rPr>
            <m:sty m:val="p"/>
          </m:rPr>
          <m:t>V</m:t>
        </m:r>
        <m:r>
          <m:rPr>
            <m:sty m:val="p"/>
          </m:rPr>
          <m:t>(</m:t>
        </m:r>
        <m:r>
          <m:rPr>
            <m:sty m:val="p"/>
          </m:rPr>
          <m:t>⋅</m:t>
        </m:r>
        <m:r>
          <m:t> </m:t>
        </m:r>
        <m:r>
          <m:rPr>
            <m:sty m:val="p"/>
          </m:rPr>
          <m:t>;</m:t>
        </m:r>
        <m:r>
          <m:t>r</m:t>
        </m:r>
        <m:r>
          <m:rPr>
            <m:sty m:val="p"/>
          </m:rPr>
          <m:t>)</m:t>
        </m:r>
      </m:oMath>
      <w:r>
        <w:t xml:space="preserve"> </w:t>
      </w:r>
      <w:r>
        <w:rPr>
          <w:rFonts w:hint="eastAsia"/>
        </w:rPr>
        <w:t xml:space="preserve">と書くと、スワップの価値は二つに分かれる。</w:t>
      </w:r>
    </w:p>
    <w:p>
      <w:pPr>
        <w:pStyle w:val="BodyText"/>
        <w:tabs>
          <w:tab w:val="center" w:pos="4393"/>
          <w:tab w:val="right" w:pos="8787"/>
        </w:tabs>
        <w:spacing w:before="120" w:after="120" w:line="240" w:lineRule="auto"/>
        <w:ind w:firstLine="0"/>
      </w:pPr>
      <w:r>
        <w:tab/>
      </w:r>
      <m:oMath>
        <m:sSup>
          <m:e>
            <m:r>
              <m:t>V</m:t>
            </m:r>
          </m:e>
          <m:sup>
            <m:r>
              <m:rPr>
                <m:sty m:val="p"/>
              </m:rPr>
              <m:t>s</m:t>
            </m:r>
            <m:r>
              <m:rPr>
                <m:sty m:val="p"/>
              </m:rPr>
              <m:t>w</m:t>
            </m:r>
            <m:r>
              <m:rPr>
                <m:sty m:val="p"/>
              </m:rPr>
              <m:t>a</m:t>
            </m:r>
            <m:r>
              <m:rPr>
                <m:sty m:val="p"/>
              </m:rPr>
              <m:t>p</m:t>
            </m:r>
          </m:sup>
        </m:sSup>
        <m:r>
          <m:rPr>
            <m:sty m:val="p"/>
          </m:rPr>
          <m:t>=</m:t>
        </m:r>
        <m:d>
          <m:dPr>
            <m:begChr m:val="["/>
            <m:sepChr m:val=""/>
            <m:endChr m:val="]"/>
            <m:grow/>
          </m:dPr>
          <m:e>
            <m:r>
              <m:rPr>
                <m:sty m:val="p"/>
              </m:rPr>
              <m:t>P</m:t>
            </m:r>
            <m:r>
              <m:rPr>
                <m:sty m:val="p"/>
              </m:rPr>
              <m:t>V</m:t>
            </m:r>
            <m:r>
              <m:rPr>
                <m:sty m:val="p"/>
              </m:rPr>
              <m:t>(</m:t>
            </m:r>
            <m:r>
              <m:t>q</m:t>
            </m:r>
            <m:r>
              <m:rPr>
                <m:sty m:val="p"/>
              </m:rPr>
              <m:t>;</m:t>
            </m:r>
            <m:sSub>
              <m:e>
                <m:r>
                  <m:t>r</m:t>
                </m:r>
              </m:e>
              <m:sub>
                <m:r>
                  <m:t>C</m:t>
                </m:r>
              </m:sub>
            </m:sSub>
            <m:r>
              <m:rPr>
                <m:sty m:val="p"/>
              </m:rPr>
              <m:t>)</m:t>
            </m:r>
            <m:r>
              <m:rPr>
                <m:sty m:val="p"/>
              </m:rPr>
              <m:t>−</m:t>
            </m:r>
            <m:r>
              <m:rPr>
                <m:sty m:val="p"/>
              </m:rPr>
              <m:t>P</m:t>
            </m:r>
            <m:r>
              <m:rPr>
                <m:sty m:val="p"/>
              </m:rPr>
              <m:t>V</m:t>
            </m:r>
            <m:r>
              <m:rPr>
                <m:sty m:val="p"/>
              </m:rPr>
              <m:t>(</m:t>
            </m:r>
            <m:r>
              <m:t>z</m:t>
            </m:r>
            <m:r>
              <m:rPr>
                <m:sty m:val="p"/>
              </m:rPr>
              <m:t>;</m:t>
            </m:r>
            <m:sSub>
              <m:e>
                <m:r>
                  <m:t>r</m:t>
                </m:r>
              </m:e>
              <m:sub>
                <m:r>
                  <m:t>C</m:t>
                </m:r>
              </m:sub>
            </m:sSub>
            <m:r>
              <m:rPr>
                <m:sty m:val="p"/>
              </m:rPr>
              <m:t>)</m:t>
            </m:r>
          </m:e>
        </m:d>
        <m:r>
          <m:rPr>
            <m:sty m:val="p"/>
          </m:rPr>
          <m:t>+</m:t>
        </m:r>
        <m:d>
          <m:dPr>
            <m:begChr m:val="["/>
            <m:sepChr m:val=""/>
            <m:endChr m:val="]"/>
            <m:grow/>
          </m:dPr>
          <m:e>
            <m:r>
              <m:rPr>
                <m:sty m:val="p"/>
              </m:rPr>
              <m:t>P</m:t>
            </m:r>
            <m:r>
              <m:rPr>
                <m:sty m:val="p"/>
              </m:rPr>
              <m:t>V</m:t>
            </m:r>
            <m:r>
              <m:rPr>
                <m:sty m:val="p"/>
              </m:rPr>
              <m:t>(</m:t>
            </m:r>
            <m:r>
              <m:t>z</m:t>
            </m:r>
            <m:r>
              <m:rPr>
                <m:sty m:val="p"/>
              </m:rPr>
              <m:t>;</m:t>
            </m:r>
            <m:sSub>
              <m:e>
                <m:r>
                  <m:t>r</m:t>
                </m:r>
              </m:e>
              <m:sub>
                <m:r>
                  <m:t>C</m:t>
                </m:r>
              </m:sub>
            </m:sSub>
            <m:r>
              <m:rPr>
                <m:sty m:val="p"/>
              </m:rPr>
              <m:t>)</m:t>
            </m:r>
            <m:r>
              <m:rPr>
                <m:sty m:val="p"/>
              </m:rPr>
              <m:t>−</m:t>
            </m:r>
            <m:r>
              <m:rPr>
                <m:sty m:val="p"/>
              </m:rPr>
              <m:t>P</m:t>
            </m:r>
            <m:r>
              <m:rPr>
                <m:sty m:val="p"/>
              </m:rPr>
              <m:t>V</m:t>
            </m:r>
            <m:r>
              <m:rPr>
                <m:sty m:val="p"/>
              </m:rPr>
              <m:t>(</m:t>
            </m:r>
            <m:r>
              <m:t>z</m:t>
            </m:r>
            <m:r>
              <m:rPr>
                <m:sty m:val="p"/>
              </m:rPr>
              <m:t>;</m:t>
            </m:r>
            <m:sSubSup>
              <m:e>
                <m:r>
                  <m:t>r</m:t>
                </m:r>
              </m:e>
              <m:sub>
                <m:r>
                  <m:t>A</m:t>
                </m:r>
              </m:sub>
              <m:sup>
                <m:r>
                  <m:t>M</m:t>
                </m:r>
              </m:sup>
            </m:sSubSup>
            <m:r>
              <m:rPr>
                <m:sty m:val="p"/>
              </m:rPr>
              <m:t>)</m:t>
            </m:r>
          </m:e>
        </m:d>
      </m:oMath>
      <w:r>
        <w:tab/>
      </w:r>
      <w:r>
        <w:t>(8.1)</w:t>
      </w:r>
    </w:p>
    <w:p>
      <w:pPr>
        <w:pStyle w:val="BodyText"/>
      </w:pPr>
      <w:r>
        <w:rPr>
          <w:rFonts w:hint="eastAsia"/>
        </w:rPr>
        <w:t xml:space="preserve">第1項を期待値の移転、第2項をリスク移転と呼ぶ。主の割引率は</w:t>
      </w:r>
      <w:r>
        <w:t xml:space="preserve"> </w:t>
      </w:r>
      <m:oMath>
        <m:sSub>
          <m:e>
            <m:r>
              <m:t>r</m:t>
            </m:r>
          </m:e>
          <m:sub>
            <m:r>
              <m:t>C</m:t>
            </m:r>
          </m:sub>
        </m:sSub>
        <m:r>
          <m:rPr>
            <m:sty m:val="p"/>
          </m:rPr>
          <m:t>=</m:t>
        </m:r>
        <m:r>
          <m:t>5</m:t>
        </m:r>
        <m:r>
          <m:rPr>
            <m:sty m:val="p"/>
          </m:rPr>
          <m:t>%</m:t>
        </m:r>
      </m:oMath>
      <w:r>
        <w:t xml:space="preserve">・</w:t>
      </w:r>
      <m:oMath>
        <m:sSubSup>
          <m:e>
            <m:r>
              <m:t>r</m:t>
            </m:r>
          </m:e>
          <m:sub>
            <m:r>
              <m:t>A</m:t>
            </m:r>
          </m:sub>
          <m:sup>
            <m:r>
              <m:t>M</m:t>
            </m:r>
          </m:sup>
        </m:sSubSup>
        <m:r>
          <m:rPr>
            <m:sty m:val="p"/>
          </m:rPr>
          <m:t>=</m:t>
        </m:r>
        <m:r>
          <m:t>9</m:t>
        </m:r>
        <m:r>
          <m:rPr>
            <m:sty m:val="p"/>
          </m:rPr>
          <m:t>%</m:t>
        </m:r>
      </m:oMath>
      <w:r>
        <w:t xml:space="preserve"> </w:t>
      </w:r>
      <w:r>
        <w:rPr>
          <w:rFonts w:hint="eastAsia"/>
        </w:rPr>
        <w:t xml:space="preserve">とする。リスク移転は、資本資産価格モデル（CAPM）の確実性等価（Fama,</w:t>
      </w:r>
      <w:r>
        <w:t xml:space="preserve"> </w:t>
      </w:r>
      <w:r>
        <w:rPr>
          <w:rFonts w:hint="eastAsia"/>
        </w:rPr>
        <w:t xml:space="preserve">1977）でも検算する。各年の価値の更新の標準偏差にリスクの価格</w:t>
      </w:r>
      <w:r>
        <w:t xml:space="preserve"> </w:t>
      </w:r>
      <m:oMath>
        <m:r>
          <m:rPr>
            <m:sty m:val="p"/>
          </m:rPr>
          <m:t>Λ</m:t>
        </m:r>
      </m:oMath>
      <w:r>
        <w:rPr>
          <w:rFonts w:hint="eastAsia"/>
        </w:rPr>
        <w:t xml:space="preserve">（市場ポートフォリオのシャープ・レシオと市場収益率との相関の積）を掛けて期ごとにリスク調整し、不足額を測る割引率（6%）で割り引いて積み上げる（付録B.5.4）。</w:t>
      </w:r>
    </w:p>
    <w:bookmarkEnd w:id="211"/>
    <w:bookmarkStart w:id="212" w:name="収入リスクとヘッジの計測"/>
    <w:p>
      <w:pPr>
        <w:pStyle w:val="Heading3"/>
      </w:pPr>
      <w:r>
        <w:t xml:space="preserve">8.1.4　</w:t>
      </w:r>
      <w:r>
        <w:rPr>
          <w:rFonts w:hint="eastAsia"/>
        </w:rPr>
        <w:t xml:space="preserve">収入リスクとヘッジの計測</w:t>
      </w:r>
    </w:p>
    <w:p>
      <w:pPr>
        <w:pStyle w:val="FirstParagraph"/>
      </w:pPr>
      <w:r>
        <w:rPr>
          <w:rFonts w:hint="eastAsia"/>
        </w:rPr>
        <w:t xml:space="preserve">収入の振れとその源泉は、exposure-based</w:t>
      </w:r>
      <w:r>
        <w:t xml:space="preserve"> </w:t>
      </w:r>
      <w:r>
        <w:rPr>
          <w:rFonts w:hint="eastAsia"/>
        </w:rPr>
        <w:t xml:space="preserve">Cash-Flow-at-Risk（CFaR;</w:t>
      </w:r>
      <w:r>
        <w:t xml:space="preserve"> Andrén et al., </w:t>
      </w:r>
      <w:r>
        <w:rPr>
          <w:rFonts w:hint="eastAsia"/>
        </w:rPr>
        <w:t xml:space="preserve">2005）で測る。対象はマーチャント4時間蓄電池の年間の市場収入である。</w:t>
      </w:r>
    </w:p>
    <w:p>
      <w:pPr>
        <w:pStyle w:val="BodyText"/>
        <w:tabs>
          <w:tab w:val="center" w:pos="4393"/>
          <w:tab w:val="right" w:pos="8787"/>
        </w:tabs>
        <w:spacing w:before="120" w:after="120" w:line="240" w:lineRule="auto"/>
        <w:ind w:firstLine="0"/>
      </w:pPr>
      <w:r>
        <w:tab/>
      </w:r>
      <m:oMath>
        <m:r>
          <m:t>R</m:t>
        </m:r>
        <m:r>
          <m:rPr>
            <m:sty m:val="p"/>
          </m:rPr>
          <m:t>=</m:t>
        </m:r>
        <m:r>
          <m:t>θ</m:t>
        </m:r>
        <m:r>
          <m:t> </m:t>
        </m:r>
        <m:r>
          <m:t>S</m:t>
        </m:r>
        <m:r>
          <m:t> </m:t>
        </m:r>
        <m:r>
          <m:t>ω</m:t>
        </m:r>
        <m:r>
          <m:t> </m:t>
        </m:r>
        <m:r>
          <m:t>a</m:t>
        </m:r>
        <m:r>
          <m:rPr>
            <m:sty m:val="p"/>
          </m:rPr>
          <m:t>(</m:t>
        </m:r>
        <m:r>
          <m:t>K</m:t>
        </m:r>
        <m:r>
          <m:rPr>
            <m:sty m:val="p"/>
          </m:rPr>
          <m:t>)</m:t>
        </m:r>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r>
          <m:rPr>
            <m:sty m:val="p"/>
          </m:rPr>
          <m:t>(</m:t>
        </m:r>
        <m:r>
          <m:t>K</m:t>
        </m:r>
        <m:r>
          <m:rPr>
            <m:sty m:val="p"/>
          </m:rPr>
          <m:t>;</m:t>
        </m:r>
        <m:r>
          <m:t>L</m:t>
        </m:r>
        <m:r>
          <m:rPr>
            <m:sty m:val="p"/>
          </m:rPr>
          <m:t>)</m:t>
        </m:r>
      </m:oMath>
      <w:r>
        <w:tab/>
      </w:r>
      <w:r>
        <w:t>(8.2)</w:t>
      </w:r>
    </w:p>
    <w:p>
      <w:pPr>
        <w:pStyle w:val="BodyText"/>
      </w:pPr>
      <w:r>
        <w:rPr>
          <w:rFonts w:hint="eastAsia"/>
        </w:rPr>
        <w:t xml:space="preserve">式(8.2)の</w:t>
      </w:r>
      <w:r>
        <w:t xml:space="preserve"> </w:t>
      </w:r>
      <m:oMath>
        <m:r>
          <m:t>a</m:t>
        </m:r>
        <m:r>
          <m:rPr>
            <m:sty m:val="p"/>
          </m:rPr>
          <m:t>(</m:t>
        </m:r>
        <m:r>
          <m:t>K</m:t>
        </m:r>
        <m:r>
          <m:rPr>
            <m:sty m:val="p"/>
          </m:rPr>
          <m:t>)</m:t>
        </m:r>
      </m:oMath>
      <w:r>
        <w:t xml:space="preserve"> </w:t>
      </w:r>
      <w:r>
        <w:rPr>
          <w:rFonts w:hint="eastAsia"/>
        </w:rPr>
        <w:t xml:space="preserve">はフリート容量</w:t>
      </w:r>
      <w:r>
        <w:t xml:space="preserve"> </w:t>
      </w:r>
      <m:oMath>
        <m:r>
          <m:t>K</m:t>
        </m:r>
      </m:oMath>
      <w:r>
        <w:t xml:space="preserve"> </w:t>
      </w:r>
      <w:r>
        <w:rPr>
          <w:rFonts w:hint="eastAsia"/>
        </w:rPr>
        <w:t xml:space="preserve">の下での実績整合ケースの粗利で、因子は価格水準</w:t>
      </w:r>
      <w:r>
        <w:t xml:space="preserve"> </w:t>
      </w:r>
      <m:oMath>
        <m:r>
          <m:t>θ</m:t>
        </m:r>
      </m:oMath>
      <w:r>
        <w:rPr>
          <w:rFonts w:hint="eastAsia"/>
        </w:rPr>
        <w:t xml:space="preserve">、他者の参入</w:t>
      </w:r>
      <w:r>
        <w:t xml:space="preserve"> </w:t>
      </w:r>
      <m:oMath>
        <m:r>
          <m:t>K</m:t>
        </m:r>
      </m:oMath>
      <w:r>
        <w:rPr>
          <w:rFonts w:hint="eastAsia"/>
        </w:rPr>
        <w:t xml:space="preserve">、容量価格の約定水準</w:t>
      </w:r>
      <w:r>
        <w:t xml:space="preserve"> </w:t>
      </w:r>
      <m:oMath>
        <m:r>
          <m:t>L</m:t>
        </m:r>
      </m:oMath>
      <w:r>
        <w:rPr>
          <w:rFonts w:hint="eastAsia"/>
        </w:rPr>
        <w:t xml:space="preserve">、年度単位の形状</w:t>
      </w:r>
      <w:r>
        <w:t xml:space="preserve"> </w:t>
      </w:r>
      <m:oMath>
        <m:r>
          <m:t>S</m:t>
        </m:r>
      </m:oMath>
      <w:r>
        <w:rPr>
          <w:rFonts w:hint="eastAsia"/>
        </w:rPr>
        <w:t xml:space="preserve">、日々の天候</w:t>
      </w:r>
      <w:r>
        <w:t xml:space="preserve"> </w:t>
      </w:r>
      <m:oMath>
        <m:r>
          <m:t>ω</m:t>
        </m:r>
      </m:oMath>
      <w:r>
        <w:t xml:space="preserve"> </w:t>
      </w:r>
      <w:r>
        <w:rPr>
          <w:rFonts w:hint="eastAsia"/>
        </w:rPr>
        <w:t xml:space="preserve">の五つとし、互いに独立とする。</w:t>
      </w:r>
      <m:oMath>
        <m:r>
          <m:t>R</m:t>
        </m:r>
      </m:oMath>
      <w:r>
        <w:t xml:space="preserve"> </w:t>
      </w:r>
      <w:r>
        <w:rPr>
          <w:rFonts w:hint="eastAsia"/>
        </w:rPr>
        <w:t xml:space="preserve">は投資時点から見た代表的な1年の収入である。20万回のモンテカルロで5%</w:t>
      </w:r>
      <w:r>
        <w:t xml:space="preserve"> </w:t>
      </w:r>
      <w:r>
        <w:rPr>
          <w:rFonts w:hint="eastAsia"/>
        </w:rPr>
        <w:t xml:space="preserve">CFaR（期待値と5%分位点の差）と5%期待ショートフォール（ES;</w:t>
      </w:r>
      <w:r>
        <w:t xml:space="preserve"> Acerbi &amp; Tasche, 2002; Artzner et al., </w:t>
      </w:r>
      <w:r>
        <w:rPr>
          <w:rFonts w:hint="eastAsia"/>
        </w:rPr>
        <w:t xml:space="preserve">1999）を求め、因子別の寄与を</w:t>
      </w:r>
      <w:r>
        <w:t xml:space="preserve"> Shapley </w:t>
      </w:r>
      <w:r>
        <w:rPr>
          <w:rFonts w:hint="eastAsia"/>
        </w:rPr>
        <w:t xml:space="preserve">配分（Shapley,</w:t>
      </w:r>
      <w:r>
        <w:t xml:space="preserve"> 1953; Shorrocks, </w:t>
      </w:r>
      <w:r>
        <w:rPr>
          <w:rFonts w:hint="eastAsia"/>
        </w:rPr>
        <w:t xml:space="preserve">2013）で測る（付録B.5.5）。上場先物でこのリスクをどこまで消せるかは、Ederington（1979）のヘッジ有効性（HE）で測る。</w:t>
      </w:r>
    </w:p>
    <w:p>
      <w:pPr>
        <w:pStyle w:val="BodyText"/>
        <w:tabs>
          <w:tab w:val="center" w:pos="4393"/>
          <w:tab w:val="right" w:pos="8787"/>
        </w:tabs>
        <w:spacing w:before="120" w:after="120" w:line="240" w:lineRule="auto"/>
        <w:ind w:firstLine="0"/>
      </w:pPr>
      <w:r>
        <w:tab/>
      </w:r>
      <m:oMath>
        <m:r>
          <m:rPr>
            <m:sty m:val="p"/>
          </m:rPr>
          <m:t>H</m:t>
        </m:r>
        <m:r>
          <m:rPr>
            <m:sty m:val="p"/>
          </m:rPr>
          <m:t>E</m:t>
        </m:r>
        <m:r>
          <m:rPr>
            <m:sty m:val="p"/>
          </m:rPr>
          <m:t>=</m:t>
        </m:r>
        <m:r>
          <m:t>1</m:t>
        </m:r>
        <m:r>
          <m:rPr>
            <m:sty m:val="p"/>
          </m:rPr>
          <m:t>−</m:t>
        </m:r>
        <m:f>
          <m:fPr>
            <m:type m:val="bar"/>
          </m:fPr>
          <m:num>
            <m:r>
              <m:rPr>
                <m:sty m:val="p"/>
              </m:rPr>
              <m:t>V</m:t>
            </m:r>
            <m:r>
              <m:rPr>
                <m:sty m:val="p"/>
              </m:rPr>
              <m:t>a</m:t>
            </m:r>
            <m:r>
              <m:rPr>
                <m:sty m:val="p"/>
              </m:rPr>
              <m:t>r</m:t>
            </m:r>
            <m:d>
              <m:dPr>
                <m:begChr m:val="("/>
                <m:sepChr m:val=""/>
                <m:endChr m:val=")"/>
                <m:grow/>
              </m:dPr>
              <m:e>
                <m:r>
                  <m:t>G</m:t>
                </m:r>
                <m:r>
                  <m:rPr>
                    <m:sty m:val="p"/>
                  </m:rPr>
                  <m:t>−</m:t>
                </m:r>
                <m:sSup>
                  <m:e>
                    <m:r>
                      <m:t>h</m:t>
                    </m:r>
                  </m:e>
                  <m:sup>
                    <m:r>
                      <m:rPr>
                        <m:sty m:val="p"/>
                      </m:rPr>
                      <m:t>*</m:t>
                    </m:r>
                  </m:sup>
                </m:sSup>
                <m:sSup>
                  <m:e>
                    <m:r>
                      <m:t>P</m:t>
                    </m:r>
                  </m:e>
                  <m:sup>
                    <m:r>
                      <m:rPr>
                        <m:sty m:val="p"/>
                      </m:rPr>
                      <m:t>f</m:t>
                    </m:r>
                    <m:r>
                      <m:rPr>
                        <m:sty m:val="p"/>
                      </m:rPr>
                      <m:t>u</m:t>
                    </m:r>
                    <m:r>
                      <m:rPr>
                        <m:sty m:val="p"/>
                      </m:rPr>
                      <m:t>t</m:t>
                    </m:r>
                  </m:sup>
                </m:sSup>
              </m:e>
            </m:d>
          </m:num>
          <m:den>
            <m:r>
              <m:rPr>
                <m:sty m:val="p"/>
              </m:rPr>
              <m:t>V</m:t>
            </m:r>
            <m:r>
              <m:rPr>
                <m:sty m:val="p"/>
              </m:rPr>
              <m:t>a</m:t>
            </m:r>
            <m:r>
              <m:rPr>
                <m:sty m:val="p"/>
              </m:rPr>
              <m:t>r</m:t>
            </m:r>
            <m:r>
              <m:rPr>
                <m:sty m:val="p"/>
              </m:rPr>
              <m:t>(</m:t>
            </m:r>
            <m:r>
              <m:t>G</m:t>
            </m:r>
            <m:r>
              <m:rPr>
                <m:sty m:val="p"/>
              </m:rPr>
              <m:t>)</m:t>
            </m:r>
          </m:den>
        </m:f>
        <m:r>
          <m:rPr>
            <m:sty m:val="p"/>
          </m:rPr>
          <m:t>,</m:t>
        </m:r>
        <m:r>
          <m:t>  </m:t>
        </m:r>
        <m:sSup>
          <m:e>
            <m:r>
              <m:t>h</m:t>
            </m:r>
          </m:e>
          <m:sup>
            <m:r>
              <m:rPr>
                <m:sty m:val="p"/>
              </m:rPr>
              <m:t>*</m:t>
            </m:r>
          </m:sup>
        </m:sSup>
        <m:r>
          <m:rPr>
            <m:sty m:val="p"/>
          </m:rPr>
          <m:t>=</m:t>
        </m:r>
        <m:f>
          <m:fPr>
            <m:type m:val="bar"/>
          </m:fPr>
          <m:num>
            <m:r>
              <m:rPr>
                <m:sty m:val="p"/>
              </m:rPr>
              <m:t>C</m:t>
            </m:r>
            <m:r>
              <m:rPr>
                <m:sty m:val="p"/>
              </m:rPr>
              <m:t>o</m:t>
            </m:r>
            <m:r>
              <m:rPr>
                <m:sty m:val="p"/>
              </m:rPr>
              <m:t>v</m:t>
            </m:r>
            <m:d>
              <m:dPr>
                <m:begChr m:val="("/>
                <m:sepChr m:val=""/>
                <m:endChr m:val=")"/>
                <m:grow/>
              </m:dPr>
              <m:e>
                <m:r>
                  <m:t>G</m:t>
                </m:r>
                <m:r>
                  <m:rPr>
                    <m:sty m:val="p"/>
                  </m:rPr>
                  <m:t>,</m:t>
                </m:r>
                <m:sSup>
                  <m:e>
                    <m:r>
                      <m:t>P</m:t>
                    </m:r>
                  </m:e>
                  <m:sup>
                    <m:r>
                      <m:rPr>
                        <m:sty m:val="p"/>
                      </m:rPr>
                      <m:t>f</m:t>
                    </m:r>
                    <m:r>
                      <m:rPr>
                        <m:sty m:val="p"/>
                      </m:rPr>
                      <m:t>u</m:t>
                    </m:r>
                    <m:r>
                      <m:rPr>
                        <m:sty m:val="p"/>
                      </m:rPr>
                      <m:t>t</m:t>
                    </m:r>
                  </m:sup>
                </m:sSup>
              </m:e>
            </m:d>
          </m:num>
          <m:den>
            <m:r>
              <m:rPr>
                <m:sty m:val="p"/>
              </m:rPr>
              <m:t>V</m:t>
            </m:r>
            <m:r>
              <m:rPr>
                <m:sty m:val="p"/>
              </m:rPr>
              <m:t>a</m:t>
            </m:r>
            <m:r>
              <m:rPr>
                <m:sty m:val="p"/>
              </m:rPr>
              <m:t>r</m:t>
            </m:r>
            <m:d>
              <m:dPr>
                <m:begChr m:val="("/>
                <m:sepChr m:val=""/>
                <m:endChr m:val=")"/>
                <m:grow/>
              </m:dPr>
              <m:e>
                <m:sSup>
                  <m:e>
                    <m:r>
                      <m:t>P</m:t>
                    </m:r>
                  </m:e>
                  <m:sup>
                    <m:r>
                      <m:rPr>
                        <m:sty m:val="p"/>
                      </m:rPr>
                      <m:t>f</m:t>
                    </m:r>
                    <m:r>
                      <m:rPr>
                        <m:sty m:val="p"/>
                      </m:rPr>
                      <m:t>u</m:t>
                    </m:r>
                    <m:r>
                      <m:rPr>
                        <m:sty m:val="p"/>
                      </m:rPr>
                      <m:t>t</m:t>
                    </m:r>
                  </m:sup>
                </m:sSup>
              </m:e>
            </m:d>
          </m:den>
        </m:f>
      </m:oMath>
      <w:r>
        <w:tab/>
      </w:r>
      <w:r>
        <w:t>(8.3)</w:t>
      </w:r>
    </w:p>
    <w:p>
      <w:pPr>
        <w:pStyle w:val="BodyText"/>
      </w:pPr>
      <m:oMath>
        <m:r>
          <m:t>G</m:t>
        </m:r>
      </m:oMath>
      <w:r>
        <w:t xml:space="preserve"> </w:t>
      </w:r>
      <w:r>
        <w:rPr>
          <w:rFonts w:hint="eastAsia"/>
        </w:rPr>
        <w:t xml:space="preserve">は北海道の月間の完全予見粗利、</w:t>
      </w:r>
      <m:oMath>
        <m:sSup>
          <m:e>
            <m:r>
              <m:t>P</m:t>
            </m:r>
          </m:e>
          <m:sup>
            <m:r>
              <m:rPr>
                <m:sty m:val="p"/>
              </m:rPr>
              <m:t>f</m:t>
            </m:r>
            <m:r>
              <m:rPr>
                <m:sty m:val="p"/>
              </m:rPr>
              <m:t>u</m:t>
            </m:r>
            <m:r>
              <m:rPr>
                <m:sty m:val="p"/>
              </m:rPr>
              <m:t>t</m:t>
            </m:r>
          </m:sup>
        </m:sSup>
      </m:oMath>
      <w:r>
        <w:t xml:space="preserve"> </w:t>
      </w:r>
      <w:r>
        <w:rPr>
          <w:rFonts w:hint="eastAsia"/>
        </w:rPr>
        <w:t xml:space="preserve">は先物の最終決済価格の代理としての東京エリアの月平均価格である（付録B.5.6）。</w:t>
      </w:r>
    </w:p>
    <w:bookmarkEnd w:id="212"/>
    <w:bookmarkEnd w:id="213"/>
    <w:bookmarkStart w:id="217" w:name="参入の事実と乖離の勘定"/>
    <w:p>
      <w:pPr>
        <w:pStyle w:val="Heading2"/>
      </w:pPr>
      <w:r>
        <w:t xml:space="preserve">8.2　</w:t>
      </w:r>
      <w:r>
        <w:rPr>
          <w:rFonts w:hint="eastAsia"/>
        </w:rPr>
        <w:t xml:space="preserve">参入の事実と乖離の勘定</w:t>
      </w:r>
    </w:p>
    <w:p>
      <w:pPr>
        <w:pStyle w:val="FirstParagraph"/>
      </w:pPr>
      <w:r>
        <w:rPr>
          <w:rFonts w:hint="eastAsia"/>
        </w:rPr>
        <w:t xml:space="preserve">北海道エリアの系統接続済み蓄電池は約20万kW、契約申込は約234万kW、接続検討は約823万kW</w:t>
      </w:r>
      <w:r>
        <w:t xml:space="preserve"> </w:t>
      </w:r>
      <w:r>
        <w:rPr>
          <w:rFonts w:hint="eastAsia"/>
        </w:rPr>
        <w:t xml:space="preserve">である（2026年5月末。北海道電力ネットワーク，2026。3.5.2項）。契約申込は、限界参入者のスポット収益がゼロになる容量（実績整合ケースで約72万kW。7.4節）すら大きく超えており、スポット裁定と容量収入だけでは説明できない。表8.1</w:t>
      </w:r>
      <w:r>
        <w:t xml:space="preserve"> </w:t>
      </w:r>
      <w:r>
        <w:rPr>
          <w:rFonts w:hint="eastAsia"/>
        </w:rPr>
        <w:t xml:space="preserve">と図8.1</w:t>
      </w:r>
      <w:r>
        <w:t xml:space="preserve"> </w:t>
      </w:r>
      <w:r>
        <w:rPr>
          <w:rFonts w:hint="eastAsia"/>
        </w:rPr>
        <w:t xml:space="preserve">は、接続済みと契約申込の合計254万kW</w:t>
      </w:r>
      <w:r>
        <w:t xml:space="preserve"> </w:t>
      </w:r>
      <w:r>
        <w:rPr>
          <w:rFonts w:hint="eastAsia"/>
        </w:rPr>
        <w:t xml:space="preserve">についての乖離の勘定である。</w:t>
      </w:r>
    </w:p>
    <w:p>
      <w:pPr>
        <w:pStyle w:val="TableCaption"/>
      </w:pPr>
      <w:r>
        <w:rPr>
          <w:rFonts w:hint="eastAsia"/>
        </w:rPr>
        <w:t xml:space="preserve">表8.1</w:t>
      </w:r>
      <w:r>
        <w:t xml:space="preserve">　</w:t>
      </w:r>
      <w:r>
        <w:rPr>
          <w:rFonts w:hint="eastAsia"/>
        </w:rPr>
        <w:t xml:space="preserve">乖離の勘定（北海道の系統用蓄電池、2026年5月末）</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8.1　乖離の勘定（北海道の系統用蓄電池、2026年5月末）"/>
      </w:tblPr>
      <w:tblGrid>
        <w:gridCol w:w="1188"/>
        <w:gridCol w:w="1188"/>
        <w:gridCol w:w="1584"/>
        <w:gridCol w:w="1584"/>
        <w:gridCol w:w="1188"/>
        <w:gridCol w:w="1188"/>
      </w:tblGrid>
      <w:tr>
        <w:trPr>
          <w:tblHeader w:val="on"/>
        </w:trPr>
        <w:tc>
          <w:tcPr>
            <w:tcBorders>
              <w:bottom w:val="single" w:sz="6" w:color="000000"/>
            </w:tcBorders>
          </w:tcPr>
          <w:p>
            <w:pPr>
              <w:pStyle w:val="Compact"/>
            </w:pPr>
            <w:r>
              <w:rPr>
                <w:rFonts w:hint="eastAsia"/>
                <w:sz w:val="18"/>
              </w:rPr>
              <w:t xml:space="preserve">属性</w:t>
            </w:r>
          </w:p>
        </w:tc>
        <w:tc>
          <w:tcPr>
            <w:tcBorders>
              <w:bottom w:val="single" w:sz="6" w:color="000000"/>
            </w:tcBorders>
          </w:tcPr>
          <w:p>
            <w:pPr>
              <w:pStyle w:val="Compact"/>
            </w:pPr>
            <w:r>
              <w:rPr>
                <w:rFonts w:hint="eastAsia"/>
                <w:sz w:val="18"/>
              </w:rPr>
              <w:t xml:space="preserve">段階</w:t>
            </w:r>
          </w:p>
        </w:tc>
        <w:tc>
          <w:tcPr>
            <w:tcBorders>
              <w:bottom w:val="single" w:sz="6" w:color="000000"/>
            </w:tcBorders>
          </w:tcPr>
          <w:p>
            <w:pPr>
              <w:pStyle w:val="Compact"/>
              <w:jc w:val="right"/>
            </w:pPr>
            <w:r>
              <w:rPr>
                <w:rFonts w:hint="eastAsia"/>
                <w:sz w:val="18"/>
              </w:rPr>
              <w:t xml:space="preserve">容量（万kW）</w:t>
            </w:r>
          </w:p>
        </w:tc>
        <w:tc>
          <w:tcPr>
            <w:tcBorders>
              <w:bottom w:val="single" w:sz="6" w:color="000000"/>
            </w:tcBorders>
          </w:tcPr>
          <w:p>
            <w:pPr>
              <w:pStyle w:val="Compact"/>
              <w:jc w:val="right"/>
            </w:pPr>
            <w:r>
              <w:rPr>
                <w:rFonts w:hint="eastAsia"/>
                <w:sz w:val="18"/>
              </w:rPr>
              <w:t xml:space="preserve">割合</w:t>
            </w:r>
          </w:p>
        </w:tc>
        <w:tc>
          <w:tcPr>
            <w:tcBorders>
              <w:bottom w:val="single" w:sz="6" w:color="000000"/>
            </w:tcBorders>
          </w:tcPr>
          <w:p>
            <w:pPr>
              <w:pStyle w:val="Compact"/>
            </w:pPr>
            <w:r>
              <w:rPr>
                <w:rFonts w:hint="eastAsia"/>
                <w:sz w:val="18"/>
              </w:rPr>
              <w:t xml:space="preserve">APV（万円/kW）：</w:t>
            </w:r>
            <m:oMath>
              <m:r>
                <m:t>θ</m:t>
              </m:r>
            </m:oMath>
            <w:r>
              <w:rPr>
                <w:rFonts w:hint="eastAsia"/>
                <w:sz w:val="18"/>
              </w:rPr>
              <w:t xml:space="preserve">=1／FY2026上期</w:t>
            </w:r>
          </w:p>
        </w:tc>
        <w:tc>
          <w:tcPr>
            <w:tcBorders>
              <w:bottom w:val="single" w:sz="6" w:color="000000"/>
            </w:tcBorders>
          </w:tcPr>
          <w:p>
            <w:pPr>
              <w:pStyle w:val="Compact"/>
            </w:pPr>
            <w:r>
              <w:rPr>
                <w:rFonts w:hint="eastAsia"/>
                <w:sz w:val="18"/>
              </w:rPr>
              <w:t xml:space="preserve">分類</w:t>
            </w:r>
          </w:p>
        </w:tc>
      </w:tr>
      <w:tr>
        <w:tc>
          <w:tcPr/>
          <w:p>
            <w:pPr>
              <w:pStyle w:val="Compact"/>
            </w:pPr>
            <w:r>
              <w:rPr>
                <w:rFonts w:hint="eastAsia"/>
                <w:sz w:val="18"/>
              </w:rPr>
              <w:t xml:space="preserve">LTDA（北海道の落札蓄電池）</w:t>
            </w:r>
          </w:p>
        </w:tc>
        <w:tc>
          <w:tcPr/>
          <w:p>
            <w:pPr>
              <w:pStyle w:val="Compact"/>
            </w:pPr>
            <w:r>
              <w:rPr>
                <w:rFonts w:hint="eastAsia"/>
                <w:sz w:val="18"/>
              </w:rPr>
              <w:t xml:space="preserve">契約申込</w:t>
            </w:r>
          </w:p>
        </w:tc>
        <w:tc>
          <w:tcPr/>
          <w:p>
            <w:pPr>
              <w:pStyle w:val="Compact"/>
              <w:jc w:val="right"/>
            </w:pPr>
            <w:r>
              <w:rPr>
                <w:sz w:val="18"/>
              </w:rPr>
              <w:t xml:space="preserve">56.8〜67.4</w:t>
            </w:r>
          </w:p>
        </w:tc>
        <w:tc>
          <w:tcPr/>
          <w:p>
            <w:pPr>
              <w:pStyle w:val="Compact"/>
              <w:jc w:val="right"/>
            </w:pPr>
            <w:r>
              <w:rPr>
                <w:sz w:val="18"/>
              </w:rPr>
              <w:t xml:space="preserve">22〜27%</w:t>
            </w:r>
          </w:p>
        </w:tc>
        <w:tc>
          <w:tcPr/>
          <w:p>
            <w:pPr>
              <w:pStyle w:val="Compact"/>
            </w:pPr>
            <w:r>
              <w:rPr>
                <w:rFonts w:hint="eastAsia"/>
                <w:sz w:val="18"/>
              </w:rPr>
              <w:t xml:space="preserve">+4.8〜+44.6（6時間）</w:t>
            </w:r>
          </w:p>
        </w:tc>
        <w:tc>
          <w:tcPr/>
          <w:p>
            <w:pPr>
              <w:pStyle w:val="Compact"/>
            </w:pPr>
            <w:r>
              <w:rPr>
                <w:rFonts w:hint="eastAsia"/>
                <w:sz w:val="18"/>
              </w:rPr>
              <w:t xml:space="preserve">市場外収入で</w:t>
            </w:r>
            <w:r>
              <w:rPr>
                <w:sz w:val="18"/>
              </w:rPr>
              <w:t xml:space="preserve"> APV </w:t>
            </w:r>
            <w:r>
              <w:rPr>
                <w:rFonts w:hint="eastAsia"/>
                <w:sz w:val="18"/>
              </w:rPr>
              <w:t xml:space="preserve">が正</w:t>
            </w:r>
          </w:p>
        </w:tc>
      </w:tr>
      <w:tr>
        <w:tc>
          <w:tcPr/>
          <w:p>
            <w:pPr>
              <w:pStyle w:val="Compact"/>
            </w:pPr>
            <w:r>
              <w:rPr>
                <w:rFonts w:hint="eastAsia"/>
                <w:sz w:val="18"/>
              </w:rPr>
              <w:t xml:space="preserve">補助（SII、北海道12件）</w:t>
            </w:r>
          </w:p>
        </w:tc>
        <w:tc>
          <w:tcPr/>
          <w:p>
            <w:pPr>
              <w:pStyle w:val="Compact"/>
            </w:pPr>
            <w:r>
              <w:rPr>
                <w:rFonts w:hint="eastAsia"/>
                <w:sz w:val="18"/>
              </w:rPr>
              <w:t xml:space="preserve">不明</w:t>
            </w:r>
          </w:p>
        </w:tc>
        <w:tc>
          <w:tcPr/>
          <w:p>
            <w:pPr>
              <w:pStyle w:val="Compact"/>
              <w:jc w:val="right"/>
            </w:pPr>
            <w:r>
              <w:rPr>
                <w:sz w:val="18"/>
              </w:rPr>
              <w:t xml:space="preserve">14.7〜26.9</w:t>
            </w:r>
          </w:p>
        </w:tc>
        <w:tc>
          <w:tcPr/>
          <w:p>
            <w:pPr>
              <w:pStyle w:val="Compact"/>
              <w:jc w:val="right"/>
            </w:pPr>
            <w:r>
              <w:rPr>
                <w:sz w:val="18"/>
              </w:rPr>
              <w:t xml:space="preserve">6〜11%</w:t>
            </w:r>
          </w:p>
        </w:tc>
        <w:tc>
          <w:tcPr/>
          <w:p>
            <w:pPr>
              <w:pStyle w:val="Compact"/>
            </w:pPr>
            <w:r>
              <w:rPr>
                <w:rFonts w:hint="eastAsia"/>
                <w:sz w:val="18"/>
              </w:rPr>
              <w:t xml:space="preserve">−7.2／−2.9（4時間）</w:t>
            </w:r>
          </w:p>
        </w:tc>
        <w:tc>
          <w:tcPr/>
          <w:p>
            <w:pPr>
              <w:pStyle w:val="Compact"/>
            </w:pPr>
            <w:r>
              <w:rPr>
                <w:sz w:val="18"/>
              </w:rPr>
              <w:t xml:space="preserve">APV </w:t>
            </w:r>
            <w:r>
              <w:rPr>
                <w:rFonts w:hint="eastAsia"/>
                <w:sz w:val="18"/>
              </w:rPr>
              <w:t xml:space="preserve">が負のまま参入</w:t>
            </w:r>
          </w:p>
        </w:tc>
      </w:tr>
      <w:tr>
        <w:tc>
          <w:tcPr/>
          <w:p>
            <w:pPr>
              <w:pStyle w:val="Compact"/>
            </w:pPr>
            <w:r>
              <w:rPr>
                <w:rFonts w:hint="eastAsia"/>
                <w:sz w:val="18"/>
              </w:rPr>
              <w:t xml:space="preserve">マーチャント（Helios）</w:t>
            </w:r>
          </w:p>
        </w:tc>
        <w:tc>
          <w:tcPr/>
          <w:p>
            <w:pPr>
              <w:pStyle w:val="Compact"/>
            </w:pPr>
            <w:r>
              <w:rPr>
                <w:rFonts w:hint="eastAsia"/>
                <w:sz w:val="18"/>
              </w:rPr>
              <w:t xml:space="preserve">接続済み</w:t>
            </w:r>
          </w:p>
        </w:tc>
        <w:tc>
          <w:tcPr/>
          <w:p>
            <w:pPr>
              <w:pStyle w:val="Compact"/>
              <w:jc w:val="right"/>
            </w:pPr>
            <w:r>
              <w:rPr>
                <w:sz w:val="18"/>
              </w:rPr>
              <w:t xml:space="preserve">5.0</w:t>
            </w:r>
          </w:p>
        </w:tc>
        <w:tc>
          <w:tcPr/>
          <w:p>
            <w:pPr>
              <w:pStyle w:val="Compact"/>
              <w:jc w:val="right"/>
            </w:pPr>
            <w:r>
              <w:rPr>
                <w:sz w:val="18"/>
              </w:rPr>
              <w:t xml:space="preserve">2%</w:t>
            </w:r>
          </w:p>
        </w:tc>
        <w:tc>
          <w:tcPr/>
          <w:p>
            <w:pPr>
              <w:pStyle w:val="Compact"/>
            </w:pPr>
            <w:r>
              <w:rPr>
                <w:rFonts w:hint="eastAsia"/>
                <w:sz w:val="18"/>
              </w:rPr>
              <w:t xml:space="preserve">−20.9／−18.3（2時間）</w:t>
            </w:r>
          </w:p>
        </w:tc>
        <w:tc>
          <w:tcPr/>
          <w:p>
            <w:pPr>
              <w:pStyle w:val="Compact"/>
            </w:pPr>
            <w:r>
              <w:rPr>
                <w:sz w:val="18"/>
              </w:rPr>
              <w:t xml:space="preserve">APV </w:t>
            </w:r>
            <w:r>
              <w:rPr>
                <w:rFonts w:hint="eastAsia"/>
                <w:sz w:val="18"/>
              </w:rPr>
              <w:t xml:space="preserve">が負のまま参入</w:t>
            </w:r>
          </w:p>
        </w:tc>
      </w:tr>
      <w:tr>
        <w:tc>
          <w:tcPr/>
          <w:p>
            <w:pPr>
              <w:pStyle w:val="Compact"/>
            </w:pPr>
            <w:r>
              <w:rPr>
                <w:rFonts w:hint="eastAsia"/>
                <w:sz w:val="18"/>
              </w:rPr>
              <w:t xml:space="preserve">併設</w:t>
            </w:r>
          </w:p>
        </w:tc>
        <w:tc>
          <w:tcPr/>
          <w:p>
            <w:pPr>
              <w:pStyle w:val="Compact"/>
            </w:pPr>
            <w:r>
              <w:rPr>
                <w:rFonts w:hint="eastAsia"/>
                <w:sz w:val="18"/>
              </w:rPr>
              <w:t xml:space="preserve">系統用の統計の外</w:t>
            </w:r>
          </w:p>
        </w:tc>
        <w:tc>
          <w:tcPr/>
          <w:p>
            <w:pPr>
              <w:pStyle w:val="Compact"/>
              <w:jc w:val="right"/>
            </w:pPr>
            <w:r>
              <w:rPr>
                <w:sz w:val="18"/>
              </w:rPr>
              <w:t xml:space="preserve">0</w:t>
            </w:r>
          </w:p>
        </w:tc>
        <w:tc>
          <w:tcPr/>
          <w:p>
            <w:pPr>
              <w:pStyle w:val="Compact"/>
              <w:jc w:val="right"/>
            </w:pPr>
            <w:r>
              <w:rPr>
                <w:sz w:val="18"/>
              </w:rPr>
              <w:t xml:space="preserve">0%</w:t>
            </w:r>
          </w:p>
        </w:tc>
        <w:tc>
          <w:tcPr/>
          <w:p>
            <w:pPr>
              <w:pStyle w:val="Compact"/>
            </w:pPr>
            <w:r>
              <w:rPr>
                <w:sz w:val="18"/>
              </w:rPr>
              <w:t xml:space="preserve">—</w:t>
            </w:r>
          </w:p>
        </w:tc>
        <w:tc>
          <w:tcPr/>
          <w:p>
            <w:pPr>
              <w:pStyle w:val="Compact"/>
            </w:pPr>
            <w:r>
              <w:rPr>
                <w:rFonts w:hint="eastAsia"/>
                <w:sz w:val="18"/>
              </w:rPr>
              <w:t xml:space="preserve">対象外</w:t>
            </w:r>
          </w:p>
        </w:tc>
      </w:tr>
      <w:tr>
        <w:tc>
          <w:tcPr/>
          <w:p>
            <w:pPr>
              <w:pStyle w:val="Compact"/>
            </w:pPr>
            <w:r>
              <w:rPr>
                <w:rFonts w:hint="eastAsia"/>
                <w:sz w:val="18"/>
              </w:rPr>
              <w:t xml:space="preserve">不明</w:t>
            </w:r>
          </w:p>
        </w:tc>
        <w:tc>
          <w:tcPr/>
          <w:p>
            <w:pPr>
              <w:pStyle w:val="Compact"/>
            </w:pPr>
            <w:r>
              <w:rPr>
                <w:rFonts w:hint="eastAsia"/>
                <w:sz w:val="18"/>
              </w:rPr>
              <w:t xml:space="preserve">接続済み約15＋契約申込の残り</w:t>
            </w:r>
          </w:p>
        </w:tc>
        <w:tc>
          <w:tcPr/>
          <w:p>
            <w:pPr>
              <w:pStyle w:val="Compact"/>
              <w:jc w:val="right"/>
            </w:pPr>
            <w:r>
              <w:rPr>
                <w:sz w:val="18"/>
              </w:rPr>
              <w:t xml:space="preserve">154.6〜177.5</w:t>
            </w:r>
          </w:p>
        </w:tc>
        <w:tc>
          <w:tcPr/>
          <w:p>
            <w:pPr>
              <w:pStyle w:val="Compact"/>
              <w:jc w:val="right"/>
            </w:pPr>
            <w:r>
              <w:rPr>
                <w:sz w:val="18"/>
              </w:rPr>
              <w:t xml:space="preserve">61〜70%</w:t>
            </w:r>
          </w:p>
        </w:tc>
        <w:tc>
          <w:tcPr/>
          <w:p>
            <w:pPr>
              <w:pStyle w:val="Compact"/>
            </w:pPr>
            <w:r>
              <w:rPr>
                <w:rFonts w:hint="eastAsia"/>
                <w:sz w:val="18"/>
              </w:rPr>
              <w:t xml:space="preserve">−20.8／−16.5（4時間とみなす）</w:t>
            </w:r>
          </w:p>
        </w:tc>
        <w:tc>
          <w:tcPr/>
          <w:p>
            <w:pPr>
              <w:pStyle w:val="Compact"/>
            </w:pPr>
            <w:r>
              <w:rPr>
                <w:rFonts w:hint="eastAsia"/>
                <w:sz w:val="18"/>
              </w:rPr>
              <w:t xml:space="preserve">属性不明</w:t>
            </w:r>
          </w:p>
        </w:tc>
      </w:tr>
      <w:tr>
        <w:tc>
          <w:tcPr/>
          <w:p>
            <w:pPr>
              <w:pStyle w:val="Compact"/>
            </w:pPr>
            <w:r>
              <w:rPr>
                <w:rFonts w:hint="eastAsia"/>
                <w:sz w:val="18"/>
              </w:rPr>
              <w:t xml:space="preserve">合計</w:t>
            </w:r>
          </w:p>
        </w:tc>
        <w:tc>
          <w:tcPr/>
          <w:p>
            <w:pPr>
              <w:pStyle w:val="Compact"/>
            </w:pPr>
            <w:r>
              <w:rPr>
                <w:rFonts w:hint="eastAsia"/>
                <w:sz w:val="18"/>
              </w:rPr>
              <w:t xml:space="preserve">接続済み20＋契約申込234</w:t>
            </w:r>
          </w:p>
        </w:tc>
        <w:tc>
          <w:tcPr/>
          <w:p>
            <w:pPr>
              <w:pStyle w:val="Compact"/>
              <w:jc w:val="right"/>
            </w:pPr>
            <w:r>
              <w:rPr>
                <w:sz w:val="18"/>
              </w:rPr>
              <w:t xml:space="preserve">254</w:t>
            </w:r>
          </w:p>
        </w:tc>
        <w:tc>
          <w:tcPr/>
          <w:p>
            <w:pPr>
              <w:pStyle w:val="Compact"/>
              <w:jc w:val="right"/>
            </w:pPr>
            <w:r>
              <w:rPr>
                <w:sz w:val="18"/>
              </w:rPr>
              <w:t xml:space="preserve">100%</w:t>
            </w:r>
          </w:p>
        </w:tc>
        <w:tc>
          <w:tcPr/>
          <w:p>
            <w:pPr>
              <w:pStyle w:val="Compact"/>
            </w:pPr>
          </w:p>
        </w:tc>
        <w:tc>
          <w:tcPr/>
          <w:p>
            <w:pPr>
              <w:pStyle w:val="Compact"/>
            </w:pPr>
          </w:p>
        </w:tc>
      </w:tr>
    </w:tbl>
    <w:p>
      <w:pPr>
        <w:pStyle w:val="TableNote"/>
      </w:pPr>
      <w:r>
        <w:rPr>
          <w:rFonts w:hint="eastAsia"/>
        </w:rPr>
        <w:t xml:space="preserve">注）APV</w:t>
      </w:r>
      <w:r>
        <w:t xml:space="preserve"> は</w:t>
      </w:r>
      <w:r>
        <w:t xml:space="preserve"> </w:t>
      </w:r>
      <m:oMath>
        <m:sSubSup>
          <m:e>
            <m:r>
              <m:t>r</m:t>
            </m:r>
          </m:e>
          <m:sub>
            <m:r>
              <m:t>A</m:t>
            </m:r>
          </m:sub>
          <m:sup>
            <m:r>
              <m:t>M</m:t>
            </m:r>
          </m:sup>
        </m:sSubSup>
        <m:r>
          <m:rPr>
            <m:sty m:val="p"/>
          </m:rPr>
          <m:t>=</m:t>
        </m:r>
        <m:r>
          <m:t>9</m:t>
        </m:r>
        <m:r>
          <m:rPr>
            <m:sty m:val="p"/>
          </m:rPr>
          <m:t>%</m:t>
        </m:r>
      </m:oMath>
      <w:r>
        <w:rPr>
          <w:rFonts w:hint="eastAsia"/>
        </w:rPr>
        <w:t xml:space="preserve">・実績整合ケースで、LTDA</w:t>
      </w:r>
      <w:r>
        <w:t xml:space="preserve"> </w:t>
      </w:r>
      <w:r>
        <w:rPr>
          <w:rFonts w:hint="eastAsia"/>
        </w:rPr>
        <w:t xml:space="preserve">の固定収入は</w:t>
      </w:r>
      <w:r>
        <w:t xml:space="preserve"> </w:t>
      </w:r>
      <m:oMath>
        <m:sSub>
          <m:e>
            <m:r>
              <m:t>r</m:t>
            </m:r>
          </m:e>
          <m:sub>
            <m:r>
              <m:t>C</m:t>
            </m:r>
          </m:sub>
        </m:sSub>
        <m:r>
          <m:rPr>
            <m:sty m:val="p"/>
          </m:rPr>
          <m:t>=</m:t>
        </m:r>
        <m:r>
          <m:t>5</m:t>
        </m:r>
        <m:r>
          <m:rPr>
            <m:sty m:val="p"/>
          </m:rPr>
          <m:t>%</m:t>
        </m:r>
      </m:oMath>
      <w:r>
        <w:t xml:space="preserve"> </w:t>
      </w:r>
      <w:r>
        <w:rPr>
          <w:rFonts w:hint="eastAsia"/>
        </w:rPr>
        <w:t xml:space="preserve">で割り引く（幅は上限価格・積み上げ価格と契約容量の定義による。上限7.2万円・期待容量で+32.0万円）。補助は1/2補助（上限なし）と容量収入1.25万円、Helios</w:t>
      </w:r>
      <w:r>
        <w:t xml:space="preserve"> </w:t>
      </w:r>
      <w:r>
        <w:rPr>
          <w:rFonts w:hint="eastAsia"/>
        </w:rPr>
        <w:t xml:space="preserve">は容量収入・補助なし。LTDA</w:t>
      </w:r>
      <w:r>
        <w:t xml:space="preserve"> </w:t>
      </w:r>
      <w:r>
        <w:rPr>
          <w:rFonts w:hint="eastAsia"/>
        </w:rPr>
        <w:t xml:space="preserve">は落札容量で数え、契約申込に含まれると仮定した（設備容量換算では66.4〜77.8万kW、26〜31%）。SII</w:t>
      </w:r>
      <w:r>
        <w:t xml:space="preserve"> の kW </w:t>
      </w:r>
      <w:r>
        <w:rPr>
          <w:rFonts w:hint="eastAsia"/>
        </w:rPr>
        <w:t xml:space="preserve">は補助額からの推定。LTDA・SII</w:t>
      </w:r>
      <w:r>
        <w:t xml:space="preserve"> </w:t>
      </w:r>
      <w:r>
        <w:rPr>
          <w:rFonts w:hint="eastAsia"/>
        </w:rPr>
        <w:t xml:space="preserve">の案件が接続済みに含まれるか、両者の事業者が重なるかは公表資料から特定できない。併設の北豊富（24万kW）は系統用の統計に含まれない。</w:t>
      </w:r>
    </w:p>
    <w:p>
      <w:pPr>
        <w:pStyle w:val="TableNote"/>
      </w:pPr>
      <w:r>
        <w:rPr>
          <w:rFonts w:hint="eastAsia"/>
        </w:rPr>
        <w:t xml:space="preserve">出所）電力広域的運営推進機関『長期脱炭素電源オークション約定結果』、環境共創イニシアチブ『交付決定について』、事業者の公表資料より筆者作成。接続済み・契約申込の容量は北海道電力ネットワーク『発電等設備の受付状況に関する情報・出力制御区分の内訳』による。</w:t>
      </w:r>
    </w:p>
    <w:p>
      <w:pPr>
        <w:pStyle w:val="BodyText"/>
      </w:pPr>
      <w:r>
        <w:rPr>
          <w:rFonts w:hint="eastAsia"/>
        </w:rPr>
        <w:t xml:space="preserve">属性を帰属できる</w:t>
      </w:r>
      <w:r>
        <w:t xml:space="preserve"> kW </w:t>
      </w:r>
      <w:r>
        <w:rPr>
          <w:rFonts w:hint="eastAsia"/>
        </w:rPr>
        <w:t xml:space="preserve">は落札容量で30〜39%（設備容量換算で34〜43%）にとどまり、そのうち市場外収入で</w:t>
      </w:r>
      <w:r>
        <w:t xml:space="preserve"> APV </w:t>
      </w:r>
      <w:r>
        <w:rPr>
          <w:rFonts w:hint="eastAsia"/>
        </w:rPr>
        <w:t xml:space="preserve">が正になるのは</w:t>
      </w:r>
      <w:r>
        <w:t xml:space="preserve"> LTDA </w:t>
      </w:r>
      <w:r>
        <w:rPr>
          <w:rFonts w:hint="eastAsia"/>
        </w:rPr>
        <w:t xml:space="preserve">の分だけである。補助と</w:t>
      </w:r>
      <w:r>
        <w:t xml:space="preserve"> Helios </w:t>
      </w:r>
      <w:r>
        <w:rPr>
          <w:rFonts w:hint="eastAsia"/>
        </w:rPr>
        <w:t xml:space="preserve">は、本研究の資本コスト（</w:t>
      </w:r>
      <m:oMath>
        <m:sSubSup>
          <m:e>
            <m:r>
              <m:t>r</m:t>
            </m:r>
          </m:e>
          <m:sub>
            <m:r>
              <m:t>A</m:t>
            </m:r>
          </m:sub>
          <m:sup>
            <m:r>
              <m:t>M</m:t>
            </m:r>
          </m:sup>
        </m:sSubSup>
        <m:r>
          <m:rPr>
            <m:sty m:val="p"/>
          </m:rPr>
          <m:t>=</m:t>
        </m:r>
        <m:r>
          <m:t>9</m:t>
        </m:r>
        <m:r>
          <m:rPr>
            <m:sty m:val="p"/>
          </m:rPr>
          <m:t>%</m:t>
        </m:r>
      </m:oMath>
      <w:r>
        <w:rPr>
          <w:rFonts w:hint="eastAsia"/>
        </w:rPr>
        <w:t xml:space="preserve">）で評価した</w:t>
      </w:r>
      <w:r>
        <w:t xml:space="preserve"> APV </w:t>
      </w:r>
      <w:r>
        <w:rPr>
          <w:rFonts w:hint="eastAsia"/>
        </w:rPr>
        <w:t xml:space="preserve">が負のまま参入を決めた（交付決定・運開）ことが確認できる。</w:t>
      </w:r>
    </w:p>
    <w:p>
      <w:pPr>
        <w:pStyle w:val="BodyText"/>
      </w:pPr>
      <w:r>
        <w:rPr>
          <w:rFonts w:hint="eastAsia"/>
        </w:rPr>
        <w:t xml:space="preserve">不明の</w:t>
      </w:r>
      <w:r>
        <w:t xml:space="preserve"> kW </w:t>
      </w:r>
      <w:r>
        <w:rPr>
          <w:rFonts w:hint="eastAsia"/>
        </w:rPr>
        <w:t xml:space="preserve">がすべてマーチャントの4時間蓄電池として建設されるなら、計測していない成分（需給調整市場の移行期レント、見通しの違い、接続枠の待機価値）が1kWあたり約21万円（年額約2.3万円）、総額で約3,200〜3,700億円（年約350〜410億円）を埋めなければならない（割引率と価格水準を変えた値は8.8節）。kW</w:t>
      </w:r>
      <w:r>
        <w:t xml:space="preserve"> </w:t>
      </w:r>
      <w:r>
        <w:rPr>
          <w:rFonts w:hint="eastAsia"/>
        </w:rPr>
        <w:t xml:space="preserve">は全量が建設される場合の上限であるが、全量が建設されれば</w:t>
      </w:r>
      <w:r>
        <w:t xml:space="preserve"> </w:t>
      </w:r>
      <m:oMath>
        <m:r>
          <m:t>π</m:t>
        </m:r>
        <m:r>
          <m:rPr>
            <m:sty m:val="p"/>
          </m:rPr>
          <m:t>(</m:t>
        </m:r>
        <m:r>
          <m:t>K</m:t>
        </m:r>
        <m:r>
          <m:rPr>
            <m:sty m:val="p"/>
          </m:rPr>
          <m:t>)</m:t>
        </m:r>
      </m:oMath>
      <w:r>
        <w:t xml:space="preserve"> </w:t>
      </w:r>
      <w:r>
        <w:rPr>
          <w:rFonts w:hint="eastAsia"/>
        </w:rPr>
        <w:t xml:space="preserve">と容量価格が下がって1kWあたりの不足はさらに大きくなるので（</w:t>
      </w:r>
      <m:oMath>
        <m:r>
          <m:t>π</m:t>
        </m:r>
      </m:oMath>
      <w:r>
        <w:t xml:space="preserve"> </w:t>
      </w:r>
      <w:r>
        <w:t xml:space="preserve">は</w:t>
      </w:r>
      <w:r>
        <w:t xml:space="preserve"> </w:t>
      </w:r>
      <m:oMath>
        <m:r>
          <m:t>K</m:t>
        </m:r>
        <m:r>
          <m:rPr>
            <m:sty m:val="p"/>
          </m:rPr>
          <m:t>=</m:t>
        </m:r>
        <m:r>
          <m:t>100</m:t>
        </m:r>
      </m:oMath>
      <w:r>
        <w:t xml:space="preserve"> </w:t>
      </w:r>
      <w:r>
        <w:rPr>
          <w:rFonts w:hint="eastAsia"/>
        </w:rPr>
        <w:t xml:space="preserve">万kW</w:t>
      </w:r>
      <w:r>
        <w:t xml:space="preserve"> </w:t>
      </w:r>
      <w:r>
        <w:rPr>
          <w:rFonts w:hint="eastAsia"/>
        </w:rPr>
        <w:t xml:space="preserve">で−1,202円/kW-年）、この総額は上限でも下限でもなく、規模の目安である。</w:t>
      </w:r>
    </w:p>
    <w:p>
      <w:pPr>
        <w:pStyle w:val="CaptionedFigure"/>
      </w:pPr>
      <w:r>
        <w:drawing>
          <wp:inline>
            <wp:extent cx="5399999" cy="4957377"/>
            <wp:effectExtent b="0" l="0" r="0" t="0"/>
            <wp:docPr descr="図8.1　乖離の勘定と属性別の調整現在価値" title="" id="215" name="Picture"/>
            <a:graphic>
              <a:graphicData uri="http://schemas.openxmlformats.org/drawingml/2006/picture">
                <pic:pic>
                  <pic:nvPicPr>
                    <pic:cNvPr descr="../figures/hokkaido/gap_ledger.png" id="216" name="Picture"/>
                    <pic:cNvPicPr>
                      <a:picLocks noChangeArrowheads="1" noChangeAspect="1"/>
                    </pic:cNvPicPr>
                  </pic:nvPicPr>
                  <pic:blipFill>
                    <a:blip r:embed="rId214"/>
                    <a:stretch>
                      <a:fillRect/>
                    </a:stretch>
                  </pic:blipFill>
                  <pic:spPr bwMode="auto">
                    <a:xfrm>
                      <a:off x="0" y="0"/>
                      <a:ext cx="5399999" cy="4957377"/>
                    </a:xfrm>
                    <a:prstGeom prst="rect">
                      <a:avLst/>
                    </a:prstGeom>
                    <a:noFill/>
                    <a:ln w="9525">
                      <a:noFill/>
                      <a:headEnd/>
                      <a:tailEnd/>
                    </a:ln>
                  </pic:spPr>
                </pic:pic>
              </a:graphicData>
            </a:graphic>
          </wp:inline>
        </w:drawing>
      </w:r>
    </w:p>
    <w:p>
      <w:pPr>
        <w:pStyle w:val="ImageCaption"/>
      </w:pPr>
      <w:r>
        <w:rPr>
          <w:rFonts w:hint="eastAsia"/>
        </w:rPr>
        <w:t xml:space="preserve">図8.1</w:t>
      </w:r>
      <w:r>
        <w:t xml:space="preserve">　</w:t>
      </w:r>
      <w:r>
        <w:rPr>
          <w:rFonts w:hint="eastAsia"/>
        </w:rPr>
        <w:t xml:space="preserve">乖離の勘定と属性別の調整現在価値</w:t>
      </w:r>
    </w:p>
    <w:p>
      <w:pPr>
        <w:pStyle w:val="TableNote"/>
      </w:pPr>
      <w:r>
        <w:rPr>
          <w:rFonts w:hint="eastAsia"/>
        </w:rPr>
        <w:t xml:space="preserve">注）(a)</w:t>
      </w:r>
      <w:r>
        <w:t xml:space="preserve"> </w:t>
      </w:r>
      <w:r>
        <w:rPr>
          <w:rFonts w:hint="eastAsia"/>
        </w:rPr>
        <w:t xml:space="preserve">は段階別・属性別の容量（LTDA</w:t>
      </w:r>
      <w:r>
        <w:t xml:space="preserve"> と SII </w:t>
      </w:r>
      <w:r>
        <w:rPr>
          <w:rFonts w:hint="eastAsia"/>
        </w:rPr>
        <w:t xml:space="preserve">は推定の幅の中央値）、(b)</w:t>
      </w:r>
      <w:r>
        <w:t xml:space="preserve"> </w:t>
      </w:r>
      <w:r>
        <w:rPr>
          <w:rFonts w:hint="eastAsia"/>
        </w:rPr>
        <w:t xml:space="preserve">は属性別の</w:t>
      </w:r>
      <w:r>
        <w:t xml:space="preserve"> </w:t>
      </w:r>
      <w:r>
        <w:rPr>
          <w:rFonts w:hint="eastAsia"/>
        </w:rPr>
        <w:t xml:space="preserve">APV（</w:t>
      </w:r>
      <m:oMath>
        <m:sSubSup>
          <m:e>
            <m:r>
              <m:t>r</m:t>
            </m:r>
          </m:e>
          <m:sub>
            <m:r>
              <m:t>A</m:t>
            </m:r>
          </m:sub>
          <m:sup>
            <m:r>
              <m:t>M</m:t>
            </m:r>
          </m:sup>
        </m:sSubSup>
        <m:r>
          <m:rPr>
            <m:sty m:val="p"/>
          </m:rPr>
          <m:t>=</m:t>
        </m:r>
        <m:r>
          <m:t>9</m:t>
        </m:r>
        <m:r>
          <m:rPr>
            <m:sty m:val="p"/>
          </m:rPr>
          <m:t>%</m:t>
        </m:r>
      </m:oMath>
      <w:r>
        <w:rPr>
          <w:rFonts w:hint="eastAsia"/>
        </w:rPr>
        <w:t xml:space="preserve">、実績整合ケース）。</w:t>
      </w:r>
    </w:p>
    <w:p>
      <w:pPr>
        <w:pStyle w:val="TableNote"/>
      </w:pPr>
      <w:r>
        <w:rPr>
          <w:rFonts w:hint="eastAsia"/>
        </w:rPr>
        <w:t xml:space="preserve">出所）表8.1</w:t>
      </w:r>
      <w:r>
        <w:t xml:space="preserve"> </w:t>
      </w:r>
      <w:r>
        <w:rPr>
          <w:rFonts w:hint="eastAsia"/>
        </w:rPr>
        <w:t xml:space="preserve">と同じ資料より筆者作成。</w:t>
      </w:r>
    </w:p>
    <w:bookmarkEnd w:id="217"/>
    <w:bookmarkStart w:id="223" w:name="市場外収入"/>
    <w:p>
      <w:pPr>
        <w:pStyle w:val="Heading2"/>
      </w:pPr>
      <w:r>
        <w:t xml:space="preserve">8.3　</w:t>
      </w:r>
      <w:r>
        <w:rPr>
          <w:rFonts w:hint="eastAsia"/>
        </w:rPr>
        <w:t xml:space="preserve">市場外収入</w:t>
      </w:r>
    </w:p>
    <w:bookmarkStart w:id="218" w:name="容量市場-1"/>
    <w:p>
      <w:pPr>
        <w:pStyle w:val="Heading3"/>
      </w:pPr>
      <w:r>
        <w:t xml:space="preserve">8.3.1　</w:t>
      </w:r>
      <w:r>
        <w:rPr>
          <w:rFonts w:hint="eastAsia"/>
        </w:rPr>
        <w:t xml:space="preserve">容量市場</w:t>
      </w:r>
    </w:p>
    <w:p>
      <w:pPr>
        <w:pStyle w:val="FirstParagraph"/>
      </w:pPr>
      <w:r>
        <w:rPr>
          <w:rFonts w:hint="eastAsia"/>
        </w:rPr>
        <w:t xml:space="preserve">北海道の容量市場の約定価格は上限近傍にあり、4時間蓄電池の実効収入約1.25万円/kW-年は2026〜29年度向けの4回の実効値（7,314〜12,517円/kW-年）の上端で、第7章の判定に織り込み済みである。容量市場だけでは乖離は埋まらない。2030年度向けには指標価格（Net</w:t>
      </w:r>
      <w:r>
        <w:t xml:space="preserve"> </w:t>
      </w:r>
      <w:r>
        <w:rPr>
          <w:rFonts w:hint="eastAsia"/>
        </w:rPr>
        <w:t xml:space="preserve">CONE）が約2倍になり（OCCTO,</w:t>
      </w:r>
      <w:r>
        <w:t xml:space="preserve"> </w:t>
      </w:r>
      <w:r>
        <w:rPr>
          <w:rFonts w:hint="eastAsia"/>
        </w:rPr>
        <w:t xml:space="preserve">2026c）、実効収入は約1.75万円（上限価格なら約2.6万円）まで上がりうるが、蓄電池の応札の急増（3.3.1項）は容量市場の側の共食いの始まりを示唆しており、この上振れは持続的とは限らない（7.6節）。</w:t>
      </w:r>
    </w:p>
    <w:bookmarkEnd w:id="218"/>
    <w:bookmarkStart w:id="220" w:name="長期脱炭素電源オークション-1"/>
    <w:p>
      <w:pPr>
        <w:pStyle w:val="Heading3"/>
      </w:pPr>
      <w:r>
        <w:t xml:space="preserve">8.3.2　</w:t>
      </w:r>
      <w:r>
        <w:rPr>
          <w:rFonts w:hint="eastAsia"/>
        </w:rPr>
        <w:t xml:space="preserve">長期脱炭素電源オークション</w:t>
      </w:r>
    </w:p>
    <w:p>
      <w:pPr>
        <w:pStyle w:val="FirstParagraph"/>
      </w:pPr>
      <w:r>
        <w:t xml:space="preserve">LTDA </w:t>
      </w:r>
      <w:r>
        <w:rPr>
          <w:rFonts w:hint="eastAsia"/>
        </w:rPr>
        <w:t xml:space="preserve">の北海道の落札蓄電池は約67.4万kW（別解では56.8万kW）と推定され（3.3.2項）、供給力の提供は2027年度以降なので、2026年5月末の接続済みとは時期が重ならない</w:t>
      </w:r>
      <w:r>
        <w:rPr>
          <w:rStyle w:val="FootnoteReference"/>
        </w:rPr>
        <w:footnoteReference w:id="219"/>
      </w:r>
      <w:r>
        <w:rPr>
          <w:rFonts w:hint="eastAsia"/>
        </w:rPr>
        <w:t xml:space="preserve">。他市場収益は平均して約9割が還付されるので（容量確保契約約款第28条）、LTDA</w:t>
      </w:r>
      <w:r>
        <w:t xml:space="preserve"> </w:t>
      </w:r>
      <w:r>
        <w:rPr>
          <w:rFonts w:hint="eastAsia"/>
        </w:rPr>
        <w:t xml:space="preserve">電源は市場収益に依存せずに建設される。蓄電池の上限価格は北海道で7.7万円/kW-年（第3回）、7.2万円（応札年度2026）であり（OCCTO,</w:t>
      </w:r>
      <w:r>
        <w:t xml:space="preserve"> 2025a, </w:t>
      </w:r>
      <w:r>
        <w:rPr>
          <w:rFonts w:hint="eastAsia"/>
        </w:rPr>
        <w:t xml:space="preserve">2026a）、期待容量で契約する6時間蓄電池（調整係数0.932）の設備1kWあたりの固定収入は上限価格の93.2%以下になるが、それでも参入必要収益（6時間に換算して、割引率4〜6%で約4.2〜4.8万円/kW-年）を大きく上回る。契約申込のうち</w:t>
      </w:r>
      <w:r>
        <w:t xml:space="preserve"> LTDA </w:t>
      </w:r>
      <w:r>
        <w:rPr>
          <w:rFonts w:hint="eastAsia"/>
        </w:rPr>
        <w:t xml:space="preserve">の落札分は、この市場外収入で説明される（付録C.4.1）。</w:t>
      </w:r>
    </w:p>
    <w:p>
      <w:pPr>
        <w:pStyle w:val="BodyText"/>
      </w:pPr>
      <w:r>
        <w:rPr>
          <w:rFonts w:hint="eastAsia"/>
        </w:rPr>
        <w:t xml:space="preserve">工藤（2025）は、蓄電池・揚水の応札が募集上限の3.4〜7倍に達していることを指摘している。これは、市場外収入が市場収益と独立に参入を作り出していることの傍証である。落札電源は、供給力提供開始年度を除き、制度適用期間中は同じ設備容量で容量市場のメインオークションに参加できない（OCCTO,</w:t>
      </w:r>
      <w:r>
        <w:t xml:space="preserve"> </w:t>
      </w:r>
      <w:r>
        <w:rPr>
          <w:rFonts w:hint="eastAsia"/>
        </w:rPr>
        <w:t xml:space="preserve">2026a）。LTDA</w:t>
      </w:r>
      <w:r>
        <w:t xml:space="preserve"> </w:t>
      </w:r>
      <w:r>
        <w:rPr>
          <w:rFonts w:hint="eastAsia"/>
        </w:rPr>
        <w:t xml:space="preserve">のレベニュースワップとしての価値は8.7.3項で評価する。</w:t>
      </w:r>
    </w:p>
    <w:bookmarkEnd w:id="220"/>
    <w:bookmarkStart w:id="222" w:name="補助金"/>
    <w:p>
      <w:pPr>
        <w:pStyle w:val="Heading3"/>
      </w:pPr>
      <w:r>
        <w:t xml:space="preserve">8.3.3　</w:t>
      </w:r>
      <w:r>
        <w:rPr>
          <w:rFonts w:hint="eastAsia"/>
        </w:rPr>
        <w:t xml:space="preserve">補助金</w:t>
      </w:r>
    </w:p>
    <w:p>
      <w:pPr>
        <w:pStyle w:val="FirstParagraph"/>
      </w:pPr>
      <w:r>
        <w:t xml:space="preserve">SII </w:t>
      </w:r>
      <w:r>
        <w:rPr>
          <w:rFonts w:hint="eastAsia"/>
        </w:rPr>
        <w:t xml:space="preserve">の系統用蓄電池の導入支援事業の補助率は、1,000kW</w:t>
      </w:r>
      <w:r>
        <w:t xml:space="preserve"> </w:t>
      </w:r>
      <w:r>
        <w:rPr>
          <w:rFonts w:hint="eastAsia"/>
        </w:rPr>
        <w:t xml:space="preserve">以上10,000kW</w:t>
      </w:r>
      <w:r>
        <w:t xml:space="preserve"> </w:t>
      </w:r>
      <w:r>
        <w:rPr>
          <w:rFonts w:hint="eastAsia"/>
        </w:rPr>
        <w:t xml:space="preserve">未満で1/3以内（上限10億円）、10,000kW</w:t>
      </w:r>
      <w:r>
        <w:t xml:space="preserve"> </w:t>
      </w:r>
      <w:r>
        <w:rPr>
          <w:rFonts w:hint="eastAsia"/>
        </w:rPr>
        <w:t xml:space="preserve">以上で1/2以内（上限40億円）である</w:t>
      </w:r>
      <w:r>
        <w:rPr>
          <w:rStyle w:val="FootnoteReference"/>
        </w:rPr>
        <w:footnoteReference w:id="221"/>
      </w:r>
      <w:r>
        <w:rPr>
          <w:rFonts w:hint="eastAsia"/>
        </w:rPr>
        <w:t xml:space="preserve">。北海道の交付決定は、2024年度が27件中9件（131.6億円）、2025年度が37件中3件（49.0億円）であった（環境共創イニシアチブ，2024，2025）。上限のない1/2補助は実効の資本費を6.8万円から3.4万円/kWh</w:t>
      </w:r>
      <w:r>
        <w:t xml:space="preserve"> </w:t>
      </w:r>
      <w:r>
        <w:rPr>
          <w:rFonts w:hint="eastAsia"/>
        </w:rPr>
        <w:t xml:space="preserve">に下げるが、4時間・6.8万円/kWh</w:t>
      </w:r>
      <w:r>
        <w:t xml:space="preserve"> </w:t>
      </w:r>
      <w:r>
        <w:rPr>
          <w:rFonts w:hint="eastAsia"/>
        </w:rPr>
        <w:t xml:space="preserve">では、上限40億円が約2.9万kW</w:t>
      </w:r>
      <w:r>
        <w:t xml:space="preserve"> </w:t>
      </w:r>
      <w:r>
        <w:rPr>
          <w:rFonts w:hint="eastAsia"/>
        </w:rPr>
        <w:t xml:space="preserve">を超える案件から効く。上限のない1/2補助と容量収入1.25万円を合わせた損益分岐の水準係数は1.58（割引率6%。8%では1.81）で、FY2026上期の水準（1.57）とほぼ等しく、そのときの事業</w:t>
      </w:r>
      <w:r>
        <w:t xml:space="preserve"> IRR </w:t>
      </w:r>
      <w:r>
        <w:rPr>
          <w:rFonts w:hint="eastAsia"/>
        </w:rPr>
        <w:t xml:space="preserve">は5.9%である（8.7.1項）。補助を受けたマーチャントの判定は、割引率の選び方に依存する。</w:t>
      </w:r>
    </w:p>
    <w:bookmarkEnd w:id="222"/>
    <w:bookmarkEnd w:id="223"/>
    <w:bookmarkStart w:id="232" w:name="残差と接続枠"/>
    <w:p>
      <w:pPr>
        <w:pStyle w:val="Heading2"/>
      </w:pPr>
      <w:r>
        <w:t xml:space="preserve">8.4　</w:t>
      </w:r>
      <w:r>
        <w:rPr>
          <w:rFonts w:hint="eastAsia"/>
        </w:rPr>
        <w:t xml:space="preserve">残差と接続枠</w:t>
      </w:r>
    </w:p>
    <w:bookmarkStart w:id="225" w:name="期待による説明の条件"/>
    <w:p>
      <w:pPr>
        <w:pStyle w:val="Heading3"/>
      </w:pPr>
      <w:r>
        <w:t xml:space="preserve">8.4.1　</w:t>
      </w:r>
      <w:r>
        <w:rPr>
          <w:rFonts w:hint="eastAsia"/>
        </w:rPr>
        <w:t xml:space="preserve">期待による説明の条件</w:t>
      </w:r>
    </w:p>
    <w:p>
      <w:pPr>
        <w:pStyle w:val="FirstParagraph"/>
      </w:pPr>
      <w:r>
        <w:rPr>
          <w:rFonts w:hint="eastAsia"/>
        </w:rPr>
        <w:t xml:space="preserve">8.3節の市場外収入で説明できない残りは、計測していない市場収入と参入者の期待に帰属する。前者は需給調整市場の移行期レントであり（8.4.3項）、後者の候補は、FY2026上期に観察された高い価格水準と日内スプレッド（TB4h</w:t>
      </w:r>
      <w:r>
        <w:t xml:space="preserve"> </w:t>
      </w:r>
      <w:r>
        <w:rPr>
          <w:rFonts w:hint="eastAsia"/>
        </w:rPr>
        <w:t xml:space="preserve">の中央値18.7円/kWh）の定常化、資本費の低下、データセンター需要と泊発電所の再稼働である。ただし7.1.4項で述べたとおり、スポット裁定と容量収入だけに依存する参入者は、自らが見込む価格経路で評価した静学の</w:t>
      </w:r>
      <w:r>
        <w:t xml:space="preserve"> NPV </w:t>
      </w:r>
      <w:r>
        <w:rPr>
          <w:rFonts w:hint="eastAsia"/>
        </w:rPr>
        <w:t xml:space="preserve">が負なら、どの均衡でも参入しない</w:t>
      </w:r>
      <w:r>
        <w:rPr>
          <w:rStyle w:val="FootnoteReference"/>
        </w:rPr>
        <w:footnoteReference w:id="224"/>
      </w:r>
      <w:r>
        <w:t xml:space="preserve">。</w:t>
      </w:r>
    </w:p>
    <w:p>
      <w:pPr>
        <w:pStyle w:val="BodyText"/>
      </w:pPr>
      <w:r>
        <w:rPr>
          <w:rFonts w:hint="eastAsia"/>
        </w:rPr>
        <w:t xml:space="preserve">したがって参入の急増を期待で説明するには、補助金のない参入者は</w:t>
      </w:r>
      <w:r>
        <w:t xml:space="preserve"> FY2023〜25 </w:t>
      </w:r>
      <w:r>
        <w:rPr>
          <w:rFonts w:hint="eastAsia"/>
        </w:rPr>
        <w:t xml:space="preserve">の3.0倍（</w:t>
      </w:r>
      <m:oMath>
        <m:sSup>
          <m:e>
            <m:r>
              <m:t>θ</m:t>
            </m:r>
          </m:e>
          <m:sup>
            <m:r>
              <m:rPr>
                <m:sty m:val="p"/>
              </m:rPr>
              <m:t>*</m:t>
            </m:r>
          </m:sup>
        </m:sSup>
        <m:r>
          <m:rPr>
            <m:sty m:val="p"/>
          </m:rPr>
          <m:t>=</m:t>
        </m:r>
        <m:r>
          <m:t>2.99</m:t>
        </m:r>
      </m:oMath>
      <w:r>
        <w:rPr>
          <w:rFonts w:hint="eastAsia"/>
        </w:rPr>
        <w:t xml:space="preserve">）以上の価格水準を20年の平均で見込んでいなければならない。これは本研究の推定（恒久成分は1.2前後）とかけ離れている。上限のない1/2補助を受ける参入者なら、FY2026上期の水準が続くと見込めば静学の</w:t>
      </w:r>
      <w:r>
        <w:t xml:space="preserve"> NPV </w:t>
      </w:r>
      <w:r>
        <w:rPr>
          <w:rFonts w:hint="eastAsia"/>
        </w:rPr>
        <w:t xml:space="preserve">はほぼ0になる。しかし、2024〜25年度の北海道の交付額（計約181億円）で賄えるのは4時間換算で13万〜23万kW</w:t>
      </w:r>
      <w:r>
        <w:t xml:space="preserve"> </w:t>
      </w:r>
      <w:r>
        <w:rPr>
          <w:rFonts w:hint="eastAsia"/>
        </w:rPr>
        <w:t xml:space="preserve">にすぎず、契約申込の大半は補助と期待を組み合わせても説明しにくい。残差の説明には、次の三つが残る。</w:t>
      </w:r>
    </w:p>
    <w:bookmarkEnd w:id="225"/>
    <w:bookmarkStart w:id="228" w:name="接続枠の待機オプション"/>
    <w:p>
      <w:pPr>
        <w:pStyle w:val="Heading3"/>
      </w:pPr>
      <w:r>
        <w:t xml:space="preserve">8.4.2　</w:t>
      </w:r>
      <w:r>
        <w:rPr>
          <w:rFonts w:hint="eastAsia"/>
        </w:rPr>
        <w:t xml:space="preserve">接続枠の待機オプション</w:t>
      </w:r>
    </w:p>
    <w:p>
      <w:pPr>
        <w:pStyle w:val="FirstParagraph"/>
      </w:pPr>
      <w:r>
        <w:rPr>
          <w:rFonts w:hint="eastAsia"/>
        </w:rPr>
        <w:t xml:space="preserve">第一は、契約申込が投資ではなく、接続枠という待機オプションの取得だという説明である。申込の際に預ける概算工事費負担金の5%の保証金は、事業者の都合で辞退すれば没収される（資源エネルギー庁，2025b）。これが排他的な権利の価格にあたる。マーチャント収入だけで評価した接続枠の待機価値</w:t>
      </w:r>
      <w:r>
        <w:t xml:space="preserve"> </w:t>
      </w:r>
      <m:oMath>
        <m:sSub>
          <m:e>
            <m:r>
              <m:t>W</m:t>
            </m:r>
          </m:e>
          <m:sub>
            <m:r>
              <m:t>0</m:t>
            </m:r>
          </m:sub>
        </m:sSub>
      </m:oMath>
      <w:r>
        <w:t xml:space="preserve"> </w:t>
      </w:r>
      <w:r>
        <w:rPr>
          <w:rFonts w:hint="eastAsia"/>
        </w:rPr>
        <w:t xml:space="preserve">は、恒久成分の推定値1.22から出発して、期限5年・</w:t>
      </w:r>
      <m:oMath>
        <m:r>
          <m:t>σ</m:t>
        </m:r>
      </m:oMath>
      <w:r>
        <w:t xml:space="preserve">=0.15〜0.30 </w:t>
      </w:r>
      <w:r>
        <w:rPr>
          <w:rFonts w:hint="eastAsia"/>
        </w:rPr>
        <w:t xml:space="preserve">で53〜3,832円/kW（資本費が年5%低下するなら385〜6,899円/kW）である</w:t>
      </w:r>
      <w:r>
        <w:rPr>
          <w:rStyle w:val="FootnoteReference"/>
        </w:rPr>
        <w:footnoteReference w:id="226"/>
      </w:r>
      <w:r>
        <w:rPr>
          <w:rFonts w:hint="eastAsia"/>
        </w:rPr>
        <w:t xml:space="preserve">。保証金以外の費用を無視すれば、保証金が</w:t>
      </w:r>
      <w:r>
        <w:t xml:space="preserve"> </w:t>
      </w:r>
      <m:oMath>
        <m:sSub>
          <m:e>
            <m:r>
              <m:t>W</m:t>
            </m:r>
          </m:e>
          <m:sub>
            <m:r>
              <m:t>0</m:t>
            </m:r>
          </m:sub>
        </m:sSub>
      </m:oMath>
      <w:r>
        <w:t xml:space="preserve"> </w:t>
      </w:r>
      <w:r>
        <w:rPr>
          <w:rFonts w:hint="eastAsia"/>
        </w:rPr>
        <w:t xml:space="preserve">を下回る地点、すなわち工事費負担金が</w:t>
      </w:r>
      <w:r>
        <w:t xml:space="preserve"> </w:t>
      </w:r>
      <m:oMath>
        <m:sSub>
          <m:e>
            <m:r>
              <m:t>W</m:t>
            </m:r>
          </m:e>
          <m:sub>
            <m:r>
              <m:t>0</m:t>
            </m:r>
          </m:sub>
        </m:sSub>
      </m:oMath>
      <w:r>
        <w:t xml:space="preserve"> </w:t>
      </w:r>
      <w:r>
        <w:rPr>
          <w:rFonts w:hint="eastAsia"/>
        </w:rPr>
        <w:t xml:space="preserve">の20倍以下の地点では、建設する確率が低くても枠を押さえることが合理的になる。この工事費負担金の上限は期限5年・</w:t>
      </w:r>
      <m:oMath>
        <m:r>
          <m:t>σ</m:t>
        </m:r>
        <m:r>
          <m:rPr>
            <m:sty m:val="p"/>
          </m:rPr>
          <m:t>=</m:t>
        </m:r>
        <m:r>
          <m:t>0.30</m:t>
        </m:r>
      </m:oMath>
      <w:r>
        <w:t xml:space="preserve"> </w:t>
      </w:r>
      <w:r>
        <w:rPr>
          <w:rFonts w:hint="eastAsia"/>
        </w:rPr>
        <w:t xml:space="preserve">で7.7万円/kW（資本費が低下するなら13.8万円/kW）であり、待機価値で申込を説明できるのは、価格の変動を大きく見込み、工事費負担金が小さい地点に限られる。期限5年の枠を行使する確率は最大4.8%（資本費が年5%低下する場合でも最大9.4%）で、契約申込の大半が建設されないことと整合する。</w:t>
      </w:r>
    </w:p>
    <w:p>
      <w:pPr>
        <w:pStyle w:val="BodyText"/>
      </w:pPr>
      <w:r>
        <w:rPr>
          <w:rFonts w:hint="eastAsia"/>
        </w:rPr>
        <w:t xml:space="preserve">資源エネルギー庁は「空押さえ」の対策として保証金を10%に引き上げる案を示し（資源エネルギー庁，2025b）、東京電力パワーグリッドの2026年度版の手続きの資料はこの改定を記載している（東京電力パワーグリッド，2026）</w:t>
      </w:r>
      <w:r>
        <w:rPr>
          <w:rStyle w:val="FootnoteReference"/>
        </w:rPr>
        <w:footnoteReference w:id="227"/>
      </w:r>
      <w:r>
        <w:rPr>
          <w:rFonts w:hint="eastAsia"/>
        </w:rPr>
        <w:t xml:space="preserve">。保証金が倍になれば上の上限は半分になり、待機価値の小さい枠から申込が減ると予想されるので、引き上げの前後の契約申込の変化はこの解釈の検証になる。</w:t>
      </w:r>
    </w:p>
    <w:bookmarkEnd w:id="228"/>
    <w:bookmarkStart w:id="231" w:name="移行期レントと価格の見通し"/>
    <w:p>
      <w:pPr>
        <w:pStyle w:val="Heading3"/>
      </w:pPr>
      <w:r>
        <w:t xml:space="preserve">8.4.3　</w:t>
      </w:r>
      <w:r>
        <w:rPr>
          <w:rFonts w:hint="eastAsia"/>
        </w:rPr>
        <w:t xml:space="preserve">移行期レントと価格の見通し</w:t>
      </w:r>
    </w:p>
    <w:p>
      <w:pPr>
        <w:pStyle w:val="FirstParagraph"/>
      </w:pPr>
      <w:r>
        <w:rPr>
          <w:rFonts w:hint="eastAsia"/>
        </w:rPr>
        <w:t xml:space="preserve">第二は需給調整市場の移行期レントと短い</w:t>
      </w:r>
      <w:r>
        <w:t xml:space="preserve"> duration </w:t>
      </w:r>
      <w:r>
        <w:rPr>
          <w:rFonts w:hint="eastAsia"/>
        </w:rPr>
        <w:t xml:space="preserve">の組合せ（補助金と組み合わさる場合を含む）、第三は参入者の価格の見通しが本研究の推定と異なる場合である。第三から検討する。恒久成分の</w:t>
      </w:r>
      <w:r>
        <w:t xml:space="preserve"> </w:t>
      </w:r>
      <m:oMath>
        <m:r>
          <m:t>σ</m:t>
        </m:r>
      </m:oMath>
      <w:r>
        <w:t xml:space="preserve"> </w:t>
      </w:r>
      <w:r>
        <w:rPr>
          <w:rFonts w:hint="eastAsia"/>
        </w:rPr>
        <w:t xml:space="preserve">も期待成長もデータから識別できないので（7.8節）、高い</w:t>
      </w:r>
      <w:r>
        <w:t xml:space="preserve"> </w:t>
      </w:r>
      <m:oMath>
        <m:r>
          <m:t>σ</m:t>
        </m:r>
      </m:oMath>
      <w:r>
        <w:t xml:space="preserve"> </w:t>
      </w:r>
      <w:r>
        <w:rPr>
          <w:rFonts w:hint="eastAsia"/>
        </w:rPr>
        <w:t xml:space="preserve">や上振れの見通しを持つ参入者がいることは否定できない。FY2026上期の水準1.57</w:t>
      </w:r>
      <w:r>
        <w:t xml:space="preserve"> </w:t>
      </w:r>
      <w:r>
        <w:rPr>
          <w:rFonts w:hint="eastAsia"/>
        </w:rPr>
        <w:t xml:space="preserve">をすべて恒久と置き、年2%の期待成長を見込めば、2040年度までに参入が開く確率は競争均衡で最大39%（期待成長0では21%）になる。それでも2040年度のフリート容量の期待値は最大17万kW</w:t>
      </w:r>
      <w:r>
        <w:t xml:space="preserve"> </w:t>
      </w:r>
      <w:r>
        <w:rPr>
          <w:rFonts w:hint="eastAsia"/>
        </w:rPr>
        <w:t xml:space="preserve">で、契約申込の1割に満たない</w:t>
      </w:r>
      <w:r>
        <w:rPr>
          <w:rStyle w:val="FootnoteReference"/>
        </w:rPr>
        <w:footnoteReference w:id="229"/>
      </w:r>
      <w:r>
        <w:t xml:space="preserve">。</w:t>
      </w:r>
    </w:p>
    <w:p>
      <w:pPr>
        <w:pStyle w:val="BodyText"/>
      </w:pPr>
      <w:r>
        <w:rPr>
          <w:rFonts w:hint="eastAsia"/>
        </w:rPr>
        <w:t xml:space="preserve">第二の説明の例が、札幌市の</w:t>
      </w:r>
      <w:r>
        <w:t xml:space="preserve"> </w:t>
      </w:r>
      <w:r>
        <w:rPr>
          <w:rFonts w:hint="eastAsia"/>
        </w:rPr>
        <w:t xml:space="preserve">Helios（5万kW／10.4万kWh、2025年12月運開）である。長期の買取契約を持たない「100%マーチャント」の案件で（ESS</w:t>
      </w:r>
      <w:r>
        <w:t xml:space="preserve"> News, 2025; HD Renewable Energy, </w:t>
      </w:r>
      <w:r>
        <w:rPr>
          <w:rFonts w:hint="eastAsia"/>
        </w:rPr>
        <w:t xml:space="preserve">2025）、</w:t>
      </w:r>
      <m:oMath>
        <m:sSup>
          <m:e>
            <m:r>
              <m:t>K</m:t>
            </m:r>
          </m:e>
          <m:sup>
            <m:r>
              <m:rPr>
                <m:sty m:val="p"/>
              </m:rPr>
              <m:t>*</m:t>
            </m:r>
          </m:sup>
        </m:sSup>
        <m:r>
          <m:rPr>
            <m:sty m:val="p"/>
          </m:rPr>
          <m:t>=</m:t>
        </m:r>
        <m:r>
          <m:t>0</m:t>
        </m:r>
      </m:oMath>
      <w:r>
        <w:t xml:space="preserve"> </w:t>
      </w:r>
      <w:r>
        <w:rPr>
          <w:rFonts w:hint="eastAsia"/>
        </w:rPr>
        <w:t xml:space="preserve">と矛盾するように見える。しかし</w:t>
      </w:r>
      <w:r>
        <w:t xml:space="preserve"> duration </w:t>
      </w:r>
      <w:r>
        <w:rPr>
          <w:rFonts w:hint="eastAsia"/>
        </w:rPr>
        <w:t xml:space="preserve">は約2時間で容量市場の要件（3時間以上）を満たさず、スポット裁定だけで評価した</w:t>
      </w:r>
      <w:r>
        <w:t xml:space="preserve"> APV </w:t>
      </w:r>
      <w:r>
        <w:rPr>
          <w:rFonts w:hint="eastAsia"/>
        </w:rPr>
        <w:t xml:space="preserve">は−20.9万円/kW、IRR</w:t>
      </w:r>
      <w:r>
        <w:t xml:space="preserve"> </w:t>
      </w:r>
      <w:r>
        <w:rPr>
          <w:rFonts w:hint="eastAsia"/>
        </w:rPr>
        <w:t xml:space="preserve">は負である（7.8.4項）。事業者は2026年の電力取引の収入を最大20億円（約4万円/kW-年）と見込み、需給調整市場への参加を計画している（HD</w:t>
      </w:r>
      <w:r>
        <w:t xml:space="preserve"> Renewable Energy, </w:t>
      </w:r>
      <w:r>
        <w:rPr>
          <w:rFonts w:hint="eastAsia"/>
        </w:rPr>
        <w:t xml:space="preserve">2025）。この見込みが粗利であれば、モデルによる2時間仕様のスポット実現収益（約5,200円/kW-年）はその約13%にとどまり、APV</w:t>
      </w:r>
      <w:r>
        <w:t xml:space="preserve"> </w:t>
      </w:r>
      <w:r>
        <w:rPr>
          <w:rFonts w:hint="eastAsia"/>
        </w:rPr>
        <w:t xml:space="preserve">は+11.9万円/kW</w:t>
      </w:r>
      <w:r>
        <w:t xml:space="preserve"> </w:t>
      </w:r>
      <w:r>
        <w:rPr>
          <w:rFonts w:hint="eastAsia"/>
        </w:rPr>
        <w:t xml:space="preserve">に転じるので、Helios</w:t>
      </w:r>
      <w:r>
        <w:t xml:space="preserve"> </w:t>
      </w:r>
      <w:r>
        <w:rPr>
          <w:rFonts w:hint="eastAsia"/>
        </w:rPr>
        <w:t xml:space="preserve">の参入の説明は、計測していない需給調整市場の収入の大きさに依存する。そのレントはフリートが小さいうちは参入必要水準を埋めうるが（7.6節）、参入とともに消える（3.4節）</w:t>
      </w:r>
      <w:r>
        <w:rPr>
          <w:rStyle w:val="FootnoteReference"/>
        </w:rPr>
        <w:footnoteReference w:id="230"/>
      </w:r>
      <w:r>
        <w:rPr>
          <w:rFonts w:hint="eastAsia"/>
        </w:rPr>
        <w:t xml:space="preserve">。推測を含むが、Helios</w:t>
      </w:r>
      <w:r>
        <w:t xml:space="preserve"> </w:t>
      </w:r>
      <w:r>
        <w:rPr>
          <w:rFonts w:hint="eastAsia"/>
        </w:rPr>
        <w:t xml:space="preserve">は移行期のレントに依存する案件と読むのが自然であり、</w:t>
      </w:r>
      <m:oMath>
        <m:sSup>
          <m:e>
            <m:r>
              <m:t>K</m:t>
            </m:r>
          </m:e>
          <m:sup>
            <m:r>
              <m:rPr>
                <m:sty m:val="p"/>
              </m:rPr>
              <m:t>*</m:t>
            </m:r>
          </m:sup>
        </m:sSup>
        <m:r>
          <m:rPr>
            <m:sty m:val="p"/>
          </m:rPr>
          <m:t>=</m:t>
        </m:r>
        <m:r>
          <m:t>0</m:t>
        </m:r>
      </m:oMath>
      <w:r>
        <w:t xml:space="preserve"> </w:t>
      </w:r>
      <w:r>
        <w:rPr>
          <w:rFonts w:hint="eastAsia"/>
        </w:rPr>
        <w:t xml:space="preserve">と両立する。</w:t>
      </w:r>
    </w:p>
    <w:p>
      <w:pPr>
        <w:pStyle w:val="BodyText"/>
      </w:pPr>
      <w:r>
        <w:rPr>
          <w:rFonts w:hint="eastAsia"/>
        </w:rPr>
        <w:t xml:space="preserve">三つの説明は、それぞれ別の</w:t>
      </w:r>
      <w:r>
        <w:t xml:space="preserve"> kW </w:t>
      </w:r>
      <w:r>
        <w:rPr>
          <w:rFonts w:hint="eastAsia"/>
        </w:rPr>
        <w:t xml:space="preserve">を説明しうる。契約申込の段階にある不明の</w:t>
      </w:r>
      <w:r>
        <w:t xml:space="preserve"> kW </w:t>
      </w:r>
      <w:r>
        <w:rPr>
          <w:rFonts w:hint="eastAsia"/>
        </w:rPr>
        <w:t xml:space="preserve">は待機オプション（第一）で説明しうるが、それは工事費負担金が小さい地点に限られる。接続済みの不明の約15万kW（SII</w:t>
      </w:r>
      <w:r>
        <w:t xml:space="preserve"> </w:t>
      </w:r>
      <w:r>
        <w:rPr>
          <w:rFonts w:hint="eastAsia"/>
        </w:rPr>
        <w:t xml:space="preserve">の交付案件の一部を含みうる）と</w:t>
      </w:r>
      <w:r>
        <w:t xml:space="preserve"> Helios </w:t>
      </w:r>
      <w:r>
        <w:rPr>
          <w:rFonts w:hint="eastAsia"/>
        </w:rPr>
        <w:t xml:space="preserve">は、補助を除けば移行期レント（第二）か見通しの違い（第三）で説明するほかない。補助を受けた案件は、契約型並みの割引率と</w:t>
      </w:r>
      <w:r>
        <w:t xml:space="preserve"> </w:t>
      </w:r>
      <w:r>
        <w:rPr>
          <w:rFonts w:hint="eastAsia"/>
        </w:rPr>
        <w:t xml:space="preserve">FY2026上期並みの価格水準を同時に置けば説明しうる（8.7.3項）。残差の解釈は第10章で行う。</w:t>
      </w:r>
    </w:p>
    <w:bookmarkEnd w:id="231"/>
    <w:bookmarkEnd w:id="232"/>
    <w:bookmarkStart w:id="240" w:name="併設蓄電池と出力制御"/>
    <w:p>
      <w:pPr>
        <w:pStyle w:val="Heading2"/>
      </w:pPr>
      <w:r>
        <w:t xml:space="preserve">8.5　</w:t>
      </w:r>
      <w:r>
        <w:rPr>
          <w:rFonts w:hint="eastAsia"/>
        </w:rPr>
        <w:t xml:space="preserve">併設蓄電池と出力制御</w:t>
      </w:r>
    </w:p>
    <w:p>
      <w:pPr>
        <w:pStyle w:val="FirstParagraph"/>
      </w:pPr>
      <w:r>
        <w:rPr>
          <w:rFonts w:hint="eastAsia"/>
        </w:rPr>
        <w:t xml:space="preserve">併設蓄電池は系統用の統計の外にあり、そのローカル価値は系統用の乖離を説明しない（表8.1）。本節は</w:t>
      </w:r>
      <w:r>
        <w:t xml:space="preserve"> </w:t>
      </w:r>
      <w:r>
        <w:rPr>
          <w:rFonts w:hint="eastAsia"/>
        </w:rPr>
        <w:t xml:space="preserve">RQ4、すなわちエリア価格に映らない抑制回避の価値によって、併設蓄電池の内生的な参入がどの条件で立つかに答える。</w:t>
      </w:r>
    </w:p>
    <w:bookmarkStart w:id="233" w:name="価格に映らない抑制"/>
    <w:p>
      <w:pPr>
        <w:pStyle w:val="Heading3"/>
      </w:pPr>
      <w:r>
        <w:t xml:space="preserve">8.5.1　</w:t>
      </w:r>
      <w:r>
        <w:rPr>
          <w:rFonts w:hint="eastAsia"/>
        </w:rPr>
        <w:t xml:space="preserve">価格に映らない抑制</w:t>
      </w:r>
    </w:p>
    <w:p>
      <w:pPr>
        <w:pStyle w:val="FirstParagraph"/>
      </w:pPr>
      <w:r>
        <w:rPr>
          <w:rFonts w:hint="eastAsia"/>
        </w:rPr>
        <w:t xml:space="preserve">北海道の風力の抑制は2025年度から立ち上がった（3.2節）。2025年4月〜2026年6月の抑制電力量の71.8%は、下限価格（0.01円/kWh）に張り付いた時間に生じている。5円/kWh</w:t>
      </w:r>
      <w:r>
        <w:t xml:space="preserve"> </w:t>
      </w:r>
      <w:r>
        <w:rPr>
          <w:rFonts w:hint="eastAsia"/>
        </w:rPr>
        <w:t xml:space="preserve">を超える時間の抑制（10.9%）も、ローカル混雑を示すものではない。その88.6%（電力量）は太陽光の抑制と同じ時間に起き、64%（時間）は抑制が続いた時間帯の最初か最後の時間にあるので、前日に時間帯単位で計画されるエリア全体の制御と、時間ごとの価格とのずれと読むのが自然である。ローカル混雑による出力制御の対象は太陽光のノンファーム電源だけである（OCCTO,</w:t>
      </w:r>
      <w:r>
        <w:t xml:space="preserve"> </w:t>
      </w:r>
      <w:r>
        <w:rPr>
          <w:rFonts w:hint="eastAsia"/>
        </w:rPr>
        <w:t xml:space="preserve">2026b）。分類と一覧は付録C.4.2</w:t>
      </w:r>
      <w:r>
        <w:t xml:space="preserve"> </w:t>
      </w:r>
      <w:r>
        <w:rPr>
          <w:rFonts w:hint="eastAsia"/>
        </w:rPr>
        <w:t xml:space="preserve">と表D.4・表D.5</w:t>
      </w:r>
      <w:r>
        <w:t xml:space="preserve"> </w:t>
      </w:r>
      <w:r>
        <w:rPr>
          <w:rFonts w:hint="eastAsia"/>
        </w:rPr>
        <w:t xml:space="preserve">に示す。</w:t>
      </w:r>
    </w:p>
    <w:p>
      <w:pPr>
        <w:pStyle w:val="BodyText"/>
      </w:pPr>
      <w:r>
        <w:rPr>
          <w:rFonts w:hint="eastAsia"/>
        </w:rPr>
        <w:t xml:space="preserve">したがって、北海道の現状で価格に映らない抑制の中心は、ローカル性ではなく下限での打ち切りである。下限に張り付いた時間の余剰は、価格が0.01円より下がらないために出力制御という数量で処理され（第9章）、エリア価格に基づく</w:t>
      </w:r>
      <w:r>
        <w:t xml:space="preserve"> </w:t>
      </w:r>
      <m:oMath>
        <m:sSub>
          <m:e>
            <m:r>
              <m:t>π</m:t>
            </m:r>
          </m:e>
          <m:sub>
            <m:r>
              <m:rPr>
                <m:sty m:val="p"/>
              </m:rPr>
              <m:t>s</m:t>
            </m:r>
            <m:r>
              <m:rPr>
                <m:sty m:val="p"/>
              </m:rPr>
              <m:t>p</m:t>
            </m:r>
            <m:r>
              <m:rPr>
                <m:sty m:val="p"/>
              </m:rPr>
              <m:t>o</m:t>
            </m:r>
            <m:r>
              <m:rPr>
                <m:sty m:val="p"/>
              </m:rPr>
              <m:t>t</m:t>
            </m:r>
          </m:sub>
        </m:sSub>
      </m:oMath>
      <w:r>
        <w:t xml:space="preserve"> </w:t>
      </w:r>
      <w:r>
        <w:rPr>
          <w:rFonts w:hint="eastAsia"/>
        </w:rPr>
        <w:t xml:space="preserve">は、併設蓄電池がこの余剰を吸収する価値をゼロと計上している。ローカル混雑による損失も、ノーダル価格なら併設蓄電池の価値として取引できるが（Maji</w:t>
      </w:r>
      <w:r>
        <w:t xml:space="preserve"> et al., </w:t>
      </w:r>
      <w:r>
        <w:rPr>
          <w:rFonts w:hint="eastAsia"/>
        </w:rPr>
        <w:t xml:space="preserve">2025）、ゾーン価格の日本では市場の外に置かれる。ただし北海道では、ローカル制御はまだごく一部である。</w:t>
      </w:r>
    </w:p>
    <w:bookmarkEnd w:id="233"/>
    <w:bookmarkStart w:id="239" w:name="抑制回避の増分と参入条件"/>
    <w:p>
      <w:pPr>
        <w:pStyle w:val="Heading3"/>
      </w:pPr>
      <w:r>
        <w:t xml:space="preserve">8.5.2　</w:t>
      </w:r>
      <w:r>
        <w:rPr>
          <w:rFonts w:hint="eastAsia"/>
        </w:rPr>
        <w:t xml:space="preserve">抑制回避の増分と参入条件</w:t>
      </w:r>
    </w:p>
    <w:p>
      <w:pPr>
        <w:pStyle w:val="FirstParagraph"/>
      </w:pPr>
      <w:r>
        <w:rPr>
          <w:rFonts w:hint="eastAsia"/>
        </w:rPr>
        <w:t xml:space="preserve">抑制回避の増分は、吸収1kWh</w:t>
      </w:r>
      <w:r>
        <w:t xml:space="preserve"> </w:t>
      </w:r>
      <w:r>
        <w:rPr>
          <w:rFonts w:hint="eastAsia"/>
        </w:rPr>
        <w:t xml:space="preserve">あたり4.3〜4.6円（プレミアム3円）である</w:t>
      </w:r>
      <w:r>
        <w:rPr>
          <w:rStyle w:val="FootnoteReference"/>
        </w:rPr>
        <w:footnoteReference w:id="234"/>
      </w:r>
      <w:r>
        <w:rPr>
          <w:rFonts w:hint="eastAsia"/>
        </w:rPr>
        <w:t xml:space="preserve">。抑制量はフリート設備容量比で中央値1.4%と小さいので、次世代電力系統ワーキンググループの出力制御の見通しが置く併設の前提（風力1kWあたり0.64kWh。資源エネルギー庁，2026a）の蓄電池は、抑制が一様に分布すれば96.8%、一部のサイトに集中すれば（ERCOT</w:t>
      </w:r>
      <w:r>
        <w:t xml:space="preserve"> </w:t>
      </w:r>
      <w:r>
        <w:rPr>
          <w:rFonts w:hint="eastAsia"/>
        </w:rPr>
        <w:t xml:space="preserve">の分布）65.3%を回避できる。制約は出力ではなく容量（kWh）である（表C.36）。北海道で抑制がどこに偏るかは制御の配分規則（9.5節）で決まり、サイト別の内訳は公表されないので、両者を範囲の境界とする。この回避率で、増分はスポット裁定（実績整合ケースの</w:t>
      </w:r>
      <w:r>
        <w:t xml:space="preserve"> </w:t>
      </w:r>
      <m:oMath>
        <m:sSub>
          <m:e>
            <m:r>
              <m:t>π</m:t>
            </m:r>
          </m:e>
          <m:sub>
            <m:r>
              <m:rPr>
                <m:sty m:val="p"/>
              </m:rPr>
              <m:t>s</m:t>
            </m:r>
            <m:r>
              <m:rPr>
                <m:sty m:val="p"/>
              </m:rPr>
              <m:t>p</m:t>
            </m:r>
            <m:r>
              <m:rPr>
                <m:sty m:val="p"/>
              </m:rPr>
              <m:t>o</m:t>
            </m:r>
            <m:r>
              <m:rPr>
                <m:sty m:val="p"/>
              </m:rPr>
              <m:t>t</m:t>
            </m:r>
          </m:sub>
        </m:sSub>
        <m:r>
          <m:rPr>
            <m:sty m:val="p"/>
          </m:rPr>
          <m:t>=</m:t>
        </m:r>
        <m:r>
          <m:t>6</m:t>
        </m:r>
        <m:r>
          <m:rPr>
            <m:sty m:val="p"/>
          </m:rPr>
          <m:t>,</m:t>
        </m:r>
        <m:r>
          <m:t>675</m:t>
        </m:r>
      </m:oMath>
      <w:r>
        <w:t xml:space="preserve"> </w:t>
      </w:r>
      <w:r>
        <w:rPr>
          <w:rFonts w:hint="eastAsia"/>
        </w:rPr>
        <w:t xml:space="preserve">円/kW-年）に対して、FY2025</w:t>
      </w:r>
      <w:r>
        <w:t xml:space="preserve"> </w:t>
      </w:r>
      <w:r>
        <w:rPr>
          <w:rFonts w:hint="eastAsia"/>
        </w:rPr>
        <w:t xml:space="preserve">の実績で約1%、FY2026</w:t>
      </w:r>
      <w:r>
        <w:t xml:space="preserve"> </w:t>
      </w:r>
      <w:r>
        <w:rPr>
          <w:rFonts w:hint="eastAsia"/>
        </w:rPr>
        <w:t xml:space="preserve">の4〜6月を年率とみなした上限でも7〜11%にとどまる。抑制の時間構造を比例的に拡大しても、回避率が下がるので25〜31%で頭打ちになり、回避率を一定とし毎日満充電できる上限でようやくスポット裁定と同程度になる（表C.36・表C.37）。英国の併設蓄電池でも、回収の主因は価格裁定である（Atherton</w:t>
      </w:r>
      <w:r>
        <w:t xml:space="preserve"> et al., </w:t>
      </w:r>
      <w:r>
        <w:rPr>
          <w:rFonts w:hint="eastAsia"/>
        </w:rPr>
        <w:t xml:space="preserve">2023）。</w:t>
      </w:r>
    </w:p>
    <w:p>
      <w:pPr>
        <w:pStyle w:val="BodyText"/>
      </w:pPr>
      <w:r>
        <w:rPr>
          <w:rFonts w:hint="eastAsia"/>
        </w:rPr>
        <w:t xml:space="preserve">参入条件（図8.2）の評価結果は三点にまとめられる（表C.38）。第一に、現行の資本費6.8万円/kWh</w:t>
      </w:r>
      <w:r>
        <w:t xml:space="preserve"> </w:t>
      </w:r>
      <w:r>
        <w:rPr>
          <w:rFonts w:hint="eastAsia"/>
        </w:rPr>
        <w:t xml:space="preserve">では、抑制率を2035年度の北海道の見通し（資源エネルギー庁，2026a）の37%まで上げても、どの組合せも成り立たない（2時間仕様はどの資本費でも成り立たない）。第二に、参入が開くのは、抑制がなくても損益分岐の近くにある組合せに限られる。資本費約2.3万円/kWh・系統用と同じ定義・容量収入ありでは抑制がなくても不足は年800〜2,200円程度で、抑制率1.35%以下〜4.8%（割引率8%では2.9〜7.5%）で参入が開く。託送の固定費を共有する定義なら、資本費4.0万円/kWh・割引率6%で抑制がなくても成り立つ。第三に、損益分岐の資本費（系統用と同じ定義・容量収入あり・割引率6%）は、抑制がなければ2.06万円/kWh、回避率一定の上限側でも4.04万円/kWh</w:t>
      </w:r>
      <w:r>
        <w:t xml:space="preserve"> にとどまる</w:t>
      </w:r>
      <w:r>
        <w:rPr>
          <w:rStyle w:val="FootnoteReference"/>
        </w:rPr>
        <w:footnoteReference w:id="235"/>
      </w:r>
      <w:r>
        <w:t xml:space="preserve">。</w:t>
      </w:r>
    </w:p>
    <w:p>
      <w:pPr>
        <w:pStyle w:val="CaptionedFigure"/>
      </w:pPr>
      <w:r>
        <w:drawing>
          <wp:inline>
            <wp:extent cx="5399999" cy="3540983"/>
            <wp:effectExtent b="0" l="0" r="0" t="0"/>
            <wp:docPr descr="図8.2　併設4時間蓄電池の参入条件と抑制率" title="" id="237" name="Picture"/>
            <a:graphic>
              <a:graphicData uri="http://schemas.openxmlformats.org/drawingml/2006/picture">
                <pic:pic>
                  <pic:nvPicPr>
                    <pic:cNvPr descr="../figures/hokkaido/btm_entry_threshold.png" id="238" name="Picture"/>
                    <pic:cNvPicPr>
                      <a:picLocks noChangeArrowheads="1" noChangeAspect="1"/>
                    </pic:cNvPicPr>
                  </pic:nvPicPr>
                  <pic:blipFill>
                    <a:blip r:embed="rId236"/>
                    <a:stretch>
                      <a:fillRect/>
                    </a:stretch>
                  </pic:blipFill>
                  <pic:spPr bwMode="auto">
                    <a:xfrm>
                      <a:off x="0" y="0"/>
                      <a:ext cx="5399999" cy="3540983"/>
                    </a:xfrm>
                    <a:prstGeom prst="rect">
                      <a:avLst/>
                    </a:prstGeom>
                    <a:noFill/>
                    <a:ln w="9525">
                      <a:noFill/>
                      <a:headEnd/>
                      <a:tailEnd/>
                    </a:ln>
                  </pic:spPr>
                </pic:pic>
              </a:graphicData>
            </a:graphic>
          </wp:inline>
        </w:drawing>
      </w:r>
    </w:p>
    <w:p>
      <w:pPr>
        <w:pStyle w:val="ImageCaption"/>
      </w:pPr>
      <w:r>
        <w:rPr>
          <w:rFonts w:hint="eastAsia"/>
        </w:rPr>
        <w:t xml:space="preserve">図8.2</w:t>
      </w:r>
      <w:r>
        <w:t xml:space="preserve">　</w:t>
      </w:r>
      <w:r>
        <w:rPr>
          <w:rFonts w:hint="eastAsia"/>
        </w:rPr>
        <w:t xml:space="preserve">併設4時間蓄電池の参入条件と抑制率</w:t>
      </w:r>
    </w:p>
    <w:p>
      <w:pPr>
        <w:pStyle w:val="TableNote"/>
      </w:pPr>
      <w:r>
        <w:rPr>
          <w:rFonts w:hint="eastAsia"/>
        </w:rPr>
        <w:t xml:space="preserve">注）縦軸は参入条件の過不足（左辺と</w:t>
      </w:r>
      <w:r>
        <w:t xml:space="preserve"> </w:t>
      </w:r>
      <m:oMath>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の差、万円/kW-年）。左は系統用と同じ定義、右は併設の定義。0.64kWh/kW、一様分布、プレミアム3円、割引率6%、容量収入1.25万円。色は資本費（2.3・4.0・6.8万円/kWh）、実線は比例拡大、破線は回避率一定、水平の点線は抑制なしの水準、縦の点線は2035年度の見通し（37%）。</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経済産業省『定置用蓄電システム普及拡大検討会の結果とりまとめ』より筆者作成。</w:t>
      </w:r>
    </w:p>
    <w:p>
      <w:pPr>
        <w:pStyle w:val="BodyText"/>
      </w:pPr>
      <w:r>
        <w:rPr>
          <w:rFonts w:hint="eastAsia"/>
        </w:rPr>
        <w:t xml:space="preserve">参入の可否は主に資本費、</w:t>
      </w:r>
      <m:oMath>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の定義、容量収入で決まり、抑制率が効くのは損益分岐の近くの組合せに限られる。本研究は併設を、制度（併設の要件、FIP</w:t>
      </w:r>
      <w:r>
        <w:t xml:space="preserve"> </w:t>
      </w:r>
      <w:r>
        <w:rPr>
          <w:rFonts w:hint="eastAsia"/>
        </w:rPr>
        <w:t xml:space="preserve">併設、9.5節で述べる制御順の見直し）に依存する容量として外生に置く。なお増分は完全予見の線形計画による上界であり、比例拡大は4〜6月の時間構造を通年に延ばし、価格は実績のままと置いたものである。</w:t>
      </w:r>
    </w:p>
    <w:bookmarkEnd w:id="239"/>
    <w:bookmarkEnd w:id="240"/>
    <w:bookmarkStart w:id="245" w:name="損益分岐面"/>
    <w:p>
      <w:pPr>
        <w:pStyle w:val="Heading2"/>
      </w:pPr>
      <w:r>
        <w:t xml:space="preserve">8.6　</w:t>
      </w:r>
      <w:r>
        <w:rPr>
          <w:rFonts w:hint="eastAsia"/>
        </w:rPr>
        <w:t xml:space="preserve">損益分岐面</w:t>
      </w:r>
    </w:p>
    <w:p>
      <w:pPr>
        <w:pStyle w:val="FirstParagraph"/>
      </w:pPr>
      <w:r>
        <w:rPr>
          <w:rFonts w:hint="eastAsia"/>
        </w:rPr>
        <w:t xml:space="preserve">本節は、</w:t>
      </w:r>
      <m:oMath>
        <m:sSup>
          <m:e>
            <m:r>
              <m:t>K</m:t>
            </m:r>
          </m:e>
          <m:sup>
            <m:r>
              <m:rPr>
                <m:sty m:val="p"/>
              </m:rPr>
              <m:t>*</m:t>
            </m:r>
          </m:sup>
        </m:sSup>
        <m:r>
          <m:rPr>
            <m:sty m:val="p"/>
          </m:rPr>
          <m:t>&gt;</m:t>
        </m:r>
        <m:r>
          <m:t>0</m:t>
        </m:r>
      </m:oMath>
      <w:r>
        <w:t xml:space="preserve"> </w:t>
      </w:r>
      <w:r>
        <w:rPr>
          <w:rFonts w:hint="eastAsia"/>
        </w:rPr>
        <w:t xml:space="preserve">に転じる条件（RQ5）を、資本費・実効容量収入・価格水準係数</w:t>
      </w:r>
      <w:r>
        <w:t xml:space="preserve"> </w:t>
      </w:r>
      <m:oMath>
        <m:r>
          <m:t>θ</m:t>
        </m:r>
      </m:oMath>
      <w:r>
        <w:t xml:space="preserve"> </w:t>
      </w:r>
      <w:r>
        <w:rPr>
          <w:rFonts w:hint="eastAsia"/>
        </w:rPr>
        <w:t xml:space="preserve">の3次元で示す。図8.3</w:t>
      </w:r>
      <w:r>
        <w:t xml:space="preserve"> </w:t>
      </w:r>
      <w:r>
        <w:rPr>
          <w:rFonts w:hint="eastAsia"/>
        </w:rPr>
        <w:t xml:space="preserve">は、式(4.8)で計算した</w:t>
      </w:r>
      <w:r>
        <w:t xml:space="preserve"> </w:t>
      </w:r>
      <m:oMath>
        <m:sSup>
          <m:e>
            <m:r>
              <m:t>θ</m:t>
            </m:r>
          </m:e>
          <m:sup>
            <m:r>
              <m:rPr>
                <m:sty m:val="p"/>
              </m:rPr>
              <m:t>*</m:t>
            </m:r>
          </m:sup>
        </m:sSup>
      </m:oMath>
      <w:r>
        <w:t xml:space="preserve"> </w:t>
      </w:r>
      <w:r>
        <w:rPr>
          <w:rFonts w:hint="eastAsia"/>
        </w:rPr>
        <w:t xml:space="preserve">を資本費と実効容量収入の平面に示したものであり、格子の数値は表C.39</w:t>
      </w:r>
      <w:r>
        <w:t xml:space="preserve"> </w:t>
      </w:r>
      <w:r>
        <w:rPr>
          <w:rFonts w:hint="eastAsia"/>
        </w:rPr>
        <w:t xml:space="preserve">に示す。割引率6%は固定収入を前提にした契約型の資本コストの水準であり（8.7.2項）、図8.3</w:t>
      </w:r>
      <w:r>
        <w:t xml:space="preserve"> </w:t>
      </w:r>
      <w:r>
        <w:rPr>
          <w:rFonts w:hint="eastAsia"/>
        </w:rPr>
        <w:t xml:space="preserve">の値はマーチャントにとって参入に有利な側の値である。既設・契約型の容量を無視した</w:t>
      </w:r>
      <w:r>
        <w:t xml:space="preserve"> </w:t>
      </w:r>
      <m:oMath>
        <m:r>
          <m:t>K</m:t>
        </m:r>
        <m:r>
          <m:rPr>
            <m:sty m:val="p"/>
          </m:rPr>
          <m:t>=</m:t>
        </m:r>
        <m:r>
          <m:t>0</m:t>
        </m:r>
      </m:oMath>
      <w:r>
        <w:t xml:space="preserve"> </w:t>
      </w:r>
      <w:r>
        <w:rPr>
          <w:rFonts w:hint="eastAsia"/>
        </w:rPr>
        <w:t xml:space="preserve">での評価も、有利な側の値である</w:t>
      </w:r>
      <w:r>
        <w:rPr>
          <w:rStyle w:val="FootnoteReference"/>
        </w:rPr>
        <w:footnoteReference w:id="241"/>
      </w:r>
      <w:r>
        <w:t xml:space="preserve">。</w:t>
      </w:r>
    </w:p>
    <w:p>
      <w:pPr>
        <w:pStyle w:val="CaptionedFigure"/>
      </w:pPr>
      <w:r>
        <w:drawing>
          <wp:inline>
            <wp:extent cx="5399999" cy="3806557"/>
            <wp:effectExtent b="0" l="0" r="0" t="0"/>
            <wp:docPr descr="図8.3　損益分岐の価格水準係数 \theta^* の等高線（割引率6%、K=0）" title="" id="243" name="Picture"/>
            <a:graphic>
              <a:graphicData uri="http://schemas.openxmlformats.org/drawingml/2006/picture">
                <pic:pic>
                  <pic:nvPicPr>
                    <pic:cNvPr descr="../figures/hokkaido/breakeven_frontier_v3.png" id="244" name="Picture"/>
                    <pic:cNvPicPr>
                      <a:picLocks noChangeArrowheads="1" noChangeAspect="1"/>
                    </pic:cNvPicPr>
                  </pic:nvPicPr>
                  <pic:blipFill>
                    <a:blip r:embed="rId242"/>
                    <a:stretch>
                      <a:fillRect/>
                    </a:stretch>
                  </pic:blipFill>
                  <pic:spPr bwMode="auto">
                    <a:xfrm>
                      <a:off x="0" y="0"/>
                      <a:ext cx="5399999" cy="3806557"/>
                    </a:xfrm>
                    <a:prstGeom prst="rect">
                      <a:avLst/>
                    </a:prstGeom>
                    <a:noFill/>
                    <a:ln w="9525">
                      <a:noFill/>
                      <a:headEnd/>
                      <a:tailEnd/>
                    </a:ln>
                  </pic:spPr>
                </pic:pic>
              </a:graphicData>
            </a:graphic>
          </wp:inline>
        </w:drawing>
      </w:r>
    </w:p>
    <w:p>
      <w:pPr>
        <w:pStyle w:val="ImageCaption"/>
      </w:pPr>
      <w:r>
        <w:rPr>
          <w:rFonts w:hint="eastAsia"/>
        </w:rPr>
        <w:t xml:space="preserve">図8.3</w:t>
      </w:r>
      <w:r>
        <w:t xml:space="preserve">　</w:t>
      </w:r>
      <w:r>
        <w:rPr>
          <w:rFonts w:hint="eastAsia"/>
        </w:rPr>
        <w:t xml:space="preserve">損益分岐の価格水準係数</w:t>
      </w:r>
      <w:r>
        <w:t xml:space="preserve"> </w:t>
      </w:r>
      <m:oMath>
        <m:sSup>
          <m:e>
            <m:r>
              <m:t>θ</m:t>
            </m:r>
          </m:e>
          <m:sup>
            <m:r>
              <m:rPr>
                <m:sty m:val="p"/>
              </m:rPr>
              <m:t>*</m:t>
            </m:r>
          </m:sup>
        </m:sSup>
      </m:oMath>
      <w:r>
        <w:t xml:space="preserve"> </w:t>
      </w:r>
      <w:r>
        <w:rPr>
          <w:rFonts w:hint="eastAsia"/>
        </w:rPr>
        <w:t xml:space="preserve">の等高線（割引率6%、</w:t>
      </w:r>
      <m:oMath>
        <m:r>
          <m:t>K</m:t>
        </m:r>
        <m:r>
          <m:rPr>
            <m:sty m:val="p"/>
          </m:rPr>
          <m:t>=</m:t>
        </m:r>
        <m:r>
          <m:t>0</m:t>
        </m:r>
      </m:oMath>
      <w:r>
        <w:rPr>
          <w:rFonts w:hint="eastAsia"/>
        </w:rPr>
        <w:t xml:space="preserve">）</w:t>
      </w:r>
    </w:p>
    <w:p>
      <w:pPr>
        <w:pStyle w:val="TableNote"/>
      </w:pPr>
      <w:r>
        <w:rPr>
          <w:rFonts w:hint="eastAsia"/>
        </w:rPr>
        <w:t xml:space="preserve">注）</w:t>
      </w:r>
      <m:oMath>
        <m:r>
          <m:t>K</m:t>
        </m:r>
        <m:r>
          <m:rPr>
            <m:sty m:val="p"/>
          </m:rPr>
          <m:t>=</m:t>
        </m:r>
        <m:r>
          <m:t>0</m:t>
        </m:r>
      </m:oMath>
      <w:r>
        <w:t xml:space="preserve"> </w:t>
      </w:r>
      <w:r>
        <w:rPr>
          <w:rFonts w:hint="eastAsia"/>
        </w:rPr>
        <w:t xml:space="preserve">で参入が開く価格水準係数</w:t>
      </w:r>
      <w:r>
        <w:t xml:space="preserve"> </w:t>
      </w:r>
      <m:oMath>
        <m:sSup>
          <m:e>
            <m:r>
              <m:t>θ</m:t>
            </m:r>
          </m:e>
          <m:sup>
            <m:r>
              <m:rPr>
                <m:sty m:val="p"/>
              </m:rPr>
              <m:t>*</m:t>
            </m:r>
          </m:sup>
        </m:sSup>
      </m:oMath>
      <w:r>
        <w:rPr>
          <w:rFonts w:hint="eastAsia"/>
        </w:rPr>
        <w:t xml:space="preserve">（FY2023〜25=1）を、蓄電池の資本費（4時間）と実効容量収入</w:t>
      </w:r>
      <w:r>
        <w:t xml:space="preserve"> </w:t>
      </w:r>
      <m:oMath>
        <m:r>
          <m:t>κ</m:t>
        </m:r>
        <m:sSub>
          <m:e>
            <m:r>
              <m:t>P</m:t>
            </m:r>
          </m:e>
          <m:sub>
            <m:r>
              <m:rPr>
                <m:sty m:val="p"/>
              </m:rPr>
              <m:t>c</m:t>
            </m:r>
            <m:r>
              <m:rPr>
                <m:sty m:val="p"/>
              </m:rPr>
              <m:t>a</m:t>
            </m:r>
            <m:r>
              <m:rPr>
                <m:sty m:val="p"/>
              </m:rPr>
              <m:t>p</m:t>
            </m:r>
          </m:sub>
        </m:sSub>
      </m:oMath>
      <w:r>
        <w:t xml:space="preserve"> </w:t>
      </w:r>
      <w:r>
        <w:rPr>
          <w:rFonts w:hint="eastAsia"/>
        </w:rPr>
        <w:t xml:space="preserve">の組合せについて示す。分母は実績整合ケースの</w:t>
      </w:r>
      <w:r>
        <w:t xml:space="preserve"> </w:t>
      </w:r>
      <m:oMath>
        <m:r>
          <m:t>a</m:t>
        </m:r>
        <m:r>
          <m:rPr>
            <m:sty m:val="p"/>
          </m:rPr>
          <m:t>(</m:t>
        </m:r>
        <m:r>
          <m:t>0</m:t>
        </m:r>
        <m:r>
          <m:rPr>
            <m:sty m:val="p"/>
          </m:rPr>
          <m:t>)</m:t>
        </m:r>
        <m:r>
          <m:rPr>
            <m:sty m:val="p"/>
          </m:rPr>
          <m:t>=</m:t>
        </m:r>
        <m:r>
          <m:t>8</m:t>
        </m:r>
        <m:r>
          <m:rPr>
            <m:sty m:val="p"/>
          </m:rPr>
          <m:t>,</m:t>
        </m:r>
        <m:r>
          <m:t>427</m:t>
        </m:r>
      </m:oMath>
      <w:r>
        <w:t xml:space="preserve"> </w:t>
      </w:r>
      <w:r>
        <w:rPr>
          <w:rFonts w:hint="eastAsia"/>
        </w:rPr>
        <w:t xml:space="preserve">円/kW-年、割引率6%、寿命20年。橙の線は</w:t>
      </w:r>
      <w:r>
        <w:t xml:space="preserve"> </w:t>
      </w:r>
      <m:oMath>
        <m:sSup>
          <m:e>
            <m:r>
              <m:t>θ</m:t>
            </m:r>
          </m:e>
          <m:sup>
            <m:r>
              <m:rPr>
                <m:sty m:val="p"/>
              </m:rPr>
              <m:t>*</m:t>
            </m:r>
          </m:sup>
        </m:sSup>
        <m:r>
          <m:rPr>
            <m:sty m:val="p"/>
          </m:rPr>
          <m:t>=</m:t>
        </m:r>
        <m:r>
          <m:t>1</m:t>
        </m:r>
      </m:oMath>
      <w:r>
        <w:rPr>
          <w:rFonts w:hint="eastAsia"/>
        </w:rPr>
        <w:t xml:space="preserve">（FY2023〜25</w:t>
      </w:r>
      <w:r>
        <w:t xml:space="preserve"> </w:t>
      </w:r>
      <w:r>
        <w:rPr>
          <w:rFonts w:hint="eastAsia"/>
        </w:rPr>
        <w:t xml:space="preserve">の水準）、1.57（FY2026上期）、1.72（FY2022）の等高線で、線より左上の組合せではその水準で参入が開く。紫の線は、実績価格の上の実現率（0.81）をモデルの完全予見粗利に掛けた参考の置き方（4.2.4項）による</w:t>
      </w:r>
      <w:r>
        <w:t xml:space="preserve"> </w:t>
      </w:r>
      <m:oMath>
        <m:sSup>
          <m:e>
            <m:r>
              <m:t>θ</m:t>
            </m:r>
          </m:e>
          <m:sup>
            <m:r>
              <m:rPr>
                <m:sty m:val="p"/>
              </m:rPr>
              <m:t>*</m:t>
            </m:r>
          </m:sup>
        </m:sSup>
      </m:oMath>
      <w:r>
        <w:t xml:space="preserve">=1・1.57 </w:t>
      </w:r>
      <w:r>
        <w:rPr>
          <w:rFonts w:hint="eastAsia"/>
        </w:rPr>
        <w:t xml:space="preserve">の等高線。点は現状（資本費6.8万円/kWh、実効容量収入1.25万円）と揚水並みの資本費（2.3万円/kWh）の位置である。</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メインオークション需要曲線』『容量市場メインオークション用調整係数』、経済産業省『定置用蓄電システム普及拡大検討会の結果とりまとめ』より筆者推計。</w:t>
      </w:r>
    </w:p>
    <w:p>
      <w:pPr>
        <w:pStyle w:val="BodyText"/>
      </w:pPr>
      <w:r>
        <w:rPr>
          <w:rFonts w:hint="eastAsia"/>
        </w:rPr>
        <w:t xml:space="preserve">現状（資本費6.8万円/kWh、実効容量収入1.25万円）では</w:t>
      </w:r>
      <w:r>
        <w:t xml:space="preserve"> </w:t>
      </w:r>
      <m:oMath>
        <m:sSup>
          <m:e>
            <m:r>
              <m:t>θ</m:t>
            </m:r>
          </m:e>
          <m:sup>
            <m:r>
              <m:rPr>
                <m:sty m:val="p"/>
              </m:rPr>
              <m:t>*</m:t>
            </m:r>
          </m:sup>
        </m:sSup>
        <m:r>
          <m:rPr>
            <m:sty m:val="p"/>
          </m:rPr>
          <m:t>=</m:t>
        </m:r>
        <m:r>
          <m:t>2.99</m:t>
        </m:r>
      </m:oMath>
      <w:r>
        <w:rPr>
          <w:rFonts w:hint="eastAsia"/>
        </w:rPr>
        <w:t xml:space="preserve">（モデル直値3.31）であり、FY2023〜25</w:t>
      </w:r>
      <w:r>
        <w:t xml:space="preserve"> </w:t>
      </w:r>
      <w:r>
        <w:rPr>
          <w:rFonts w:hint="eastAsia"/>
        </w:rPr>
        <w:t xml:space="preserve">の約3倍の価格水準が要る。揚水並みの資本費2.3万円/kWh</w:t>
      </w:r>
      <w:r>
        <w:t xml:space="preserve"> </w:t>
      </w:r>
      <w:r>
        <w:rPr>
          <w:rFonts w:hint="eastAsia"/>
        </w:rPr>
        <w:t xml:space="preserve">でも、現行の容量収入では1.12で、恒久成分の水準1.22</w:t>
      </w:r>
      <w:r>
        <w:t xml:space="preserve"> </w:t>
      </w:r>
      <w:r>
        <w:rPr>
          <w:rFonts w:hint="eastAsia"/>
        </w:rPr>
        <w:t xml:space="preserve">なら開くが、FY2023〜25</w:t>
      </w:r>
      <w:r>
        <w:t xml:space="preserve"> </w:t>
      </w:r>
      <w:r>
        <w:rPr>
          <w:rFonts w:hint="eastAsia"/>
        </w:rPr>
        <w:t xml:space="preserve">の水準では開かない。FY2023〜25</w:t>
      </w:r>
      <w:r>
        <w:t xml:space="preserve"> </w:t>
      </w:r>
      <w:r>
        <w:rPr>
          <w:rFonts w:hint="eastAsia"/>
        </w:rPr>
        <w:t xml:space="preserve">の水準で参入が開くのは、資本費が2.3〜3.0万円/kWh</w:t>
      </w:r>
      <w:r>
        <w:t xml:space="preserve"> </w:t>
      </w:r>
      <w:r>
        <w:rPr>
          <w:rFonts w:hint="eastAsia"/>
        </w:rPr>
        <w:t xml:space="preserve">に下がって容量収入が1.75万円以上になるか、資本費4.0〜5.0万円/kWh</w:t>
      </w:r>
      <w:r>
        <w:t xml:space="preserve"> </w:t>
      </w:r>
      <w:r>
        <w:rPr>
          <w:rFonts w:hint="eastAsia"/>
        </w:rPr>
        <w:t xml:space="preserve">で容量収入が2.5万円になる場合だけである。見込む水準が</w:t>
      </w:r>
      <w:r>
        <w:t xml:space="preserve"> </w:t>
      </w:r>
      <w:r>
        <w:rPr>
          <w:rFonts w:hint="eastAsia"/>
        </w:rPr>
        <w:t xml:space="preserve">FY2026上期（1.57）や</w:t>
      </w:r>
      <w:r>
        <w:t xml:space="preserve"> </w:t>
      </w:r>
      <w:r>
        <w:rPr>
          <w:rFonts w:hint="eastAsia"/>
        </w:rPr>
        <w:t xml:space="preserve">FY2022（1.72）まで上がれば開く組合せは増えるが、いずれも資本費の大幅な低下か、容量収入の上振れか、観察された最も高い価格水準の持続を組み合わせた連言条件である（付録C.4.3）。</w:t>
      </w:r>
    </w:p>
    <w:p>
      <w:pPr>
        <w:pStyle w:val="BodyText"/>
      </w:pPr>
      <w:r>
        <w:rPr>
          <w:rFonts w:hint="eastAsia"/>
        </w:rPr>
        <w:t xml:space="preserve">参入が開いた後の均衡容量は、</w:t>
      </w:r>
      <m:oMath>
        <m:r>
          <m:t>π</m:t>
        </m:r>
        <m:r>
          <m:rPr>
            <m:sty m:val="p"/>
          </m:rPr>
          <m:t>(</m:t>
        </m:r>
        <m:r>
          <m:t>K</m:t>
        </m:r>
        <m:r>
          <m:rPr>
            <m:sty m:val="p"/>
          </m:rPr>
          <m:t>)</m:t>
        </m:r>
      </m:oMath>
      <w:r>
        <w:t xml:space="preserve"> </w:t>
      </w:r>
      <w:r>
        <w:rPr>
          <w:rFonts w:hint="eastAsia"/>
        </w:rPr>
        <w:t xml:space="preserve">の減衰と容量価格の</w:t>
      </w:r>
      <w:r>
        <w:t xml:space="preserve"> </w:t>
      </w:r>
      <m:oMath>
        <m:r>
          <m:t>K</m:t>
        </m:r>
      </m:oMath>
      <w:r>
        <w:t xml:space="preserve"> </w:t>
      </w:r>
      <w:r>
        <w:rPr>
          <w:rFonts w:hint="eastAsia"/>
        </w:rPr>
        <w:t xml:space="preserve">への依存で決まる。</w:t>
      </w:r>
      <m:oMath>
        <m:r>
          <m:t>θ</m:t>
        </m:r>
        <m:r>
          <m:rPr>
            <m:sty m:val="p"/>
          </m:rPr>
          <m:t>=</m:t>
        </m:r>
        <m:r>
          <m:t>1</m:t>
        </m:r>
      </m:oMath>
      <w:r>
        <w:rPr>
          <w:rFonts w:hint="eastAsia"/>
        </w:rPr>
        <w:t xml:space="preserve">・資本費2.3万円・容量収入2.5万円の組合せでは、容量価格を定数とすればフリートは300万kW</w:t>
      </w:r>
      <w:r>
        <w:t xml:space="preserve"> </w:t>
      </w:r>
      <w:r>
        <w:rPr>
          <w:rFonts w:hint="eastAsia"/>
        </w:rPr>
        <w:t xml:space="preserve">を超えても閉じないが、容量価格の</w:t>
      </w:r>
      <w:r>
        <w:t xml:space="preserve"> </w:t>
      </w:r>
      <m:oMath>
        <m:r>
          <m:t>K</m:t>
        </m:r>
      </m:oMath>
      <w:r>
        <w:t xml:space="preserve"> </w:t>
      </w:r>
      <w:r>
        <w:rPr>
          <w:rFonts w:hint="eastAsia"/>
        </w:rPr>
        <w:t xml:space="preserve">への依存を入れると、</w:t>
      </w:r>
      <m:oMath>
        <m:sSup>
          <m:e>
            <m:r>
              <m:t>K</m:t>
            </m:r>
          </m:e>
          <m:sup>
            <m:r>
              <m:rPr>
                <m:sty m:val="p"/>
              </m:rPr>
              <m:t>*</m:t>
            </m:r>
          </m:sup>
        </m:sSup>
      </m:oMath>
      <w:r>
        <w:t xml:space="preserve"> </w:t>
      </w:r>
      <w:r>
        <w:rPr>
          <w:rFonts w:hint="eastAsia"/>
        </w:rPr>
        <w:t xml:space="preserve">は全国連系で約77万kW、北海道が単独ブロックとして分断される按分曲線で約8万kW</w:t>
      </w:r>
      <w:r>
        <w:t xml:space="preserve"> </w:t>
      </w:r>
      <w:r>
        <w:rPr>
          <w:rFonts w:hint="eastAsia"/>
        </w:rPr>
        <w:t xml:space="preserve">にとどまり（FY2026上期の水準でも83万kW</w:t>
      </w:r>
      <w:r>
        <w:t xml:space="preserve"> </w:t>
      </w:r>
      <w:r>
        <w:rPr>
          <w:rFonts w:hint="eastAsia"/>
        </w:rPr>
        <w:t xml:space="preserve">と12.5万kW）、接続済み約20万kW</w:t>
      </w:r>
      <w:r>
        <w:t xml:space="preserve"> </w:t>
      </w:r>
      <w:r>
        <w:rPr>
          <w:rFonts w:hint="eastAsia"/>
        </w:rPr>
        <w:t xml:space="preserve">を外生に置けば、マーチャント分は57万kW</w:t>
      </w:r>
      <w:r>
        <w:t xml:space="preserve"> </w:t>
      </w:r>
      <w:r>
        <w:rPr>
          <w:rFonts w:hint="eastAsia"/>
        </w:rPr>
        <w:t xml:space="preserve">と0になる（表C.40）。契約申込の約234万kW</w:t>
      </w:r>
      <w:r>
        <w:t xml:space="preserve"> </w:t>
      </w:r>
      <w:r>
        <w:rPr>
          <w:rFonts w:hint="eastAsia"/>
        </w:rPr>
        <w:t xml:space="preserve">をマーチャントの均衡として説明できるパラメータの組合せは、観察可能な範囲にない。乖離は、パラメータの不確実性ではなく、市場外収入、計測していない需給調整市場の収入、接続枠の保有を含む期待によって説明されなければならない。</w:t>
      </w:r>
    </w:p>
    <w:bookmarkEnd w:id="245"/>
    <w:bookmarkStart w:id="262" w:name="契約型とマーチャントのリスクリターン"/>
    <w:p>
      <w:pPr>
        <w:pStyle w:val="Heading2"/>
      </w:pPr>
      <w:r>
        <w:t xml:space="preserve">8.7　</w:t>
      </w:r>
      <w:r>
        <w:rPr>
          <w:rFonts w:hint="eastAsia"/>
        </w:rPr>
        <w:t xml:space="preserve">契約型とマーチャントのリスク・リターン</w:t>
      </w:r>
    </w:p>
    <w:p>
      <w:pPr>
        <w:pStyle w:val="FirstParagraph"/>
      </w:pPr>
      <w:r>
        <w:rPr>
          <w:rFonts w:hint="eastAsia"/>
        </w:rPr>
        <w:t xml:space="preserve">本節は、8.6節までの判定を企業金融の道具で検算し、乖離の成分を現在価値（8.7.1〜8.7.4項）と収入リスク（8.7.5項・8.7.6項）の二つの物差しにそろえる。</w:t>
      </w:r>
    </w:p>
    <w:bookmarkStart w:id="246" w:name="事業-irr"/>
    <w:p>
      <w:pPr>
        <w:pStyle w:val="Heading3"/>
      </w:pPr>
      <w:r>
        <w:t xml:space="preserve">8.7.1　</w:t>
      </w:r>
      <w:r>
        <w:rPr>
          <w:rFonts w:hint="eastAsia"/>
        </w:rPr>
        <w:t xml:space="preserve">事業</w:t>
      </w:r>
      <w:r>
        <w:t xml:space="preserve"> IRR</w:t>
      </w:r>
    </w:p>
    <w:p>
      <w:pPr>
        <w:pStyle w:val="FirstParagraph"/>
      </w:pPr>
      <w:r>
        <w:rPr>
          <w:rFonts w:hint="eastAsia"/>
        </w:rPr>
        <w:t xml:space="preserve">マーチャントの4時間蓄電池（27.2万円/kW）は、FY2023〜25</w:t>
      </w:r>
      <w:r>
        <w:t xml:space="preserve"> </w:t>
      </w:r>
      <w:r>
        <w:rPr>
          <w:rFonts w:hint="eastAsia"/>
        </w:rPr>
        <w:t xml:space="preserve">の価格水準と容量収入1.25万円で、年間キャッシュフローが6,992円/kW</w:t>
      </w:r>
      <w:r>
        <w:t xml:space="preserve"> </w:t>
      </w:r>
      <w:r>
        <w:rPr>
          <w:rFonts w:hint="eastAsia"/>
        </w:rPr>
        <w:t xml:space="preserve">にとどまる。20年でも投資額の51%しか回収できず、事業</w:t>
      </w:r>
      <w:r>
        <w:t xml:space="preserve"> IRR </w:t>
      </w:r>
      <w:r>
        <w:rPr>
          <w:rFonts w:hint="eastAsia"/>
        </w:rPr>
        <w:t xml:space="preserve">は−5.6%である（表8.2）。IRR</w:t>
      </w:r>
      <w:r>
        <w:t xml:space="preserve"> が0になる</w:t>
      </w:r>
      <w:r>
        <w:t xml:space="preserve"> </w:t>
      </w:r>
      <m:oMath>
        <m:r>
          <m:t>θ</m:t>
        </m:r>
      </m:oMath>
      <w:r>
        <w:t xml:space="preserve"> </w:t>
      </w:r>
      <w:r>
        <w:t xml:space="preserve">は1.78 </w:t>
      </w:r>
      <w:r>
        <w:rPr>
          <w:rFonts w:hint="eastAsia"/>
        </w:rPr>
        <w:t xml:space="preserve">で、観察された最も高い</w:t>
      </w:r>
      <w:r>
        <w:t xml:space="preserve"> FY2022 </w:t>
      </w:r>
      <w:r>
        <w:rPr>
          <w:rFonts w:hint="eastAsia"/>
        </w:rPr>
        <w:t xml:space="preserve">の水準（1.72）も上回るので、モデルで与えた価格水準（</w:t>
      </w:r>
      <m:oMath>
        <m:r>
          <m:t>θ</m:t>
        </m:r>
      </m:oMath>
      <w:r>
        <w:rPr>
          <w:rFonts w:hint="eastAsia"/>
        </w:rPr>
        <w:t xml:space="preserve">=1〜1.72）では</w:t>
      </w:r>
      <w:r>
        <w:t xml:space="preserve"> IRR </w:t>
      </w:r>
      <w:r>
        <w:rPr>
          <w:rFonts w:hint="eastAsia"/>
        </w:rPr>
        <w:t xml:space="preserve">は負である。したがって容量収入が1.25万円にとどまる限り、補助金のないマーチャントの</w:t>
      </w:r>
      <w:r>
        <w:t xml:space="preserve"> </w:t>
      </w:r>
      <m:oMath>
        <m:sSup>
          <m:e>
            <m:r>
              <m:t>K</m:t>
            </m:r>
          </m:e>
          <m:sup>
            <m:r>
              <m:rPr>
                <m:sty m:val="p"/>
              </m:rPr>
              <m:t>*</m:t>
            </m:r>
          </m:sup>
        </m:sSup>
        <m:r>
          <m:rPr>
            <m:sty m:val="p"/>
          </m:rPr>
          <m:t>=</m:t>
        </m:r>
        <m:r>
          <m:t>0</m:t>
        </m:r>
      </m:oMath>
      <w:r>
        <w:t xml:space="preserve"> </w:t>
      </w:r>
      <w:r>
        <w:rPr>
          <w:rFonts w:hint="eastAsia"/>
        </w:rPr>
        <w:t xml:space="preserve">は割引率の選択に依存しない。</w:t>
      </w:r>
    </w:p>
    <w:p>
      <w:pPr>
        <w:pStyle w:val="TableCaption"/>
      </w:pPr>
      <w:r>
        <w:rPr>
          <w:rFonts w:hint="eastAsia"/>
        </w:rPr>
        <w:t xml:space="preserve">表8.2</w:t>
      </w:r>
      <w:r>
        <w:t xml:space="preserve">　</w:t>
      </w:r>
      <w:r>
        <w:rPr>
          <w:rFonts w:hint="eastAsia"/>
        </w:rPr>
        <w:t xml:space="preserve">マーチャント4時間蓄電池の事業</w:t>
      </w:r>
      <w:r>
        <w:t xml:space="preserve"> IRR</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8.2　マーチャント4時間蓄電池の事業 IRR"/>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価格水準</w:t>
            </w:r>
          </w:p>
        </w:tc>
        <w:tc>
          <w:tcPr>
            <w:tcBorders>
              <w:bottom w:val="single" w:sz="6" w:color="000000"/>
            </w:tcBorders>
          </w:tcPr>
          <w:p>
            <w:pPr>
              <w:pStyle w:val="Compact"/>
              <w:jc w:val="right"/>
            </w:pPr>
            <w:r>
              <w:rPr>
                <w:rFonts w:hint="eastAsia"/>
                <w:sz w:val="18"/>
              </w:rPr>
              <w:t xml:space="preserve">1.25万円</w:t>
            </w:r>
          </w:p>
        </w:tc>
        <w:tc>
          <w:tcPr>
            <w:tcBorders>
              <w:bottom w:val="single" w:sz="6" w:color="000000"/>
            </w:tcBorders>
          </w:tcPr>
          <w:p>
            <w:pPr>
              <w:pStyle w:val="Compact"/>
              <w:jc w:val="right"/>
            </w:pPr>
            <w:r>
              <w:rPr>
                <w:rFonts w:hint="eastAsia"/>
                <w:sz w:val="18"/>
              </w:rPr>
              <w:t xml:space="preserve">1.75万円一定</w:t>
            </w:r>
          </w:p>
        </w:tc>
        <w:tc>
          <w:tcPr>
            <w:tcBorders>
              <w:bottom w:val="single" w:sz="6" w:color="000000"/>
            </w:tcBorders>
          </w:tcPr>
          <w:p>
            <w:pPr>
              <w:pStyle w:val="Compact"/>
              <w:jc w:val="right"/>
            </w:pPr>
            <w:r>
              <w:rPr>
                <w:rFonts w:hint="eastAsia"/>
                <w:sz w:val="18"/>
              </w:rPr>
              <w:t xml:space="preserve">既約定→1.75万円</w:t>
            </w:r>
          </w:p>
        </w:tc>
        <w:tc>
          <w:tcPr>
            <w:tcBorders>
              <w:bottom w:val="single" w:sz="6" w:color="000000"/>
            </w:tcBorders>
          </w:tcPr>
          <w:p>
            <w:pPr>
              <w:pStyle w:val="Compact"/>
              <w:jc w:val="right"/>
            </w:pPr>
            <w:r>
              <w:rPr>
                <w:rFonts w:hint="eastAsia"/>
                <w:sz w:val="18"/>
              </w:rPr>
              <w:t xml:space="preserve">既約定→2.62万円</w:t>
            </w:r>
          </w:p>
        </w:tc>
        <w:tc>
          <w:tcPr>
            <w:tcBorders>
              <w:bottom w:val="single" w:sz="6" w:color="000000"/>
            </w:tcBorders>
          </w:tcPr>
          <w:p>
            <w:pPr>
              <w:pStyle w:val="Compact"/>
              <w:jc w:val="right"/>
            </w:pPr>
            <w:r>
              <w:rPr>
                <w:rFonts w:hint="eastAsia"/>
                <w:sz w:val="18"/>
              </w:rPr>
              <w:t xml:space="preserve">2.5万円一定</w:t>
            </w:r>
          </w:p>
        </w:tc>
        <w:tc>
          <w:tcPr>
            <w:tcBorders>
              <w:bottom w:val="single" w:sz="6" w:color="000000"/>
            </w:tcBorders>
          </w:tcPr>
          <w:p>
            <w:pPr>
              <w:pStyle w:val="Compact"/>
              <w:jc w:val="right"/>
            </w:pPr>
            <w:r>
              <w:rPr>
                <w:rFonts w:hint="eastAsia"/>
                <w:sz w:val="18"/>
              </w:rPr>
              <w:t xml:space="preserve">1/2補助・1.25万円</w:t>
            </w:r>
          </w:p>
        </w:tc>
      </w:tr>
      <w:tr>
        <w:tc>
          <w:tcPr/>
          <w:p>
            <w:pPr>
              <w:pStyle w:val="Compact"/>
            </w:pPr>
            <m:oMath>
              <m:r>
                <m:t>θ</m:t>
              </m:r>
              <m:r>
                <m:rPr>
                  <m:sty m:val="p"/>
                </m:rPr>
                <m:t>=</m:t>
              </m:r>
              <m:r>
                <m:t>1</m:t>
              </m:r>
            </m:oMath>
            <w:r>
              <w:rPr>
                <w:rFonts w:hint="eastAsia"/>
                <w:sz w:val="18"/>
              </w:rPr>
              <w:t xml:space="preserve">（FY2023〜25）</w:t>
            </w:r>
          </w:p>
        </w:tc>
        <w:tc>
          <w:tcPr/>
          <w:p>
            <w:pPr>
              <w:pStyle w:val="Compact"/>
              <w:jc w:val="right"/>
            </w:pPr>
            <w:r>
              <w:rPr>
                <w:sz w:val="18"/>
              </w:rPr>
              <w:t xml:space="preserve">−5.6%</w:t>
            </w:r>
          </w:p>
        </w:tc>
        <w:tc>
          <w:tcPr/>
          <w:p>
            <w:pPr>
              <w:pStyle w:val="Compact"/>
              <w:jc w:val="right"/>
            </w:pPr>
            <w:r>
              <w:rPr>
                <w:sz w:val="18"/>
              </w:rPr>
              <w:t xml:space="preserve">−1.2%</w:t>
            </w:r>
          </w:p>
        </w:tc>
        <w:tc>
          <w:tcPr/>
          <w:p>
            <w:pPr>
              <w:pStyle w:val="Compact"/>
              <w:jc w:val="right"/>
            </w:pPr>
            <w:r>
              <w:rPr>
                <w:sz w:val="18"/>
              </w:rPr>
              <w:t xml:space="preserve">−1.7%</w:t>
            </w:r>
          </w:p>
        </w:tc>
        <w:tc>
          <w:tcPr/>
          <w:p>
            <w:pPr>
              <w:pStyle w:val="Compact"/>
              <w:jc w:val="right"/>
            </w:pPr>
            <w:r>
              <w:rPr>
                <w:sz w:val="18"/>
              </w:rPr>
              <w:t xml:space="preserve">+2.9%</w:t>
            </w:r>
          </w:p>
        </w:tc>
        <w:tc>
          <w:tcPr/>
          <w:p>
            <w:pPr>
              <w:pStyle w:val="Compact"/>
              <w:jc w:val="right"/>
            </w:pPr>
            <w:r>
              <w:rPr>
                <w:sz w:val="18"/>
              </w:rPr>
              <w:t xml:space="preserve">+3.7%</w:t>
            </w:r>
          </w:p>
        </w:tc>
        <w:tc>
          <w:tcPr/>
          <w:p>
            <w:pPr>
              <w:pStyle w:val="Compact"/>
              <w:jc w:val="right"/>
            </w:pPr>
            <w:r>
              <w:rPr>
                <w:sz w:val="18"/>
              </w:rPr>
              <w:t xml:space="preserve">+0.3%</w:t>
            </w:r>
          </w:p>
        </w:tc>
      </w:tr>
      <w:tr>
        <w:tc>
          <w:tcPr/>
          <w:p>
            <w:pPr>
              <w:pStyle w:val="Compact"/>
            </w:pPr>
            <m:oMath>
              <m:r>
                <m:t>θ</m:t>
              </m:r>
              <m:r>
                <m:rPr>
                  <m:sty m:val="p"/>
                </m:rPr>
                <m:t>=</m:t>
              </m:r>
              <m:r>
                <m:t>1.22</m:t>
              </m:r>
            </m:oMath>
            <w:r>
              <w:rPr>
                <w:rFonts w:hint="eastAsia"/>
                <w:sz w:val="18"/>
              </w:rPr>
              <w:t xml:space="preserve">（恒久成分）</w:t>
            </w:r>
          </w:p>
        </w:tc>
        <w:tc>
          <w:tcPr/>
          <w:p>
            <w:pPr>
              <w:pStyle w:val="Compact"/>
              <w:jc w:val="right"/>
            </w:pPr>
            <w:r>
              <w:rPr>
                <w:sz w:val="18"/>
              </w:rPr>
              <w:t xml:space="preserve">−3.8%</w:t>
            </w:r>
          </w:p>
        </w:tc>
        <w:tc>
          <w:tcPr/>
          <w:p>
            <w:pPr>
              <w:pStyle w:val="Compact"/>
              <w:jc w:val="right"/>
            </w:pPr>
            <w:r>
              <w:rPr>
                <w:sz w:val="18"/>
              </w:rPr>
              <w:t xml:space="preserve">+0.2%</w:t>
            </w:r>
          </w:p>
        </w:tc>
        <w:tc>
          <w:tcPr/>
          <w:p>
            <w:pPr>
              <w:pStyle w:val="Compact"/>
              <w:jc w:val="right"/>
            </w:pPr>
            <w:r>
              <w:rPr>
                <w:sz w:val="18"/>
              </w:rPr>
              <w:t xml:space="preserve">−0.4%</w:t>
            </w:r>
          </w:p>
        </w:tc>
        <w:tc>
          <w:tcPr/>
          <w:p>
            <w:pPr>
              <w:pStyle w:val="Compact"/>
              <w:jc w:val="right"/>
            </w:pPr>
            <w:r>
              <w:rPr>
                <w:sz w:val="18"/>
              </w:rPr>
              <w:t xml:space="preserve">+3.8%</w:t>
            </w:r>
          </w:p>
        </w:tc>
        <w:tc>
          <w:tcPr/>
          <w:p>
            <w:pPr>
              <w:pStyle w:val="Compact"/>
              <w:jc w:val="right"/>
            </w:pPr>
            <w:r>
              <w:rPr>
                <w:sz w:val="18"/>
              </w:rPr>
              <w:t xml:space="preserve">+4.7%</w:t>
            </w:r>
          </w:p>
        </w:tc>
        <w:tc>
          <w:tcPr/>
          <w:p>
            <w:pPr>
              <w:pStyle w:val="Compact"/>
              <w:jc w:val="right"/>
            </w:pPr>
            <w:r>
              <w:rPr>
                <w:sz w:val="18"/>
              </w:rPr>
              <w:t xml:space="preserve">+2.7%</w:t>
            </w:r>
          </w:p>
        </w:tc>
      </w:tr>
      <w:tr>
        <w:tc>
          <w:tcPr/>
          <w:p>
            <w:pPr>
              <w:pStyle w:val="Compact"/>
            </w:pPr>
            <m:oMath>
              <m:r>
                <m:t>θ</m:t>
              </m:r>
              <m:r>
                <m:rPr>
                  <m:sty m:val="p"/>
                </m:rPr>
                <m:t>=</m:t>
              </m:r>
              <m:r>
                <m:t>1.567</m:t>
              </m:r>
            </m:oMath>
            <w:r>
              <w:rPr>
                <w:rFonts w:hint="eastAsia"/>
                <w:sz w:val="18"/>
              </w:rPr>
              <w:t xml:space="preserve">（FY2026上期）</w:t>
            </w:r>
          </w:p>
        </w:tc>
        <w:tc>
          <w:tcPr/>
          <w:p>
            <w:pPr>
              <w:pStyle w:val="Compact"/>
              <w:jc w:val="right"/>
            </w:pPr>
            <w:r>
              <w:rPr>
                <w:sz w:val="18"/>
              </w:rPr>
              <w:t xml:space="preserve">−1.3%</w:t>
            </w:r>
          </w:p>
        </w:tc>
        <w:tc>
          <w:tcPr/>
          <w:p>
            <w:pPr>
              <w:pStyle w:val="Compact"/>
              <w:jc w:val="right"/>
            </w:pPr>
            <w:r>
              <w:rPr>
                <w:sz w:val="18"/>
              </w:rPr>
              <w:t xml:space="preserve">+2.1%</w:t>
            </w:r>
          </w:p>
        </w:tc>
        <w:tc>
          <w:tcPr/>
          <w:p>
            <w:pPr>
              <w:pStyle w:val="Compact"/>
              <w:jc w:val="right"/>
            </w:pPr>
            <w:r>
              <w:rPr>
                <w:sz w:val="18"/>
              </w:rPr>
              <w:t xml:space="preserve">+1.5%</w:t>
            </w:r>
          </w:p>
        </w:tc>
        <w:tc>
          <w:tcPr/>
          <w:p>
            <w:pPr>
              <w:pStyle w:val="Compact"/>
              <w:jc w:val="right"/>
            </w:pPr>
            <w:r>
              <w:rPr>
                <w:sz w:val="18"/>
              </w:rPr>
              <w:t xml:space="preserve">+5.3%</w:t>
            </w:r>
          </w:p>
        </w:tc>
        <w:tc>
          <w:tcPr/>
          <w:p>
            <w:pPr>
              <w:pStyle w:val="Compact"/>
              <w:jc w:val="right"/>
            </w:pPr>
            <w:r>
              <w:rPr>
                <w:sz w:val="18"/>
              </w:rPr>
              <w:t xml:space="preserve">+6.3%</w:t>
            </w:r>
          </w:p>
        </w:tc>
        <w:tc>
          <w:tcPr/>
          <w:p>
            <w:pPr>
              <w:pStyle w:val="Compact"/>
              <w:jc w:val="right"/>
            </w:pPr>
            <w:r>
              <w:rPr>
                <w:sz w:val="18"/>
              </w:rPr>
              <w:t xml:space="preserve">+5.9%</w:t>
            </w:r>
          </w:p>
        </w:tc>
      </w:tr>
      <w:tr>
        <w:tc>
          <w:tcPr/>
          <w:p>
            <w:pPr>
              <w:pStyle w:val="Compact"/>
            </w:pPr>
            <m:oMath>
              <m:r>
                <m:t>θ</m:t>
              </m:r>
              <m:r>
                <m:rPr>
                  <m:sty m:val="p"/>
                </m:rPr>
                <m:t>=</m:t>
              </m:r>
              <m:r>
                <m:t>1.715</m:t>
              </m:r>
            </m:oMath>
            <w:r>
              <w:rPr>
                <w:rFonts w:hint="eastAsia"/>
                <w:sz w:val="18"/>
              </w:rPr>
              <w:t xml:space="preserve">（FY2022）</w:t>
            </w:r>
          </w:p>
        </w:tc>
        <w:tc>
          <w:tcPr/>
          <w:p>
            <w:pPr>
              <w:pStyle w:val="Compact"/>
              <w:jc w:val="right"/>
            </w:pPr>
            <w:r>
              <w:rPr>
                <w:sz w:val="18"/>
              </w:rPr>
              <w:t xml:space="preserve">−0.4%</w:t>
            </w:r>
          </w:p>
        </w:tc>
        <w:tc>
          <w:tcPr/>
          <w:p>
            <w:pPr>
              <w:pStyle w:val="Compact"/>
              <w:jc w:val="right"/>
            </w:pPr>
            <w:r>
              <w:rPr>
                <w:sz w:val="18"/>
              </w:rPr>
              <w:t xml:space="preserve">+2.8%</w:t>
            </w:r>
          </w:p>
        </w:tc>
        <w:tc>
          <w:tcPr/>
          <w:p>
            <w:pPr>
              <w:pStyle w:val="Compact"/>
              <w:jc w:val="right"/>
            </w:pPr>
            <w:r>
              <w:rPr>
                <w:sz w:val="18"/>
              </w:rPr>
              <w:t xml:space="preserve">+2.2%</w:t>
            </w:r>
          </w:p>
        </w:tc>
        <w:tc>
          <w:tcPr/>
          <w:p>
            <w:pPr>
              <w:pStyle w:val="Compact"/>
              <w:jc w:val="right"/>
            </w:pPr>
            <w:r>
              <w:rPr>
                <w:sz w:val="18"/>
              </w:rPr>
              <w:t xml:space="preserve">+5.9%</w:t>
            </w:r>
          </w:p>
        </w:tc>
        <w:tc>
          <w:tcPr/>
          <w:p>
            <w:pPr>
              <w:pStyle w:val="Compact"/>
              <w:jc w:val="right"/>
            </w:pPr>
            <w:r>
              <w:rPr>
                <w:sz w:val="18"/>
              </w:rPr>
              <w:t xml:space="preserve">+6.9%</w:t>
            </w:r>
          </w:p>
        </w:tc>
        <w:tc>
          <w:tcPr/>
          <w:p>
            <w:pPr>
              <w:pStyle w:val="Compact"/>
              <w:jc w:val="right"/>
            </w:pPr>
            <w:r>
              <w:rPr>
                <w:sz w:val="18"/>
              </w:rPr>
              <w:t xml:space="preserve">+7.2%</w:t>
            </w:r>
          </w:p>
        </w:tc>
      </w:tr>
      <w:tr>
        <w:tc>
          <w:tcPr/>
          <w:p>
            <w:pPr>
              <w:pStyle w:val="Compact"/>
            </w:pPr>
            <w:r>
              <w:rPr>
                <w:sz w:val="18"/>
              </w:rPr>
              <w:t xml:space="preserve">FY2022 </w:t>
            </w:r>
            <w:r>
              <w:rPr>
                <w:rFonts w:hint="eastAsia"/>
                <w:sz w:val="18"/>
              </w:rPr>
              <w:t xml:space="preserve">の実績価格</w:t>
            </w:r>
          </w:p>
        </w:tc>
        <w:tc>
          <w:tcPr/>
          <w:p>
            <w:pPr>
              <w:pStyle w:val="Compact"/>
              <w:jc w:val="right"/>
            </w:pPr>
            <w:r>
              <w:rPr>
                <w:sz w:val="18"/>
              </w:rPr>
              <w:t xml:space="preserve">+3.75%</w:t>
            </w:r>
          </w:p>
        </w:tc>
        <w:tc>
          <w:tcPr/>
          <w:p>
            <w:pPr>
              <w:pStyle w:val="Compact"/>
              <w:jc w:val="right"/>
            </w:pPr>
            <w:r>
              <w:rPr>
                <w:sz w:val="18"/>
              </w:rPr>
              <w:t xml:space="preserve">+6.4%</w:t>
            </w:r>
          </w:p>
        </w:tc>
        <w:tc>
          <w:tcPr/>
          <w:p>
            <w:pPr>
              <w:pStyle w:val="Compact"/>
              <w:jc w:val="right"/>
            </w:pPr>
            <w:r>
              <w:rPr>
                <w:sz w:val="18"/>
              </w:rPr>
              <w:t xml:space="preserve">+5.8%</w:t>
            </w:r>
          </w:p>
        </w:tc>
        <w:tc>
          <w:tcPr/>
          <w:p>
            <w:pPr>
              <w:pStyle w:val="Compact"/>
              <w:jc w:val="right"/>
            </w:pPr>
            <w:r>
              <w:rPr>
                <w:sz w:val="18"/>
              </w:rPr>
              <w:t xml:space="preserve">+8.8%</w:t>
            </w:r>
          </w:p>
        </w:tc>
        <w:tc>
          <w:tcPr/>
          <w:p>
            <w:pPr>
              <w:pStyle w:val="Compact"/>
              <w:jc w:val="right"/>
            </w:pPr>
            <w:r>
              <w:rPr>
                <w:sz w:val="18"/>
              </w:rPr>
              <w:t xml:space="preserve">+10.0%</w:t>
            </w:r>
          </w:p>
        </w:tc>
        <w:tc>
          <w:tcPr/>
          <w:p>
            <w:pPr>
              <w:pStyle w:val="Compact"/>
              <w:jc w:val="right"/>
            </w:pPr>
            <w:r>
              <w:rPr>
                <w:sz w:val="18"/>
              </w:rPr>
              <w:t xml:space="preserve">—</w:t>
            </w:r>
          </w:p>
        </w:tc>
      </w:tr>
    </w:tbl>
    <w:p>
      <w:pPr>
        <w:pStyle w:val="TableNote"/>
      </w:pPr>
      <w:r>
        <w:rPr>
          <w:rFonts w:hint="eastAsia"/>
        </w:rPr>
        <w:t xml:space="preserve">注）無レバレッジ・税前・実質・20年、資本費6.8万円/kWh、</w:t>
      </w:r>
      <m:oMath>
        <m:r>
          <m:t>K</m:t>
        </m:r>
        <m:r>
          <m:rPr>
            <m:sty m:val="p"/>
          </m:rPr>
          <m:t>=</m:t>
        </m:r>
        <m:r>
          <m:t>0</m:t>
        </m:r>
      </m:oMath>
      <w:r>
        <w:rPr>
          <w:rFonts w:hint="eastAsia"/>
        </w:rPr>
        <w:t xml:space="preserve">、実績整合ケース（</w:t>
      </w:r>
      <m:oMath>
        <m:r>
          <m:t>θ</m:t>
        </m:r>
        <m:r>
          <m:rPr>
            <m:sty m:val="p"/>
          </m:rPr>
          <m:t>=</m:t>
        </m:r>
        <m:r>
          <m:t>1.22</m:t>
        </m:r>
      </m:oMath>
      <w:r>
        <w:t xml:space="preserve"> </w:t>
      </w:r>
      <w:r>
        <w:rPr>
          <w:rFonts w:hint="eastAsia"/>
        </w:rPr>
        <w:t xml:space="preserve">以上の行は</w:t>
      </w:r>
      <w:r>
        <w:t xml:space="preserve"> </w:t>
      </w:r>
      <m:oMath>
        <m:r>
          <m:t>θ</m:t>
        </m:r>
      </m:oMath>
      <w:r>
        <w:t xml:space="preserve"> </w:t>
      </w:r>
      <w:r>
        <w:rPr>
          <w:rFonts w:hint="eastAsia"/>
        </w:rPr>
        <w:t xml:space="preserve">に比例させた値、FY2022</w:t>
      </w:r>
      <w:r>
        <w:t xml:space="preserve"> </w:t>
      </w:r>
      <w:r>
        <w:rPr>
          <w:rFonts w:hint="eastAsia"/>
        </w:rPr>
        <w:t xml:space="preserve">の実績価格の行は実績の戦略</w:t>
      </w:r>
      <w:r>
        <w:t xml:space="preserve"> </w:t>
      </w:r>
      <w:r>
        <w:rPr>
          <w:rFonts w:hint="eastAsia"/>
        </w:rPr>
        <w:t xml:space="preserve">c）。第2列以降は実効容量収入で、「既約定→」は</w:t>
      </w:r>
      <w:r>
        <w:t xml:space="preserve"> FY2027〜29 </w:t>
      </w:r>
      <w:r>
        <w:rPr>
          <w:rFonts w:hint="eastAsia"/>
        </w:rPr>
        <w:t xml:space="preserve">を既約定の値とし</w:t>
      </w:r>
      <w:r>
        <w:t xml:space="preserve"> FY2030 </w:t>
      </w:r>
      <w:r>
        <w:rPr>
          <w:rFonts w:hint="eastAsia"/>
        </w:rPr>
        <w:t xml:space="preserve">以降を各値とした経路、2.62万円は上限価格の実効値。最終列は上限のない1/2補助を受けた場合で、補助後の投資額13.6万円/kW</w:t>
      </w:r>
      <w:r>
        <w:t xml:space="preserve"> </w:t>
      </w:r>
      <w:r>
        <w:rPr>
          <w:rFonts w:hint="eastAsia"/>
        </w:rPr>
        <w:t xml:space="preserve">に対する</w:t>
      </w:r>
      <w:r>
        <w:t xml:space="preserve"> IRR。</w:t>
      </w:r>
      <m:oMath>
        <m:r>
          <m:t>π</m:t>
        </m:r>
        <m:r>
          <m:rPr>
            <m:sty m:val="p"/>
          </m:rPr>
          <m:t>(</m:t>
        </m:r>
        <m:r>
          <m:t>0</m:t>
        </m:r>
        <m:r>
          <m:rPr>
            <m:sty m:val="p"/>
          </m:rPr>
          <m:t>)</m:t>
        </m:r>
      </m:oMath>
      <w:r>
        <w:rPr>
          <w:rFonts w:hint="eastAsia"/>
        </w:rPr>
        <w:t xml:space="preserve">、容量収入0.73万円（2026年度向け）の場合を含む全ケースは表C.41</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メインオークション需要曲線』『容量市場メインオークション用調整係数』、経済産業省『定置用蓄電システム普及拡大検討会の結果とりまとめ』、環境共創イニシアチブ『系統用蓄電池等電力貯蔵システム導入支援事業費補助金</w:t>
      </w:r>
      <w:r>
        <w:t xml:space="preserve"> </w:t>
      </w:r>
      <w:r>
        <w:rPr>
          <w:rFonts w:hint="eastAsia"/>
        </w:rPr>
        <w:t xml:space="preserve">公募要領』より筆者推計。</w:t>
      </w:r>
    </w:p>
    <w:p>
      <w:pPr>
        <w:pStyle w:val="BodyText"/>
      </w:pPr>
      <w:r>
        <w:t xml:space="preserve">IRR </w:t>
      </w:r>
      <w:r>
        <w:rPr>
          <w:rFonts w:hint="eastAsia"/>
        </w:rPr>
        <w:t xml:space="preserve">が正になる例外は、FY2022</w:t>
      </w:r>
      <w:r>
        <w:t xml:space="preserve"> </w:t>
      </w:r>
      <w:r>
        <w:rPr>
          <w:rFonts w:hint="eastAsia"/>
        </w:rPr>
        <w:t xml:space="preserve">の実績価格そのもの（連系線増強前の分断構造）と、2030年度向け以降の容量収入の上振れである。それでも</w:t>
      </w:r>
      <w:r>
        <w:t xml:space="preserve"> IRR </w:t>
      </w:r>
      <w:r>
        <w:rPr>
          <w:rFonts w:hint="eastAsia"/>
        </w:rPr>
        <w:t xml:space="preserve">が8%を超えるのは</w:t>
      </w:r>
      <w:r>
        <w:t xml:space="preserve"> FY2022 </w:t>
      </w:r>
      <w:r>
        <w:rPr>
          <w:rFonts w:hint="eastAsia"/>
        </w:rPr>
        <w:t xml:space="preserve">の実績価格に2.5万円か上限価格を重ねた場合だけであり、</w:t>
      </w:r>
      <m:oMath>
        <m:sSup>
          <m:e>
            <m:r>
              <m:t>K</m:t>
            </m:r>
          </m:e>
          <m:sup>
            <m:r>
              <m:rPr>
                <m:sty m:val="p"/>
              </m:rPr>
              <m:t>*</m:t>
            </m:r>
          </m:sup>
        </m:sSup>
        <m:r>
          <m:rPr>
            <m:sty m:val="p"/>
          </m:rPr>
          <m:t>=</m:t>
        </m:r>
        <m:r>
          <m:t>0</m:t>
        </m:r>
      </m:oMath>
      <w:r>
        <w:t xml:space="preserve"> </w:t>
      </w:r>
      <w:r>
        <w:rPr>
          <w:rFonts w:hint="eastAsia"/>
        </w:rPr>
        <w:t xml:space="preserve">は、マーチャントの資本コストを8%以上とすれば、ほぼすべての組合せで保たれる。</w:t>
      </w:r>
    </w:p>
    <w:p>
      <w:pPr>
        <w:pStyle w:val="BodyText"/>
      </w:pPr>
      <w:r>
        <w:rPr>
          <w:rFonts w:hint="eastAsia"/>
        </w:rPr>
        <w:t xml:space="preserve">対照的に、LTDA</w:t>
      </w:r>
      <w:r>
        <w:t xml:space="preserve"> </w:t>
      </w:r>
      <w:r>
        <w:rPr>
          <w:rFonts w:hint="eastAsia"/>
        </w:rPr>
        <w:t xml:space="preserve">の6時間蓄電池（40.8万円/kW）は、北海道の上限価格で落札すると、事業</w:t>
      </w:r>
      <w:r>
        <w:t xml:space="preserve"> IRR </w:t>
      </w:r>
      <w:r>
        <w:rPr>
          <w:rFonts w:hint="eastAsia"/>
        </w:rPr>
        <w:t xml:space="preserve">が12.2〜13.6%（契約容量＝期待容量。設備容量とみなせば最大15.1%）になる。事業報酬率4〜6%で積み上げた応札価格で落札すれば4.3〜6.3%である。LTDA</w:t>
      </w:r>
      <w:r>
        <w:t xml:space="preserve"> </w:t>
      </w:r>
      <w:r>
        <w:rPr>
          <w:rFonts w:hint="eastAsia"/>
        </w:rPr>
        <w:t xml:space="preserve">は応札価格で支払われる（pay-as-bid）ので、落札者の実際の</w:t>
      </w:r>
      <w:r>
        <w:t xml:space="preserve"> IRR </w:t>
      </w:r>
      <w:r>
        <w:rPr>
          <w:rFonts w:hint="eastAsia"/>
        </w:rPr>
        <w:t xml:space="preserve">はおおむねこの間にあると考えられる（蓄電池の約定価格は公表されていない。表C.42）。同じ6.8万円/kWh</w:t>
      </w:r>
      <w:r>
        <w:t xml:space="preserve"> </w:t>
      </w:r>
      <w:r>
        <w:rPr>
          <w:rFonts w:hint="eastAsia"/>
        </w:rPr>
        <w:t xml:space="preserve">の6時間蓄電池をマーチャントで持つと、容量収入1.40万円を得ても</w:t>
      </w:r>
      <w:r>
        <w:t xml:space="preserve"> IRR は−6.5%である。IRR </w:t>
      </w:r>
      <w:r>
        <w:rPr>
          <w:rFonts w:hint="eastAsia"/>
        </w:rPr>
        <w:t xml:space="preserve">の符号を分けているのは、資産ではなく収入の契約形態である。ただし8.7.3項で示すとおり、その差は主にリスクの移転ではなく期待値の移転から生じる。</w:t>
      </w:r>
    </w:p>
    <w:bookmarkEnd w:id="246"/>
    <w:bookmarkStart w:id="247" w:name="資産の資本コスト"/>
    <w:p>
      <w:pPr>
        <w:pStyle w:val="Heading3"/>
      </w:pPr>
      <w:r>
        <w:t xml:space="preserve">8.7.2　</w:t>
      </w:r>
      <w:r>
        <w:rPr>
          <w:rFonts w:hint="eastAsia"/>
        </w:rPr>
        <w:t xml:space="preserve">資産の資本コスト</w:t>
      </w:r>
    </w:p>
    <w:p>
      <w:pPr>
        <w:pStyle w:val="FirstParagraph"/>
      </w:pPr>
      <w:r>
        <w:rPr>
          <w:rFonts w:hint="eastAsia"/>
        </w:rPr>
        <w:t xml:space="preserve">割引率6%は契約型の水準であり（LTDA</w:t>
      </w:r>
      <w:r>
        <w:t xml:space="preserve"> </w:t>
      </w:r>
      <w:r>
        <w:rPr>
          <w:rFonts w:hint="eastAsia"/>
        </w:rPr>
        <w:t xml:space="preserve">の事業報酬率と調達価格等算定委員会（2026）の税引前の想定</w:t>
      </w:r>
      <w:r>
        <w:t xml:space="preserve"> IRR </w:t>
      </w:r>
      <w:r>
        <w:rPr>
          <w:rFonts w:hint="eastAsia"/>
        </w:rPr>
        <w:t xml:space="preserve">はいずれも4〜6%）、価格リスクをそのまま負うマーチャントには、より高い資本コストが対応する。Gohdes</w:t>
      </w:r>
      <w:r>
        <w:t xml:space="preserve"> et </w:t>
      </w:r>
      <w:r>
        <w:rPr>
          <w:rFonts w:hint="eastAsia"/>
        </w:rPr>
        <w:t xml:space="preserve">al.（2022）による豪州の全国電力市場（NEM）の調査値から、同じ借入金利の仮定の下でのマーチャントの上乗せ（4.0〜5.1%ポイント）を求めて契約型の4〜6%に足すと8〜11%になるので、その下限側の8〜9%を</w:t>
      </w:r>
      <w:r>
        <w:t xml:space="preserve"> </w:t>
      </w:r>
      <m:oMath>
        <m:sSubSup>
          <m:e>
            <m:r>
              <m:t>r</m:t>
            </m:r>
          </m:e>
          <m:sub>
            <m:r>
              <m:t>A</m:t>
            </m:r>
          </m:sub>
          <m:sup>
            <m:r>
              <m:t>M</m:t>
            </m:r>
          </m:sup>
        </m:sSubSup>
      </m:oMath>
      <w:r>
        <w:t xml:space="preserve">、4〜6%を</w:t>
      </w:r>
      <w:r>
        <w:t xml:space="preserve"> </w:t>
      </w:r>
      <m:oMath>
        <m:sSub>
          <m:e>
            <m:r>
              <m:t>r</m:t>
            </m:r>
          </m:e>
          <m:sub>
            <m:r>
              <m:t>C</m:t>
            </m:r>
          </m:sub>
        </m:sSub>
      </m:oMath>
      <w:r>
        <w:t xml:space="preserve"> </w:t>
      </w:r>
      <w:r>
        <w:rPr>
          <w:rFonts w:hint="eastAsia"/>
        </w:rPr>
        <w:t xml:space="preserve">とする（付録B.5.3）。これは文献に基づく位置づけであり、本研究の推定値ではない。Modigliani</w:t>
      </w:r>
      <w:r>
        <w:t xml:space="preserve"> and </w:t>
      </w:r>
      <w:r>
        <w:rPr>
          <w:rFonts w:hint="eastAsia"/>
        </w:rPr>
        <w:t xml:space="preserve">Miller（1958）の命題により、摩擦がなければ</w:t>
      </w:r>
      <w:r>
        <w:t xml:space="preserve"> </w:t>
      </w:r>
      <m:oMath>
        <m:sSup>
          <m:e>
            <m:r>
              <m:t>θ</m:t>
            </m:r>
          </m:e>
          <m:sup>
            <m:r>
              <m:rPr>
                <m:sty m:val="p"/>
              </m:rPr>
              <m:t>*</m:t>
            </m:r>
          </m:sup>
        </m:sSup>
      </m:oMath>
      <w:r>
        <w:t xml:space="preserve"> </w:t>
      </w:r>
      <w:r>
        <w:rPr>
          <w:rFonts w:hint="eastAsia"/>
        </w:rPr>
        <w:t xml:space="preserve">は資産の資本コストだけで決まり、8%で3.46、9%で3.71</w:t>
      </w:r>
      <w:r>
        <w:t xml:space="preserve"> </w:t>
      </w:r>
      <w:r>
        <w:rPr>
          <w:rFonts w:hint="eastAsia"/>
        </w:rPr>
        <w:t xml:space="preserve">になる（表C.43）。法人税の節税効果を</w:t>
      </w:r>
      <w:r>
        <w:t xml:space="preserve"> Miles and </w:t>
      </w:r>
      <w:r>
        <w:rPr>
          <w:rFonts w:hint="eastAsia"/>
        </w:rPr>
        <w:t xml:space="preserve">Ezzell（1980）の式で入れても</w:t>
      </w:r>
      <w:r>
        <w:t xml:space="preserve"> </w:t>
      </w:r>
      <m:oMath>
        <m:sSup>
          <m:e>
            <m:r>
              <m:t>θ</m:t>
            </m:r>
          </m:e>
          <m:sup>
            <m:r>
              <m:rPr>
                <m:sty m:val="p"/>
              </m:rPr>
              <m:t>*</m:t>
            </m:r>
          </m:sup>
        </m:sSup>
      </m:oMath>
      <w:r>
        <w:t xml:space="preserve"> </w:t>
      </w:r>
      <w:r>
        <w:t xml:space="preserve">は0.05〜0.12 </w:t>
      </w:r>
      <w:r>
        <w:rPr>
          <w:rFonts w:hint="eastAsia"/>
        </w:rPr>
        <w:t xml:space="preserve">下がるにとどまり、補助金のないマーチャントは</w:t>
      </w:r>
      <w:r>
        <w:t xml:space="preserve"> </w:t>
      </w:r>
      <w:r>
        <w:rPr>
          <w:rFonts w:hint="eastAsia"/>
        </w:rPr>
        <w:t xml:space="preserve">FY2026上期の水準でも課税所得が毎年負なので、事業会社単体では節税効果を使えない。LTDA</w:t>
      </w:r>
      <w:r>
        <w:t xml:space="preserve"> </w:t>
      </w:r>
      <w:r>
        <w:rPr>
          <w:rFonts w:hint="eastAsia"/>
        </w:rPr>
        <w:t xml:space="preserve">への応札の集中を説明するのは、レバレッジではなく、上限価格での事業</w:t>
      </w:r>
      <w:r>
        <w:t xml:space="preserve"> IRR </w:t>
      </w:r>
      <w:r>
        <w:rPr>
          <w:rFonts w:hint="eastAsia"/>
        </w:rPr>
        <w:t xml:space="preserve">の高さと、固定収入によって資産の資本コストが契約型の水準に下がることである。</w:t>
      </w:r>
    </w:p>
    <w:bookmarkEnd w:id="247"/>
    <w:bookmarkStart w:id="253" w:name="調整現在価値とレベニュースワップ"/>
    <w:p>
      <w:pPr>
        <w:pStyle w:val="Heading3"/>
      </w:pPr>
      <w:r>
        <w:t xml:space="preserve">8.7.3　</w:t>
      </w:r>
      <w:r>
        <w:rPr>
          <w:rFonts w:hint="eastAsia"/>
        </w:rPr>
        <w:t xml:space="preserve">調整現在価値とレベニュースワップ</w:t>
      </w:r>
    </w:p>
    <w:p>
      <w:pPr>
        <w:pStyle w:val="FirstParagraph"/>
      </w:pPr>
      <w:r>
        <w:rPr>
          <w:rFonts w:hint="eastAsia"/>
        </w:rPr>
        <w:t xml:space="preserve">マーチャントの4時間蓄電池の</w:t>
      </w:r>
      <w:r>
        <w:t xml:space="preserve"> APV </w:t>
      </w:r>
      <w:r>
        <w:rPr>
          <w:rFonts w:hint="eastAsia"/>
        </w:rPr>
        <w:t xml:space="preserve">は、容量市場と上限のない1/2補助を加えても−7.2万円/kW</w:t>
      </w:r>
      <w:r>
        <w:t xml:space="preserve"> </w:t>
      </w:r>
      <w:r>
        <w:rPr>
          <w:rFonts w:hint="eastAsia"/>
        </w:rPr>
        <w:t xml:space="preserve">である（図8.4</w:t>
      </w:r>
      <w:r>
        <w:t xml:space="preserve"> の (a)。</w:t>
      </w:r>
      <m:oMath>
        <m:sSubSup>
          <m:e>
            <m:r>
              <m:t>r</m:t>
            </m:r>
          </m:e>
          <m:sub>
            <m:r>
              <m:t>A</m:t>
            </m:r>
          </m:sub>
          <m:sup>
            <m:r>
              <m:t>M</m:t>
            </m:r>
          </m:sup>
        </m:sSubSup>
        <m:r>
          <m:rPr>
            <m:sty m:val="p"/>
          </m:rPr>
          <m:t>=</m:t>
        </m:r>
        <m:r>
          <m:t>8</m:t>
        </m:r>
        <m:r>
          <m:rPr>
            <m:sty m:val="p"/>
          </m:rPr>
          <m:t>%</m:t>
        </m:r>
      </m:oMath>
      <w:r>
        <w:t xml:space="preserve"> </w:t>
      </w:r>
      <w:r>
        <w:rPr>
          <w:rFonts w:hint="eastAsia"/>
        </w:rPr>
        <w:t xml:space="preserve">では−6.7万円）。APV</w:t>
      </w:r>
      <w:r>
        <w:t xml:space="preserve"> </w:t>
      </w:r>
      <w:r>
        <w:rPr>
          <w:rFonts w:hint="eastAsia"/>
        </w:rPr>
        <w:t xml:space="preserve">が0になる水準係数は1.94</w:t>
      </w:r>
      <w:r>
        <w:t xml:space="preserve"> </w:t>
      </w:r>
      <w:r>
        <w:rPr>
          <w:rFonts w:hint="eastAsia"/>
        </w:rPr>
        <w:t xml:space="preserve">で、観察された最も高い</w:t>
      </w:r>
      <w:r>
        <w:t xml:space="preserve"> FY2022 </w:t>
      </w:r>
      <w:r>
        <w:rPr>
          <w:rFonts w:hint="eastAsia"/>
        </w:rPr>
        <w:t xml:space="preserve">の水準（1.72）でも届かない。</w:t>
      </w:r>
    </w:p>
    <w:p>
      <w:pPr>
        <w:pStyle w:val="BodyText"/>
      </w:pPr>
      <w:r>
        <w:t xml:space="preserve">LTDA </w:t>
      </w:r>
      <w:r>
        <w:rPr>
          <w:rFonts w:hint="eastAsia"/>
        </w:rPr>
        <w:t xml:space="preserve">の6時間蓄電池は、マーチャントとしての</w:t>
      </w:r>
      <w:r>
        <w:t xml:space="preserve"> </w:t>
      </w:r>
      <w:r>
        <w:rPr>
          <w:rFonts w:hint="eastAsia"/>
        </w:rPr>
        <w:t xml:space="preserve">NPV（−32.3万円/kW）に、式(8.1)のスワップを重ねたものとみなせる。手放す収入は年2.09万円/kW</w:t>
      </w:r>
      <w:r>
        <w:t xml:space="preserve"> </w:t>
      </w:r>
      <w:r>
        <w:rPr>
          <w:rFonts w:hint="eastAsia"/>
        </w:rPr>
        <w:t xml:space="preserve">で、その3分の2は容量収入である</w:t>
      </w:r>
      <w:r>
        <w:rPr>
          <w:rStyle w:val="FootnoteReference"/>
        </w:rPr>
        <w:footnoteReference w:id="248"/>
      </w:r>
      <w:r>
        <w:rPr>
          <w:rFonts w:hint="eastAsia"/>
        </w:rPr>
        <w:t xml:space="preserve">。上限価格7.2万円・期待容量では、スワップの価値+64.3万円のうち、期待値の移転が+57.3万円、リスク移転は+7.0万円（10.9%）にすぎず、APV</w:t>
      </w:r>
      <w:r>
        <w:t xml:space="preserve"> </w:t>
      </w:r>
      <w:r>
        <w:rPr>
          <w:rFonts w:hint="eastAsia"/>
        </w:rPr>
        <w:t xml:space="preserve">は+32.0万円/kW</w:t>
      </w:r>
      <w:r>
        <w:t xml:space="preserve"> </w:t>
      </w:r>
      <w:r>
        <w:rPr>
          <w:rFonts w:hint="eastAsia"/>
        </w:rPr>
        <w:t xml:space="preserve">になる。リスク移転の比率は、固定側を20年国債程度の2.5%で割り引く場合を含め、割引率を動かしても5〜18%であり、LTDA</w:t>
      </w:r>
      <w:r>
        <w:t xml:space="preserve"> </w:t>
      </w:r>
      <w:r>
        <w:rPr>
          <w:rFonts w:hint="eastAsia"/>
        </w:rPr>
        <w:t xml:space="preserve">が参入を作る価値の大部分は期待値そのものの移転である。手放す収入と等価な公正な固定価格は、</w:t>
      </w:r>
      <m:oMath>
        <m:sSub>
          <m:e>
            <m:r>
              <m:t>r</m:t>
            </m:r>
          </m:e>
          <m:sub>
            <m:r>
              <m:t>C</m:t>
            </m:r>
          </m:sub>
        </m:sSub>
        <m:r>
          <m:rPr>
            <m:sty m:val="p"/>
          </m:rPr>
          <m:t>=</m:t>
        </m:r>
        <m:r>
          <m:t>5</m:t>
        </m:r>
        <m:r>
          <m:rPr>
            <m:sty m:val="p"/>
          </m:rPr>
          <m:t>%</m:t>
        </m:r>
      </m:oMath>
      <w:r>
        <w:t xml:space="preserve"> </w:t>
      </w:r>
      <w:r>
        <w:rPr>
          <w:rFonts w:hint="eastAsia"/>
        </w:rPr>
        <w:t xml:space="preserve">で契約容量1kWあたり年1.5万〜1.6万円にすぎず、上限価格はその4.4〜5.0倍である。固定収入の価値の77〜80%は、手放す収入との交換ではなく、容量拠出金を通じた需要家からの移転にあたる</w:t>
      </w:r>
      <w:r>
        <w:rPr>
          <w:rStyle w:val="FootnoteReference"/>
        </w:rPr>
        <w:footnoteReference w:id="249"/>
      </w:r>
      <w:r>
        <w:rPr>
          <w:rFonts w:hint="eastAsia"/>
        </w:rPr>
        <w:t xml:space="preserve">。その受け手は、容量拠出金を負担する小売電気事業者と、その先の需要家である（豪州の</w:t>
      </w:r>
      <w:r>
        <w:t xml:space="preserve"> CfD </w:t>
      </w:r>
      <w:r>
        <w:rPr>
          <w:rFonts w:hint="eastAsia"/>
        </w:rPr>
        <w:t xml:space="preserve">で残余のリスクが納税者に移るという</w:t>
      </w:r>
      <w:r>
        <w:t xml:space="preserve"> Gohdes et al., 2022 </w:t>
      </w:r>
      <w:r>
        <w:rPr>
          <w:rFonts w:hint="eastAsia"/>
        </w:rPr>
        <w:t xml:space="preserve">の指摘に対応する）。なお、4時間のマーチャントと6時間の</w:t>
      </w:r>
      <w:r>
        <w:t xml:space="preserve"> LTDA </w:t>
      </w:r>
      <w:r>
        <w:rPr>
          <w:rFonts w:hint="eastAsia"/>
        </w:rPr>
        <w:t xml:space="preserve">は資産が違うので、この分解は成分の相対的な大きさを見るためのものであり、水準の比較には事業</w:t>
      </w:r>
      <w:r>
        <w:t xml:space="preserve"> IRR </w:t>
      </w:r>
      <w:r>
        <w:rPr>
          <w:rFonts w:hint="eastAsia"/>
        </w:rPr>
        <w:t xml:space="preserve">を用いる。</w:t>
      </w:r>
    </w:p>
    <w:p>
      <w:pPr>
        <w:pStyle w:val="CaptionedFigure"/>
      </w:pPr>
      <w:r>
        <w:drawing>
          <wp:inline>
            <wp:extent cx="5399999" cy="4957377"/>
            <wp:effectExtent b="0" l="0" r="0" t="0"/>
            <wp:docPr descr="図8.4　調整現在価値による乖離の分解（マーチャント4時間、LTDA 6時間）" title="" id="251" name="Picture"/>
            <a:graphic>
              <a:graphicData uri="http://schemas.openxmlformats.org/drawingml/2006/picture">
                <pic:pic>
                  <pic:nvPicPr>
                    <pic:cNvPr descr="../figures/hokkaido/apv_decomposition.png" id="252" name="Picture"/>
                    <pic:cNvPicPr>
                      <a:picLocks noChangeArrowheads="1" noChangeAspect="1"/>
                    </pic:cNvPicPr>
                  </pic:nvPicPr>
                  <pic:blipFill>
                    <a:blip r:embed="rId250"/>
                    <a:stretch>
                      <a:fillRect/>
                    </a:stretch>
                  </pic:blipFill>
                  <pic:spPr bwMode="auto">
                    <a:xfrm>
                      <a:off x="0" y="0"/>
                      <a:ext cx="5399999" cy="4957377"/>
                    </a:xfrm>
                    <a:prstGeom prst="rect">
                      <a:avLst/>
                    </a:prstGeom>
                    <a:noFill/>
                    <a:ln w="9525">
                      <a:noFill/>
                      <a:headEnd/>
                      <a:tailEnd/>
                    </a:ln>
                  </pic:spPr>
                </pic:pic>
              </a:graphicData>
            </a:graphic>
          </wp:inline>
        </w:drawing>
      </w:r>
    </w:p>
    <w:p>
      <w:pPr>
        <w:pStyle w:val="ImageCaption"/>
      </w:pPr>
      <w:r>
        <w:rPr>
          <w:rFonts w:hint="eastAsia"/>
        </w:rPr>
        <w:t xml:space="preserve">図8.4</w:t>
      </w:r>
      <w:r>
        <w:t xml:space="preserve">　</w:t>
      </w:r>
      <w:r>
        <w:rPr>
          <w:rFonts w:hint="eastAsia"/>
        </w:rPr>
        <w:t xml:space="preserve">調整現在価値による乖離の分解（マーチャント4時間、LTDA</w:t>
      </w:r>
      <w:r>
        <w:t xml:space="preserve"> </w:t>
      </w:r>
      <w:r>
        <w:rPr>
          <w:rFonts w:hint="eastAsia"/>
        </w:rPr>
        <w:t xml:space="preserve">6時間）</w:t>
      </w:r>
    </w:p>
    <w:p>
      <w:pPr>
        <w:pStyle w:val="TableNote"/>
      </w:pPr>
      <w:r>
        <w:rPr>
          <w:rFonts w:hint="eastAsia"/>
        </w:rPr>
        <w:t xml:space="preserve">注）万円/kW。無レバレッジ・税前・20年、資本費6.8万円/kWh、借入なし。(a)</w:t>
      </w:r>
      <w:r>
        <w:t xml:space="preserve"> </w:t>
      </w:r>
      <w:r>
        <w:rPr>
          <w:rFonts w:hint="eastAsia"/>
        </w:rPr>
        <w:t xml:space="preserve">はマーチャント4時間蓄電池（</w:t>
      </w:r>
      <m:oMath>
        <m:r>
          <m:t>θ</m:t>
        </m:r>
        <m:r>
          <m:rPr>
            <m:sty m:val="p"/>
          </m:rPr>
          <m:t>=</m:t>
        </m:r>
        <m:r>
          <m:t>1</m:t>
        </m:r>
      </m:oMath>
      <w:r>
        <w:t xml:space="preserve">、</w:t>
      </w:r>
      <m:oMath>
        <m:sSubSup>
          <m:e>
            <m:r>
              <m:t>r</m:t>
            </m:r>
          </m:e>
          <m:sub>
            <m:r>
              <m:t>A</m:t>
            </m:r>
          </m:sub>
          <m:sup>
            <m:r>
              <m:t>M</m:t>
            </m:r>
          </m:sup>
        </m:sSubSup>
        <m:r>
          <m:rPr>
            <m:sty m:val="p"/>
          </m:rPr>
          <m:t>=</m:t>
        </m:r>
        <m:r>
          <m:t>9</m:t>
        </m:r>
        <m:r>
          <m:rPr>
            <m:sty m:val="p"/>
          </m:rPr>
          <m:t>%</m:t>
        </m:r>
      </m:oMath>
      <w:r>
        <w:rPr>
          <w:rFonts w:hint="eastAsia"/>
        </w:rPr>
        <w:t xml:space="preserve">）で、スポットは実績整合ケースの</w:t>
      </w:r>
      <w:r>
        <w:t xml:space="preserve"> </w:t>
      </w:r>
      <m:oMath>
        <m:r>
          <m:t>π</m:t>
        </m:r>
        <m:r>
          <m:rPr>
            <m:sty m:val="p"/>
          </m:rPr>
          <m:t>(</m:t>
        </m:r>
        <m:r>
          <m:t>0</m:t>
        </m:r>
        <m:r>
          <m:rPr>
            <m:sty m:val="p"/>
          </m:rPr>
          <m:t>)</m:t>
        </m:r>
        <m:r>
          <m:rPr>
            <m:sty m:val="p"/>
          </m:rPr>
          <m:t>=</m:t>
        </m:r>
        <m:r>
          <m:t>6</m:t>
        </m:r>
        <m:r>
          <m:rPr>
            <m:sty m:val="p"/>
          </m:rPr>
          <m:t>,</m:t>
        </m:r>
        <m:r>
          <m:t>675</m:t>
        </m:r>
      </m:oMath>
      <w:r>
        <w:t xml:space="preserve"> </w:t>
      </w:r>
      <w:r>
        <w:rPr>
          <w:rFonts w:hint="eastAsia"/>
        </w:rPr>
        <w:t xml:space="preserve">円/kW-年、容量市場は実効1.25万円/kW-年、補助金は上限のない1/2で割り引かない。(b)</w:t>
      </w:r>
      <w:r>
        <w:t xml:space="preserve"> は LTDA </w:t>
      </w:r>
      <w:r>
        <w:rPr>
          <w:rFonts w:hint="eastAsia"/>
        </w:rPr>
        <w:t xml:space="preserve">6時間蓄電池（上限価格7.2万円・期待容量、</w:t>
      </w:r>
      <m:oMath>
        <m:sSub>
          <m:e>
            <m:r>
              <m:t>r</m:t>
            </m:r>
          </m:e>
          <m:sub>
            <m:r>
              <m:t>C</m:t>
            </m:r>
          </m:sub>
        </m:sSub>
        <m:r>
          <m:rPr>
            <m:sty m:val="p"/>
          </m:rPr>
          <m:t>=</m:t>
        </m:r>
        <m:r>
          <m:t>5</m:t>
        </m:r>
        <m:r>
          <m:rPr>
            <m:sty m:val="p"/>
          </m:rPr>
          <m:t>%</m:t>
        </m:r>
      </m:oMath>
      <w:r>
        <w:t xml:space="preserve">・</w:t>
      </w:r>
      <m:oMath>
        <m:sSubSup>
          <m:e>
            <m:r>
              <m:t>r</m:t>
            </m:r>
          </m:e>
          <m:sub>
            <m:r>
              <m:t>A</m:t>
            </m:r>
          </m:sub>
          <m:sup>
            <m:r>
              <m:t>M</m:t>
            </m:r>
          </m:sup>
        </m:sSubSup>
        <m:r>
          <m:rPr>
            <m:sty m:val="p"/>
          </m:rPr>
          <m:t>=</m:t>
        </m:r>
        <m:r>
          <m:t>9</m:t>
        </m:r>
        <m:r>
          <m:rPr>
            <m:sty m:val="p"/>
          </m:rPr>
          <m:t>%</m:t>
        </m:r>
      </m:oMath>
      <w:r>
        <w:rPr>
          <w:rFonts w:hint="eastAsia"/>
        </w:rPr>
        <w:t xml:space="preserve">）で、スポットは実績価格の上の戦略</w:t>
      </w:r>
      <w:r>
        <w:t xml:space="preserve"> </w:t>
      </w:r>
      <w:r>
        <w:rPr>
          <w:rFonts w:hint="eastAsia"/>
        </w:rPr>
        <w:t xml:space="preserve">c（6時間）、期待値の移転とリスク移転は式(8.1)の2項である。基礎</w:t>
      </w:r>
      <w:r>
        <w:t xml:space="preserve"> NPV </w:t>
      </w:r>
      <w:r>
        <w:rPr>
          <w:rFonts w:hint="eastAsia"/>
        </w:rPr>
        <w:t xml:space="preserve">はスポット収入だけで評価した</w:t>
      </w:r>
      <w:r>
        <w:t xml:space="preserve"> </w:t>
      </w:r>
      <w:r>
        <w:rPr>
          <w:rFonts w:hint="eastAsia"/>
        </w:rPr>
        <w:t xml:space="preserve">NPV。節税効果は含めない。価格水準と落札価格を変えた値は表C.44</w:t>
      </w:r>
      <w:r>
        <w:t xml:space="preserve"> </w:t>
      </w:r>
      <w:r>
        <w:rPr>
          <w:rFonts w:hint="eastAsia"/>
        </w:rPr>
        <w:t xml:space="preserve">に示す。</w:t>
      </w:r>
    </w:p>
    <w:p>
      <w:pPr>
        <w:pStyle w:val="TableNote"/>
      </w:pPr>
      <w:r>
        <w:rPr>
          <w:rFonts w:hint="eastAsia"/>
        </w:rPr>
        <w:t xml:space="preserve">出所）表8.2</w:t>
      </w:r>
      <w:r>
        <w:t xml:space="preserve"> </w:t>
      </w:r>
      <w:r>
        <w:rPr>
          <w:rFonts w:hint="eastAsia"/>
        </w:rPr>
        <w:t xml:space="preserve">と同じ資料、および電力広域的運営推進機関『長期脱炭素電源オークション募集要綱』より筆者推計。</w:t>
      </w:r>
    </w:p>
    <w:p>
      <w:pPr>
        <w:pStyle w:val="BodyText"/>
      </w:pPr>
      <w:r>
        <w:rPr>
          <w:rFonts w:hint="eastAsia"/>
        </w:rPr>
        <w:t xml:space="preserve">表8.1</w:t>
      </w:r>
      <w:r>
        <w:t xml:space="preserve"> </w:t>
      </w:r>
      <w:r>
        <w:rPr>
          <w:rFonts w:hint="eastAsia"/>
        </w:rPr>
        <w:t xml:space="preserve">の勘定に戻ると、補助を受けた案件の</w:t>
      </w:r>
      <w:r>
        <w:t xml:space="preserve"> APV </w:t>
      </w:r>
      <w:r>
        <w:rPr>
          <w:rFonts w:hint="eastAsia"/>
        </w:rPr>
        <w:t xml:space="preserve">が0になる割引率は、上限のない1/2補助・FY2026上期の水準で5.9%、FY2023〜25</w:t>
      </w:r>
      <w:r>
        <w:t xml:space="preserve"> </w:t>
      </w:r>
      <w:r>
        <w:rPr>
          <w:rFonts w:hint="eastAsia"/>
        </w:rPr>
        <w:t xml:space="preserve">の水準で0.3%であり、補助のないマーチャントは</w:t>
      </w:r>
      <w:r>
        <w:t xml:space="preserve"> </w:t>
      </w:r>
      <w:r>
        <w:rPr>
          <w:rFonts w:hint="eastAsia"/>
        </w:rPr>
        <w:t xml:space="preserve">FY2026上期の水準でも事業</w:t>
      </w:r>
      <w:r>
        <w:t xml:space="preserve"> IRR </w:t>
      </w:r>
      <w:r>
        <w:rPr>
          <w:rFonts w:hint="eastAsia"/>
        </w:rPr>
        <w:t xml:space="preserve">が負で、どの割引率でも説明できない（付録C.4.4）。したがって接続済みの容量の説明は、契約型並みの割引率と</w:t>
      </w:r>
      <w:r>
        <w:t xml:space="preserve"> </w:t>
      </w:r>
      <w:r>
        <w:rPr>
          <w:rFonts w:hint="eastAsia"/>
        </w:rPr>
        <w:t xml:space="preserve">FY2026上期並みの価格水準を同時に置く場合に限られ、マーチャントの資本コストの下では、計測していない需給調整市場のレントと見通しの違いに依存する。</w:t>
      </w:r>
    </w:p>
    <w:bookmarkEnd w:id="253"/>
    <w:bookmarkStart w:id="254" w:name="確実性等価による検算"/>
    <w:p>
      <w:pPr>
        <w:pStyle w:val="Heading3"/>
      </w:pPr>
      <w:r>
        <w:t xml:space="preserve">8.7.4　</w:t>
      </w:r>
      <w:r>
        <w:rPr>
          <w:rFonts w:hint="eastAsia"/>
        </w:rPr>
        <w:t xml:space="preserve">確実性等価による検算</w:t>
      </w:r>
    </w:p>
    <w:p>
      <w:pPr>
        <w:pStyle w:val="FirstParagraph"/>
      </w:pPr>
      <w:r>
        <w:rPr>
          <w:rFonts w:hint="eastAsia"/>
        </w:rPr>
        <w:t xml:space="preserve">確実性等価で測っても、期待値の移転が大半であるという結論は変わらない。4時間のスポット収入のリスクを全部移したときにマーチャントの不足額が埋まる比率は、価格水準を定常</w:t>
      </w:r>
      <w:r>
        <w:t xml:space="preserve"> AR(1) </w:t>
      </w:r>
      <w:r>
        <w:rPr>
          <w:rFonts w:hint="eastAsia"/>
        </w:rPr>
        <w:t xml:space="preserve">とすると0.7〜11.0%、恒久成分をランダムウォークとすると2.2〜34.2%にとどまり（表C.45）、LTDA</w:t>
      </w:r>
      <w:r>
        <w:t xml:space="preserve"> </w:t>
      </w:r>
      <w:r>
        <w:rPr>
          <w:rFonts w:hint="eastAsia"/>
        </w:rPr>
        <w:t xml:space="preserve">が移すのは他市場収益の9割なので、保険価値はこれよりさらに小さい。この比率は、6%で割り引くことで小さめに、市場収益率との相関を正と置くことで大きめに出る、逆向きの二つの偏りを含む値である（付録B.5.4・C.4.5）。</w:t>
      </w:r>
    </w:p>
    <w:bookmarkEnd w:id="254"/>
    <w:bookmarkStart w:id="260" w:name="多因子-cfar-と-ltda-が移転するリスク"/>
    <w:p>
      <w:pPr>
        <w:pStyle w:val="Heading3"/>
      </w:pPr>
      <w:r>
        <w:t xml:space="preserve">8.7.5　</w:t>
      </w:r>
      <w:r>
        <w:rPr>
          <w:rFonts w:hint="eastAsia"/>
        </w:rPr>
        <w:t xml:space="preserve">多因子</w:t>
      </w:r>
      <w:r>
        <w:t xml:space="preserve"> CFaR と LTDA </w:t>
      </w:r>
      <w:r>
        <w:rPr>
          <w:rFonts w:hint="eastAsia"/>
        </w:rPr>
        <w:t xml:space="preserve">が移転するリスク</w:t>
      </w:r>
    </w:p>
    <w:p>
      <w:pPr>
        <w:pStyle w:val="FirstParagraph"/>
      </w:pPr>
      <w:r>
        <w:rPr>
          <w:rFonts w:hint="eastAsia"/>
        </w:rPr>
        <w:t xml:space="preserve">主ケースでは、他者の参入</w:t>
      </w:r>
      <w:r>
        <w:t xml:space="preserve"> </w:t>
      </w:r>
      <m:oMath>
        <m:r>
          <m:t>K</m:t>
        </m:r>
      </m:oMath>
      <w:r>
        <w:t xml:space="preserve"> </w:t>
      </w:r>
      <w:r>
        <w:rPr>
          <w:rFonts w:hint="eastAsia"/>
        </w:rPr>
        <w:t xml:space="preserve">を接続済み約20万kW</w:t>
      </w:r>
      <w:r>
        <w:t xml:space="preserve"> から LTDA </w:t>
      </w:r>
      <w:r>
        <w:rPr>
          <w:rFonts w:hint="eastAsia"/>
        </w:rPr>
        <w:t xml:space="preserve">の北海道分が加わる87.4万kW</w:t>
      </w:r>
      <w:r>
        <w:t xml:space="preserve"> </w:t>
      </w:r>
      <w:r>
        <w:rPr>
          <w:rFonts w:hint="eastAsia"/>
        </w:rPr>
        <w:t xml:space="preserve">までの一様分布とし、容量価格を全国連系の</w:t>
      </w:r>
      <w:r>
        <w:t xml:space="preserve"> </w:t>
      </w:r>
      <m:oMath>
        <m:r>
          <m:t>K</m:t>
        </m:r>
      </m:oMath>
      <w:r>
        <w:t xml:space="preserve"> </w:t>
      </w:r>
      <w:r>
        <w:rPr>
          <w:rFonts w:hint="eastAsia"/>
        </w:rPr>
        <w:t xml:space="preserve">依存とする。このとき年間の市場収入の5%</w:t>
      </w:r>
      <w:r>
        <w:t xml:space="preserve"> CFaR </w:t>
      </w:r>
      <w:r>
        <w:rPr>
          <w:rFonts w:hint="eastAsia"/>
        </w:rPr>
        <w:t xml:space="preserve">は5,869円/kW-年である。期待値の86%は容量収入で、市場収入が固定費（1.22万円/kW-年）を賄えない確率は69%に達する（表8.3）。Shapley</w:t>
      </w:r>
      <w:r>
        <w:t xml:space="preserve"> </w:t>
      </w:r>
      <w:r>
        <w:rPr>
          <w:rFonts w:hint="eastAsia"/>
        </w:rPr>
        <w:t xml:space="preserve">配分では、容量価格の約定水準（51%）と他者の参入（35%）が二大因子で、価格水準</w:t>
      </w:r>
      <w:r>
        <w:t xml:space="preserve"> </w:t>
      </w:r>
      <m:oMath>
        <m:r>
          <m:t>θ</m:t>
        </m:r>
      </m:oMath>
      <w:r>
        <w:t xml:space="preserve"> </w:t>
      </w:r>
      <w:r>
        <w:rPr>
          <w:rFonts w:hint="eastAsia"/>
        </w:rPr>
        <w:t xml:space="preserve">は8%にすぎない。2026年度向けのマルチプライス約定を除くと最大の因子は他者の参入に替わるが（8.8節）、日々の天候の寄与はどの仮定でも3.4%以下である（図8.5）</w:t>
      </w:r>
      <w:r>
        <w:rPr>
          <w:rStyle w:val="FootnoteReference"/>
        </w:rPr>
        <w:footnoteReference w:id="255"/>
      </w:r>
      <w:r>
        <w:t xml:space="preserve">。</w:t>
      </w:r>
    </w:p>
    <w:p>
      <w:pPr>
        <w:pStyle w:val="TableCaption"/>
      </w:pPr>
      <w:r>
        <w:rPr>
          <w:rFonts w:hint="eastAsia"/>
        </w:rPr>
        <w:t xml:space="preserve">表8.3</w:t>
      </w:r>
      <w:r>
        <w:t xml:space="preserve">　</w:t>
      </w:r>
      <w:r>
        <w:rPr>
          <w:rFonts w:hint="eastAsia"/>
        </w:rPr>
        <w:t xml:space="preserve">マーチャント4時間蓄電池の年間市場収入の5%</w:t>
      </w:r>
      <w:r>
        <w:t xml:space="preserve"> CFaR </w:t>
      </w:r>
      <w:r>
        <w:rPr>
          <w:rFonts w:hint="eastAsia"/>
        </w:rPr>
        <w:t xml:space="preserve">と因子別の寄与</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8.3　マーチャント4時間蓄電池の年間市場収入の5% CFaR と因子別の寄与"/>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jc w:val="right"/>
            </w:pPr>
            <w:r>
              <w:rPr>
                <w:sz w:val="18"/>
              </w:rPr>
              <w:t xml:space="preserve">マーチャント</w:t>
            </w:r>
          </w:p>
        </w:tc>
        <w:tc>
          <w:tcPr>
            <w:tcBorders>
              <w:bottom w:val="single" w:sz="6" w:color="000000"/>
            </w:tcBorders>
          </w:tcPr>
          <w:p>
            <w:pPr>
              <w:pStyle w:val="Compact"/>
              <w:jc w:val="right"/>
            </w:pPr>
            <w:r>
              <w:rPr>
                <w:sz w:val="18"/>
              </w:rPr>
              <w:t xml:space="preserve">LTDA</w:t>
            </w:r>
          </w:p>
        </w:tc>
      </w:tr>
      <w:tr>
        <w:tc>
          <w:tcPr/>
          <w:p>
            <w:pPr>
              <w:pStyle w:val="Compact"/>
            </w:pPr>
            <w:r>
              <w:rPr>
                <w:rFonts w:hint="eastAsia"/>
                <w:b/>
                <w:bCs/>
                <w:sz w:val="18"/>
              </w:rPr>
              <w:t xml:space="preserve">パネルA：分布の要約（円/kW-年）</w:t>
            </w:r>
          </w:p>
        </w:tc>
        <w:tc>
          <w:tcPr/>
          <w:p>
            <w:pPr>
              <w:pStyle w:val="Compact"/>
            </w:pPr>
          </w:p>
        </w:tc>
        <w:tc>
          <w:tcPr/>
          <w:p>
            <w:pPr>
              <w:pStyle w:val="Compact"/>
            </w:pPr>
          </w:p>
        </w:tc>
      </w:tr>
      <w:tr>
        <w:tc>
          <w:tcPr/>
          <w:p>
            <w:pPr>
              <w:pStyle w:val="Compact"/>
            </w:pPr>
            <w:r>
              <w:rPr>
                <w:rFonts w:hint="eastAsia"/>
                <w:sz w:val="18"/>
              </w:rPr>
              <w:t xml:space="preserve">期待値</w:t>
            </w:r>
          </w:p>
        </w:tc>
        <w:tc>
          <w:tcPr/>
          <w:p>
            <w:pPr>
              <w:pStyle w:val="Compact"/>
              <w:jc w:val="right"/>
            </w:pPr>
            <w:r>
              <w:rPr>
                <w:sz w:val="18"/>
              </w:rPr>
              <w:t xml:space="preserve">10,738</w:t>
            </w:r>
          </w:p>
        </w:tc>
        <w:tc>
          <w:tcPr/>
          <w:p>
            <w:pPr>
              <w:pStyle w:val="Compact"/>
              <w:jc w:val="right"/>
            </w:pPr>
            <w:r>
              <w:rPr>
                <w:sz w:val="18"/>
              </w:rPr>
              <w:t xml:space="preserve">—</w:t>
            </w:r>
          </w:p>
        </w:tc>
      </w:tr>
      <w:tr>
        <w:tc>
          <w:tcPr/>
          <w:p>
            <w:pPr>
              <w:pStyle w:val="Compact"/>
            </w:pPr>
            <w:r>
              <w:rPr>
                <w:sz w:val="18"/>
              </w:rPr>
              <w:t xml:space="preserve">5% CFaR</w:t>
            </w:r>
          </w:p>
        </w:tc>
        <w:tc>
          <w:tcPr/>
          <w:p>
            <w:pPr>
              <w:pStyle w:val="Compact"/>
              <w:jc w:val="right"/>
            </w:pPr>
            <w:r>
              <w:rPr>
                <w:sz w:val="18"/>
              </w:rPr>
              <w:t xml:space="preserve">5,869</w:t>
            </w:r>
          </w:p>
        </w:tc>
        <w:tc>
          <w:tcPr/>
          <w:p>
            <w:pPr>
              <w:pStyle w:val="Compact"/>
              <w:jc w:val="right"/>
            </w:pPr>
            <w:r>
              <w:rPr>
                <w:sz w:val="18"/>
              </w:rPr>
              <w:t xml:space="preserve">238</w:t>
            </w:r>
          </w:p>
        </w:tc>
      </w:tr>
      <w:tr>
        <w:tc>
          <w:tcPr/>
          <w:p>
            <w:pPr>
              <w:pStyle w:val="Compact"/>
            </w:pPr>
            <w:r>
              <w:rPr>
                <w:sz w:val="18"/>
              </w:rPr>
              <w:t xml:space="preserve">5% ES</w:t>
            </w:r>
          </w:p>
        </w:tc>
        <w:tc>
          <w:tcPr/>
          <w:p>
            <w:pPr>
              <w:pStyle w:val="Compact"/>
              <w:jc w:val="right"/>
            </w:pPr>
            <w:r>
              <w:rPr>
                <w:sz w:val="18"/>
              </w:rPr>
              <w:t xml:space="preserve">6,463</w:t>
            </w:r>
          </w:p>
        </w:tc>
        <w:tc>
          <w:tcPr/>
          <w:p>
            <w:pPr>
              <w:pStyle w:val="Compact"/>
              <w:jc w:val="right"/>
            </w:pPr>
            <w:r>
              <w:rPr>
                <w:sz w:val="18"/>
              </w:rPr>
              <w:t xml:space="preserve">255</w:t>
            </w:r>
          </w:p>
        </w:tc>
      </w:tr>
      <w:tr>
        <w:tc>
          <w:tcPr/>
          <w:p>
            <w:pPr>
              <w:pStyle w:val="Compact"/>
            </w:pPr>
            <w:r>
              <w:rPr>
                <w:rFonts w:hint="eastAsia"/>
                <w:sz w:val="18"/>
              </w:rPr>
              <w:t xml:space="preserve">固定費を賄えない確率</w:t>
            </w:r>
          </w:p>
        </w:tc>
        <w:tc>
          <w:tcPr/>
          <w:p>
            <w:pPr>
              <w:pStyle w:val="Compact"/>
              <w:jc w:val="right"/>
            </w:pPr>
            <w:r>
              <w:rPr>
                <w:sz w:val="18"/>
              </w:rPr>
              <w:t xml:space="preserve">69%</w:t>
            </w:r>
          </w:p>
        </w:tc>
        <w:tc>
          <w:tcPr/>
          <w:p>
            <w:pPr>
              <w:pStyle w:val="Compact"/>
              <w:jc w:val="right"/>
            </w:pPr>
            <w:r>
              <w:rPr>
                <w:sz w:val="18"/>
              </w:rPr>
              <w:t xml:space="preserve">—</w:t>
            </w:r>
          </w:p>
        </w:tc>
      </w:tr>
      <w:tr>
        <w:tc>
          <w:tcPr/>
          <w:p>
            <w:pPr>
              <w:pStyle w:val="Compact"/>
            </w:pPr>
            <w:r>
              <w:rPr>
                <w:rFonts w:hint="eastAsia"/>
                <w:b/>
                <w:bCs/>
                <w:sz w:val="18"/>
              </w:rPr>
              <w:t xml:space="preserve">パネルB：5%</w:t>
            </w:r>
            <w:r>
              <w:rPr>
                <w:b/>
                <w:bCs/>
                <w:sz w:val="18"/>
              </w:rPr>
              <w:t xml:space="preserve"> CFaR の Shapley </w:t>
            </w:r>
            <w:r>
              <w:rPr>
                <w:rFonts w:hint="eastAsia"/>
                <w:b/>
                <w:bCs/>
                <w:sz w:val="18"/>
              </w:rPr>
              <w:t xml:space="preserve">配分（円/kW-年）</w:t>
            </w:r>
          </w:p>
        </w:tc>
        <w:tc>
          <w:tcPr/>
          <w:p>
            <w:pPr>
              <w:pStyle w:val="Compact"/>
            </w:pPr>
          </w:p>
        </w:tc>
        <w:tc>
          <w:tcPr/>
          <w:p>
            <w:pPr>
              <w:pStyle w:val="Compact"/>
            </w:pPr>
          </w:p>
        </w:tc>
      </w:tr>
      <w:tr>
        <w:tc>
          <w:tcPr/>
          <w:p>
            <w:pPr>
              <w:pStyle w:val="Compact"/>
            </w:pPr>
            <w:r>
              <w:rPr>
                <w:rFonts w:hint="eastAsia"/>
                <w:sz w:val="18"/>
              </w:rPr>
              <w:t xml:space="preserve">価格水準</w:t>
            </w:r>
            <w:r>
              <w:rPr>
                <w:sz w:val="18"/>
              </w:rPr>
              <w:t xml:space="preserve"> </w:t>
            </w:r>
            <m:oMath>
              <m:r>
                <m:t>θ</m:t>
              </m:r>
            </m:oMath>
          </w:p>
        </w:tc>
        <w:tc>
          <w:tcPr/>
          <w:p>
            <w:pPr>
              <w:pStyle w:val="Compact"/>
              <w:jc w:val="right"/>
            </w:pPr>
            <w:r>
              <w:rPr>
                <w:rFonts w:hint="eastAsia"/>
                <w:sz w:val="18"/>
              </w:rPr>
              <w:t xml:space="preserve">470（8%）</w:t>
            </w:r>
          </w:p>
        </w:tc>
        <w:tc>
          <w:tcPr/>
          <w:p>
            <w:pPr>
              <w:pStyle w:val="Compact"/>
              <w:jc w:val="right"/>
            </w:pPr>
            <w:r>
              <w:rPr>
                <w:sz w:val="18"/>
              </w:rPr>
              <w:t xml:space="preserve">55</w:t>
            </w:r>
          </w:p>
        </w:tc>
      </w:tr>
      <w:tr>
        <w:tc>
          <w:tcPr/>
          <w:p>
            <w:pPr>
              <w:pStyle w:val="Compact"/>
            </w:pPr>
            <w:r>
              <w:rPr>
                <w:rFonts w:hint="eastAsia"/>
                <w:sz w:val="18"/>
              </w:rPr>
              <w:t xml:space="preserve">他者の参入</w:t>
            </w:r>
            <w:r>
              <w:rPr>
                <w:sz w:val="18"/>
              </w:rPr>
              <w:t xml:space="preserve"> </w:t>
            </w:r>
            <m:oMath>
              <m:r>
                <m:t>K</m:t>
              </m:r>
            </m:oMath>
          </w:p>
        </w:tc>
        <w:tc>
          <w:tcPr/>
          <w:p>
            <w:pPr>
              <w:pStyle w:val="Compact"/>
              <w:jc w:val="right"/>
            </w:pPr>
            <w:r>
              <w:rPr>
                <w:rFonts w:hint="eastAsia"/>
                <w:sz w:val="18"/>
              </w:rPr>
              <w:t xml:space="preserve">2,025（35%）</w:t>
            </w:r>
          </w:p>
        </w:tc>
        <w:tc>
          <w:tcPr/>
          <w:p>
            <w:pPr>
              <w:pStyle w:val="Compact"/>
              <w:jc w:val="right"/>
            </w:pPr>
            <w:r>
              <w:rPr>
                <w:sz w:val="18"/>
              </w:rPr>
              <w:t xml:space="preserve">136</w:t>
            </w:r>
          </w:p>
        </w:tc>
      </w:tr>
      <w:tr>
        <w:tc>
          <w:tcPr/>
          <w:p>
            <w:pPr>
              <w:pStyle w:val="Compact"/>
            </w:pPr>
            <w:r>
              <w:rPr>
                <w:rFonts w:hint="eastAsia"/>
                <w:sz w:val="18"/>
              </w:rPr>
              <w:t xml:space="preserve">容量価格の約定水準</w:t>
            </w:r>
            <w:r>
              <w:rPr>
                <w:sz w:val="18"/>
              </w:rPr>
              <w:t xml:space="preserve"> </w:t>
            </w:r>
            <m:oMath>
              <m:r>
                <m:t>L</m:t>
              </m:r>
            </m:oMath>
          </w:p>
        </w:tc>
        <w:tc>
          <w:tcPr/>
          <w:p>
            <w:pPr>
              <w:pStyle w:val="Compact"/>
              <w:jc w:val="right"/>
            </w:pPr>
            <w:r>
              <w:rPr>
                <w:rFonts w:hint="eastAsia"/>
                <w:sz w:val="18"/>
              </w:rPr>
              <w:t xml:space="preserve">2,972（51%）</w:t>
            </w:r>
          </w:p>
        </w:tc>
        <w:tc>
          <w:tcPr/>
          <w:p>
            <w:pPr>
              <w:pStyle w:val="Compact"/>
              <w:jc w:val="right"/>
            </w:pPr>
            <w:r>
              <w:rPr>
                <w:sz w:val="18"/>
              </w:rPr>
              <w:t xml:space="preserve">0</w:t>
            </w:r>
          </w:p>
        </w:tc>
      </w:tr>
      <w:tr>
        <w:tc>
          <w:tcPr/>
          <w:p>
            <w:pPr>
              <w:pStyle w:val="Compact"/>
            </w:pPr>
            <w:r>
              <w:rPr>
                <w:rFonts w:hint="eastAsia"/>
                <w:sz w:val="18"/>
              </w:rPr>
              <w:t xml:space="preserve">年度単位の形状</w:t>
            </w:r>
            <w:r>
              <w:rPr>
                <w:sz w:val="18"/>
              </w:rPr>
              <w:t xml:space="preserve"> </w:t>
            </w:r>
            <m:oMath>
              <m:r>
                <m:t>S</m:t>
              </m:r>
            </m:oMath>
          </w:p>
        </w:tc>
        <w:tc>
          <w:tcPr/>
          <w:p>
            <w:pPr>
              <w:pStyle w:val="Compact"/>
              <w:jc w:val="right"/>
            </w:pPr>
            <w:r>
              <w:rPr>
                <w:rFonts w:hint="eastAsia"/>
                <w:sz w:val="18"/>
              </w:rPr>
              <w:t xml:space="preserve">351（6%）</w:t>
            </w:r>
          </w:p>
        </w:tc>
        <w:tc>
          <w:tcPr/>
          <w:p>
            <w:pPr>
              <w:pStyle w:val="Compact"/>
              <w:jc w:val="right"/>
            </w:pPr>
            <w:r>
              <w:rPr>
                <w:sz w:val="18"/>
              </w:rPr>
              <w:t xml:space="preserve">41</w:t>
            </w:r>
          </w:p>
        </w:tc>
      </w:tr>
      <w:tr>
        <w:tc>
          <w:tcPr/>
          <w:p>
            <w:pPr>
              <w:pStyle w:val="Compact"/>
            </w:pPr>
            <w:r>
              <w:rPr>
                <w:rFonts w:hint="eastAsia"/>
                <w:sz w:val="18"/>
              </w:rPr>
              <w:t xml:space="preserve">日々の天候</w:t>
            </w:r>
            <w:r>
              <w:rPr>
                <w:sz w:val="18"/>
              </w:rPr>
              <w:t xml:space="preserve"> </w:t>
            </w:r>
            <m:oMath>
              <m:r>
                <m:t>ω</m:t>
              </m:r>
            </m:oMath>
          </w:p>
        </w:tc>
        <w:tc>
          <w:tcPr/>
          <w:p>
            <w:pPr>
              <w:pStyle w:val="Compact"/>
              <w:jc w:val="right"/>
            </w:pPr>
            <w:r>
              <w:rPr>
                <w:rFonts w:hint="eastAsia"/>
                <w:sz w:val="18"/>
              </w:rPr>
              <w:t xml:space="preserve">50（1%）</w:t>
            </w:r>
          </w:p>
        </w:tc>
        <w:tc>
          <w:tcPr/>
          <w:p>
            <w:pPr>
              <w:pStyle w:val="Compact"/>
              <w:jc w:val="right"/>
            </w:pPr>
            <w:r>
              <w:rPr>
                <w:sz w:val="18"/>
              </w:rPr>
              <w:t xml:space="preserve">6</w:t>
            </w:r>
          </w:p>
        </w:tc>
      </w:tr>
    </w:tbl>
    <w:p>
      <w:pPr>
        <w:pStyle w:val="TableNote"/>
      </w:pPr>
      <w:r>
        <w:rPr>
          <w:rFonts w:hint="eastAsia"/>
        </w:rPr>
        <w:t xml:space="preserve">注）主ケース（容量価格の</w:t>
      </w:r>
      <w:r>
        <w:t xml:space="preserve"> </w:t>
      </w:r>
      <m:oMath>
        <m:r>
          <m:t>K</m:t>
        </m:r>
      </m:oMath>
      <w:r>
        <w:t xml:space="preserve"> </w:t>
      </w:r>
      <w:r>
        <w:rPr>
          <w:rFonts w:hint="eastAsia"/>
        </w:rPr>
        <w:t xml:space="preserve">依存を全国連系、約定水準を2026〜29年度向けの4値）、実績整合ケース、20万回のモンテカルロ。CFaR・ES</w:t>
      </w:r>
      <w:r>
        <w:t xml:space="preserve"> </w:t>
      </w:r>
      <w:r>
        <w:rPr>
          <w:rFonts w:hint="eastAsia"/>
        </w:rPr>
        <w:t xml:space="preserve">は期待値からの差。LTDA</w:t>
      </w:r>
      <w:r>
        <w:t xml:space="preserve"> </w:t>
      </w:r>
      <w:r>
        <w:rPr>
          <w:rFonts w:hint="eastAsia"/>
        </w:rPr>
        <w:t xml:space="preserve">は固定収入とスポット収益の1割からなる落札者の収入。パネルBの括弧内は構成比。約定水準と按分曲線を変えた感応度は表C.46・表C.47</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出所）日本卸電力取引所『スポット市場取引結果』、北海道電力ネットワーク『エリア需給実績』、電力広域的運営推進機関『容量市場メインオークション約定結果』より筆者推計。</w:t>
      </w:r>
    </w:p>
    <w:p>
      <w:pPr>
        <w:pStyle w:val="CaptionedFigure"/>
      </w:pPr>
      <w:r>
        <w:drawing>
          <wp:inline>
            <wp:extent cx="5399999" cy="6904918"/>
            <wp:effectExtent b="0" l="0" r="0" t="0"/>
            <wp:docPr descr="図8.5　年間市場収入の5%下振れと因子別の寄与" title="" id="257" name="Picture"/>
            <a:graphic>
              <a:graphicData uri="http://schemas.openxmlformats.org/drawingml/2006/picture">
                <pic:pic>
                  <pic:nvPicPr>
                    <pic:cNvPr descr="../figures/hokkaido/cfar_decomposition.png" id="258" name="Picture"/>
                    <pic:cNvPicPr>
                      <a:picLocks noChangeArrowheads="1" noChangeAspect="1"/>
                    </pic:cNvPicPr>
                  </pic:nvPicPr>
                  <pic:blipFill>
                    <a:blip r:embed="rId256"/>
                    <a:stretch>
                      <a:fillRect/>
                    </a:stretch>
                  </pic:blipFill>
                  <pic:spPr bwMode="auto">
                    <a:xfrm>
                      <a:off x="0" y="0"/>
                      <a:ext cx="5399999" cy="6904918"/>
                    </a:xfrm>
                    <a:prstGeom prst="rect">
                      <a:avLst/>
                    </a:prstGeom>
                    <a:noFill/>
                    <a:ln w="9525">
                      <a:noFill/>
                      <a:headEnd/>
                      <a:tailEnd/>
                    </a:ln>
                  </pic:spPr>
                </pic:pic>
              </a:graphicData>
            </a:graphic>
          </wp:inline>
        </w:drawing>
      </w:r>
    </w:p>
    <w:p>
      <w:pPr>
        <w:pStyle w:val="ImageCaption"/>
      </w:pPr>
      <w:r>
        <w:rPr>
          <w:rFonts w:hint="eastAsia"/>
        </w:rPr>
        <w:t xml:space="preserve">図8.5</w:t>
      </w:r>
      <w:r>
        <w:t xml:space="preserve">　</w:t>
      </w:r>
      <w:r>
        <w:rPr>
          <w:rFonts w:hint="eastAsia"/>
        </w:rPr>
        <w:t xml:space="preserve">年間市場収入の5%下振れと因子別の寄与</w:t>
      </w:r>
    </w:p>
    <w:p>
      <w:pPr>
        <w:pStyle w:val="TableNote"/>
      </w:pPr>
      <w:r>
        <w:rPr>
          <w:rFonts w:hint="eastAsia"/>
        </w:rPr>
        <w:t xml:space="preserve">注）(a)</w:t>
      </w:r>
      <w:r>
        <w:t xml:space="preserve"> </w:t>
      </w:r>
      <w:r>
        <w:rPr>
          <w:rFonts w:hint="eastAsia"/>
        </w:rPr>
        <w:t xml:space="preserve">基準</w:t>
      </w:r>
      <w:r>
        <w:t xml:space="preserve"> </w:t>
      </w:r>
      <m:oMath>
        <m:sSub>
          <m:e>
            <m:r>
              <m:t>R</m:t>
            </m:r>
          </m:e>
          <m:sub>
            <m:r>
              <m:rPr>
                <m:sty m:val="p"/>
              </m:rPr>
              <m:t>r</m:t>
            </m:r>
            <m:r>
              <m:rPr>
                <m:sty m:val="p"/>
              </m:rPr>
              <m:t>e</m:t>
            </m:r>
            <m:r>
              <m:rPr>
                <m:sty m:val="p"/>
              </m:rPr>
              <m:t>f</m:t>
            </m:r>
          </m:sub>
        </m:sSub>
      </m:oMath>
      <w:r>
        <w:rPr>
          <w:rFonts w:hint="eastAsia"/>
        </w:rPr>
        <w:t xml:space="preserve">（他者の参入なし・</w:t>
      </w:r>
      <m:oMath>
        <m:r>
          <m:t>θ</m:t>
        </m:r>
        <m:r>
          <m:rPr>
            <m:sty m:val="p"/>
          </m:rPr>
          <m:t>=</m:t>
        </m:r>
        <m:r>
          <m:t>1</m:t>
        </m:r>
      </m:oMath>
      <w:r>
        <w:rPr>
          <w:rFonts w:hint="eastAsia"/>
        </w:rPr>
        <w:t xml:space="preserve">・容量収入12,517円で19,192円/kW-年）から1因子だけを確率変数にしたときの5%点までの下振れ（括弧内は期待値の低下分、斜線は感応度のケース）。(b)</w:t>
      </w:r>
      <w:r>
        <w:t xml:space="preserve"> </w:t>
      </w:r>
      <w:r>
        <w:rPr>
          <w:rFonts w:hint="eastAsia"/>
        </w:rPr>
        <w:t xml:space="preserve">5因子同時の5%</w:t>
      </w:r>
      <w:r>
        <w:t xml:space="preserve"> CFaR の Shapley </w:t>
      </w:r>
      <w:r>
        <w:rPr>
          <w:rFonts w:hint="eastAsia"/>
        </w:rPr>
        <w:t xml:space="preserve">配分。実績整合ケース。</w:t>
      </w:r>
    </w:p>
    <w:p>
      <w:pPr>
        <w:pStyle w:val="TableNote"/>
      </w:pPr>
      <w:r>
        <w:rPr>
          <w:rFonts w:hint="eastAsia"/>
        </w:rPr>
        <w:t xml:space="preserve">出所）表8.3</w:t>
      </w:r>
      <w:r>
        <w:t xml:space="preserve"> </w:t>
      </w:r>
      <w:r>
        <w:rPr>
          <w:rFonts w:hint="eastAsia"/>
        </w:rPr>
        <w:t xml:space="preserve">と同じ。</w:t>
      </w:r>
    </w:p>
    <w:p>
      <w:pPr>
        <w:pStyle w:val="BodyText"/>
      </w:pPr>
      <w:r>
        <w:rPr>
          <w:rFonts w:hint="eastAsia"/>
        </w:rPr>
        <w:t xml:space="preserve">この結果は、第7章と8.6節が</w:t>
      </w:r>
      <w:r>
        <w:t xml:space="preserve"> </w:t>
      </w:r>
      <m:oMath>
        <m:r>
          <m:t>θ</m:t>
        </m:r>
      </m:oMath>
      <w:r>
        <w:t xml:space="preserve"> </w:t>
      </w:r>
      <w:r>
        <w:rPr>
          <w:rFonts w:hint="eastAsia"/>
        </w:rPr>
        <w:t xml:space="preserve">を参入判断の軸に置いたことと矛盾しない。</w:t>
      </w:r>
      <m:oMath>
        <m:sSup>
          <m:e>
            <m:r>
              <m:t>θ</m:t>
            </m:r>
          </m:e>
          <m:sup>
            <m:r>
              <m:rPr>
                <m:sty m:val="p"/>
              </m:rPr>
              <m:t>*</m:t>
            </m:r>
          </m:sup>
        </m:sSup>
      </m:oMath>
      <w:r>
        <w:t xml:space="preserve"> </w:t>
      </w:r>
      <w:r>
        <w:rPr>
          <w:rFonts w:hint="eastAsia"/>
        </w:rPr>
        <w:t xml:space="preserve">が問うのは期待値で参入が開く水準、CFaR</w:t>
      </w:r>
      <w:r>
        <w:t xml:space="preserve"> </w:t>
      </w:r>
      <w:r>
        <w:rPr>
          <w:rFonts w:hint="eastAsia"/>
        </w:rPr>
        <w:t xml:space="preserve">が問うのは参入後の収入の振れだからである。ただし</w:t>
      </w:r>
      <w:r>
        <w:t xml:space="preserve"> </w:t>
      </w:r>
      <m:oMath>
        <m:r>
          <m:t>θ</m:t>
        </m:r>
      </m:oMath>
      <w:r>
        <w:t xml:space="preserve"> </w:t>
      </w:r>
      <w:r>
        <w:rPr>
          <w:rFonts w:hint="eastAsia"/>
        </w:rPr>
        <w:t xml:space="preserve">は年次リスクの主因ではなく、FY2022</w:t>
      </w:r>
      <w:r>
        <w:t xml:space="preserve"> </w:t>
      </w:r>
      <w:r>
        <w:rPr>
          <w:rFonts w:hint="eastAsia"/>
        </w:rPr>
        <w:t xml:space="preserve">の1年を除けば、年次の完全予見粗利の変動のうち</w:t>
      </w:r>
      <w:r>
        <w:t xml:space="preserve"> </w:t>
      </w:r>
      <m:oMath>
        <m:r>
          <m:t>θ</m:t>
        </m:r>
      </m:oMath>
      <w:r>
        <w:t xml:space="preserve"> </w:t>
      </w:r>
      <w:r>
        <w:rPr>
          <w:rFonts w:hint="eastAsia"/>
        </w:rPr>
        <w:t xml:space="preserve">で説明できる部分は小さい（付録C.4.6）。</w:t>
      </w:r>
    </w:p>
    <w:p>
      <w:pPr>
        <w:pStyle w:val="BodyText"/>
      </w:pPr>
      <w:r>
        <w:t xml:space="preserve">LTDA </w:t>
      </w:r>
      <w:r>
        <w:rPr>
          <w:rFonts w:hint="eastAsia"/>
        </w:rPr>
        <w:t xml:space="preserve">の落札者の収入の5%</w:t>
      </w:r>
      <w:r>
        <w:t xml:space="preserve"> CFaR </w:t>
      </w:r>
      <w:r>
        <w:rPr>
          <w:rFonts w:hint="eastAsia"/>
        </w:rPr>
        <w:t xml:space="preserve">は238円/kW-年で、LTDA</w:t>
      </w:r>
      <w:r>
        <w:t xml:space="preserve"> はマーチャントの CFaR </w:t>
      </w:r>
      <w:r>
        <w:rPr>
          <w:rFonts w:hint="eastAsia"/>
        </w:rPr>
        <w:t xml:space="preserve">の95.9%を移す。移転される</w:t>
      </w:r>
      <w:r>
        <w:t xml:space="preserve"> CFaR </w:t>
      </w:r>
      <w:r>
        <w:rPr>
          <w:rFonts w:hint="eastAsia"/>
        </w:rPr>
        <w:t xml:space="preserve">の86%は容量価格の約定水準と他者の参入に由来し、</w:t>
      </w:r>
      <m:oMath>
        <m:r>
          <m:t>θ</m:t>
        </m:r>
      </m:oMath>
      <w:r>
        <w:t xml:space="preserve"> </w:t>
      </w:r>
      <w:r>
        <w:rPr>
          <w:rFonts w:hint="eastAsia"/>
        </w:rPr>
        <w:t xml:space="preserve">に由来するのは7.4%にとどまるので</w:t>
      </w:r>
      <w:r>
        <w:rPr>
          <w:rStyle w:val="FootnoteReference"/>
        </w:rPr>
        <w:footnoteReference w:id="259"/>
      </w:r>
      <w:r>
        <w:t xml:space="preserve">、LTDA </w:t>
      </w:r>
      <w:r>
        <w:rPr>
          <w:rFonts w:hint="eastAsia"/>
        </w:rPr>
        <w:t xml:space="preserve">の保険としての機能を</w:t>
      </w:r>
      <w:r>
        <w:t xml:space="preserve"> </w:t>
      </w:r>
      <m:oMath>
        <m:r>
          <m:t>θ</m:t>
        </m:r>
      </m:oMath>
      <w:r>
        <w:t xml:space="preserve"> </w:t>
      </w:r>
      <w:r>
        <w:rPr>
          <w:rFonts w:hint="eastAsia"/>
        </w:rPr>
        <w:t xml:space="preserve">の変動だけで評価すると過小評価になる。契約型の容量が市場収益と独立に建設されるのは、期待値の移転に加えて、上場商品では移転できない容量価格と共食いのリスクを容量拠出金の負担者に移すことにもよる（落札者は供給力の提供義務などの別のリスクを負う）。ただし</w:t>
      </w:r>
      <w:r>
        <w:t xml:space="preserve"> CFaR </w:t>
      </w:r>
      <w:r>
        <w:rPr>
          <w:rFonts w:hint="eastAsia"/>
        </w:rPr>
        <w:t xml:space="preserve">は期待値で定義したゼロレント条件に入らないので、</w:t>
      </w:r>
      <m:oMath>
        <m:sSup>
          <m:e>
            <m:r>
              <m:t>K</m:t>
            </m:r>
          </m:e>
          <m:sup>
            <m:r>
              <m:rPr>
                <m:sty m:val="p"/>
              </m:rPr>
              <m:t>*</m:t>
            </m:r>
          </m:sup>
        </m:sSup>
        <m:r>
          <m:rPr>
            <m:sty m:val="p"/>
          </m:rPr>
          <m:t>=</m:t>
        </m:r>
        <m:r>
          <m:t>0</m:t>
        </m:r>
      </m:oMath>
      <w:r>
        <w:t xml:space="preserve"> </w:t>
      </w:r>
      <w:r>
        <w:rPr>
          <w:rFonts w:hint="eastAsia"/>
        </w:rPr>
        <w:t xml:space="preserve">の判定を直接は強めず、リスクが参入判断に効くのはリスク調整後の割引率や資金調達の条件を通じてである。</w:t>
      </w:r>
    </w:p>
    <w:bookmarkEnd w:id="260"/>
    <w:bookmarkStart w:id="261" w:name="ヘッジ有効性と市場の非完備"/>
    <w:p>
      <w:pPr>
        <w:pStyle w:val="Heading3"/>
      </w:pPr>
      <w:r>
        <w:t xml:space="preserve">8.7.6　</w:t>
      </w:r>
      <w:r>
        <w:rPr>
          <w:rFonts w:hint="eastAsia"/>
        </w:rPr>
        <w:t xml:space="preserve">ヘッジ有効性と市場の非完備</w:t>
      </w:r>
    </w:p>
    <w:p>
      <w:pPr>
        <w:pStyle w:val="FirstParagraph"/>
      </w:pPr>
      <w:r>
        <w:rPr>
          <w:rFonts w:hint="eastAsia"/>
        </w:rPr>
        <w:t xml:space="preserve">国内の電力先物は欧州エネルギー取引所（EEX）と日本取引所グループ（JPX）に上場しているが、北海道の商品はない。式(8.3)で北海道の月間の完全予見粗利を東京の月平均価格で最小分散ヘッジすると、2016年4月〜2026年6月の全期間では分散の79%（ベース）〜85%（ピーク）を消せるが、これは主に</w:t>
      </w:r>
      <w:r>
        <w:t xml:space="preserve"> FY2020〜22 </w:t>
      </w:r>
      <w:r>
        <w:rPr>
          <w:rFonts w:hint="eastAsia"/>
        </w:rPr>
        <w:t xml:space="preserve">の需給逼迫と燃料危機の時期に全エリアの価格が同時に動いたことによる。その期間を除くと21〜30%、2023年4月以降では48〜53%で、後者も標本外では33〜42%に下がる（表C.48）。さらに、上場先物で固定できるのは</w:t>
      </w:r>
      <w:r>
        <w:t xml:space="preserve"> JPX </w:t>
      </w:r>
      <w:r>
        <w:rPr>
          <w:rFonts w:hint="eastAsia"/>
        </w:rPr>
        <w:t xml:space="preserve">で2年度先まで（2027年4月の業務規程の改正後は5年度先まで）、EEX</w:t>
      </w:r>
      <w:r>
        <w:t xml:space="preserve"> </w:t>
      </w:r>
      <w:r>
        <w:rPr>
          <w:rFonts w:hint="eastAsia"/>
        </w:rPr>
        <w:t xml:space="preserve">で6年度先までであり（東京商品取引所，2026；日本取引所グループ，n.d.）、最長6年度分を完全に固定できても、20年の収入の現在価値の分散のうち消せるのは38〜56%（2年度分なら8〜23%）にすぎない。満期の乗り換えはベーシスと資金繰りのリスクを伴い（Mello</w:t>
      </w:r>
      <w:r>
        <w:t xml:space="preserve"> &amp; Parsons, </w:t>
      </w:r>
      <w:r>
        <w:rPr>
          <w:rFonts w:hint="eastAsia"/>
        </w:rPr>
        <w:t xml:space="preserve">1995）、CFaR</w:t>
      </w:r>
      <w:r>
        <w:t xml:space="preserve"> </w:t>
      </w:r>
      <w:r>
        <w:rPr>
          <w:rFonts w:hint="eastAsia"/>
        </w:rPr>
        <w:t xml:space="preserve">で寄与の大きい他者の参入と容量価格には上場商品がない。マーチャントは、長期のリスクについて非完備な市場に直面している。</w:t>
      </w:r>
    </w:p>
    <w:p>
      <w:pPr>
        <w:pStyle w:val="BodyText"/>
      </w:pPr>
      <w:r>
        <w:rPr>
          <w:rFonts w:hint="eastAsia"/>
        </w:rPr>
        <w:t xml:space="preserve">リスクを取引する市場が非完備だと投資が抑えられ、長期契約がそれを補うという議論（de</w:t>
      </w:r>
      <w:r>
        <w:t xml:space="preserve"> Maere d’Aertrycke et al., 2017; Willems &amp; Morbee, </w:t>
      </w:r>
      <w:r>
        <w:rPr>
          <w:rFonts w:hint="eastAsia"/>
        </w:rPr>
        <w:t xml:space="preserve">2010）に照らすと、LTDA</w:t>
      </w:r>
      <w:r>
        <w:t xml:space="preserve"> </w:t>
      </w:r>
      <w:r>
        <w:rPr>
          <w:rFonts w:hint="eastAsia"/>
        </w:rPr>
        <w:t xml:space="preserve">は欠けている長期のヘッジ市場を制度で補っていると読める。H.-Z.</w:t>
      </w:r>
      <w:r>
        <w:t xml:space="preserve"> Li et </w:t>
      </w:r>
      <w:r>
        <w:rPr>
          <w:rFonts w:hint="eastAsia"/>
        </w:rPr>
        <w:t xml:space="preserve">al.（2025）が2021年の価格高騰の要因に挙げたヘッジ市場の未成熟は、蓄電池の側にもある。ただし</w:t>
      </w:r>
      <w:r>
        <w:t xml:space="preserve"> </w:t>
      </w:r>
      <m:oMath>
        <m:sSup>
          <m:e>
            <m:r>
              <m:t>K</m:t>
            </m:r>
          </m:e>
          <m:sup>
            <m:r>
              <m:rPr>
                <m:sty m:val="p"/>
              </m:rPr>
              <m:t>*</m:t>
            </m:r>
          </m:sup>
        </m:sSup>
        <m:r>
          <m:rPr>
            <m:sty m:val="p"/>
          </m:rPr>
          <m:t>=</m:t>
        </m:r>
        <m:r>
          <m:t>0</m:t>
        </m:r>
      </m:oMath>
      <w:r>
        <w:t xml:space="preserve"> </w:t>
      </w:r>
      <w:r>
        <w:rPr>
          <w:rFonts w:hint="eastAsia"/>
        </w:rPr>
        <w:t xml:space="preserve">は期待値で決まっており、ヘッジ市場が完備になっても覆らない。ヘッジ手段の欠如が効くのは、参入が開く水準に近づいたときの資金調達の条件と、契約型が選ばれやすいことの説明においてである。</w:t>
      </w:r>
    </w:p>
    <w:bookmarkEnd w:id="261"/>
    <w:bookmarkEnd w:id="262"/>
    <w:bookmarkStart w:id="263" w:name="頑健性の確認-2"/>
    <w:p>
      <w:pPr>
        <w:pStyle w:val="Heading2"/>
      </w:pPr>
      <w:r>
        <w:t xml:space="preserve">8.8　</w:t>
      </w:r>
      <w:r>
        <w:rPr>
          <w:rFonts w:hint="eastAsia"/>
        </w:rPr>
        <w:t xml:space="preserve">頑健性の確認</w:t>
      </w:r>
    </w:p>
    <w:p>
      <w:pPr>
        <w:pStyle w:val="FirstParagraph"/>
      </w:pPr>
      <w:r>
        <w:rPr>
          <w:rFonts w:hint="eastAsia"/>
        </w:rPr>
        <w:t xml:space="preserve">本章の主な結論が、基準の置き方と仮定の変種によって変わるかどうかを、表8.4</w:t>
      </w:r>
      <w:r>
        <w:t xml:space="preserve"> にまとめる。</w:t>
      </w:r>
    </w:p>
    <w:p>
      <w:pPr>
        <w:pStyle w:val="TableCaption"/>
      </w:pPr>
      <w:r>
        <w:rPr>
          <w:rFonts w:hint="eastAsia"/>
        </w:rPr>
        <w:t xml:space="preserve">表8.4</w:t>
      </w:r>
      <w:r>
        <w:t xml:space="preserve">　</w:t>
      </w:r>
      <w:r>
        <w:rPr>
          <w:rFonts w:hint="eastAsia"/>
        </w:rPr>
        <w:t xml:space="preserve">主な結論の頑健性</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8.4　主な結論の頑健性"/>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結論</w:t>
            </w:r>
          </w:p>
        </w:tc>
        <w:tc>
          <w:tcPr>
            <w:tcBorders>
              <w:bottom w:val="single" w:sz="6" w:color="000000"/>
            </w:tcBorders>
          </w:tcPr>
          <w:p>
            <w:pPr>
              <w:pStyle w:val="Compact"/>
            </w:pPr>
            <w:r>
              <w:rPr>
                <w:rFonts w:hint="eastAsia"/>
                <w:sz w:val="18"/>
              </w:rPr>
              <w:t xml:space="preserve">主の基準での値</w:t>
            </w:r>
          </w:p>
        </w:tc>
        <w:tc>
          <w:tcPr>
            <w:tcBorders>
              <w:bottom w:val="single" w:sz="6" w:color="000000"/>
            </w:tcBorders>
          </w:tcPr>
          <w:p>
            <w:pPr>
              <w:pStyle w:val="Compact"/>
            </w:pPr>
            <w:r>
              <w:rPr>
                <w:rFonts w:hint="eastAsia"/>
                <w:sz w:val="18"/>
              </w:rPr>
              <w:t xml:space="preserve">変種での値</w:t>
            </w:r>
          </w:p>
        </w:tc>
      </w:tr>
      <w:tr>
        <w:tc>
          <w:tcPr/>
          <w:p>
            <w:pPr>
              <w:pStyle w:val="Compact"/>
            </w:pPr>
            <w:r>
              <w:rPr>
                <w:rFonts w:hint="eastAsia"/>
                <w:sz w:val="18"/>
              </w:rPr>
              <w:t xml:space="preserve">現状の損益分岐の水準係数</w:t>
            </w:r>
            <w:r>
              <w:rPr>
                <w:sz w:val="18"/>
              </w:rPr>
              <w:t xml:space="preserve"> </w:t>
            </w:r>
            <m:oMath>
              <m:sSup>
                <m:e>
                  <m:r>
                    <m:t>θ</m:t>
                  </m:r>
                </m:e>
                <m:sup>
                  <m:r>
                    <m:rPr>
                      <m:sty m:val="p"/>
                    </m:rPr>
                    <m:t>*</m:t>
                  </m:r>
                </m:sup>
              </m:sSup>
            </m:oMath>
            <w:r>
              <w:rPr>
                <w:sz w:val="18"/>
              </w:rPr>
              <w:t xml:space="preserve"> </w:t>
            </w:r>
            <w:r>
              <w:rPr>
                <w:rFonts w:hint="eastAsia"/>
                <w:sz w:val="18"/>
              </w:rPr>
              <w:t xml:space="preserve">は観察された水準（1〜1.72）を上回る</w:t>
            </w:r>
          </w:p>
        </w:tc>
        <w:tc>
          <w:tcPr/>
          <w:p>
            <w:pPr>
              <w:pStyle w:val="Compact"/>
            </w:pPr>
            <w:r>
              <w:rPr>
                <w:rFonts w:hint="eastAsia"/>
                <w:sz w:val="18"/>
              </w:rPr>
              <w:t xml:space="preserve">2.99（割引率6%、実績整合ケース、</w:t>
            </w:r>
            <m:oMath>
              <m:r>
                <m:t>K</m:t>
              </m:r>
              <m:r>
                <m:rPr>
                  <m:sty m:val="p"/>
                </m:rPr>
                <m:t>=</m:t>
              </m:r>
              <m:r>
                <m:t>0</m:t>
              </m:r>
            </m:oMath>
            <w:r>
              <w:rPr>
                <w:rFonts w:hint="eastAsia"/>
                <w:sz w:val="18"/>
              </w:rPr>
              <w:t xml:space="preserve">）</w:t>
            </w:r>
          </w:p>
        </w:tc>
        <w:tc>
          <w:tcPr/>
          <w:p>
            <w:pPr>
              <w:pStyle w:val="Compact"/>
            </w:pPr>
            <m:oMath>
              <m:r>
                <m:t>λ</m:t>
              </m:r>
            </m:oMath>
            <w:r>
              <w:rPr>
                <w:sz w:val="18"/>
              </w:rPr>
              <w:t xml:space="preserve"> </w:t>
            </w:r>
            <w:r>
              <w:rPr>
                <w:rFonts w:hint="eastAsia"/>
                <w:sz w:val="18"/>
              </w:rPr>
              <w:t xml:space="preserve">の95%区間で2.78〜3.21、モデル直値3.31、資産の資本コスト8〜9%で3.46〜3.71、節税効果を入れると0.05〜0.12低下、接続済み20万kW</w:t>
            </w:r>
            <w:r>
              <w:rPr>
                <w:sz w:val="18"/>
              </w:rPr>
              <w:t xml:space="preserve"> </w:t>
            </w:r>
            <w:r>
              <w:rPr>
                <w:rFonts w:hint="eastAsia"/>
                <w:sz w:val="18"/>
              </w:rPr>
              <w:t xml:space="preserve">の上で4.05</w:t>
            </w:r>
          </w:p>
        </w:tc>
      </w:tr>
      <w:tr>
        <w:tc>
          <w:tcPr/>
          <w:p>
            <w:pPr>
              <w:pStyle w:val="Compact"/>
            </w:pPr>
            <w:r>
              <w:rPr>
                <w:rFonts w:hint="eastAsia"/>
                <w:sz w:val="18"/>
              </w:rPr>
              <w:t xml:space="preserve">補助金のないマーチャントの事業</w:t>
            </w:r>
            <w:r>
              <w:rPr>
                <w:sz w:val="18"/>
              </w:rPr>
              <w:t xml:space="preserve"> IRR </w:t>
            </w:r>
            <w:r>
              <w:rPr>
                <w:rFonts w:hint="eastAsia"/>
                <w:sz w:val="18"/>
              </w:rPr>
              <w:t xml:space="preserve">は負</w:t>
            </w:r>
          </w:p>
        </w:tc>
        <w:tc>
          <w:tcPr/>
          <w:p>
            <w:pPr>
              <w:pStyle w:val="Compact"/>
            </w:pPr>
            <w:r>
              <w:rPr>
                <w:rFonts w:hint="eastAsia"/>
                <w:sz w:val="18"/>
              </w:rPr>
              <w:t xml:space="preserve">−5.6%（</w:t>
            </w:r>
            <m:oMath>
              <m:r>
                <m:t>θ</m:t>
              </m:r>
              <m:r>
                <m:rPr>
                  <m:sty m:val="p"/>
                </m:rPr>
                <m:t>=</m:t>
              </m:r>
              <m:r>
                <m:t>1</m:t>
              </m:r>
            </m:oMath>
            <w:r>
              <w:rPr>
                <w:rFonts w:hint="eastAsia"/>
                <w:sz w:val="18"/>
              </w:rPr>
              <w:t xml:space="preserve">、容量収入1.25万円）</w:t>
            </w:r>
          </w:p>
        </w:tc>
        <w:tc>
          <w:tcPr/>
          <w:p>
            <w:pPr>
              <w:pStyle w:val="Compact"/>
            </w:pPr>
            <m:oMath>
              <m:r>
                <m:t>θ</m:t>
              </m:r>
              <m:r>
                <m:rPr>
                  <m:sty m:val="p"/>
                </m:rPr>
                <m:t>=</m:t>
              </m:r>
              <m:r>
                <m:t>1.72</m:t>
              </m:r>
            </m:oMath>
            <w:r>
              <w:rPr>
                <w:sz w:val="18"/>
              </w:rPr>
              <w:t xml:space="preserve"> </w:t>
            </w:r>
            <w:r>
              <w:rPr>
                <w:rFonts w:hint="eastAsia"/>
                <w:sz w:val="18"/>
              </w:rPr>
              <w:t xml:space="preserve">で−0.4%、モデル直値で−6.6%、容量収入0.73万円で−14.5%。FY2022</w:t>
            </w:r>
            <w:r>
              <w:rPr>
                <w:sz w:val="18"/>
              </w:rPr>
              <w:t xml:space="preserve"> </w:t>
            </w:r>
            <w:r>
              <w:rPr>
                <w:rFonts w:hint="eastAsia"/>
                <w:sz w:val="18"/>
              </w:rPr>
              <w:t xml:space="preserve">の実績価格（+3.75%）と容量収入の上振れの一部では正</w:t>
            </w:r>
          </w:p>
        </w:tc>
      </w:tr>
      <w:tr>
        <w:tc>
          <w:tcPr/>
          <w:p>
            <w:pPr>
              <w:pStyle w:val="Compact"/>
            </w:pPr>
            <w:r>
              <w:rPr>
                <w:rFonts w:hint="eastAsia"/>
                <w:sz w:val="18"/>
              </w:rPr>
              <w:t xml:space="preserve">属性不明の</w:t>
            </w:r>
            <w:r>
              <w:rPr>
                <w:sz w:val="18"/>
              </w:rPr>
              <w:t xml:space="preserve"> kW </w:t>
            </w:r>
            <w:r>
              <w:rPr>
                <w:rFonts w:hint="eastAsia"/>
                <w:sz w:val="18"/>
              </w:rPr>
              <w:t xml:space="preserve">が埋めるべき不足</w:t>
            </w:r>
          </w:p>
        </w:tc>
        <w:tc>
          <w:tcPr/>
          <w:p>
            <w:pPr>
              <w:pStyle w:val="Compact"/>
            </w:pPr>
            <w:r>
              <w:rPr>
                <w:rFonts w:hint="eastAsia"/>
                <w:sz w:val="18"/>
              </w:rPr>
              <w:t xml:space="preserve">1kWあたり約21万円、総額約3,200〜3,700億円（</w:t>
            </w:r>
            <m:oMath>
              <m:sSubSup>
                <m:e>
                  <m:r>
                    <m:t>r</m:t>
                  </m:r>
                </m:e>
                <m:sub>
                  <m:r>
                    <m:t>A</m:t>
                  </m:r>
                </m:sub>
                <m:sup>
                  <m:r>
                    <m:t>M</m:t>
                  </m:r>
                </m:sup>
              </m:sSubSup>
              <m:r>
                <m:rPr>
                  <m:sty m:val="p"/>
                </m:rPr>
                <m:t>=</m:t>
              </m:r>
              <m:r>
                <m:t>9</m:t>
              </m:r>
              <m:r>
                <m:rPr>
                  <m:sty m:val="p"/>
                </m:rPr>
                <m:t>%</m:t>
              </m:r>
            </m:oMath>
            <w:r>
              <w:rPr>
                <w:rFonts w:hint="eastAsia"/>
                <w:sz w:val="18"/>
              </w:rPr>
              <w:t xml:space="preserve">）</w:t>
            </w:r>
          </w:p>
        </w:tc>
        <w:tc>
          <w:tcPr/>
          <w:p>
            <w:pPr>
              <w:pStyle w:val="Compact"/>
            </w:pPr>
            <m:oMath>
              <m:sSubSup>
                <m:e>
                  <m:r>
                    <m:t>r</m:t>
                  </m:r>
                </m:e>
                <m:sub>
                  <m:r>
                    <m:t>A</m:t>
                  </m:r>
                </m:sub>
                <m:sup>
                  <m:r>
                    <m:t>M</m:t>
                  </m:r>
                </m:sup>
              </m:sSubSup>
              <m:r>
                <m:rPr>
                  <m:sty m:val="p"/>
                </m:rPr>
                <m:t>=</m:t>
              </m:r>
              <m:r>
                <m:t>8</m:t>
              </m:r>
              <m:r>
                <m:rPr>
                  <m:sty m:val="p"/>
                </m:rPr>
                <m:t>%</m:t>
              </m:r>
            </m:oMath>
            <w:r>
              <w:rPr>
                <w:sz w:val="18"/>
              </w:rPr>
              <w:t xml:space="preserve"> </w:t>
            </w:r>
            <w:r>
              <w:rPr>
                <w:rFonts w:hint="eastAsia"/>
                <w:sz w:val="18"/>
              </w:rPr>
              <w:t xml:space="preserve">で約20万円・3,100〜3,600億円、FY2026上期の水準が続くと置くと2,500〜2,900億円。補助と</w:t>
            </w:r>
            <w:r>
              <w:rPr>
                <w:sz w:val="18"/>
              </w:rPr>
              <w:t xml:space="preserve"> Helios の APV </w:t>
            </w:r>
            <w:r>
              <w:rPr>
                <w:rFonts w:hint="eastAsia"/>
                <w:sz w:val="18"/>
              </w:rPr>
              <w:t xml:space="preserve">は8%でも負（−6.7万円、−21.4万円/kW）</w:t>
            </w:r>
          </w:p>
        </w:tc>
      </w:tr>
      <w:tr>
        <w:tc>
          <w:tcPr/>
          <w:p>
            <w:pPr>
              <w:pStyle w:val="Compact"/>
            </w:pPr>
            <w:r>
              <w:rPr>
                <w:rFonts w:hint="eastAsia"/>
                <w:sz w:val="18"/>
              </w:rPr>
              <w:t xml:space="preserve">現行の資本費（6.8万円/kWh）では併設の参入が開かない</w:t>
            </w:r>
          </w:p>
        </w:tc>
        <w:tc>
          <w:tcPr/>
          <w:p>
            <w:pPr>
              <w:pStyle w:val="Compact"/>
            </w:pPr>
            <w:r>
              <w:rPr>
                <w:rFonts w:hint="eastAsia"/>
                <w:sz w:val="18"/>
              </w:rPr>
              <w:t xml:space="preserve">抑制率37%でも開かない（割引率6%）</w:t>
            </w:r>
          </w:p>
        </w:tc>
        <w:tc>
          <w:tcPr/>
          <w:p>
            <w:pPr>
              <w:pStyle w:val="Compact"/>
            </w:pPr>
            <w:r>
              <w:rPr>
                <w:rFonts w:hint="eastAsia"/>
                <w:sz w:val="18"/>
              </w:rPr>
              <w:t xml:space="preserve">割引率8%、集中分布、プレミアム2〜4円、併設の定義のいずれでも開かず、384通りの最良でも年1,391円/kW</w:t>
            </w:r>
            <w:r>
              <w:rPr>
                <w:sz w:val="18"/>
              </w:rPr>
              <w:t xml:space="preserve"> </w:t>
            </w:r>
            <w:r>
              <w:rPr>
                <w:rFonts w:hint="eastAsia"/>
                <w:sz w:val="18"/>
              </w:rPr>
              <w:t xml:space="preserve">不足。2時間仕様はどの資本費でも開かない</w:t>
            </w:r>
          </w:p>
        </w:tc>
      </w:tr>
      <w:tr>
        <w:tc>
          <w:tcPr/>
          <w:p>
            <w:pPr>
              <w:pStyle w:val="Compact"/>
            </w:pPr>
            <w:r>
              <w:rPr>
                <w:sz w:val="18"/>
              </w:rPr>
              <w:t xml:space="preserve">LTDA </w:t>
            </w:r>
            <w:r>
              <w:rPr>
                <w:rFonts w:hint="eastAsia"/>
                <w:sz w:val="18"/>
              </w:rPr>
              <w:t xml:space="preserve">の価値の大半は期待値の移転</w:t>
            </w:r>
          </w:p>
        </w:tc>
        <w:tc>
          <w:tcPr/>
          <w:p>
            <w:pPr>
              <w:pStyle w:val="Compact"/>
            </w:pPr>
            <w:r>
              <w:rPr>
                <w:rFonts w:hint="eastAsia"/>
                <w:sz w:val="18"/>
              </w:rPr>
              <w:t xml:space="preserve">リスク移転はスワップの価値の10.9%（</w:t>
            </w:r>
            <m:oMath>
              <m:sSub>
                <m:e>
                  <m:r>
                    <m:t>r</m:t>
                  </m:r>
                </m:e>
                <m:sub>
                  <m:r>
                    <m:t>C</m:t>
                  </m:r>
                </m:sub>
              </m:sSub>
              <m:r>
                <m:rPr>
                  <m:sty m:val="p"/>
                </m:rPr>
                <m:t>=</m:t>
              </m:r>
              <m:r>
                <m:t>5</m:t>
              </m:r>
              <m:r>
                <m:rPr>
                  <m:sty m:val="p"/>
                </m:rPr>
                <m:t>%</m:t>
              </m:r>
            </m:oMath>
            <w:r>
              <w:rPr>
                <w:sz w:val="18"/>
              </w:rPr>
              <w:t xml:space="preserve">、</w:t>
            </w:r>
            <m:oMath>
              <m:sSubSup>
                <m:e>
                  <m:r>
                    <m:t>r</m:t>
                  </m:r>
                </m:e>
                <m:sub>
                  <m:r>
                    <m:t>A</m:t>
                  </m:r>
                </m:sub>
                <m:sup>
                  <m:r>
                    <m:t>M</m:t>
                  </m:r>
                </m:sup>
              </m:sSubSup>
              <m:r>
                <m:rPr>
                  <m:sty m:val="p"/>
                </m:rPr>
                <m:t>=</m:t>
              </m:r>
              <m:r>
                <m:t>9</m:t>
              </m:r>
              <m:r>
                <m:rPr>
                  <m:sty m:val="p"/>
                </m:rPr>
                <m:t>%</m:t>
              </m:r>
            </m:oMath>
            <w:r>
              <w:rPr>
                <w:rFonts w:hint="eastAsia"/>
                <w:sz w:val="18"/>
              </w:rPr>
              <w:t xml:space="preserve">）</w:t>
            </w:r>
          </w:p>
        </w:tc>
        <w:tc>
          <w:tcPr/>
          <w:p>
            <w:pPr>
              <w:pStyle w:val="Compact"/>
            </w:pPr>
            <w:r>
              <w:rPr>
                <w:rFonts w:hint="eastAsia"/>
                <w:sz w:val="18"/>
              </w:rPr>
              <w:t xml:space="preserve">割引率の組合せで5〜18%、積み上げ価格で落札した場合は11〜30%。確実性等価でリスクを全部移して埋まる比率は0.7〜34.2%</w:t>
            </w:r>
          </w:p>
        </w:tc>
      </w:tr>
      <w:tr>
        <w:tc>
          <w:tcPr/>
          <w:p>
            <w:pPr>
              <w:pStyle w:val="Compact"/>
            </w:pPr>
            <w:r>
              <w:rPr>
                <w:rFonts w:hint="eastAsia"/>
                <w:sz w:val="18"/>
              </w:rPr>
              <w:t xml:space="preserve">容量価格の約定水準と他者の参入が</w:t>
            </w:r>
            <w:r>
              <w:rPr>
                <w:sz w:val="18"/>
              </w:rPr>
              <w:t xml:space="preserve"> CFaR </w:t>
            </w:r>
            <w:r>
              <w:rPr>
                <w:rFonts w:hint="eastAsia"/>
                <w:sz w:val="18"/>
              </w:rPr>
              <w:t xml:space="preserve">の主因</w:t>
            </w:r>
          </w:p>
        </w:tc>
        <w:tc>
          <w:tcPr/>
          <w:p>
            <w:pPr>
              <w:pStyle w:val="Compact"/>
            </w:pPr>
            <w:r>
              <w:rPr>
                <w:rFonts w:hint="eastAsia"/>
                <w:sz w:val="18"/>
              </w:rPr>
              <w:t xml:space="preserve">51%と35%（全国連系、約定水準は4値）</w:t>
            </w:r>
          </w:p>
        </w:tc>
        <w:tc>
          <w:tcPr/>
          <w:p>
            <w:pPr>
              <w:pStyle w:val="Compact"/>
            </w:pPr>
            <w:r>
              <w:rPr>
                <w:rFonts w:hint="eastAsia"/>
                <w:sz w:val="18"/>
              </w:rPr>
              <w:t xml:space="preserve">約定水準を3値とすると他者の参入60%・容量15%、北海道ブロック按分では他者の参入57%・</w:t>
            </w:r>
            <m:oMath>
              <m:r>
                <m:t>θ</m:t>
              </m:r>
            </m:oMath>
            <w:r>
              <w:rPr>
                <w:sz w:val="18"/>
              </w:rPr>
              <w:t xml:space="preserve"> </w:t>
            </w:r>
            <w:r>
              <w:rPr>
                <w:rFonts w:hint="eastAsia"/>
                <w:sz w:val="18"/>
              </w:rPr>
              <w:t xml:space="preserve">23%・容量1%、</w:t>
            </w:r>
            <m:oMath>
              <m:r>
                <m:t>θ</m:t>
              </m:r>
            </m:oMath>
            <w:r>
              <w:rPr>
                <w:sz w:val="18"/>
              </w:rPr>
              <w:t xml:space="preserve"> </w:t>
            </w:r>
            <w:r>
              <w:rPr>
                <w:sz w:val="18"/>
              </w:rPr>
              <w:t xml:space="preserve">を FY2022 </w:t>
            </w:r>
            <w:r>
              <w:rPr>
                <w:rFonts w:hint="eastAsia"/>
                <w:sz w:val="18"/>
              </w:rPr>
              <w:t xml:space="preserve">を除いて校正すると</w:t>
            </w:r>
            <w:r>
              <w:rPr>
                <w:sz w:val="18"/>
              </w:rPr>
              <w:t xml:space="preserve"> </w:t>
            </w:r>
            <m:oMath>
              <m:r>
                <m:t>θ</m:t>
              </m:r>
            </m:oMath>
            <w:r>
              <w:rPr>
                <w:sz w:val="18"/>
              </w:rPr>
              <w:t xml:space="preserve"> </w:t>
            </w:r>
            <w:r>
              <w:rPr>
                <w:rFonts w:hint="eastAsia"/>
                <w:sz w:val="18"/>
              </w:rPr>
              <w:t xml:space="preserve">は5%。日々の天候はどの仮定でも3.4%以下</w:t>
            </w:r>
          </w:p>
        </w:tc>
      </w:tr>
    </w:tbl>
    <w:p>
      <w:pPr>
        <w:pStyle w:val="TableNote"/>
      </w:pPr>
      <w:r>
        <w:rPr>
          <w:rFonts w:hint="eastAsia"/>
        </w:rPr>
        <w:t xml:space="preserve">注）値の定義と全ケースは付録C.4.2〜C.4.6</w:t>
      </w:r>
      <w:r>
        <w:t xml:space="preserve"> </w:t>
      </w:r>
      <w:r>
        <w:rPr>
          <w:rFonts w:hint="eastAsia"/>
        </w:rPr>
        <w:t xml:space="preserve">に示す。</w:t>
      </w:r>
    </w:p>
    <w:p>
      <w:pPr>
        <w:pStyle w:val="TableNote"/>
      </w:pPr>
      <w:r>
        <w:rPr>
          <w:rFonts w:hint="eastAsia"/>
        </w:rPr>
        <w:t xml:space="preserve">出所）表8.1〜表8.3・図8.4</w:t>
      </w:r>
      <w:r>
        <w:t xml:space="preserve"> </w:t>
      </w:r>
      <w:r>
        <w:rPr>
          <w:rFonts w:hint="eastAsia"/>
        </w:rPr>
        <w:t xml:space="preserve">と同じ資料、および</w:t>
      </w:r>
      <w:r>
        <w:t xml:space="preserve"> Gohdes et </w:t>
      </w:r>
      <w:r>
        <w:rPr>
          <w:rFonts w:hint="eastAsia"/>
        </w:rPr>
        <w:t xml:space="preserve">al.（2022）より筆者推計。</w:t>
      </w:r>
    </w:p>
    <w:p>
      <w:pPr>
        <w:pStyle w:val="BodyText"/>
      </w:pPr>
      <w:r>
        <w:rPr>
          <w:rFonts w:hint="eastAsia"/>
        </w:rPr>
        <w:t xml:space="preserve">表8.4</w:t>
      </w:r>
      <w:r>
        <w:t xml:space="preserve"> </w:t>
      </w:r>
      <w:r>
        <w:rPr>
          <w:rFonts w:hint="eastAsia"/>
        </w:rPr>
        <w:t xml:space="preserve">の変種の下でも、現状の</w:t>
      </w:r>
      <w:r>
        <w:t xml:space="preserve"> </w:t>
      </w:r>
      <m:oMath>
        <m:sSup>
          <m:e>
            <m:r>
              <m:t>θ</m:t>
            </m:r>
          </m:e>
          <m:sup>
            <m:r>
              <m:rPr>
                <m:sty m:val="p"/>
              </m:rPr>
              <m:t>*</m:t>
            </m:r>
          </m:sup>
        </m:sSup>
      </m:oMath>
      <w:r>
        <w:t xml:space="preserve"> </w:t>
      </w:r>
      <w:r>
        <w:rPr>
          <w:rFonts w:hint="eastAsia"/>
        </w:rPr>
        <w:t xml:space="preserve">が観察された価格水準を上回ること、現行の資本費では併設の参入が開かないこと、LTDA</w:t>
      </w:r>
      <w:r>
        <w:t xml:space="preserve"> </w:t>
      </w:r>
      <w:r>
        <w:rPr>
          <w:rFonts w:hint="eastAsia"/>
        </w:rPr>
        <w:t xml:space="preserve">の価値の大半が期待値の移転であることは変わらない。基準に依存するのは、FY2022</w:t>
      </w:r>
      <w:r>
        <w:t xml:space="preserve"> </w:t>
      </w:r>
      <w:r>
        <w:rPr>
          <w:rFonts w:hint="eastAsia"/>
        </w:rPr>
        <w:t xml:space="preserve">の実績価格や容量収入の上振れの下での事業</w:t>
      </w:r>
      <w:r>
        <w:t xml:space="preserve"> IRR </w:t>
      </w:r>
      <w:r>
        <w:rPr>
          <w:rFonts w:hint="eastAsia"/>
        </w:rPr>
        <w:t xml:space="preserve">の符号（このとき</w:t>
      </w:r>
      <w:r>
        <w:t xml:space="preserve"> </w:t>
      </w:r>
      <m:oMath>
        <m:sSup>
          <m:e>
            <m:r>
              <m:t>K</m:t>
            </m:r>
          </m:e>
          <m:sup>
            <m:r>
              <m:rPr>
                <m:sty m:val="p"/>
              </m:rPr>
              <m:t>*</m:t>
            </m:r>
          </m:sup>
        </m:sSup>
        <m:r>
          <m:rPr>
            <m:sty m:val="p"/>
          </m:rPr>
          <m:t>=</m:t>
        </m:r>
        <m:r>
          <m:t>0</m:t>
        </m:r>
      </m:oMath>
      <w:r>
        <w:t xml:space="preserve"> </w:t>
      </w:r>
      <w:r>
        <w:rPr>
          <w:rFonts w:hint="eastAsia"/>
        </w:rPr>
        <w:t xml:space="preserve">の判定は割引率に依存する。8.7.1項）と、容量価格の仮定に左右される</w:t>
      </w:r>
      <w:r>
        <w:t xml:space="preserve"> CFaR </w:t>
      </w:r>
      <w:r>
        <w:rPr>
          <w:rFonts w:hint="eastAsia"/>
        </w:rPr>
        <w:t xml:space="preserve">の因子の順位の二点である。</w:t>
      </w:r>
    </w:p>
    <w:bookmarkEnd w:id="263"/>
    <w:bookmarkStart w:id="264" w:name="小括-3"/>
    <w:p>
      <w:pPr>
        <w:pStyle w:val="Heading2"/>
      </w:pPr>
      <w:r>
        <w:t xml:space="preserve">8.9　</w:t>
      </w:r>
      <w:r>
        <w:rPr>
          <w:rFonts w:hint="eastAsia"/>
        </w:rPr>
        <w:t xml:space="preserve">小括</w:t>
      </w:r>
    </w:p>
    <w:p>
      <w:pPr>
        <w:pStyle w:val="FirstParagraph"/>
      </w:pPr>
      <w:r>
        <w:rPr>
          <w:rFonts w:hint="eastAsia"/>
        </w:rPr>
        <w:t xml:space="preserve">本章は、マーチャントの均衡容量</w:t>
      </w:r>
      <w:r>
        <w:t xml:space="preserve"> </w:t>
      </w:r>
      <m:oMath>
        <m:sSup>
          <m:e>
            <m:r>
              <m:t>K</m:t>
            </m:r>
          </m:e>
          <m:sup>
            <m:r>
              <m:rPr>
                <m:sty m:val="p"/>
              </m:rPr>
              <m:t>*</m:t>
            </m:r>
          </m:sup>
        </m:sSup>
        <m:r>
          <m:rPr>
            <m:sty m:val="p"/>
          </m:rPr>
          <m:t>=</m:t>
        </m:r>
        <m:r>
          <m:t>0</m:t>
        </m:r>
      </m:oMath>
      <w:r>
        <w:t xml:space="preserve"> </w:t>
      </w:r>
      <w:r>
        <w:rPr>
          <w:rFonts w:hint="eastAsia"/>
        </w:rPr>
        <w:t xml:space="preserve">と現実の参入との乖離を、市場外収入と期待に分解し、kW</w:t>
      </w:r>
      <w:r>
        <w:t xml:space="preserve"> </w:t>
      </w:r>
      <w:r>
        <w:rPr>
          <w:rFonts w:hint="eastAsia"/>
        </w:rPr>
        <w:t xml:space="preserve">と1kWあたりの現在価値で勘定した。主要な結果は次の5点である。</w:t>
      </w:r>
    </w:p>
    <w:p>
      <w:pPr>
        <w:pStyle w:val="Compact"/>
        <w:numPr>
          <w:ilvl w:val="0"/>
          <w:numId w:val="1005"/>
        </w:numPr>
      </w:pPr>
      <w:r>
        <w:rPr>
          <w:rFonts w:hint="eastAsia"/>
        </w:rPr>
        <w:t xml:space="preserve">接続済みと契約申込の合計254万kW</w:t>
      </w:r>
      <w:r>
        <w:t xml:space="preserve"> </w:t>
      </w:r>
      <w:r>
        <w:rPr>
          <w:rFonts w:hint="eastAsia"/>
        </w:rPr>
        <w:t xml:space="preserve">のうち、市場外収入で</w:t>
      </w:r>
      <w:r>
        <w:t xml:space="preserve"> APV </w:t>
      </w:r>
      <w:r>
        <w:rPr>
          <w:rFonts w:hint="eastAsia"/>
        </w:rPr>
        <w:t xml:space="preserve">が正になるのは</w:t>
      </w:r>
      <w:r>
        <w:t xml:space="preserve"> LTDA </w:t>
      </w:r>
      <w:r>
        <w:rPr>
          <w:rFonts w:hint="eastAsia"/>
        </w:rPr>
        <w:t xml:space="preserve">の北海道の落札蓄電池（22〜27%）である。補助と</w:t>
      </w:r>
      <w:r>
        <w:t xml:space="preserve"> Helios </w:t>
      </w:r>
      <w:r>
        <w:rPr>
          <w:rFonts w:hint="eastAsia"/>
        </w:rPr>
        <w:t xml:space="preserve">の8〜13%は、本研究の資本コスト（9%）で評価した</w:t>
      </w:r>
      <w:r>
        <w:t xml:space="preserve"> APV </w:t>
      </w:r>
      <w:r>
        <w:rPr>
          <w:rFonts w:hint="eastAsia"/>
        </w:rPr>
        <w:t xml:space="preserve">が負のまま参入を決めており、61〜70%は属性が特定できない。</w:t>
      </w:r>
    </w:p>
    <w:p>
      <w:pPr>
        <w:pStyle w:val="Compact"/>
        <w:numPr>
          <w:ilvl w:val="0"/>
          <w:numId w:val="1005"/>
        </w:numPr>
      </w:pPr>
      <w:r>
        <w:rPr>
          <w:rFonts w:hint="eastAsia"/>
        </w:rPr>
        <w:t xml:space="preserve">北海道の価格に映らない抑制の中心は下限価格での打ち切りであり、併設蓄電池の抑制回避の価値は、スポット裁定に対して比例拡大でも25〜31%で頭打ちになる。</w:t>
      </w:r>
    </w:p>
    <w:p>
      <w:pPr>
        <w:pStyle w:val="Compact"/>
        <w:numPr>
          <w:ilvl w:val="0"/>
          <w:numId w:val="1005"/>
        </w:numPr>
      </w:pPr>
      <w:r>
        <w:rPr>
          <w:rFonts w:hint="eastAsia"/>
        </w:rPr>
        <w:t xml:space="preserve">補助金のないマーチャントの事業</w:t>
      </w:r>
      <w:r>
        <w:t xml:space="preserve"> IRR </w:t>
      </w:r>
      <w:r>
        <w:rPr>
          <w:rFonts w:hint="eastAsia"/>
        </w:rPr>
        <w:t xml:space="preserve">は、実効容量収入1.25万円の下ではモデルで与えたどの価格水準（</w:t>
      </w:r>
      <m:oMath>
        <m:r>
          <m:t>θ</m:t>
        </m:r>
      </m:oMath>
      <w:r>
        <w:rPr>
          <w:rFonts w:hint="eastAsia"/>
        </w:rPr>
        <w:t xml:space="preserve">=1〜1.72）でも負であり、</w:t>
      </w:r>
      <m:oMath>
        <m:sSup>
          <m:e>
            <m:r>
              <m:t>K</m:t>
            </m:r>
          </m:e>
          <m:sup>
            <m:r>
              <m:rPr>
                <m:sty m:val="p"/>
              </m:rPr>
              <m:t>*</m:t>
            </m:r>
          </m:sup>
        </m:sSup>
        <m:r>
          <m:rPr>
            <m:sty m:val="p"/>
          </m:rPr>
          <m:t>=</m:t>
        </m:r>
        <m:r>
          <m:t>0</m:t>
        </m:r>
      </m:oMath>
      <w:r>
        <w:t xml:space="preserve"> </w:t>
      </w:r>
      <w:r>
        <w:rPr>
          <w:rFonts w:hint="eastAsia"/>
        </w:rPr>
        <w:t xml:space="preserve">の判定は割引率の選び方に依存しない。例外は</w:t>
      </w:r>
      <w:r>
        <w:t xml:space="preserve"> FY2022 </w:t>
      </w:r>
      <w:r>
        <w:rPr>
          <w:rFonts w:hint="eastAsia"/>
        </w:rPr>
        <w:t xml:space="preserve">の実績価格そのものと、2030年度向け以降の容量収入の上振れである。</w:t>
      </w:r>
    </w:p>
    <w:p>
      <w:pPr>
        <w:pStyle w:val="Compact"/>
        <w:numPr>
          <w:ilvl w:val="0"/>
          <w:numId w:val="1005"/>
        </w:numPr>
      </w:pPr>
      <w:r>
        <w:rPr>
          <w:rFonts w:hint="eastAsia"/>
        </w:rPr>
        <w:t xml:space="preserve">同じ6時間蓄電池の事業</w:t>
      </w:r>
      <w:r>
        <w:t xml:space="preserve"> IRR </w:t>
      </w:r>
      <w:r>
        <w:rPr>
          <w:rFonts w:hint="eastAsia"/>
        </w:rPr>
        <w:t xml:space="preserve">は、マーチャントでは負、LTDA</w:t>
      </w:r>
      <w:r>
        <w:t xml:space="preserve"> </w:t>
      </w:r>
      <w:r>
        <w:rPr>
          <w:rFonts w:hint="eastAsia"/>
        </w:rPr>
        <w:t xml:space="preserve">の上限価格では12.2〜13.6%であり、IRR</w:t>
      </w:r>
      <w:r>
        <w:t xml:space="preserve"> </w:t>
      </w:r>
      <w:r>
        <w:rPr>
          <w:rFonts w:hint="eastAsia"/>
        </w:rPr>
        <w:t xml:space="preserve">の符号を分けているのは収入の契約形態である。ただしその差は主に期待値の移転から生じる。LTDA</w:t>
      </w:r>
      <w:r>
        <w:t xml:space="preserve"> </w:t>
      </w:r>
      <w:r>
        <w:rPr>
          <w:rFonts w:hint="eastAsia"/>
        </w:rPr>
        <w:t xml:space="preserve">の上限価格は公正な固定価格の4.4〜5.0倍で、スワップの価値のうちリスク移転は約1割にすぎない。</w:t>
      </w:r>
    </w:p>
    <w:p>
      <w:pPr>
        <w:pStyle w:val="Compact"/>
        <w:numPr>
          <w:ilvl w:val="0"/>
          <w:numId w:val="1005"/>
        </w:numPr>
      </w:pPr>
      <w:r>
        <w:t xml:space="preserve">LTDA </w:t>
      </w:r>
      <w:r>
        <w:rPr>
          <w:rFonts w:hint="eastAsia"/>
        </w:rPr>
        <w:t xml:space="preserve">はマーチャントの年間市場収入の5%</w:t>
      </w:r>
      <w:r>
        <w:t xml:space="preserve"> CFaR </w:t>
      </w:r>
      <w:r>
        <w:rPr>
          <w:rFonts w:hint="eastAsia"/>
        </w:rPr>
        <w:t xml:space="preserve">の大半を移すが、その多くは上場のヘッジ手段がない容量価格の約定水準と他者の参入に由来する。マーチャントは、長期のリスクについて非完備な市場に直面している。</w:t>
      </w:r>
    </w:p>
    <w:p>
      <w:pPr>
        <w:pStyle w:val="FirstParagraph"/>
      </w:pPr>
      <w:r>
        <w:rPr>
          <w:rFonts w:hint="eastAsia"/>
        </w:rPr>
        <w:t xml:space="preserve">仮説3は支持される。ただし市場外収入で</w:t>
      </w:r>
      <w:r>
        <w:t xml:space="preserve"> APV </w:t>
      </w:r>
      <w:r>
        <w:rPr>
          <w:rFonts w:hint="eastAsia"/>
        </w:rPr>
        <w:t xml:space="preserve">が正になるのは</w:t>
      </w:r>
      <w:r>
        <w:t xml:space="preserve"> LTDA </w:t>
      </w:r>
      <w:r>
        <w:rPr>
          <w:rFonts w:hint="eastAsia"/>
        </w:rPr>
        <w:t xml:space="preserve">の落札分であり、補助を受けた案件は、本研究の資本コスト（9%）の下では補助を含めても</w:t>
      </w:r>
      <w:r>
        <w:t xml:space="preserve"> APV </w:t>
      </w:r>
      <w:r>
        <w:rPr>
          <w:rFonts w:hint="eastAsia"/>
        </w:rPr>
        <w:t xml:space="preserve">が負である。仮説4は一部だけ支持される。抑制回避の価値は併設案件に帰属し、比例拡大でも裁定価値の25〜31%で頭打ちになって乖離を説明しないが、北海道で価格に映らない抑制の中心は下限価格での打ち切りであり、ローカル系統の制約による経路は風力については確認されない。仮説5は、FY2023〜25</w:t>
      </w:r>
      <w:r>
        <w:t xml:space="preserve"> </w:t>
      </w:r>
      <w:r>
        <w:rPr>
          <w:rFonts w:hint="eastAsia"/>
        </w:rPr>
        <w:t xml:space="preserve">の価格水準（</w:t>
      </w:r>
      <m:oMath>
        <m:r>
          <m:t>θ</m:t>
        </m:r>
        <m:r>
          <m:rPr>
            <m:sty m:val="p"/>
          </m:rPr>
          <m:t>=</m:t>
        </m:r>
        <m:r>
          <m:t>1</m:t>
        </m:r>
      </m:oMath>
      <w:r>
        <w:rPr>
          <w:rFonts w:hint="eastAsia"/>
        </w:rPr>
        <w:t xml:space="preserve">）を基準とする限り支持される。恒久成分の推定値1.22</w:t>
      </w:r>
      <w:r>
        <w:t xml:space="preserve"> </w:t>
      </w:r>
      <w:r>
        <w:rPr>
          <w:rFonts w:hint="eastAsia"/>
        </w:rPr>
        <w:t xml:space="preserve">を基準にすると、資本費が2.3万円/kWh</w:t>
      </w:r>
      <w:r>
        <w:t xml:space="preserve"> </w:t>
      </w:r>
      <w:r>
        <w:rPr>
          <w:rFonts w:hint="eastAsia"/>
        </w:rPr>
        <w:t xml:space="preserve">に下がるだけで参入が開く（</w:t>
      </w:r>
      <m:oMath>
        <m:sSup>
          <m:e>
            <m:r>
              <m:t>θ</m:t>
            </m:r>
          </m:e>
          <m:sup>
            <m:r>
              <m:rPr>
                <m:sty m:val="p"/>
              </m:rPr>
              <m:t>*</m:t>
            </m:r>
          </m:sup>
        </m:sSup>
        <m:r>
          <m:rPr>
            <m:sty m:val="p"/>
          </m:rPr>
          <m:t>=</m:t>
        </m:r>
        <m:r>
          <m:t>1.12</m:t>
        </m:r>
      </m:oMath>
      <w:r>
        <w:rPr>
          <w:rFonts w:hint="eastAsia"/>
        </w:rPr>
        <w:t xml:space="preserve">）。</w:t>
      </w:r>
    </w:p>
    <w:p>
      <w:pPr>
        <w:pStyle w:val="BodyText"/>
      </w:pPr>
      <w:r>
        <w:t xml:space="preserve">RQ3 </w:t>
      </w:r>
      <w:r>
        <w:rPr>
          <w:rFonts w:hint="eastAsia"/>
        </w:rPr>
        <w:t xml:space="preserve">の後半への答えは、乖離のうち</w:t>
      </w:r>
      <w:r>
        <w:t xml:space="preserve"> LTDA </w:t>
      </w:r>
      <w:r>
        <w:rPr>
          <w:rFonts w:hint="eastAsia"/>
        </w:rPr>
        <w:t xml:space="preserve">の市場外収入で説明できるのは</w:t>
      </w:r>
      <w:r>
        <w:t xml:space="preserve"> kW </w:t>
      </w:r>
      <w:r>
        <w:rPr>
          <w:rFonts w:hint="eastAsia"/>
        </w:rPr>
        <w:t xml:space="preserve">で2〜3割にとどまり、属性が特定できない6〜7割の</w:t>
      </w:r>
      <w:r>
        <w:t xml:space="preserve"> kW </w:t>
      </w:r>
      <w:r>
        <w:rPr>
          <w:rFonts w:hint="eastAsia"/>
        </w:rPr>
        <w:t xml:space="preserve">は、マーチャントとして建設されるなら計測していない成分が埋めなければならない残差として残る、というものである。RQ4</w:t>
      </w:r>
      <w:r>
        <w:t xml:space="preserve"> </w:t>
      </w:r>
      <w:r>
        <w:rPr>
          <w:rFonts w:hint="eastAsia"/>
        </w:rPr>
        <w:t xml:space="preserve">への答えは、現行の資本費では抑制率が2035年度の見通しまで上がっても併設の内生的な参入は立たない、というものである。RQ5</w:t>
      </w:r>
      <w:r>
        <w:t xml:space="preserve"> </w:t>
      </w:r>
      <w:r>
        <w:rPr>
          <w:rFonts w:hint="eastAsia"/>
        </w:rPr>
        <w:t xml:space="preserve">への答えは、</w:t>
      </w:r>
      <m:oMath>
        <m:sSup>
          <m:e>
            <m:r>
              <m:t>K</m:t>
            </m:r>
          </m:e>
          <m:sup>
            <m:r>
              <m:rPr>
                <m:sty m:val="p"/>
              </m:rPr>
              <m:t>*</m:t>
            </m:r>
          </m:sup>
        </m:sSup>
        <m:r>
          <m:rPr>
            <m:sty m:val="p"/>
          </m:rPr>
          <m:t>&gt;</m:t>
        </m:r>
        <m:r>
          <m:t>0</m:t>
        </m:r>
      </m:oMath>
      <w:r>
        <w:t xml:space="preserve"> </w:t>
      </w:r>
      <w:r>
        <w:rPr>
          <w:rFonts w:hint="eastAsia"/>
        </w:rPr>
        <w:t xml:space="preserve">に転じるのは資本費の大幅な低下、容量収入の上振れ、高い価格水準の持続を組み合わせた場合に限られ、そのときも均衡容量は契約申込に届かない、というものである。次章は</w:t>
      </w:r>
      <w:r>
        <w:t xml:space="preserve"> RQ6 </w:t>
      </w:r>
      <w:r>
        <w:rPr>
          <w:rFonts w:hint="eastAsia"/>
        </w:rPr>
        <w:t xml:space="preserve">として、価格に映らない抑制の中心にある下限価格が、蓄電池の価値と均衡容量をどう歪めるかを扱う。</w:t>
      </w:r>
    </w:p>
    <w:bookmarkEnd w:id="264"/>
    <w:bookmarkEnd w:id="265"/>
    <w:bookmarkStart w:id="282" w:name="第9章-下限価格と負の価格"/>
    <w:p>
      <w:pPr>
        <w:pStyle w:val="Heading1"/>
        <w:pageBreakBefore/>
      </w:pPr>
      <w:r>
        <w:rPr>
          <w:rFonts w:hint="eastAsia"/>
        </w:rPr>
        <w:t xml:space="preserve">第9章</w:t>
      </w:r>
      <w:r>
        <w:t xml:space="preserve">　</w:t>
      </w:r>
      <w:r>
        <w:rPr>
          <w:rFonts w:hint="eastAsia"/>
        </w:rPr>
        <w:t xml:space="preserve">下限価格と負の価格</w:t>
      </w:r>
    </w:p>
    <w:p>
      <w:pPr>
        <w:pStyle w:val="FirstParagraph"/>
      </w:pPr>
      <w:r>
        <w:rPr>
          <w:rFonts w:hint="eastAsia"/>
        </w:rPr>
        <w:t xml:space="preserve">本章は、JEPX</w:t>
      </w:r>
      <w:r>
        <w:t xml:space="preserve"> </w:t>
      </w:r>
      <w:r>
        <w:rPr>
          <w:rFonts w:hint="eastAsia"/>
        </w:rPr>
        <w:t xml:space="preserve">スポット市場の下限価格0.01円/kWh</w:t>
      </w:r>
      <w:r>
        <w:t xml:space="preserve"> </w:t>
      </w:r>
      <w:r>
        <w:rPr>
          <w:rFonts w:hint="eastAsia"/>
        </w:rPr>
        <w:t xml:space="preserve">が蓄電池の価値と参入条件をどう歪めるか、また下限を負の価格に置き換えると裁定価値、参入に必要な価格水準、再エネ側の収入がどれだけ変わるかを問う（RQ6）。第7章は下限価格が充電側の値下がりを止めて裁定価値を削ることを、第8章は下限に張り付いた後の余剰が無補償の出力制御に現れることを示した。本章はこれらを一つの機構として読み直す。そのうえで、第7章の価格過程の上で下限の時間の価格を負の一定値に置く段差モデルを用い、限界参入者の収益曲線と損益分岐の価格水準係数</w:t>
      </w:r>
      <w:r>
        <w:t xml:space="preserve"> </w:t>
      </w:r>
      <m:oMath>
        <m:sSup>
          <m:e>
            <m:r>
              <m:t>θ</m:t>
            </m:r>
          </m:e>
          <m:sup>
            <m:r>
              <m:rPr>
                <m:sty m:val="p"/>
              </m:rPr>
              <m:t>*</m:t>
            </m:r>
          </m:sup>
        </m:sSup>
      </m:oMath>
      <w:r>
        <w:t xml:space="preserve"> </w:t>
      </w:r>
      <w:r>
        <w:rPr>
          <w:rFonts w:hint="eastAsia"/>
        </w:rPr>
        <w:t xml:space="preserve">を求め直す。9.1節で方法、9.2節で下限価格の役割、9.3節で段差モデルの結果、9.4節で再エネ側からの移転、9.5節で価格による調整と数量による調整の比較を述べる。9.6節で結果の頑健性を確かめ、9.7節で小括する。</w:t>
      </w:r>
    </w:p>
    <w:bookmarkStart w:id="269" w:name="分析の方法-4"/>
    <w:p>
      <w:pPr>
        <w:pStyle w:val="Heading2"/>
      </w:pPr>
      <w:r>
        <w:t xml:space="preserve">9.1　</w:t>
      </w:r>
      <w:r>
        <w:rPr>
          <w:rFonts w:hint="eastAsia"/>
        </w:rPr>
        <w:t xml:space="preserve">分析の方法</w:t>
      </w:r>
    </w:p>
    <w:bookmarkStart w:id="266" w:name="負の価格の段差モデル"/>
    <w:p>
      <w:pPr>
        <w:pStyle w:val="Heading3"/>
      </w:pPr>
      <w:r>
        <w:t xml:space="preserve">9.1.1　</w:t>
      </w:r>
      <w:r>
        <w:rPr>
          <w:rFonts w:hint="eastAsia"/>
        </w:rPr>
        <w:t xml:space="preserve">負の価格の段差モデル</w:t>
      </w:r>
    </w:p>
    <w:p>
      <w:pPr>
        <w:pStyle w:val="FirstParagraph"/>
      </w:pPr>
      <w:r>
        <w:rPr>
          <w:rFonts w:hint="eastAsia"/>
        </w:rPr>
        <w:t xml:space="preserve">第7章の価格過程（7.1.1項）は0.01円で打ち切られた価格から推定しているので、負の領域の供給曲線は識別できない。そこで、モデル価格が下限価格に張り付く時間（純需要が下限張り付きの閾値を下回る時間）の集合を</w:t>
      </w:r>
      <w:r>
        <w:t xml:space="preserve"> </w:t>
      </w:r>
      <m:oMath>
        <m:r>
          <m:rPr>
            <m:scr m:val="script"/>
            <m:sty m:val="p"/>
          </m:rPr>
          <m:t>F</m:t>
        </m:r>
      </m:oMath>
      <w:r>
        <w:t xml:space="preserve"> </w:t>
      </w:r>
      <w:r>
        <w:rPr>
          <w:rFonts w:hint="eastAsia"/>
        </w:rPr>
        <w:t xml:space="preserve">とし、その時間の価格だけを</w:t>
      </w:r>
      <w:r>
        <w:t xml:space="preserve"> </w:t>
      </w:r>
      <m:oMath>
        <m:r>
          <m:rPr>
            <m:sty m:val="p"/>
          </m:rPr>
          <m:t>−</m:t>
        </m:r>
        <m:r>
          <m:t>δ</m:t>
        </m:r>
      </m:oMath>
      <w:r>
        <w:t xml:space="preserve"> </w:t>
      </w:r>
      <w:r>
        <w:rPr>
          <w:rFonts w:hint="eastAsia"/>
        </w:rPr>
        <w:t xml:space="preserve">円/kWh</w:t>
      </w:r>
      <w:r>
        <w:t xml:space="preserve"> </w:t>
      </w:r>
      <w:r>
        <w:rPr>
          <w:rFonts w:hint="eastAsia"/>
        </w:rPr>
        <w:t xml:space="preserve">に置く段差モデル（式(9.1)）を用いる。</w:t>
      </w:r>
    </w:p>
    <w:p>
      <w:pPr>
        <w:pStyle w:val="BodyText"/>
        <w:tabs>
          <w:tab w:val="center" w:pos="4393"/>
          <w:tab w:val="right" w:pos="8787"/>
        </w:tabs>
        <w:spacing w:before="120" w:after="120" w:line="240" w:lineRule="auto"/>
        <w:ind w:firstLine="0"/>
      </w:pPr>
      <w:r>
        <w:tab/>
      </w:r>
      <m:oMath>
        <m:sSubSup>
          <m:e>
            <m:r>
              <m:t>p</m:t>
            </m:r>
          </m:e>
          <m:sub>
            <m:r>
              <m:t>t</m:t>
            </m:r>
          </m:sub>
          <m:sup>
            <m:r>
              <m:rPr>
                <m:sty m:val="p"/>
              </m:rPr>
              <m:t>(</m:t>
            </m:r>
            <m:r>
              <m:t>δ</m:t>
            </m:r>
            <m:r>
              <m:rPr>
                <m:sty m:val="p"/>
              </m:rPr>
              <m:t>)</m:t>
            </m:r>
          </m:sup>
        </m:sSubSup>
        <m:r>
          <m:rPr>
            <m:sty m:val="p"/>
          </m:rPr>
          <m:t>=</m:t>
        </m:r>
        <m:sSub>
          <m:e>
            <m:r>
              <m:t>p</m:t>
            </m:r>
          </m:e>
          <m:sub>
            <m:r>
              <m:t>t</m:t>
            </m:r>
          </m:sub>
        </m:sSub>
        <m:r>
          <m:rPr>
            <m:sty m:val="p"/>
          </m:rPr>
          <m:t>−</m:t>
        </m:r>
        <m:r>
          <m:rPr>
            <m:sty m:val="p"/>
          </m:rPr>
          <m:t>(</m:t>
        </m:r>
        <m:r>
          <m:t>0.01</m:t>
        </m:r>
        <m:r>
          <m:rPr>
            <m:sty m:val="p"/>
          </m:rPr>
          <m:t>+</m:t>
        </m:r>
        <m:r>
          <m:t>δ</m:t>
        </m:r>
        <m:r>
          <m:rPr>
            <m:sty m:val="p"/>
          </m:rPr>
          <m:t>)</m:t>
        </m:r>
        <m:r>
          <m:t> </m:t>
        </m:r>
        <m:r>
          <m:rPr>
            <m:sty m:val="b"/>
          </m:rPr>
          <m:t>1</m:t>
        </m:r>
        <m:r>
          <m:rPr>
            <m:sty m:val="p"/>
          </m:rPr>
          <m:t>{</m:t>
        </m:r>
        <m:r>
          <m:t>t</m:t>
        </m:r>
        <m:r>
          <m:rPr>
            <m:sty m:val="p"/>
          </m:rPr>
          <m:t>∈</m:t>
        </m:r>
        <m:r>
          <m:rPr>
            <m:scr m:val="script"/>
            <m:sty m:val="p"/>
          </m:rPr>
          <m:t>F</m:t>
        </m:r>
        <m:r>
          <m:rPr>
            <m:sty m:val="p"/>
          </m:rPr>
          <m:t>}</m:t>
        </m:r>
      </m:oMath>
      <w:r>
        <w:tab/>
      </w:r>
      <w:r>
        <w:t>(9.1)</w:t>
      </w:r>
    </w:p>
    <w:p>
      <w:pPr>
        <w:pStyle w:val="BodyText"/>
      </w:pPr>
      <m:oMath>
        <m:sSub>
          <m:e>
            <m:r>
              <m:t>p</m:t>
            </m:r>
          </m:e>
          <m:sub>
            <m:r>
              <m:t>t</m:t>
            </m:r>
          </m:sub>
        </m:sSub>
      </m:oMath>
      <w:r>
        <w:t xml:space="preserve"> </w:t>
      </w:r>
      <w:r>
        <w:rPr>
          <w:rFonts w:hint="eastAsia"/>
        </w:rPr>
        <w:t xml:space="preserve">は第7章の感応度（7.5節・7.6節）と同じ水準係数付きの価格過程（式(4.3)）によるモデル価格で（仕様の使い分けは9.1.2項）、</w:t>
      </w:r>
      <m:oMath>
        <m:r>
          <m:t>t</m:t>
        </m:r>
        <m:r>
          <m:rPr>
            <m:sty m:val="p"/>
          </m:rPr>
          <m:t>∈</m:t>
        </m:r>
        <m:r>
          <m:rPr>
            <m:scr m:val="script"/>
            <m:sty m:val="p"/>
          </m:rPr>
          <m:t>F</m:t>
        </m:r>
      </m:oMath>
      <w:r>
        <w:t xml:space="preserve"> </w:t>
      </w:r>
      <w:r>
        <w:rPr>
          <w:rFonts w:hint="eastAsia"/>
        </w:rPr>
        <w:t xml:space="preserve">では0.01円である。負の価格の深さ</w:t>
      </w:r>
      <w:r>
        <w:t xml:space="preserve"> </w:t>
      </w:r>
      <m:oMath>
        <m:r>
          <m:t>δ</m:t>
        </m:r>
      </m:oMath>
      <w:r>
        <w:t xml:space="preserve"> </w:t>
      </w:r>
      <w:r>
        <w:rPr>
          <w:rFonts w:hint="eastAsia"/>
        </w:rPr>
        <w:t xml:space="preserve">は外生とし、0（下限の撤廃のみ）、5、10円に振る。蓄電池のフリートが</w:t>
      </w:r>
      <w:r>
        <w:t xml:space="preserve"> </w:t>
      </w:r>
      <m:oMath>
        <m:r>
          <m:rPr>
            <m:scr m:val="script"/>
            <m:sty m:val="p"/>
          </m:rPr>
          <m:t>F</m:t>
        </m:r>
      </m:oMath>
      <w:r>
        <w:t xml:space="preserve"> </w:t>
      </w:r>
      <w:r>
        <w:rPr>
          <w:rFonts w:hint="eastAsia"/>
        </w:rPr>
        <w:t xml:space="preserve">の時間に充電すると純需要が上がって価格は下限を離れるので、</w:t>
      </w:r>
      <m:oMath>
        <m:r>
          <m:rPr>
            <m:scr m:val="script"/>
            <m:sty m:val="p"/>
          </m:rPr>
          <m:t>F</m:t>
        </m:r>
      </m:oMath>
      <w:r>
        <w:t xml:space="preserve"> </w:t>
      </w:r>
      <w:r>
        <w:rPr>
          <w:rFonts w:hint="eastAsia"/>
        </w:rPr>
        <w:t xml:space="preserve">はフリートの規模とともに縮む。第7章の下端の線形外挿（7.7節）で生じる負の価格は下端の傾きで決まる浅いもので、下限が削る価値の上限を与えないので、段差モデルは深さを外生に置く別の反実仮想として用いる（付録B.6.2）。</w:t>
      </w:r>
    </w:p>
    <w:p>
      <w:pPr>
        <w:pStyle w:val="BodyText"/>
      </w:pPr>
      <m:oMath>
        <m:r>
          <m:t>δ</m:t>
        </m:r>
      </m:oMath>
      <w:r>
        <w:t xml:space="preserve"> </w:t>
      </w:r>
      <w:r>
        <w:rPr>
          <w:rFonts w:hint="eastAsia"/>
        </w:rPr>
        <w:t xml:space="preserve">の目安は、余剰時に運転を続ける電源の支払意思である。抑制が無補償の</w:t>
      </w:r>
      <w:r>
        <w:t xml:space="preserve"> FIT </w:t>
      </w:r>
      <w:r>
        <w:rPr>
          <w:rFonts w:hint="eastAsia"/>
        </w:rPr>
        <w:t xml:space="preserve">電源は0円までしか耐えず、FIP</w:t>
      </w:r>
      <w:r>
        <w:t xml:space="preserve"> </w:t>
      </w:r>
      <w:r>
        <w:rPr>
          <w:rFonts w:hint="eastAsia"/>
        </w:rPr>
        <w:t xml:space="preserve">電源はプレミアム（基準価格と参照価格の差）まで、起動費のある火力・原子力はそれ以上の負値を提示しうる。ドイツの日前市場の負のスパイクは約−38ユーロ/MWh</w:t>
      </w:r>
      <w:r>
        <w:t xml:space="preserve"> </w:t>
      </w:r>
      <w:r>
        <w:rPr>
          <w:rFonts w:hint="eastAsia"/>
        </w:rPr>
        <w:t xml:space="preserve">を閾値とする厚い裾をもつと推定されており（Fanone</w:t>
      </w:r>
      <w:r>
        <w:t xml:space="preserve"> et al., </w:t>
      </w:r>
      <w:r>
        <w:rPr>
          <w:rFonts w:hint="eastAsia"/>
        </w:rPr>
        <w:t xml:space="preserve">2013）、</w:t>
      </w:r>
      <m:oMath>
        <m:r>
          <m:t>δ</m:t>
        </m:r>
      </m:oMath>
      <w:r>
        <w:rPr>
          <w:rFonts w:hint="eastAsia"/>
        </w:rPr>
        <w:t xml:space="preserve">=5〜10円（1ユーロ＝160円で約−30〜−60ユーロ/MWh）はこの閾値の近傍にあって、極端な負のスパイクは含めていない。</w:t>
      </w:r>
    </w:p>
    <w:bookmarkEnd w:id="266"/>
    <w:bookmarkStart w:id="267" w:name="シナリオと損益分岐の直接解"/>
    <w:p>
      <w:pPr>
        <w:pStyle w:val="Heading3"/>
      </w:pPr>
      <w:r>
        <w:t xml:space="preserve">9.1.2　</w:t>
      </w:r>
      <w:r>
        <w:rPr>
          <w:rFonts w:hint="eastAsia"/>
        </w:rPr>
        <w:t xml:space="preserve">シナリオと損益分岐の直接解</w:t>
      </w:r>
    </w:p>
    <w:p>
      <w:pPr>
        <w:pStyle w:val="FirstParagraph"/>
      </w:pPr>
      <w:r>
        <w:rPr>
          <w:rFonts w:hint="eastAsia"/>
        </w:rPr>
        <w:t xml:space="preserve">シナリオは、現状（FY2023〜25</w:t>
      </w:r>
      <w:r>
        <w:t xml:space="preserve"> </w:t>
      </w:r>
      <w:r>
        <w:rPr>
          <w:rFonts w:hint="eastAsia"/>
        </w:rPr>
        <w:t xml:space="preserve">の気象・需要パス、</w:t>
      </w:r>
      <m:oMath>
        <m:r>
          <m:t>θ</m:t>
        </m:r>
        <m:r>
          <m:rPr>
            <m:sty m:val="p"/>
          </m:rPr>
          <m:t>=</m:t>
        </m:r>
        <m:r>
          <m:t>1</m:t>
        </m:r>
      </m:oMath>
      <w:r>
        <w:rPr>
          <w:rFonts w:hint="eastAsia"/>
        </w:rPr>
        <w:t xml:space="preserve">）、FY2026上期の価格水準（</w:t>
      </w:r>
      <m:oMath>
        <m:r>
          <m:t>θ</m:t>
        </m:r>
        <m:r>
          <m:rPr>
            <m:sty m:val="p"/>
          </m:rPr>
          <m:t>=</m:t>
        </m:r>
        <m:r>
          <m:t>1.57</m:t>
        </m:r>
      </m:oMath>
      <w:r>
        <w:rPr>
          <w:rFonts w:hint="eastAsia"/>
        </w:rPr>
        <w:t xml:space="preserve">）、泊3号機の再稼働、泊と風力2倍の4通りである（7.3節）。泊と風力2倍は、風力への条件付き応答と実績との差が標本内で有意でなくなるよう修正した仕様A′（7.2.2項。風力への応答はなお実績の約2倍）を主とし、単一曲線の仕様A</w:t>
      </w:r>
      <w:r>
        <w:t xml:space="preserve"> </w:t>
      </w:r>
      <w:r>
        <w:rPr>
          <w:rFonts w:hint="eastAsia"/>
        </w:rPr>
        <w:t xml:space="preserve">を感応度とする。その他のシナリオは仕様A</w:t>
      </w:r>
      <w:r>
        <w:t xml:space="preserve"> </w:t>
      </w:r>
      <w:r>
        <w:rPr>
          <w:rFonts w:hint="eastAsia"/>
        </w:rPr>
        <w:t xml:space="preserve">による。限界参入者の収益</w:t>
      </w:r>
      <w:r>
        <w:t xml:space="preserve"> </w:t>
      </w:r>
      <m:oMath>
        <m:r>
          <m:t>π</m:t>
        </m:r>
        <m:r>
          <m:rPr>
            <m:sty m:val="p"/>
          </m:rPr>
          <m:t>(</m:t>
        </m:r>
        <m:r>
          <m:t>K</m:t>
        </m:r>
        <m:r>
          <m:rPr>
            <m:sty m:val="p"/>
          </m:rPr>
          <m:t>)</m:t>
        </m:r>
      </m:oMath>
      <w:r>
        <w:rPr>
          <w:rFonts w:hint="eastAsia"/>
        </w:rPr>
        <w:t xml:space="preserve">（式(4.4)）は、第7章と同じ増分貪欲ディスパッチ（刻み1万kW。7.4節）の下で、各シナリオのモデル価格の上で戦略</w:t>
      </w:r>
      <w:r>
        <w:t xml:space="preserve"> c </w:t>
      </w:r>
      <w:r>
        <w:rPr>
          <w:rFonts w:hint="eastAsia"/>
        </w:rPr>
        <w:t xml:space="preserve">を直接計算し、現状・</w:t>
      </w:r>
      <m:oMath>
        <m:r>
          <m:t>K</m:t>
        </m:r>
        <m:r>
          <m:rPr>
            <m:sty m:val="p"/>
          </m:rPr>
          <m:t>=</m:t>
        </m:r>
        <m:r>
          <m:t>0</m:t>
        </m:r>
      </m:oMath>
      <w:r>
        <w:t xml:space="preserve"> </w:t>
      </w:r>
      <w:r>
        <w:rPr>
          <w:rFonts w:hint="eastAsia"/>
        </w:rPr>
        <w:t xml:space="preserve">で実績の戦略</w:t>
      </w:r>
      <w:r>
        <w:t xml:space="preserve"> c </w:t>
      </w:r>
      <w:r>
        <w:rPr>
          <w:rFonts w:hint="eastAsia"/>
        </w:rPr>
        <w:t xml:space="preserve">に校正した実績整合ケースで測る（校正係数</w:t>
      </w:r>
      <w:r>
        <w:t xml:space="preserve"> </w:t>
      </w:r>
      <m:oMath>
        <m:r>
          <m:t>λ</m:t>
        </m:r>
      </m:oMath>
      <w:r>
        <w:t xml:space="preserve"> </w:t>
      </w:r>
      <w:r>
        <w:rPr>
          <w:rFonts w:hint="eastAsia"/>
        </w:rPr>
        <w:t xml:space="preserve">は仕様A</w:t>
      </w:r>
      <w:r>
        <w:t xml:space="preserve"> </w:t>
      </w:r>
      <w:r>
        <w:rPr>
          <w:rFonts w:hint="eastAsia"/>
        </w:rPr>
        <w:t xml:space="preserve">で1.108、仕様A′</w:t>
      </w:r>
      <w:r>
        <w:t xml:space="preserve"> </w:t>
      </w:r>
      <w:r>
        <w:rPr>
          <w:rFonts w:hint="eastAsia"/>
        </w:rPr>
        <w:t xml:space="preserve">で1.0015）。</w:t>
      </w:r>
    </w:p>
    <w:p>
      <w:pPr>
        <w:pStyle w:val="BodyText"/>
      </w:pPr>
      <m:oMath>
        <m:r>
          <m:rPr>
            <m:sty m:val="p"/>
          </m:rPr>
          <m:t>−</m:t>
        </m:r>
        <m:r>
          <m:t>δ</m:t>
        </m:r>
      </m:oMath>
      <w:r>
        <w:t xml:space="preserve"> </w:t>
      </w:r>
      <w:r>
        <w:t xml:space="preserve">は</w:t>
      </w:r>
      <w:r>
        <w:t xml:space="preserve"> </w:t>
      </w:r>
      <m:oMath>
        <m:r>
          <m:t>θ</m:t>
        </m:r>
      </m:oMath>
      <w:r>
        <w:t xml:space="preserve"> </w:t>
      </w:r>
      <w:r>
        <w:rPr>
          <w:rFonts w:hint="eastAsia"/>
        </w:rPr>
        <w:t xml:space="preserve">で伸縮させない。余剰時の支払意思は燃料価格の水準に依存しないと置くからである。このため粗収益は</w:t>
      </w:r>
      <w:r>
        <w:t xml:space="preserve"> </w:t>
      </w:r>
      <m:oMath>
        <m:r>
          <m:t>θ</m:t>
        </m:r>
      </m:oMath>
      <w:r>
        <w:t xml:space="preserve"> </w:t>
      </w:r>
      <w:r>
        <w:rPr>
          <w:rFonts w:hint="eastAsia"/>
        </w:rPr>
        <w:t xml:space="preserve">に比例せず、</w:t>
      </w:r>
      <m:oMath>
        <m:r>
          <m:t>θ</m:t>
        </m:r>
      </m:oMath>
      <w:r>
        <w:t xml:space="preserve"> </w:t>
      </w:r>
      <w:r>
        <w:rPr>
          <w:rFonts w:hint="eastAsia"/>
        </w:rPr>
        <w:t xml:space="preserve">によらない正の部分をもつので、比例を前提とする第4章の閉じた式（式(4.8)）は、</w:t>
      </w:r>
      <m:oMath>
        <m:sSup>
          <m:e>
            <m:r>
              <m:t>θ</m:t>
            </m:r>
          </m:e>
          <m:sup>
            <m:r>
              <m:rPr>
                <m:sty m:val="p"/>
              </m:rPr>
              <m:t>*</m:t>
            </m:r>
          </m:sup>
        </m:sSup>
      </m:oMath>
      <w:r>
        <w:t xml:space="preserve"> </w:t>
      </w:r>
      <w:r>
        <w:rPr>
          <w:rFonts w:hint="eastAsia"/>
        </w:rPr>
        <w:t xml:space="preserve">が1を超える局面で</w:t>
      </w:r>
      <w:r>
        <w:t xml:space="preserve"> </w:t>
      </w:r>
      <m:oMath>
        <m:sSup>
          <m:e>
            <m:r>
              <m:t>θ</m:t>
            </m:r>
          </m:e>
          <m:sup>
            <m:r>
              <m:rPr>
                <m:sty m:val="p"/>
              </m:rPr>
              <m:t>*</m:t>
            </m:r>
          </m:sup>
        </m:sSup>
      </m:oMath>
      <w:r>
        <w:t xml:space="preserve"> </w:t>
      </w:r>
      <w:r>
        <w:rPr>
          <w:rFonts w:hint="eastAsia"/>
        </w:rPr>
        <w:t xml:space="preserve">を過小に出す。そこで各</w:t>
      </w:r>
      <w:r>
        <w:t xml:space="preserve"> </w:t>
      </w:r>
      <m:oMath>
        <m:r>
          <m:t>θ</m:t>
        </m:r>
      </m:oMath>
      <w:r>
        <w:t xml:space="preserve"> </w:t>
      </w:r>
      <w:r>
        <w:rPr>
          <w:rFonts w:hint="eastAsia"/>
        </w:rPr>
        <w:t xml:space="preserve">で戦略</w:t>
      </w:r>
      <w:r>
        <w:t xml:space="preserve"> c </w:t>
      </w:r>
      <w:r>
        <w:rPr>
          <w:rFonts w:hint="eastAsia"/>
        </w:rPr>
        <w:t xml:space="preserve">を計算し直し、</w:t>
      </w:r>
      <m:oMath>
        <m:r>
          <m:t>K</m:t>
        </m:r>
        <m:r>
          <m:rPr>
            <m:sty m:val="p"/>
          </m:rPr>
          <m:t>=</m:t>
        </m:r>
        <m:r>
          <m:t>0</m:t>
        </m:r>
      </m:oMath>
      <w:r>
        <w:t xml:space="preserve"> </w:t>
      </w:r>
      <w:r>
        <w:rPr>
          <w:rFonts w:hint="eastAsia"/>
        </w:rPr>
        <w:t xml:space="preserve">のゼロレント条件</w:t>
      </w:r>
    </w:p>
    <w:p>
      <w:pPr>
        <w:pStyle w:val="BodyText"/>
        <w:tabs>
          <w:tab w:val="center" w:pos="4393"/>
          <w:tab w:val="right" w:pos="8787"/>
        </w:tabs>
        <w:spacing w:before="120" w:after="120" w:line="240" w:lineRule="auto"/>
        <w:ind w:firstLine="0"/>
      </w:pPr>
      <w:r>
        <w:tab/>
      </w:r>
      <m:oMath>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θ</m:t>
        </m:r>
        <m:r>
          <m:rPr>
            <m:sty m:val="p"/>
          </m:rPr>
          <m:t>,</m:t>
        </m:r>
        <m:r>
          <m:t>δ</m:t>
        </m:r>
        <m:r>
          <m:rPr>
            <m:sty m:val="p"/>
          </m:rPr>
          <m:t>)</m:t>
        </m:r>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r>
          <m:rPr>
            <m:sty m:val="p"/>
          </m:rPr>
          <m:t>=</m:t>
        </m:r>
        <m:sSub>
          <m:e>
            <m:r>
              <m:t>c</m:t>
            </m:r>
          </m:e>
          <m:sub>
            <m:r>
              <m:rPr>
                <m:sty m:val="p"/>
              </m:rPr>
              <m:t>r</m:t>
            </m:r>
            <m:r>
              <m:rPr>
                <m:sty m:val="p"/>
              </m:rPr>
              <m:t>e</m:t>
            </m:r>
            <m:r>
              <m:rPr>
                <m:sty m:val="p"/>
              </m:rPr>
              <m:t>q</m:t>
            </m:r>
          </m:sub>
        </m:sSub>
      </m:oMath>
      <w:r>
        <w:tab/>
      </w:r>
      <w:r>
        <w:t>(9.2)</w:t>
      </w:r>
    </w:p>
    <w:p>
      <w:pPr>
        <w:pStyle w:val="BodyText"/>
      </w:pPr>
      <w:r>
        <w:t xml:space="preserve">を</w:t>
      </w:r>
      <w:r>
        <w:t xml:space="preserve"> </w:t>
      </w:r>
      <m:oMath>
        <m:r>
          <m:t>θ</m:t>
        </m:r>
      </m:oMath>
      <w:r>
        <w:t xml:space="preserve"> </w:t>
      </w:r>
      <w:r>
        <w:rPr>
          <w:rFonts w:hint="eastAsia"/>
        </w:rPr>
        <w:t xml:space="preserve">について直接解く（付録B.6.1）。</w:t>
      </w:r>
      <m:oMath>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θ</m:t>
        </m:r>
        <m:r>
          <m:rPr>
            <m:sty m:val="p"/>
          </m:rPr>
          <m:t>,</m:t>
        </m:r>
        <m:r>
          <m:t>δ</m:t>
        </m:r>
        <m:r>
          <m:rPr>
            <m:sty m:val="p"/>
          </m:rPr>
          <m:t>)</m:t>
        </m:r>
      </m:oMath>
      <w:r>
        <w:t xml:space="preserve"> </w:t>
      </w:r>
      <w:r>
        <w:rPr>
          <w:rFonts w:hint="eastAsia"/>
        </w:rPr>
        <w:t xml:space="preserve">は水準係数</w:t>
      </w:r>
      <w:r>
        <w:t xml:space="preserve"> </w:t>
      </w:r>
      <m:oMath>
        <m:r>
          <m:t>θ</m:t>
        </m:r>
      </m:oMath>
      <w:r>
        <w:rPr>
          <w:rFonts w:hint="eastAsia"/>
        </w:rPr>
        <w:t xml:space="preserve">・深さ</w:t>
      </w:r>
      <w:r>
        <w:t xml:space="preserve"> </w:t>
      </w:r>
      <m:oMath>
        <m:r>
          <m:t>δ</m:t>
        </m:r>
      </m:oMath>
      <w:r>
        <w:t xml:space="preserve"> </w:t>
      </w:r>
      <w:r>
        <w:rPr>
          <w:rFonts w:hint="eastAsia"/>
        </w:rPr>
        <w:t xml:space="preserve">のモデル価格の上での戦略</w:t>
      </w:r>
      <w:r>
        <w:t xml:space="preserve"> c </w:t>
      </w:r>
      <w:r>
        <w:rPr>
          <w:rFonts w:hint="eastAsia"/>
        </w:rPr>
        <w:t xml:space="preserve">の粗利（</w:t>
      </w:r>
      <m:oMath>
        <m:r>
          <m:t>K</m:t>
        </m:r>
        <m:r>
          <m:rPr>
            <m:sty m:val="p"/>
          </m:rPr>
          <m:t>=</m:t>
        </m:r>
        <m:r>
          <m:t>0</m:t>
        </m:r>
      </m:oMath>
      <w:r>
        <w:rPr>
          <w:rFonts w:hint="eastAsia"/>
        </w:rPr>
        <w:t xml:space="preserve">）、</w:t>
      </w:r>
      <m:oMath>
        <m:sSub>
          <m:e>
            <m:r>
              <m:t>c</m:t>
            </m:r>
          </m:e>
          <m:sub>
            <m:r>
              <m:rPr>
                <m:sty m:val="p"/>
              </m:rPr>
              <m:t>r</m:t>
            </m:r>
            <m:r>
              <m:rPr>
                <m:sty m:val="p"/>
              </m:rPr>
              <m:t>e</m:t>
            </m:r>
            <m:r>
              <m:rPr>
                <m:sty m:val="p"/>
              </m:rPr>
              <m:t>q</m:t>
            </m:r>
          </m:sub>
        </m:sSub>
      </m:oMath>
      <w:r>
        <w:t xml:space="preserve"> </w:t>
      </w:r>
      <w:r>
        <w:rPr>
          <w:rFonts w:hint="eastAsia"/>
        </w:rPr>
        <w:t xml:space="preserve">は第4章の参入必要収益（式(4.6)）で、本章では</w:t>
      </w:r>
      <w:r>
        <w:t xml:space="preserve"> WACC </w:t>
      </w:r>
      <w:r>
        <w:rPr>
          <w:rFonts w:hint="eastAsia"/>
        </w:rPr>
        <w:t xml:space="preserve">6%・寿命20年で評価する（8.6節）。</w:t>
      </w:r>
    </w:p>
    <w:p>
      <w:pPr>
        <w:pStyle w:val="BodyText"/>
      </w:pPr>
      <w:r>
        <w:rPr>
          <w:rFonts w:hint="eastAsia"/>
        </w:rPr>
        <w:t xml:space="preserve">モデルの下限張り付き時間は、現状で年115時間と、実績（FY2023〜25</w:t>
      </w:r>
      <w:r>
        <w:t xml:space="preserve"> </w:t>
      </w:r>
      <w:r>
        <w:rPr>
          <w:rFonts w:hint="eastAsia"/>
        </w:rPr>
        <w:t xml:space="preserve">の平均約203時間）の57%にとどまる。負の価格の効果は下限張り付き時間にほぼ比例するので、実績価格の下限の時間を使う場合、供給曲線の下端を線形外挿する場合、下限張り付き時間を実績に合わせて較正する場合の三つの感応度と仕様A</w:t>
      </w:r>
      <w:r>
        <w:t xml:space="preserve"> </w:t>
      </w:r>
      <w:r>
        <w:rPr>
          <w:rFonts w:hint="eastAsia"/>
        </w:rPr>
        <w:t xml:space="preserve">による結果を、9.6節で示す。</w:t>
      </w:r>
    </w:p>
    <w:bookmarkEnd w:id="267"/>
    <w:bookmarkStart w:id="268" w:name="再エネ側からの移転の計測"/>
    <w:p>
      <w:pPr>
        <w:pStyle w:val="Heading3"/>
      </w:pPr>
      <w:r>
        <w:t xml:space="preserve">9.1.3　</w:t>
      </w:r>
      <w:r>
        <w:rPr>
          <w:rFonts w:hint="eastAsia"/>
        </w:rPr>
        <w:t xml:space="preserve">再エネ側からの移転の計測</w:t>
      </w:r>
    </w:p>
    <w:p>
      <w:pPr>
        <w:pStyle w:val="FirstParagraph"/>
      </w:pPr>
      <w:r>
        <w:rPr>
          <w:rFonts w:hint="eastAsia"/>
        </w:rPr>
        <w:t xml:space="preserve">負の価格は、蓄電池への支払いであると同時に、余剰の時間に発電する再エネ事業者からの移転でもある。そこで実績から、下限張り付きの時間に発電し販売された太陽光・風力の電力量に</w:t>
      </w:r>
      <w:r>
        <w:t xml:space="preserve"> </w:t>
      </w:r>
      <m:oMath>
        <m:r>
          <m:t>0.01</m:t>
        </m:r>
        <m:r>
          <m:rPr>
            <m:sty m:val="p"/>
          </m:rPr>
          <m:t>+</m:t>
        </m:r>
        <m:r>
          <m:t>δ</m:t>
        </m:r>
      </m:oMath>
      <w:r>
        <w:t xml:space="preserve"> </w:t>
      </w:r>
      <w:r>
        <w:rPr>
          <w:rFonts w:hint="eastAsia"/>
        </w:rPr>
        <w:t xml:space="preserve">円を掛けた再エネ側の収入減と、出力制御量に</w:t>
      </w:r>
      <w:r>
        <w:t xml:space="preserve"> </w:t>
      </w:r>
      <m:oMath>
        <m:r>
          <m:t>δ</m:t>
        </m:r>
      </m:oMath>
      <w:r>
        <w:t xml:space="preserve"> </w:t>
      </w:r>
      <w:r>
        <w:rPr>
          <w:rFonts w:hint="eastAsia"/>
        </w:rPr>
        <w:t xml:space="preserve">円を掛けた抑制の影の価格の価値を年度別に求めて比べる。抑制された電力量は販売されないので、収入減には含めない。いずれも実績の発電量と出力制御量を固定した静学の計算である。</w:t>
      </w:r>
    </w:p>
    <w:bookmarkEnd w:id="268"/>
    <w:bookmarkEnd w:id="269"/>
    <w:bookmarkStart w:id="270" w:name="下限価格の役割"/>
    <w:p>
      <w:pPr>
        <w:pStyle w:val="Heading2"/>
      </w:pPr>
      <w:r>
        <w:t xml:space="preserve">9.2　</w:t>
      </w:r>
      <w:r>
        <w:rPr>
          <w:rFonts w:hint="eastAsia"/>
        </w:rPr>
        <w:t xml:space="preserve">下限価格の役割</w:t>
      </w:r>
    </w:p>
    <w:p>
      <w:pPr>
        <w:pStyle w:val="FirstParagraph"/>
      </w:pPr>
      <w:r>
        <w:rPr>
          <w:rFonts w:hint="eastAsia"/>
        </w:rPr>
        <w:t xml:space="preserve">蓄電池の側からみると、下限価格は充電価格を、潜在価格</w:t>
      </w:r>
      <w:r>
        <w:t xml:space="preserve"> </w:t>
      </w:r>
      <m:oMath>
        <m:sSub>
          <m:e>
            <m:acc>
              <m:accPr>
                <m:chr m:val="̃"/>
              </m:accPr>
              <m:e>
                <m:r>
                  <m:t>p</m:t>
                </m:r>
              </m:e>
            </m:acc>
          </m:e>
          <m:sub>
            <m:r>
              <m:t>t</m:t>
            </m:r>
          </m:sub>
        </m:sSub>
      </m:oMath>
      <w:r>
        <w:rPr>
          <w:rFonts w:hint="eastAsia"/>
        </w:rPr>
        <w:t xml:space="preserve">（下限がなければ成立する価格）と0.01円の大きいほうにする。</w:t>
      </w:r>
    </w:p>
    <w:p>
      <w:pPr>
        <w:pStyle w:val="BodyText"/>
        <w:tabs>
          <w:tab w:val="center" w:pos="4393"/>
          <w:tab w:val="right" w:pos="8787"/>
        </w:tabs>
        <w:spacing w:before="120" w:after="120" w:line="240" w:lineRule="auto"/>
        <w:ind w:firstLine="0"/>
      </w:pPr>
      <w:r>
        <w:tab/>
      </w:r>
      <m:oMath>
        <m:r>
          <m:rPr>
            <m:sty m:val="p"/>
          </m:rPr>
          <m:t>max</m:t>
        </m:r>
        <m:r>
          <m:rPr>
            <m:sty m:val="p"/>
          </m:rPr>
          <m:t>{</m:t>
        </m:r>
        <m:sSub>
          <m:e>
            <m:acc>
              <m:accPr>
                <m:chr m:val="̃"/>
              </m:accPr>
              <m:e>
                <m:r>
                  <m:t>p</m:t>
                </m:r>
              </m:e>
            </m:acc>
          </m:e>
          <m:sub>
            <m:r>
              <m:t>t</m:t>
            </m:r>
          </m:sub>
        </m:sSub>
        <m:r>
          <m:rPr>
            <m:sty m:val="p"/>
          </m:rPr>
          <m:t>,</m:t>
        </m:r>
        <m:r>
          <m:t> </m:t>
        </m:r>
        <m:r>
          <m:t>0.01</m:t>
        </m:r>
        <m:r>
          <m:rPr>
            <m:sty m:val="p"/>
          </m:rPr>
          <m:t>}</m:t>
        </m:r>
        <m:r>
          <m:rPr>
            <m:sty m:val="p"/>
          </m:rPr>
          <m:t>=</m:t>
        </m:r>
        <m:sSub>
          <m:e>
            <m:acc>
              <m:accPr>
                <m:chr m:val="̃"/>
              </m:accPr>
              <m:e>
                <m:r>
                  <m:t>p</m:t>
                </m:r>
              </m:e>
            </m:acc>
          </m:e>
          <m:sub>
            <m:r>
              <m:t>t</m:t>
            </m:r>
          </m:sub>
        </m:sSub>
        <m:r>
          <m:rPr>
            <m:sty m:val="p"/>
          </m:rPr>
          <m:t>+</m:t>
        </m:r>
        <m:r>
          <m:rPr>
            <m:sty m:val="p"/>
          </m:rPr>
          <m:t>max</m:t>
        </m:r>
        <m:r>
          <m:rPr>
            <m:sty m:val="p"/>
          </m:rPr>
          <m:t>{</m:t>
        </m:r>
        <m:r>
          <m:t>0.01</m:t>
        </m:r>
        <m:r>
          <m:rPr>
            <m:sty m:val="p"/>
          </m:rPr>
          <m:t>−</m:t>
        </m:r>
        <m:sSub>
          <m:e>
            <m:acc>
              <m:accPr>
                <m:chr m:val="̃"/>
              </m:accPr>
              <m:e>
                <m:r>
                  <m:t>p</m:t>
                </m:r>
              </m:e>
            </m:acc>
          </m:e>
          <m:sub>
            <m:r>
              <m:t>t</m:t>
            </m:r>
          </m:sub>
        </m:sSub>
        <m:r>
          <m:rPr>
            <m:sty m:val="p"/>
          </m:rPr>
          <m:t>,</m:t>
        </m:r>
        <m:r>
          <m:t> </m:t>
        </m:r>
        <m:r>
          <m:t>0</m:t>
        </m:r>
        <m:r>
          <m:rPr>
            <m:sty m:val="p"/>
          </m:rPr>
          <m:t>}</m:t>
        </m:r>
      </m:oMath>
      <w:r>
        <w:tab/>
      </w:r>
      <w:r>
        <w:t>(9.3)</w:t>
      </w:r>
    </w:p>
    <w:p>
      <w:pPr>
        <w:pStyle w:val="BodyText"/>
      </w:pPr>
      <w:r>
        <w:rPr>
          <w:rFonts w:hint="eastAsia"/>
        </w:rPr>
        <w:t xml:space="preserve">式(9.3)の右辺の第2項は行使価格0.01円のプットのペイオフであり、充電する蓄電池はこれを支払う側、すなわちプットの売り手にあたる（7.7節）。潜在価格が下限を下回る時間ほど、蓄電池は得られたはずの値下がりを失う。このため価格が一様に下がる局面では、下限での打ち切りは価値を削る。実績価格（FY2023〜25）を一様に8円/kWh</w:t>
      </w:r>
      <w:r>
        <w:t xml:space="preserve"> </w:t>
      </w:r>
      <w:r>
        <w:rPr>
          <w:rFonts w:hint="eastAsia"/>
        </w:rPr>
        <w:t xml:space="preserve">下げると、完全予見粗利は、0.01円で打ち切らなければ10,317円から12,067円/kW-年に上がるが、打ち切ると9,259円に下がる（表7.4）。</w:t>
      </w:r>
    </w:p>
    <w:p>
      <w:pPr>
        <w:pStyle w:val="BodyText"/>
      </w:pPr>
      <w:r>
        <w:rPr>
          <w:rFonts w:hint="eastAsia"/>
        </w:rPr>
        <w:t xml:space="preserve">前章までの結果も、この機構でつながる。太陽光は昼の純需要を彫って裁定価値を作るが、その底は下限価格で止まる（5.7節）。風力とベースロードの追加は供給曲線の下端の急勾配と往復損失の水準効果を通じて裁定価値を増やしうるが（7.7節）、標本内で差が有意でなくなるよう修正した仕様A′</w:t>
      </w:r>
      <w:r>
        <w:t xml:space="preserve"> </w:t>
      </w:r>
      <w:r>
        <w:rPr>
          <w:rFonts w:hint="eastAsia"/>
        </w:rPr>
        <w:t xml:space="preserve">でも、風力を3倍にしても戦略</w:t>
      </w:r>
      <w:r>
        <w:t xml:space="preserve"> c </w:t>
      </w:r>
      <w:r>
        <w:rPr>
          <w:rFonts w:hint="eastAsia"/>
        </w:rPr>
        <w:t xml:space="preserve">の粗利はほとんど増えない（7.3節）。下限に張り付いた後の余剰は、価格ではなく無補償の出力制御という数量に現れ、北海道の風力の抑制電力量の7割強は下限張り付きの時間に生じている（8.5節）。</w:t>
      </w:r>
    </w:p>
    <w:p>
      <w:pPr>
        <w:pStyle w:val="BodyText"/>
      </w:pPr>
      <w:r>
        <w:rPr>
          <w:rFonts w:hint="eastAsia"/>
        </w:rPr>
        <w:t xml:space="preserve">すなわち下限価格は、余剰時の価格発見を止め、余剰の配分を優先給電ルールという数量割当に置き換える制度である。下限より下にあるはずの吸収の価値はスポット価格に現れず、マーチャントの参入条件からも抜け落ちる。ただし、現状の余剰の量の下では、下限での打ち切りは第7章の</w:t>
      </w:r>
      <w:r>
        <w:t xml:space="preserve"> </w:t>
      </w:r>
      <m:oMath>
        <m:sSup>
          <m:e>
            <m:r>
              <m:t>K</m:t>
            </m:r>
          </m:e>
          <m:sup>
            <m:r>
              <m:rPr>
                <m:sty m:val="p"/>
              </m:rPr>
              <m:t>*</m:t>
            </m:r>
          </m:sup>
        </m:sSup>
        <m:r>
          <m:rPr>
            <m:sty m:val="p"/>
          </m:rPr>
          <m:t>=</m:t>
        </m:r>
        <m:r>
          <m:t>0</m:t>
        </m:r>
      </m:oMath>
      <w:r>
        <w:t xml:space="preserve"> </w:t>
      </w:r>
      <w:r>
        <w:rPr>
          <w:rFonts w:hint="eastAsia"/>
        </w:rPr>
        <w:t xml:space="preserve">の主因ではなく（9.3.1項）、この機構は余剰が増えるほど重みを増す。</w:t>
      </w:r>
    </w:p>
    <w:bookmarkEnd w:id="270"/>
    <w:bookmarkStart w:id="276" w:name="段差モデルによる収益と損益分岐"/>
    <w:p>
      <w:pPr>
        <w:pStyle w:val="Heading2"/>
      </w:pPr>
      <w:r>
        <w:t xml:space="preserve">9.3　</w:t>
      </w:r>
      <w:r>
        <w:rPr>
          <w:rFonts w:hint="eastAsia"/>
        </w:rPr>
        <w:t xml:space="preserve">段差モデルによる収益と損益分岐</w:t>
      </w:r>
    </w:p>
    <w:bookmarkStart w:id="274" w:name="余剰の量と収益曲線"/>
    <w:p>
      <w:pPr>
        <w:pStyle w:val="Heading3"/>
      </w:pPr>
      <w:r>
        <w:t xml:space="preserve">9.3.1　</w:t>
      </w:r>
      <w:r>
        <w:rPr>
          <w:rFonts w:hint="eastAsia"/>
        </w:rPr>
        <w:t xml:space="preserve">余剰の量と収益曲線</w:t>
      </w:r>
    </w:p>
    <w:p>
      <w:pPr>
        <w:pStyle w:val="FirstParagraph"/>
      </w:pPr>
      <w:r>
        <w:rPr>
          <w:rFonts w:hint="eastAsia"/>
        </w:rPr>
        <w:t xml:space="preserve">下限価格のシナリオ別に、</w:t>
      </w:r>
      <m:oMath>
        <m:r>
          <m:t>K</m:t>
        </m:r>
        <m:r>
          <m:rPr>
            <m:sty m:val="p"/>
          </m:rPr>
          <m:t>=</m:t>
        </m:r>
        <m:r>
          <m:t>0</m:t>
        </m:r>
      </m:oMath>
      <w:r>
        <w:t xml:space="preserve"> </w:t>
      </w:r>
      <w:r>
        <w:rPr>
          <w:rFonts w:hint="eastAsia"/>
        </w:rPr>
        <w:t xml:space="preserve">の収益</w:t>
      </w:r>
      <w:r>
        <w:t xml:space="preserve"> </w:t>
      </w:r>
      <m:oMath>
        <m:r>
          <m:t>π</m:t>
        </m:r>
        <m:r>
          <m:rPr>
            <m:sty m:val="p"/>
          </m:rPr>
          <m:t>(</m:t>
        </m:r>
        <m:r>
          <m:t>0</m:t>
        </m:r>
        <m:r>
          <m:rPr>
            <m:sty m:val="p"/>
          </m:rPr>
          <m:t>)</m:t>
        </m:r>
      </m:oMath>
      <w:r>
        <w:t xml:space="preserve"> </w:t>
      </w:r>
      <w:r>
        <w:rPr>
          <w:rFonts w:hint="eastAsia"/>
        </w:rPr>
        <w:t xml:space="preserve">と参入が開く</w:t>
      </w:r>
      <w:r>
        <w:t xml:space="preserve"> </w:t>
      </w:r>
      <m:oMath>
        <m:sSup>
          <m:e>
            <m:r>
              <m:t>θ</m:t>
            </m:r>
          </m:e>
          <m:sup>
            <m:r>
              <m:rPr>
                <m:sty m:val="p"/>
              </m:rPr>
              <m:t>*</m:t>
            </m:r>
          </m:sup>
        </m:sSup>
      </m:oMath>
      <w:r>
        <w:t xml:space="preserve"> </w:t>
      </w:r>
      <w:r>
        <w:rPr>
          <w:rFonts w:hint="eastAsia"/>
        </w:rPr>
        <w:t xml:space="preserve">を表9.1</w:t>
      </w:r>
      <w:r>
        <w:t xml:space="preserve"> </w:t>
      </w:r>
      <w:r>
        <w:rPr>
          <w:rFonts w:hint="eastAsia"/>
        </w:rPr>
        <w:t xml:space="preserve">に、限界参入者の収益曲線</w:t>
      </w:r>
      <w:r>
        <w:t xml:space="preserve"> </w:t>
      </w:r>
      <m:oMath>
        <m:r>
          <m:t>π</m:t>
        </m:r>
        <m:r>
          <m:rPr>
            <m:sty m:val="p"/>
          </m:rPr>
          <m:t>(</m:t>
        </m:r>
        <m:r>
          <m:t>K</m:t>
        </m:r>
        <m:r>
          <m:rPr>
            <m:sty m:val="p"/>
          </m:rPr>
          <m:t>)</m:t>
        </m:r>
      </m:oMath>
      <w:r>
        <w:t xml:space="preserve"> </w:t>
      </w:r>
      <w:r>
        <w:rPr>
          <w:rFonts w:hint="eastAsia"/>
        </w:rPr>
        <w:t xml:space="preserve">を図9.1</w:t>
      </w:r>
      <w:r>
        <w:t xml:space="preserve"> </w:t>
      </w:r>
      <w:r>
        <w:rPr>
          <w:rFonts w:hint="eastAsia"/>
        </w:rPr>
        <w:t xml:space="preserve">に示す。フリート容量50万・100万kW</w:t>
      </w:r>
      <w:r>
        <w:t xml:space="preserve"> </w:t>
      </w:r>
      <w:r>
        <w:rPr>
          <w:rFonts w:hint="eastAsia"/>
        </w:rPr>
        <w:t xml:space="preserve">の収益と、下限0円と</w:t>
      </w:r>
      <w:r>
        <w:t xml:space="preserve"> </w:t>
      </w:r>
      <w:r>
        <w:rPr>
          <w:rFonts w:hint="eastAsia"/>
        </w:rPr>
        <w:t xml:space="preserve">FY2026上期の水準の結果は表C.49</w:t>
      </w:r>
      <w:r>
        <w:t xml:space="preserve"> </w:t>
      </w:r>
      <w:r>
        <w:rPr>
          <w:rFonts w:hint="eastAsia"/>
        </w:rPr>
        <w:t xml:space="preserve">に示す。</w:t>
      </w:r>
    </w:p>
    <w:p>
      <w:pPr>
        <w:pStyle w:val="TableCaption"/>
      </w:pPr>
      <w:r>
        <w:rPr>
          <w:rFonts w:hint="eastAsia"/>
        </w:rPr>
        <w:t xml:space="preserve">表9.1</w:t>
      </w:r>
      <w:r>
        <w:t xml:space="preserve">　</w:t>
      </w:r>
      <w:r>
        <w:rPr>
          <w:rFonts w:hint="eastAsia"/>
        </w:rPr>
        <w:t xml:space="preserve">下限価格のシナリオ別の</w:t>
      </w:r>
      <w:r>
        <w:t xml:space="preserve"> </w:t>
      </w:r>
      <m:oMath>
        <m:r>
          <m:t>π</m:t>
        </m:r>
        <m:r>
          <m:rPr>
            <m:sty m:val="p"/>
          </m:rPr>
          <m:t>(</m:t>
        </m:r>
        <m:r>
          <m:t>0</m:t>
        </m:r>
        <m:r>
          <m:rPr>
            <m:sty m:val="p"/>
          </m:rPr>
          <m:t>)</m:t>
        </m:r>
      </m:oMath>
      <w:r>
        <w:t xml:space="preserve"> </w:t>
      </w:r>
      <w:r>
        <w:t xml:space="preserve">と</w:t>
      </w:r>
      <w:r>
        <w:t xml:space="preserve"> </w:t>
      </w:r>
      <m:oMath>
        <m:sSup>
          <m:e>
            <m:r>
              <m:t>θ</m:t>
            </m:r>
          </m:e>
          <m:sup>
            <m:r>
              <m:rPr>
                <m:sty m:val="p"/>
              </m:rPr>
              <m:t>*</m:t>
            </m:r>
          </m:sup>
        </m:sSup>
      </m:oMath>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9.1　下限価格のシナリオ別の \pi(0) と \theta^*"/>
      </w:tblPr>
      <w:tblGrid>
        <w:gridCol w:w="1584"/>
        <w:gridCol w:w="1584"/>
        <w:gridCol w:w="1584"/>
        <w:gridCol w:w="1584"/>
        <w:gridCol w:w="1584"/>
      </w:tblGrid>
      <w:tr>
        <w:trPr>
          <w:tblHeader w:val="on"/>
        </w:trPr>
        <w:tc>
          <w:tcPr>
            <w:tcBorders>
              <w:bottom w:val="single" w:sz="6" w:color="000000"/>
            </w:tcBorders>
          </w:tcPr>
          <w:p>
            <w:pPr>
              <w:pStyle w:val="Compact"/>
            </w:pPr>
            <w:r>
              <w:rPr>
                <w:sz w:val="18"/>
              </w:rPr>
              <w:t xml:space="preserve">シナリオ</w:t>
            </w:r>
          </w:p>
        </w:tc>
        <w:tc>
          <w:tcPr>
            <w:tcBorders>
              <w:bottom w:val="single" w:sz="6" w:color="000000"/>
            </w:tcBorders>
          </w:tcPr>
          <w:p>
            <w:pPr>
              <w:pStyle w:val="Compact"/>
            </w:pPr>
            <w:r>
              <w:rPr>
                <w:rFonts w:hint="eastAsia"/>
                <w:sz w:val="18"/>
              </w:rPr>
              <w:t xml:space="preserve">下限</w:t>
            </w:r>
          </w:p>
        </w:tc>
        <w:tc>
          <w:tcPr>
            <w:tcBorders>
              <w:bottom w:val="single" w:sz="6" w:color="000000"/>
            </w:tcBorders>
          </w:tcPr>
          <w:p>
            <w:pPr>
              <w:pStyle w:val="Compact"/>
              <w:jc w:val="right"/>
            </w:pPr>
            <w:r>
              <w:rPr>
                <w:rFonts w:hint="eastAsia"/>
                <w:sz w:val="18"/>
              </w:rPr>
              <w:t xml:space="preserve">負の価格の時間（時間/年）</w:t>
            </w:r>
          </w:p>
        </w:tc>
        <w:tc>
          <w:tcPr>
            <w:tcBorders>
              <w:bottom w:val="single" w:sz="6" w:color="000000"/>
            </w:tcBorders>
          </w:tcPr>
          <w:p>
            <w:pPr>
              <w:pStyle w:val="Compact"/>
              <w:jc w:val="right"/>
            </w:pPr>
            <m:oMath>
              <m:r>
                <m:t>π</m:t>
              </m:r>
              <m:r>
                <m:rPr>
                  <m:sty m:val="p"/>
                </m:rPr>
                <m:t>(</m:t>
              </m:r>
              <m:r>
                <m:t>0</m:t>
              </m:r>
              <m:r>
                <m:rPr>
                  <m:sty m:val="p"/>
                </m:rPr>
                <m:t>)</m:t>
              </m:r>
            </m:oMath>
          </w:p>
        </w:tc>
        <w:tc>
          <w:tcPr>
            <w:tcBorders>
              <w:bottom w:val="single" w:sz="6" w:color="000000"/>
            </w:tcBorders>
          </w:tcPr>
          <w:p>
            <w:pPr>
              <w:pStyle w:val="Compact"/>
              <w:jc w:val="right"/>
            </w:pPr>
            <m:oMath>
              <m:sSup>
                <m:e>
                  <m:r>
                    <m:t>θ</m:t>
                  </m:r>
                </m:e>
                <m:sup>
                  <m:r>
                    <m:rPr>
                      <m:sty m:val="p"/>
                    </m:rPr>
                    <m:t>*</m:t>
                  </m:r>
                </m:sup>
              </m:sSup>
            </m:oMath>
          </w:p>
        </w:tc>
      </w:tr>
      <w:tr>
        <w:tc>
          <w:tcPr/>
          <w:p>
            <w:pPr>
              <w:pStyle w:val="Compact"/>
            </w:pPr>
            <w:r>
              <w:rPr>
                <w:rFonts w:hint="eastAsia"/>
                <w:sz w:val="18"/>
              </w:rPr>
              <w:t xml:space="preserve">現状</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6,675</w:t>
            </w:r>
          </w:p>
        </w:tc>
        <w:tc>
          <w:tcPr/>
          <w:p>
            <w:pPr>
              <w:pStyle w:val="Compact"/>
              <w:jc w:val="right"/>
            </w:pPr>
            <w:r>
              <w:rPr>
                <w:sz w:val="18"/>
              </w:rPr>
              <w:t xml:space="preserve">2.99</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115</w:t>
            </w:r>
          </w:p>
        </w:tc>
        <w:tc>
          <w:tcPr/>
          <w:p>
            <w:pPr>
              <w:pStyle w:val="Compact"/>
              <w:jc w:val="right"/>
            </w:pPr>
            <w:r>
              <w:rPr>
                <w:sz w:val="18"/>
              </w:rPr>
              <w:t xml:space="preserve">7,131</w:t>
            </w:r>
          </w:p>
        </w:tc>
        <w:tc>
          <w:tcPr/>
          <w:p>
            <w:pPr>
              <w:pStyle w:val="Compact"/>
              <w:jc w:val="right"/>
            </w:pPr>
            <w:r>
              <w:rPr>
                <w:sz w:val="18"/>
              </w:rPr>
              <w:t xml:space="preserve">2.93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115</w:t>
            </w:r>
          </w:p>
        </w:tc>
        <w:tc>
          <w:tcPr/>
          <w:p>
            <w:pPr>
              <w:pStyle w:val="Compact"/>
              <w:jc w:val="right"/>
            </w:pPr>
            <w:r>
              <w:rPr>
                <w:sz w:val="18"/>
              </w:rPr>
              <w:t xml:space="preserve">7,596</w:t>
            </w:r>
          </w:p>
        </w:tc>
        <w:tc>
          <w:tcPr/>
          <w:p>
            <w:pPr>
              <w:pStyle w:val="Compact"/>
              <w:jc w:val="right"/>
            </w:pPr>
            <w:r>
              <w:rPr>
                <w:sz w:val="18"/>
              </w:rPr>
              <w:t xml:space="preserve">2.88</w:t>
            </w:r>
          </w:p>
        </w:tc>
      </w:tr>
      <w:tr>
        <w:tc>
          <w:tcPr/>
          <w:p>
            <w:pPr>
              <w:pStyle w:val="Compact"/>
            </w:pPr>
            <w:r>
              <w:rPr>
                <w:rFonts w:hint="eastAsia"/>
                <w:sz w:val="18"/>
              </w:rPr>
              <w:t xml:space="preserve">泊3号再稼働</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7,156</w:t>
            </w:r>
          </w:p>
        </w:tc>
        <w:tc>
          <w:tcPr/>
          <w:p>
            <w:pPr>
              <w:pStyle w:val="Compact"/>
              <w:jc w:val="right"/>
            </w:pPr>
            <w:r>
              <w:rPr>
                <w:sz w:val="18"/>
              </w:rPr>
              <w:t xml:space="preserve">2.82</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762</w:t>
            </w:r>
          </w:p>
        </w:tc>
        <w:tc>
          <w:tcPr/>
          <w:p>
            <w:pPr>
              <w:pStyle w:val="Compact"/>
              <w:jc w:val="right"/>
            </w:pPr>
            <w:r>
              <w:rPr>
                <w:sz w:val="18"/>
              </w:rPr>
              <w:t xml:space="preserve">9,587</w:t>
            </w:r>
          </w:p>
        </w:tc>
        <w:tc>
          <w:tcPr/>
          <w:p>
            <w:pPr>
              <w:pStyle w:val="Compact"/>
              <w:jc w:val="right"/>
            </w:pPr>
            <w:r>
              <w:rPr>
                <w:sz w:val="18"/>
              </w:rPr>
              <w:t xml:space="preserve">2.55</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762</w:t>
            </w:r>
          </w:p>
        </w:tc>
        <w:tc>
          <w:tcPr/>
          <w:p>
            <w:pPr>
              <w:pStyle w:val="Compact"/>
              <w:jc w:val="right"/>
            </w:pPr>
            <w:r>
              <w:rPr>
                <w:sz w:val="18"/>
              </w:rPr>
              <w:t xml:space="preserve">12,006</w:t>
            </w:r>
          </w:p>
        </w:tc>
        <w:tc>
          <w:tcPr/>
          <w:p>
            <w:pPr>
              <w:pStyle w:val="Compact"/>
              <w:jc w:val="right"/>
            </w:pPr>
            <w:r>
              <w:rPr>
                <w:sz w:val="18"/>
              </w:rPr>
              <w:t xml:space="preserve">2.28</w:t>
            </w:r>
          </w:p>
        </w:tc>
      </w:tr>
      <w:tr>
        <w:tc>
          <w:tcPr/>
          <w:p>
            <w:pPr>
              <w:pStyle w:val="Compact"/>
            </w:pPr>
            <w:r>
              <w:rPr>
                <w:rFonts w:hint="eastAsia"/>
                <w:sz w:val="18"/>
              </w:rPr>
              <w:t xml:space="preserve">泊＋風力2倍（仕様A′）</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6,629</w:t>
            </w:r>
          </w:p>
        </w:tc>
        <w:tc>
          <w:tcPr/>
          <w:p>
            <w:pPr>
              <w:pStyle w:val="Compact"/>
              <w:jc w:val="right"/>
            </w:pPr>
            <w:r>
              <w:rPr>
                <w:sz w:val="18"/>
              </w:rPr>
              <w:t xml:space="preserve">3.00</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1,537</w:t>
            </w:r>
          </w:p>
        </w:tc>
        <w:tc>
          <w:tcPr/>
          <w:p>
            <w:pPr>
              <w:pStyle w:val="Compact"/>
              <w:jc w:val="right"/>
            </w:pPr>
            <w:r>
              <w:rPr>
                <w:sz w:val="18"/>
              </w:rPr>
              <w:t xml:space="preserve">10,006</w:t>
            </w:r>
          </w:p>
        </w:tc>
        <w:tc>
          <w:tcPr/>
          <w:p>
            <w:pPr>
              <w:pStyle w:val="Compact"/>
              <w:jc w:val="right"/>
            </w:pPr>
            <w:r>
              <w:rPr>
                <w:sz w:val="18"/>
              </w:rPr>
              <w:t xml:space="preserve">2.60</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1,537</w:t>
            </w:r>
          </w:p>
        </w:tc>
        <w:tc>
          <w:tcPr/>
          <w:p>
            <w:pPr>
              <w:pStyle w:val="Compact"/>
              <w:jc w:val="right"/>
            </w:pPr>
            <w:r>
              <w:rPr>
                <w:sz w:val="18"/>
              </w:rPr>
              <w:t xml:space="preserve">13,453</w:t>
            </w:r>
          </w:p>
        </w:tc>
        <w:tc>
          <w:tcPr/>
          <w:p>
            <w:pPr>
              <w:pStyle w:val="Compact"/>
              <w:jc w:val="right"/>
            </w:pPr>
            <w:r>
              <w:rPr>
                <w:sz w:val="18"/>
              </w:rPr>
              <w:t xml:space="preserve">2.20</w:t>
            </w:r>
          </w:p>
        </w:tc>
      </w:tr>
    </w:tbl>
    <w:p>
      <w:pPr>
        <w:pStyle w:val="TableNote"/>
      </w:pPr>
      <w:r>
        <w:rPr>
          <w:rFonts w:hint="eastAsia"/>
        </w:rPr>
        <w:t xml:space="preserve">注）</w:t>
      </w:r>
      <m:oMath>
        <m:r>
          <m:t>π</m:t>
        </m:r>
        <m:r>
          <m:rPr>
            <m:sty m:val="p"/>
          </m:rPr>
          <m:t>(</m:t>
        </m:r>
        <m:r>
          <m:t>0</m:t>
        </m:r>
        <m:r>
          <m:rPr>
            <m:sty m:val="p"/>
          </m:rPr>
          <m:t>)</m:t>
        </m:r>
      </m:oMath>
      <w:r>
        <w:t xml:space="preserve"> </w:t>
      </w:r>
      <w:r>
        <w:rPr>
          <w:rFonts w:hint="eastAsia"/>
        </w:rPr>
        <w:t xml:space="preserve">はフリート容量が0のときの実績整合ケースの収益（円/kW-年）で、充電従量負担を控除した。負の価格の時間は、</w:t>
      </w:r>
      <m:oMath>
        <m:r>
          <m:t>K</m:t>
        </m:r>
        <m:r>
          <m:rPr>
            <m:sty m:val="p"/>
          </m:rPr>
          <m:t>=</m:t>
        </m:r>
        <m:r>
          <m:t>0</m:t>
        </m:r>
      </m:oMath>
      <w:r>
        <w:t xml:space="preserve"> </w:t>
      </w:r>
      <w:r>
        <w:rPr>
          <w:rFonts w:hint="eastAsia"/>
        </w:rPr>
        <w:t xml:space="preserve">で価格を</w:t>
      </w:r>
      <w:r>
        <w:t xml:space="preserve"> </w:t>
      </w:r>
      <m:oMath>
        <m:r>
          <m:rPr>
            <m:sty m:val="p"/>
          </m:rPr>
          <m:t>−</m:t>
        </m:r>
        <m:r>
          <m:t>δ</m:t>
        </m:r>
      </m:oMath>
      <w:r>
        <w:t xml:space="preserve"> </w:t>
      </w:r>
      <w:r>
        <w:rPr>
          <w:rFonts w:hint="eastAsia"/>
        </w:rPr>
        <w:t xml:space="preserve">に置く時間（モデルの下限張り付き時間）。</w:t>
      </w:r>
      <m:oMath>
        <m:r>
          <m:t>θ</m:t>
        </m:r>
        <m:r>
          <m:rPr>
            <m:sty m:val="p"/>
          </m:rPr>
          <m:t>=</m:t>
        </m:r>
        <m:r>
          <m:t>1</m:t>
        </m:r>
      </m:oMath>
      <w:r>
        <w:t xml:space="preserve">、FY2023〜25 </w:t>
      </w:r>
      <w:r>
        <w:rPr>
          <w:rFonts w:hint="eastAsia"/>
        </w:rPr>
        <w:t xml:space="preserve">パス、増分貪欲（刻み1万kW）。泊＋風力2倍は仕様A′（</w:t>
      </w:r>
      <m:oMath>
        <m:r>
          <m:t>λ</m:t>
        </m:r>
        <m:r>
          <m:rPr>
            <m:sty m:val="p"/>
          </m:rPr>
          <m:t>=</m:t>
        </m:r>
        <m:r>
          <m:t>1.0015</m:t>
        </m:r>
      </m:oMath>
      <w:r>
        <w:rPr>
          <w:rFonts w:hint="eastAsia"/>
        </w:rPr>
        <w:t xml:space="preserve">）、現状と泊3号再稼働は水準係数付きの仕様A（</w:t>
      </w:r>
      <m:oMath>
        <m:r>
          <m:t>λ</m:t>
        </m:r>
        <m:r>
          <m:rPr>
            <m:sty m:val="p"/>
          </m:rPr>
          <m:t>=</m:t>
        </m:r>
        <m:r>
          <m:t>1.108</m:t>
        </m:r>
      </m:oMath>
      <w:r>
        <w:rPr>
          <w:rFonts w:hint="eastAsia"/>
        </w:rPr>
        <w:t xml:space="preserve">）による。</w:t>
      </w:r>
      <m:oMath>
        <m:sSup>
          <m:e>
            <m:r>
              <m:t>θ</m:t>
            </m:r>
          </m:e>
          <m:sup>
            <m:r>
              <m:rPr>
                <m:sty m:val="p"/>
              </m:rPr>
              <m:t>*</m:t>
            </m:r>
          </m:sup>
        </m:sSup>
      </m:oMath>
      <w:r>
        <w:t xml:space="preserve"> </w:t>
      </w:r>
      <w:r>
        <w:rPr>
          <w:rFonts w:hint="eastAsia"/>
        </w:rPr>
        <w:t xml:space="preserve">は、資本費6.8万円/kWh・実効容量収入1.25万円/kW-年・WACC</w:t>
      </w:r>
      <w:r>
        <w:t xml:space="preserve"> 6% </w:t>
      </w:r>
      <w:r>
        <w:rPr>
          <w:rFonts w:hint="eastAsia"/>
        </w:rPr>
        <w:t xml:space="preserve">で式(9.2)を直接解いた値。仕様と下限張り付き時間の置き方を変えた結果は表9.3</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出所）日本卸電力取引所『スポット市場取引結果』、北海道電力ネットワーク『エリア需給実績』、電力広域的運営推進機関『容量市場メインオークション約定結果』より筆者作成。</w:t>
      </w:r>
    </w:p>
    <w:p>
      <w:pPr>
        <w:pStyle w:val="CaptionedFigure"/>
      </w:pPr>
      <w:r>
        <w:drawing>
          <wp:inline>
            <wp:extent cx="5399999" cy="3275409"/>
            <wp:effectExtent b="0" l="0" r="0" t="0"/>
            <wp:docPr descr="図9.1　下限価格のシナリオ別の限界参入者の収益曲線" title="" id="272" name="Picture"/>
            <a:graphic>
              <a:graphicData uri="http://schemas.openxmlformats.org/drawingml/2006/picture">
                <pic:pic>
                  <pic:nvPicPr>
                    <pic:cNvPr descr="../figures/hokkaido/negative_price_pi_k_v3.png" id="273" name="Picture"/>
                    <pic:cNvPicPr>
                      <a:picLocks noChangeArrowheads="1" noChangeAspect="1"/>
                    </pic:cNvPicPr>
                  </pic:nvPicPr>
                  <pic:blipFill>
                    <a:blip r:embed="rId271"/>
                    <a:stretch>
                      <a:fillRect/>
                    </a:stretch>
                  </pic:blipFill>
                  <pic:spPr bwMode="auto">
                    <a:xfrm>
                      <a:off x="0" y="0"/>
                      <a:ext cx="5399999" cy="3275409"/>
                    </a:xfrm>
                    <a:prstGeom prst="rect">
                      <a:avLst/>
                    </a:prstGeom>
                    <a:noFill/>
                    <a:ln w="9525">
                      <a:noFill/>
                      <a:headEnd/>
                      <a:tailEnd/>
                    </a:ln>
                  </pic:spPr>
                </pic:pic>
              </a:graphicData>
            </a:graphic>
          </wp:inline>
        </w:drawing>
      </w:r>
    </w:p>
    <w:p>
      <w:pPr>
        <w:pStyle w:val="ImageCaption"/>
      </w:pPr>
      <w:r>
        <w:rPr>
          <w:rFonts w:hint="eastAsia"/>
        </w:rPr>
        <w:t xml:space="preserve">図9.1</w:t>
      </w:r>
      <w:r>
        <w:t xml:space="preserve">　</w:t>
      </w:r>
      <w:r>
        <w:rPr>
          <w:rFonts w:hint="eastAsia"/>
        </w:rPr>
        <w:t xml:space="preserve">下限価格のシナリオ別の限界参入者の収益曲線</w:t>
      </w:r>
    </w:p>
    <w:p>
      <w:pPr>
        <w:pStyle w:val="TableNote"/>
      </w:pPr>
      <w:r>
        <w:rPr>
          <w:rFonts w:hint="eastAsia"/>
        </w:rPr>
        <w:t xml:space="preserve">注）段差モデル・仕様A・実績整合ケース（</w:t>
      </w:r>
      <m:oMath>
        <m:r>
          <m:t>λ</m:t>
        </m:r>
        <m:r>
          <m:rPr>
            <m:sty m:val="p"/>
          </m:rPr>
          <m:t>=</m:t>
        </m:r>
        <m:r>
          <m:t>1.108</m:t>
        </m:r>
      </m:oMath>
      <w:r>
        <w:rPr>
          <w:rFonts w:hint="eastAsia"/>
        </w:rPr>
        <w:t xml:space="preserve">）。(a)</w:t>
      </w:r>
      <w:r>
        <w:t xml:space="preserve"> </w:t>
      </w:r>
      <w:r>
        <w:rPr>
          <w:rFonts w:hint="eastAsia"/>
        </w:rPr>
        <w:t xml:space="preserve">は現状（実線）と泊3号再稼働（破線）、(b)</w:t>
      </w:r>
      <w:r>
        <w:t xml:space="preserve"> </w:t>
      </w:r>
      <w:r>
        <w:rPr>
          <w:rFonts w:hint="eastAsia"/>
        </w:rPr>
        <w:t xml:space="preserve">は泊＋風力2倍である。(b)</w:t>
      </w:r>
      <w:r>
        <w:t xml:space="preserve"> </w:t>
      </w:r>
      <w:r>
        <w:rPr>
          <w:rFonts w:hint="eastAsia"/>
        </w:rPr>
        <w:t xml:space="preserve">は表9.3</w:t>
      </w:r>
      <w:r>
        <w:t xml:space="preserve"> </w:t>
      </w:r>
      <w:r>
        <w:rPr>
          <w:rFonts w:hint="eastAsia"/>
        </w:rPr>
        <w:t xml:space="preserve">の仕様A</w:t>
      </w:r>
      <w:r>
        <w:t xml:space="preserve"> </w:t>
      </w:r>
      <w:r>
        <w:rPr>
          <w:rFonts w:hint="eastAsia"/>
        </w:rPr>
        <w:t xml:space="preserve">の行にあたり、表9.1</w:t>
      </w:r>
      <w:r>
        <w:t xml:space="preserve"> </w:t>
      </w:r>
      <w:r>
        <w:rPr>
          <w:rFonts w:hint="eastAsia"/>
        </w:rPr>
        <w:t xml:space="preserve">の泊＋風力2倍（仕様A′）とは異なる。その他の条件は表9.1</w:t>
      </w:r>
      <w:r>
        <w:t xml:space="preserve"> </w:t>
      </w:r>
      <w:r>
        <w:rPr>
          <w:rFonts w:hint="eastAsia"/>
        </w:rPr>
        <w:t xml:space="preserve">と同じ。</w:t>
      </w:r>
    </w:p>
    <w:p>
      <w:pPr>
        <w:pStyle w:val="TableNote"/>
      </w:pPr>
      <w:r>
        <w:rPr>
          <w:rFonts w:hint="eastAsia"/>
        </w:rPr>
        <w:t xml:space="preserve">出所）表9.1</w:t>
      </w:r>
      <w:r>
        <w:t xml:space="preserve"> </w:t>
      </w:r>
      <w:r>
        <w:rPr>
          <w:rFonts w:hint="eastAsia"/>
        </w:rPr>
        <w:t xml:space="preserve">と同じ。</w:t>
      </w:r>
    </w:p>
    <w:p>
      <w:pPr>
        <w:pStyle w:val="BodyText"/>
      </w:pPr>
      <w:r>
        <w:rPr>
          <w:rFonts w:hint="eastAsia"/>
        </w:rPr>
        <w:t xml:space="preserve">結果は三つある。第一に、現状の余剰の量では効果は小さい。モデルの下限張り付き時間は年115時間であり、−10円でも</w:t>
      </w:r>
      <w:r>
        <w:t xml:space="preserve"> </w:t>
      </w:r>
      <m:oMath>
        <m:r>
          <m:t>π</m:t>
        </m:r>
        <m:r>
          <m:rPr>
            <m:sty m:val="p"/>
          </m:rPr>
          <m:t>(</m:t>
        </m:r>
        <m:r>
          <m:t>0</m:t>
        </m:r>
        <m:r>
          <m:rPr>
            <m:sty m:val="p"/>
          </m:rPr>
          <m:t>)</m:t>
        </m:r>
      </m:oMath>
      <w:r>
        <w:t xml:space="preserve"> </w:t>
      </w:r>
      <w:r>
        <w:rPr>
          <w:rFonts w:hint="eastAsia"/>
        </w:rPr>
        <w:t xml:space="preserve">の増加は14%にとどまり、</w:t>
      </w:r>
      <m:oMath>
        <m:sSup>
          <m:e>
            <m:r>
              <m:t>θ</m:t>
            </m:r>
          </m:e>
          <m:sup>
            <m:r>
              <m:rPr>
                <m:sty m:val="p"/>
              </m:rPr>
              <m:t>*</m:t>
            </m:r>
          </m:sup>
        </m:sSup>
      </m:oMath>
      <w:r>
        <w:t xml:space="preserve"> </w:t>
      </w:r>
      <w:r>
        <w:rPr>
          <w:rFonts w:hint="eastAsia"/>
        </w:rPr>
        <w:t xml:space="preserve">は2.99から2.88に下がるにすぎない。下限を0円にするだけでは何も変わらない（表C.49）。第二に、効果は余剰の量とともに拡大する。泊3号の再稼働で下限張り付き時間が年762時間になると、−10円で</w:t>
      </w:r>
      <w:r>
        <w:t xml:space="preserve"> </w:t>
      </w:r>
      <m:oMath>
        <m:r>
          <m:t>π</m:t>
        </m:r>
        <m:r>
          <m:rPr>
            <m:sty m:val="p"/>
          </m:rPr>
          <m:t>(</m:t>
        </m:r>
        <m:r>
          <m:t>0</m:t>
        </m:r>
        <m:r>
          <m:rPr>
            <m:sty m:val="p"/>
          </m:rPr>
          <m:t>)</m:t>
        </m:r>
      </m:oMath>
      <w:r>
        <w:t xml:space="preserve"> </w:t>
      </w:r>
      <w:r>
        <w:rPr>
          <w:rFonts w:hint="eastAsia"/>
        </w:rPr>
        <w:t xml:space="preserve">は1.7倍になり、</w:t>
      </w:r>
      <m:oMath>
        <m:sSup>
          <m:e>
            <m:r>
              <m:t>θ</m:t>
            </m:r>
          </m:e>
          <m:sup>
            <m:r>
              <m:rPr>
                <m:sty m:val="p"/>
              </m:rPr>
              <m:t>*</m:t>
            </m:r>
          </m:sup>
        </m:sSup>
      </m:oMath>
      <w:r>
        <w:t xml:space="preserve"> </w:t>
      </w:r>
      <w:r>
        <w:rPr>
          <w:rFonts w:hint="eastAsia"/>
        </w:rPr>
        <w:t xml:space="preserve">は2.82から2.28へ19%下がる。泊と風力2倍（仕様A′）では下限張り付き時間が1,537時間となり、−10円で</w:t>
      </w:r>
      <w:r>
        <w:t xml:space="preserve"> </w:t>
      </w:r>
      <m:oMath>
        <m:sSup>
          <m:e>
            <m:r>
              <m:t>θ</m:t>
            </m:r>
          </m:e>
          <m:sup>
            <m:r>
              <m:rPr>
                <m:sty m:val="p"/>
              </m:rPr>
              <m:t>*</m:t>
            </m:r>
          </m:sup>
        </m:sSup>
      </m:oMath>
      <w:r>
        <w:t xml:space="preserve"> </w:t>
      </w:r>
      <w:r>
        <w:rPr>
          <w:rFonts w:hint="eastAsia"/>
        </w:rPr>
        <w:t xml:space="preserve">は3.00から2.20へ27%下がる。第三に、カニバリゼーションによる収益の低下が比率でみて緩む。充電が支払いを受けるので、泊と風力2倍（仕様A′）・−10円では、現行の下限で負になる</w:t>
      </w:r>
      <w:r>
        <w:t xml:space="preserve"> </w:t>
      </w:r>
      <m:oMath>
        <m:r>
          <m:t>K</m:t>
        </m:r>
        <m:r>
          <m:rPr>
            <m:sty m:val="p"/>
          </m:rPr>
          <m:t>=</m:t>
        </m:r>
        <m:r>
          <m:t>100</m:t>
        </m:r>
      </m:oMath>
      <w:r>
        <w:t xml:space="preserve"> </w:t>
      </w:r>
      <w:r>
        <w:rPr>
          <w:rFonts w:hint="eastAsia"/>
        </w:rPr>
        <w:t xml:space="preserve">万kW</w:t>
      </w:r>
      <w:r>
        <w:t xml:space="preserve"> </w:t>
      </w:r>
      <w:r>
        <w:rPr>
          <w:rFonts w:hint="eastAsia"/>
        </w:rPr>
        <w:t xml:space="preserve">でも正の収益が残る（現行の下限の−86円に対し2,502円/kW-年。表C.49）。</w:t>
      </w:r>
    </w:p>
    <w:p>
      <w:pPr>
        <w:pStyle w:val="BodyText"/>
      </w:pPr>
      <w:r>
        <w:rPr>
          <w:rFonts w:hint="eastAsia"/>
        </w:rPr>
        <w:t xml:space="preserve">これらは、下限が充電脚のプットの売りにあたること（式(9.3)）の裏返しである。下限を</w:t>
      </w:r>
      <w:r>
        <w:t xml:space="preserve"> </w:t>
      </w:r>
      <m:oMath>
        <m:r>
          <m:rPr>
            <m:sty m:val="p"/>
          </m:rPr>
          <m:t>−</m:t>
        </m:r>
        <m:r>
          <m:t>δ</m:t>
        </m:r>
      </m:oMath>
      <w:r>
        <w:t xml:space="preserve"> </w:t>
      </w:r>
      <w:r>
        <w:rPr>
          <w:rFonts w:hint="eastAsia"/>
        </w:rPr>
        <w:t xml:space="preserve">に置き換えることはプットの行使価格を下げることにあたり、その効果は深さ</w:t>
      </w:r>
      <w:r>
        <w:t xml:space="preserve"> </w:t>
      </w:r>
      <m:oMath>
        <m:r>
          <m:t>δ</m:t>
        </m:r>
      </m:oMath>
      <w:r>
        <w:t xml:space="preserve"> </w:t>
      </w:r>
      <w:r>
        <w:rPr>
          <w:rFonts w:hint="eastAsia"/>
        </w:rPr>
        <w:t xml:space="preserve">にほぼ比例し、プットが行使される時間、すなわち下限張り付き時間が長いほど大きい。</w:t>
      </w:r>
    </w:p>
    <w:bookmarkEnd w:id="274"/>
    <w:bookmarkStart w:id="275" w:name="参入条件との関係"/>
    <w:p>
      <w:pPr>
        <w:pStyle w:val="Heading3"/>
      </w:pPr>
      <w:r>
        <w:t xml:space="preserve">9.3.2　</w:t>
      </w:r>
      <w:r>
        <w:rPr>
          <w:rFonts w:hint="eastAsia"/>
        </w:rPr>
        <w:t xml:space="preserve">参入条件との関係</w:t>
      </w:r>
    </w:p>
    <w:p>
      <w:pPr>
        <w:pStyle w:val="FirstParagraph"/>
      </w:pPr>
      <w:r>
        <w:rPr>
          <w:rFonts w:hint="eastAsia"/>
        </w:rPr>
        <w:t xml:space="preserve">現行の資本費と容量収入の下では、どのシナリオでも</w:t>
      </w:r>
      <w:r>
        <w:t xml:space="preserve"> </w:t>
      </w:r>
      <m:oMath>
        <m:sSup>
          <m:e>
            <m:r>
              <m:t>θ</m:t>
            </m:r>
          </m:e>
          <m:sup>
            <m:r>
              <m:rPr>
                <m:sty m:val="p"/>
              </m:rPr>
              <m:t>*</m:t>
            </m:r>
          </m:sup>
        </m:sSup>
      </m:oMath>
      <w:r>
        <w:t xml:space="preserve"> </w:t>
      </w:r>
      <w:r>
        <w:rPr>
          <w:rFonts w:hint="eastAsia"/>
        </w:rPr>
        <w:t xml:space="preserve">は1を超え、負の価格だけではマーチャントの参入は開かない。この結論は、仕様と下限張り付き時間の置き方を変えても変わらない（9.6節）。容量収入が上限近傍の2.5万円で続けば、泊＋風力2倍・−10円では、現行の資本費でも</w:t>
      </w:r>
      <w:r>
        <w:t xml:space="preserve"> </w:t>
      </w:r>
      <m:oMath>
        <m:sSup>
          <m:e>
            <m:r>
              <m:t>θ</m:t>
            </m:r>
          </m:e>
          <m:sup>
            <m:r>
              <m:rPr>
                <m:sty m:val="p"/>
              </m:rPr>
              <m:t>*</m:t>
            </m:r>
          </m:sup>
        </m:sSup>
        <m:r>
          <m:rPr>
            <m:sty m:val="p"/>
          </m:rPr>
          <m:t>=</m:t>
        </m:r>
        <m:r>
          <m:t>0.69</m:t>
        </m:r>
      </m:oMath>
      <w:r>
        <w:rPr>
          <w:rFonts w:hint="eastAsia"/>
        </w:rPr>
        <w:t xml:space="preserve">（仕様A′。仕様A</w:t>
      </w:r>
      <w:r>
        <w:t xml:space="preserve"> </w:t>
      </w:r>
      <w:r>
        <w:rPr>
          <w:rFonts w:hint="eastAsia"/>
        </w:rPr>
        <w:t xml:space="preserve">では0.57）となり、FY2023〜25</w:t>
      </w:r>
      <w:r>
        <w:t xml:space="preserve"> </w:t>
      </w:r>
      <w:r>
        <w:rPr>
          <w:rFonts w:hint="eastAsia"/>
        </w:rPr>
        <w:t xml:space="preserve">の価格水準（</w:t>
      </w:r>
      <m:oMath>
        <m:r>
          <m:t>θ</m:t>
        </m:r>
        <m:r>
          <m:rPr>
            <m:sty m:val="p"/>
          </m:rPr>
          <m:t>=</m:t>
        </m:r>
        <m:r>
          <m:t>1</m:t>
        </m:r>
      </m:oMath>
      <w:r>
        <w:rPr>
          <w:rFonts w:hint="eastAsia"/>
        </w:rPr>
        <w:t xml:space="preserve">）で参入が開く。資本費が揚水並みの2.3万円/kWh</w:t>
      </w:r>
      <w:r>
        <w:t xml:space="preserve"> </w:t>
      </w:r>
      <w:r>
        <w:rPr>
          <w:rFonts w:hint="eastAsia"/>
        </w:rPr>
        <w:t xml:space="preserve">なら、容量収入1.25万円・−10円でも、</w:t>
      </w:r>
      <m:oMath>
        <m:sSup>
          <m:e>
            <m:r>
              <m:t>θ</m:t>
            </m:r>
          </m:e>
          <m:sup>
            <m:r>
              <m:rPr>
                <m:sty m:val="p"/>
              </m:rPr>
              <m:t>*</m:t>
            </m:r>
          </m:sup>
        </m:sSup>
      </m:oMath>
      <w:r>
        <w:t xml:space="preserve"> </w:t>
      </w:r>
      <w:r>
        <w:rPr>
          <w:rFonts w:hint="eastAsia"/>
        </w:rPr>
        <w:t xml:space="preserve">は泊3号で0.52、泊＋風力2倍で0.31（仕様A′。仕様A</w:t>
      </w:r>
      <w:r>
        <w:t xml:space="preserve"> </w:t>
      </w:r>
      <w:r>
        <w:rPr>
          <w:rFonts w:hint="eastAsia"/>
        </w:rPr>
        <w:t xml:space="preserve">では0.22）、現状で1.01</w:t>
      </w:r>
      <w:r>
        <w:t xml:space="preserve"> </w:t>
      </w:r>
      <w:r>
        <w:rPr>
          <w:rFonts w:hint="eastAsia"/>
        </w:rPr>
        <w:t xml:space="preserve">である。負の価格が参入を開くのは、資本費の低下か容量収入の上振れと組み合わさる場合であり、しかも動学的な参入閾値はこの静学の</w:t>
      </w:r>
      <w:r>
        <w:t xml:space="preserve"> </w:t>
      </w:r>
      <m:oMath>
        <m:sSup>
          <m:e>
            <m:r>
              <m:t>θ</m:t>
            </m:r>
          </m:e>
          <m:sup>
            <m:r>
              <m:rPr>
                <m:sty m:val="p"/>
              </m:rPr>
              <m:t>*</m:t>
            </m:r>
          </m:sup>
        </m:sSup>
      </m:oMath>
      <w:r>
        <w:t xml:space="preserve"> </w:t>
      </w:r>
      <w:r>
        <w:rPr>
          <w:rFonts w:hint="eastAsia"/>
        </w:rPr>
        <w:t xml:space="preserve">より高い（7.1.4項）。</w:t>
      </w:r>
    </w:p>
    <w:p>
      <w:pPr>
        <w:pStyle w:val="BodyText"/>
      </w:pPr>
      <w:r>
        <w:rPr>
          <w:rFonts w:hint="eastAsia"/>
        </w:rPr>
        <w:t xml:space="preserve">負の価格は、損益分岐面（8.6節）を資本費・容量収入と同じ方向に動かす第三の政策レバーであり、その効きは将来の余剰の大きさで決まる。資源エネルギー庁（2026a）は、太陽光・風力が2026年度供給計画の見通しの約1.3倍まで導入される前提で、2035年度の北海道の出力制御率（無制限・無補償ルールの太陽光・風力の合計）を37%と見通す。これが実現すれば、効果は泊と風力2倍のシナリオに近いか、それを超えうるが、その余剰の量は価格過程の推定範囲の外にある。</w:t>
      </w:r>
    </w:p>
    <w:bookmarkEnd w:id="275"/>
    <w:bookmarkEnd w:id="276"/>
    <w:bookmarkStart w:id="277" w:name="出力制御の影の価格と再エネ側からの移転"/>
    <w:p>
      <w:pPr>
        <w:pStyle w:val="Heading2"/>
      </w:pPr>
      <w:r>
        <w:t xml:space="preserve">9.4　</w:t>
      </w:r>
      <w:r>
        <w:rPr>
          <w:rFonts w:hint="eastAsia"/>
        </w:rPr>
        <w:t xml:space="preserve">出力制御の影の価格と再エネ側からの移転</w:t>
      </w:r>
    </w:p>
    <w:p>
      <w:pPr>
        <w:pStyle w:val="FirstParagraph"/>
      </w:pPr>
      <w:r>
        <w:rPr>
          <w:rFonts w:hint="eastAsia"/>
        </w:rPr>
        <w:t xml:space="preserve">表9.2</w:t>
      </w:r>
      <w:r>
        <w:t xml:space="preserve"> </w:t>
      </w:r>
      <w:r>
        <w:rPr>
          <w:rFonts w:hint="eastAsia"/>
        </w:rPr>
        <w:t xml:space="preserve">に、再エネ側の収入減と抑制の影の価格の価値を示す。</w:t>
      </w:r>
    </w:p>
    <w:p>
      <w:pPr>
        <w:pStyle w:val="TableCaption"/>
      </w:pPr>
      <w:r>
        <w:rPr>
          <w:rFonts w:hint="eastAsia"/>
        </w:rPr>
        <w:t xml:space="preserve">表9.2</w:t>
      </w:r>
      <w:r>
        <w:t xml:space="preserve">　</w:t>
      </w:r>
      <w:r>
        <w:rPr>
          <w:rFonts w:hint="eastAsia"/>
        </w:rPr>
        <w:t xml:space="preserve">下限張り付き時間の再エネ発電と出力制御の影の価格</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9.2　下限張り付き時間の再エネ発電と出力制御の影の価格"/>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年度</w:t>
            </w:r>
          </w:p>
        </w:tc>
        <w:tc>
          <w:tcPr>
            <w:tcBorders>
              <w:bottom w:val="single" w:sz="6" w:color="000000"/>
            </w:tcBorders>
          </w:tcPr>
          <w:p>
            <w:pPr>
              <w:pStyle w:val="Compact"/>
              <w:jc w:val="right"/>
            </w:pPr>
            <w:r>
              <w:rPr>
                <w:rFonts w:hint="eastAsia"/>
                <w:sz w:val="18"/>
              </w:rPr>
              <w:t xml:space="preserve">下限張り付き（時間）</w:t>
            </w:r>
          </w:p>
        </w:tc>
        <w:tc>
          <w:tcPr>
            <w:tcBorders>
              <w:bottom w:val="single" w:sz="6" w:color="000000"/>
            </w:tcBorders>
          </w:tcPr>
          <w:p>
            <w:pPr>
              <w:pStyle w:val="Compact"/>
              <w:jc w:val="right"/>
            </w:pPr>
            <w:r>
              <w:rPr>
                <w:rFonts w:hint="eastAsia"/>
                <w:sz w:val="18"/>
              </w:rPr>
              <w:t xml:space="preserve">再エネ発電（GWh）</w:t>
            </w:r>
          </w:p>
        </w:tc>
        <w:tc>
          <w:tcPr>
            <w:tcBorders>
              <w:bottom w:val="single" w:sz="6" w:color="000000"/>
            </w:tcBorders>
          </w:tcPr>
          <w:p>
            <w:pPr>
              <w:pStyle w:val="Compact"/>
              <w:jc w:val="right"/>
            </w:pPr>
            <w:r>
              <w:rPr>
                <w:rFonts w:hint="eastAsia"/>
                <w:sz w:val="18"/>
              </w:rPr>
              <w:t xml:space="preserve">収入減</w:t>
            </w:r>
            <w:r>
              <w:rPr>
                <w:sz w:val="18"/>
              </w:rPr>
              <w:t xml:space="preserve"> </w:t>
            </w:r>
            <m:oMath>
              <m:r>
                <m:t>δ</m:t>
              </m:r>
            </m:oMath>
            <w:r>
              <w:rPr>
                <w:rFonts w:hint="eastAsia"/>
                <w:sz w:val="18"/>
              </w:rPr>
              <w:t xml:space="preserve">=5／10（億円）</w:t>
            </w:r>
          </w:p>
        </w:tc>
        <w:tc>
          <w:tcPr>
            <w:tcBorders>
              <w:bottom w:val="single" w:sz="6" w:color="000000"/>
            </w:tcBorders>
          </w:tcPr>
          <w:p>
            <w:pPr>
              <w:pStyle w:val="Compact"/>
              <w:jc w:val="right"/>
            </w:pPr>
            <w:r>
              <w:rPr>
                <w:rFonts w:hint="eastAsia"/>
                <w:sz w:val="18"/>
              </w:rPr>
              <w:t xml:space="preserve">出力制御（GWh）</w:t>
            </w:r>
          </w:p>
        </w:tc>
        <w:tc>
          <w:tcPr>
            <w:tcBorders>
              <w:bottom w:val="single" w:sz="6" w:color="000000"/>
            </w:tcBorders>
          </w:tcPr>
          <w:p>
            <w:pPr>
              <w:pStyle w:val="Compact"/>
              <w:jc w:val="right"/>
            </w:pPr>
            <w:r>
              <w:rPr>
                <w:rFonts w:hint="eastAsia"/>
                <w:sz w:val="18"/>
              </w:rPr>
              <w:t xml:space="preserve">影の価格の価値</w:t>
            </w:r>
            <w:r>
              <w:rPr>
                <w:sz w:val="18"/>
              </w:rPr>
              <w:t xml:space="preserve"> </w:t>
            </w:r>
            <m:oMath>
              <m:r>
                <m:t>δ</m:t>
              </m:r>
            </m:oMath>
            <w:r>
              <w:rPr>
                <w:rFonts w:hint="eastAsia"/>
                <w:sz w:val="18"/>
              </w:rPr>
              <w:t xml:space="preserve">=5／10（億円）</w:t>
            </w:r>
          </w:p>
        </w:tc>
        <w:tc>
          <w:tcPr>
            <w:tcBorders>
              <w:bottom w:val="single" w:sz="6" w:color="000000"/>
            </w:tcBorders>
          </w:tcPr>
          <w:p>
            <w:pPr>
              <w:pStyle w:val="Compact"/>
              <w:jc w:val="right"/>
            </w:pPr>
            <w:r>
              <w:rPr>
                <w:rFonts w:hint="eastAsia"/>
                <w:sz w:val="18"/>
              </w:rPr>
              <w:t xml:space="preserve">比</w:t>
            </w:r>
          </w:p>
        </w:tc>
      </w:tr>
      <w:tr>
        <w:tc>
          <w:tcPr/>
          <w:p>
            <w:pPr>
              <w:pStyle w:val="Compact"/>
            </w:pPr>
            <w:r>
              <w:rPr>
                <w:sz w:val="18"/>
              </w:rPr>
              <w:t xml:space="preserve">FY2023</w:t>
            </w:r>
          </w:p>
        </w:tc>
        <w:tc>
          <w:tcPr/>
          <w:p>
            <w:pPr>
              <w:pStyle w:val="Compact"/>
              <w:jc w:val="right"/>
            </w:pPr>
            <w:r>
              <w:rPr>
                <w:sz w:val="18"/>
              </w:rPr>
              <w:t xml:space="preserve">265</w:t>
            </w:r>
          </w:p>
        </w:tc>
        <w:tc>
          <w:tcPr/>
          <w:p>
            <w:pPr>
              <w:pStyle w:val="Compact"/>
              <w:jc w:val="right"/>
            </w:pPr>
            <w:r>
              <w:rPr>
                <w:sz w:val="18"/>
              </w:rPr>
              <w:t xml:space="preserve">442.1</w:t>
            </w:r>
          </w:p>
        </w:tc>
        <w:tc>
          <w:tcPr/>
          <w:p>
            <w:pPr>
              <w:pStyle w:val="Compact"/>
              <w:jc w:val="right"/>
            </w:pPr>
            <w:r>
              <w:rPr>
                <w:rFonts w:hint="eastAsia"/>
                <w:sz w:val="18"/>
              </w:rPr>
              <w:t xml:space="preserve">22.1／44.3</w:t>
            </w:r>
          </w:p>
        </w:tc>
        <w:tc>
          <w:tcPr/>
          <w:p>
            <w:pPr>
              <w:pStyle w:val="Compact"/>
              <w:jc w:val="right"/>
            </w:pPr>
            <w:r>
              <w:rPr>
                <w:sz w:val="18"/>
              </w:rPr>
              <w:t xml:space="preserve">0.8</w:t>
            </w:r>
          </w:p>
        </w:tc>
        <w:tc>
          <w:tcPr/>
          <w:p>
            <w:pPr>
              <w:pStyle w:val="Compact"/>
              <w:jc w:val="right"/>
            </w:pPr>
            <w:r>
              <w:rPr>
                <w:rFonts w:hint="eastAsia"/>
                <w:sz w:val="18"/>
              </w:rPr>
              <w:t xml:space="preserve">0.04／0.08</w:t>
            </w:r>
          </w:p>
        </w:tc>
        <w:tc>
          <w:tcPr/>
          <w:p>
            <w:pPr>
              <w:pStyle w:val="Compact"/>
              <w:jc w:val="right"/>
            </w:pPr>
            <w:r>
              <w:rPr>
                <w:rFonts w:hint="eastAsia"/>
                <w:sz w:val="18"/>
              </w:rPr>
              <w:t xml:space="preserve">546倍</w:t>
            </w:r>
          </w:p>
        </w:tc>
      </w:tr>
      <w:tr>
        <w:tc>
          <w:tcPr/>
          <w:p>
            <w:pPr>
              <w:pStyle w:val="Compact"/>
            </w:pPr>
            <w:r>
              <w:rPr>
                <w:sz w:val="18"/>
              </w:rPr>
              <w:t xml:space="preserve">FY2024</w:t>
            </w:r>
          </w:p>
        </w:tc>
        <w:tc>
          <w:tcPr/>
          <w:p>
            <w:pPr>
              <w:pStyle w:val="Compact"/>
              <w:jc w:val="right"/>
            </w:pPr>
            <w:r>
              <w:rPr>
                <w:sz w:val="18"/>
              </w:rPr>
              <w:t xml:space="preserve">138</w:t>
            </w:r>
          </w:p>
        </w:tc>
        <w:tc>
          <w:tcPr/>
          <w:p>
            <w:pPr>
              <w:pStyle w:val="Compact"/>
              <w:jc w:val="right"/>
            </w:pPr>
            <w:r>
              <w:rPr>
                <w:sz w:val="18"/>
              </w:rPr>
              <w:t xml:space="preserve">272.0</w:t>
            </w:r>
          </w:p>
        </w:tc>
        <w:tc>
          <w:tcPr/>
          <w:p>
            <w:pPr>
              <w:pStyle w:val="Compact"/>
              <w:jc w:val="right"/>
            </w:pPr>
            <w:r>
              <w:rPr>
                <w:rFonts w:hint="eastAsia"/>
                <w:sz w:val="18"/>
              </w:rPr>
              <w:t xml:space="preserve">13.6／27.2</w:t>
            </w:r>
          </w:p>
        </w:tc>
        <w:tc>
          <w:tcPr/>
          <w:p>
            <w:pPr>
              <w:pStyle w:val="Compact"/>
              <w:jc w:val="right"/>
            </w:pPr>
            <w:r>
              <w:rPr>
                <w:sz w:val="18"/>
              </w:rPr>
              <w:t xml:space="preserve">2.7</w:t>
            </w:r>
          </w:p>
        </w:tc>
        <w:tc>
          <w:tcPr/>
          <w:p>
            <w:pPr>
              <w:pStyle w:val="Compact"/>
              <w:jc w:val="right"/>
            </w:pPr>
            <w:r>
              <w:rPr>
                <w:rFonts w:hint="eastAsia"/>
                <w:sz w:val="18"/>
              </w:rPr>
              <w:t xml:space="preserve">0.13／0.27</w:t>
            </w:r>
          </w:p>
        </w:tc>
        <w:tc>
          <w:tcPr/>
          <w:p>
            <w:pPr>
              <w:pStyle w:val="Compact"/>
              <w:jc w:val="right"/>
            </w:pPr>
            <w:r>
              <w:rPr>
                <w:rFonts w:hint="eastAsia"/>
                <w:sz w:val="18"/>
              </w:rPr>
              <w:t xml:space="preserve">101倍</w:t>
            </w:r>
          </w:p>
        </w:tc>
      </w:tr>
      <w:tr>
        <w:tc>
          <w:tcPr/>
          <w:p>
            <w:pPr>
              <w:pStyle w:val="Compact"/>
            </w:pPr>
            <w:r>
              <w:rPr>
                <w:sz w:val="18"/>
              </w:rPr>
              <w:t xml:space="preserve">FY2025</w:t>
            </w:r>
          </w:p>
        </w:tc>
        <w:tc>
          <w:tcPr/>
          <w:p>
            <w:pPr>
              <w:pStyle w:val="Compact"/>
              <w:jc w:val="right"/>
            </w:pPr>
            <w:r>
              <w:rPr>
                <w:sz w:val="18"/>
              </w:rPr>
              <w:t xml:space="preserve">205</w:t>
            </w:r>
          </w:p>
        </w:tc>
        <w:tc>
          <w:tcPr/>
          <w:p>
            <w:pPr>
              <w:pStyle w:val="Compact"/>
              <w:jc w:val="right"/>
            </w:pPr>
            <w:r>
              <w:rPr>
                <w:sz w:val="18"/>
              </w:rPr>
              <w:t xml:space="preserve">374.7</w:t>
            </w:r>
          </w:p>
        </w:tc>
        <w:tc>
          <w:tcPr/>
          <w:p>
            <w:pPr>
              <w:pStyle w:val="Compact"/>
              <w:jc w:val="right"/>
            </w:pPr>
            <w:r>
              <w:rPr>
                <w:rFonts w:hint="eastAsia"/>
                <w:sz w:val="18"/>
              </w:rPr>
              <w:t xml:space="preserve">18.8／37.5</w:t>
            </w:r>
          </w:p>
        </w:tc>
        <w:tc>
          <w:tcPr/>
          <w:p>
            <w:pPr>
              <w:pStyle w:val="Compact"/>
              <w:jc w:val="right"/>
            </w:pPr>
            <w:r>
              <w:rPr>
                <w:sz w:val="18"/>
              </w:rPr>
              <w:t xml:space="preserve">16.2</w:t>
            </w:r>
          </w:p>
        </w:tc>
        <w:tc>
          <w:tcPr/>
          <w:p>
            <w:pPr>
              <w:pStyle w:val="Compact"/>
              <w:jc w:val="right"/>
            </w:pPr>
            <w:r>
              <w:rPr>
                <w:rFonts w:hint="eastAsia"/>
                <w:sz w:val="18"/>
              </w:rPr>
              <w:t xml:space="preserve">0.81／1.62</w:t>
            </w:r>
          </w:p>
        </w:tc>
        <w:tc>
          <w:tcPr/>
          <w:p>
            <w:pPr>
              <w:pStyle w:val="Compact"/>
              <w:jc w:val="right"/>
            </w:pPr>
            <w:r>
              <w:rPr>
                <w:rFonts w:hint="eastAsia"/>
                <w:sz w:val="18"/>
              </w:rPr>
              <w:t xml:space="preserve">23倍</w:t>
            </w:r>
          </w:p>
        </w:tc>
      </w:tr>
      <w:tr>
        <w:tc>
          <w:tcPr/>
          <w:p>
            <w:pPr>
              <w:pStyle w:val="Compact"/>
            </w:pPr>
            <w:r>
              <w:rPr>
                <w:rFonts w:hint="eastAsia"/>
                <w:sz w:val="18"/>
              </w:rPr>
              <w:t xml:space="preserve">FY2026（4〜6月）</w:t>
            </w:r>
          </w:p>
        </w:tc>
        <w:tc>
          <w:tcPr/>
          <w:p>
            <w:pPr>
              <w:pStyle w:val="Compact"/>
              <w:jc w:val="right"/>
            </w:pPr>
            <w:r>
              <w:rPr>
                <w:sz w:val="18"/>
              </w:rPr>
              <w:t xml:space="preserve">216</w:t>
            </w:r>
          </w:p>
        </w:tc>
        <w:tc>
          <w:tcPr/>
          <w:p>
            <w:pPr>
              <w:pStyle w:val="Compact"/>
              <w:jc w:val="right"/>
            </w:pPr>
            <w:r>
              <w:rPr>
                <w:sz w:val="18"/>
              </w:rPr>
              <w:t xml:space="preserve">380.4</w:t>
            </w:r>
          </w:p>
        </w:tc>
        <w:tc>
          <w:tcPr/>
          <w:p>
            <w:pPr>
              <w:pStyle w:val="Compact"/>
              <w:jc w:val="right"/>
            </w:pPr>
            <w:r>
              <w:rPr>
                <w:rFonts w:hint="eastAsia"/>
                <w:sz w:val="18"/>
              </w:rPr>
              <w:t xml:space="preserve">19.1／38.1</w:t>
            </w:r>
          </w:p>
        </w:tc>
        <w:tc>
          <w:tcPr/>
          <w:p>
            <w:pPr>
              <w:pStyle w:val="Compact"/>
              <w:jc w:val="right"/>
            </w:pPr>
            <w:r>
              <w:rPr>
                <w:sz w:val="18"/>
              </w:rPr>
              <w:t xml:space="preserve">65.3</w:t>
            </w:r>
          </w:p>
        </w:tc>
        <w:tc>
          <w:tcPr/>
          <w:p>
            <w:pPr>
              <w:pStyle w:val="Compact"/>
              <w:jc w:val="right"/>
            </w:pPr>
            <w:r>
              <w:rPr>
                <w:rFonts w:hint="eastAsia"/>
                <w:sz w:val="18"/>
              </w:rPr>
              <w:t xml:space="preserve">3.26／6.53</w:t>
            </w:r>
          </w:p>
        </w:tc>
        <w:tc>
          <w:tcPr/>
          <w:p>
            <w:pPr>
              <w:pStyle w:val="Compact"/>
              <w:jc w:val="right"/>
            </w:pPr>
            <w:r>
              <w:rPr>
                <w:rFonts w:hint="eastAsia"/>
                <w:sz w:val="18"/>
              </w:rPr>
              <w:t xml:space="preserve">5.8倍</w:t>
            </w:r>
          </w:p>
        </w:tc>
      </w:tr>
    </w:tbl>
    <w:p>
      <w:pPr>
        <w:pStyle w:val="TableNote"/>
      </w:pPr>
      <w:r>
        <w:rPr>
          <w:rFonts w:hint="eastAsia"/>
        </w:rPr>
        <w:t xml:space="preserve">注）北海道の実績。再エネは太陽光と風力の合計。再エネ発電は下限張り付きの時間に販売された電力量で、抑制された電力量を含まない。比は収入減÷影の価格の価値で、</w:t>
      </w:r>
      <m:oMath>
        <m:r>
          <m:t>δ</m:t>
        </m:r>
      </m:oMath>
      <w:r>
        <w:t xml:space="preserve"> </w:t>
      </w:r>
      <w:r>
        <w:rPr>
          <w:rFonts w:hint="eastAsia"/>
        </w:rPr>
        <w:t xml:space="preserve">にほぼ依存しない（抑制前の出力で測った比は9.6節、抑制時間は付録C.5.3）。FY2026</w:t>
      </w:r>
      <w:r>
        <w:t xml:space="preserve"> </w:t>
      </w:r>
      <w:r>
        <w:rPr>
          <w:rFonts w:hint="eastAsia"/>
        </w:rPr>
        <w:t xml:space="preserve">は4〜6月の3か月分。</w:t>
      </w:r>
    </w:p>
    <w:p>
      <w:pPr>
        <w:pStyle w:val="TableNote"/>
      </w:pPr>
      <w:r>
        <w:rPr>
          <w:rFonts w:hint="eastAsia"/>
        </w:rPr>
        <w:t xml:space="preserve">出所）日本卸電力取引所『スポット市場取引結果』、北海道電力ネットワーク『エリア需給実績』より筆者作成。</w:t>
      </w:r>
    </w:p>
    <w:p>
      <w:pPr>
        <w:pStyle w:val="BodyText"/>
      </w:pPr>
      <w:r>
        <w:t xml:space="preserve">FY2025 </w:t>
      </w:r>
      <w:r>
        <w:rPr>
          <w:rFonts w:hint="eastAsia"/>
        </w:rPr>
        <w:t xml:space="preserve">には、負の価格が−5円なら年19億円、−10円なら38億円が再エネ事業者から蓄電池と需要側に移るが、影の価格で測った抑制の価値は0.8〜1.6億円にすぎない。負の価格は、捨てられた電気に値段を付けるだけでなく、下限の時間に発電していたすべての再エネに支払いを求めるからである。移転額と抑制の価値の比は、抑制の増加とともに</w:t>
      </w:r>
      <w:r>
        <w:t xml:space="preserve"> FY2023 </w:t>
      </w:r>
      <w:r>
        <w:rPr>
          <w:rFonts w:hint="eastAsia"/>
        </w:rPr>
        <w:t xml:space="preserve">の約550倍から</w:t>
      </w:r>
      <w:r>
        <w:t xml:space="preserve"> FY2026 </w:t>
      </w:r>
      <w:r>
        <w:rPr>
          <w:rFonts w:hint="eastAsia"/>
        </w:rPr>
        <w:t xml:space="preserve">の4〜6月の約6倍に下がったが、それでも移転額は抑制の価値を大きく上回る（表9.2）。</w:t>
      </w:r>
    </w:p>
    <w:p>
      <w:pPr>
        <w:pStyle w:val="BodyText"/>
      </w:pPr>
      <w:r>
        <w:t xml:space="preserve">FIT </w:t>
      </w:r>
      <w:r>
        <w:rPr>
          <w:rFonts w:hint="eastAsia"/>
        </w:rPr>
        <w:t xml:space="preserve">電源の電気の多くは送配電事業者が買い取って市場に出すので、その分の負担は発電事業者ではなく賦課金を通じて需要家に帰着する。したがって負の価格の導入は、FIP</w:t>
      </w:r>
      <w:r>
        <w:t xml:space="preserve"> </w:t>
      </w:r>
      <w:r>
        <w:rPr>
          <w:rFonts w:hint="eastAsia"/>
        </w:rPr>
        <w:t xml:space="preserve">電源のプレミアムを負の価格の時間に停止する規則（ドイツの再生可能エネルギー法にある）や</w:t>
      </w:r>
      <w:r>
        <w:t xml:space="preserve"> FIT </w:t>
      </w:r>
      <w:r>
        <w:rPr>
          <w:rFonts w:hint="eastAsia"/>
        </w:rPr>
        <w:t xml:space="preserve">電源の扱いと一体で設計しなければ、再エネ側の収入と賦課金の負担を大きく動かす。</w:t>
      </w:r>
    </w:p>
    <w:bookmarkEnd w:id="277"/>
    <w:bookmarkStart w:id="279" w:name="価格による調整と数量による調整"/>
    <w:p>
      <w:pPr>
        <w:pStyle w:val="Heading2"/>
      </w:pPr>
      <w:r>
        <w:t xml:space="preserve">9.5　</w:t>
      </w:r>
      <w:r>
        <w:rPr>
          <w:rFonts w:hint="eastAsia"/>
        </w:rPr>
        <w:t xml:space="preserve">価格による調整と数量による調整</w:t>
      </w:r>
    </w:p>
    <w:p>
      <w:pPr>
        <w:pStyle w:val="FirstParagraph"/>
      </w:pPr>
      <w:r>
        <w:rPr>
          <w:rFonts w:hint="eastAsia"/>
        </w:rPr>
        <w:t xml:space="preserve">現行制度は余剰時の調整を優先給電ルールという数量割当で行っており、その見直し（FIT</w:t>
      </w:r>
      <w:r>
        <w:t xml:space="preserve"> </w:t>
      </w:r>
      <w:r>
        <w:rPr>
          <w:rFonts w:hint="eastAsia"/>
        </w:rPr>
        <w:t xml:space="preserve">電源を先に制御し、FIP</w:t>
      </w:r>
      <w:r>
        <w:t xml:space="preserve"> </w:t>
      </w:r>
      <w:r>
        <w:rPr>
          <w:rFonts w:hint="eastAsia"/>
        </w:rPr>
        <w:t xml:space="preserve">に移行して蓄電池を併設した電源の抑制率を下げる）が進んでいる。資源エネルギー庁（2026a）の試算では、北海道の太陽光の2035年度の出力制御率は、従来の制御順の43%に対し、見直し後（FIP</w:t>
      </w:r>
      <w:r>
        <w:t xml:space="preserve"> </w:t>
      </w:r>
      <w:r>
        <w:rPr>
          <w:rFonts w:hint="eastAsia"/>
        </w:rPr>
        <w:t xml:space="preserve">比率25%）は</w:t>
      </w:r>
      <w:r>
        <w:t xml:space="preserve"> FIP </w:t>
      </w:r>
      <w:r>
        <w:rPr>
          <w:rFonts w:hint="eastAsia"/>
        </w:rPr>
        <w:t xml:space="preserve">に移行しない</w:t>
      </w:r>
      <w:r>
        <w:t xml:space="preserve"> FIT </w:t>
      </w:r>
      <w:r>
        <w:rPr>
          <w:rFonts w:hint="eastAsia"/>
        </w:rPr>
        <w:t xml:space="preserve">太陽光で53%、FIP</w:t>
      </w:r>
      <w:r>
        <w:t xml:space="preserve"> </w:t>
      </w:r>
      <w:r>
        <w:rPr>
          <w:rFonts w:hint="eastAsia"/>
        </w:rPr>
        <w:t xml:space="preserve">に移行し1kW</w:t>
      </w:r>
      <w:r>
        <w:t xml:space="preserve"> あたり3kWh </w:t>
      </w:r>
      <w:r>
        <w:rPr>
          <w:rFonts w:hint="eastAsia"/>
        </w:rPr>
        <w:t xml:space="preserve">の蓄電池を併設した太陽光で3%となる。これは数量規制の側で併設蓄電池を誘導する設計であり、負の価格は同じ目的を価格で達成する設計である。</w:t>
      </w:r>
    </w:p>
    <w:p>
      <w:pPr>
        <w:pStyle w:val="BodyText"/>
      </w:pPr>
      <w:r>
        <w:rPr>
          <w:rFonts w:hint="eastAsia"/>
        </w:rPr>
        <w:t xml:space="preserve">価格と数量のどちらで調整するかという問いには、Weitzman（1974）の価格と数量の比較という観点がある。Weitzman（1974）は、規制者が限界費用を確実には知らないとき、規制する量に対する限界便益の曲線の傾きが限界費用の曲線の傾きより緩やかなら価格による規制が、急なら数量による規制が期待厚生で勝ることを示した。ただし本研究は、この基準でどちらの調整が勝るかを判定しない。第一に、ここで規制される量は抑制量、裏返せば余剰の吸収量であり、その社会的な限界便益と限界費用の傾きを測るには厚生分析が要るが、本研究は厚生分析を扱わない（1.6節・7.5節）。本研究が測る</w:t>
      </w:r>
      <w:r>
        <w:t xml:space="preserve"> </w:t>
      </w:r>
      <m:oMath>
        <m:r>
          <m:t>π</m:t>
        </m:r>
        <m:r>
          <m:rPr>
            <m:sty m:val="p"/>
          </m:rPr>
          <m:t>(</m:t>
        </m:r>
        <m:r>
          <m:t>K</m:t>
        </m:r>
        <m:r>
          <m:rPr>
            <m:sty m:val="p"/>
          </m:rPr>
          <m:t>)</m:t>
        </m:r>
      </m:oMath>
      <w:r>
        <w:t xml:space="preserve"> </w:t>
      </w:r>
      <w:r>
        <w:rPr>
          <w:rFonts w:hint="eastAsia"/>
        </w:rPr>
        <w:t xml:space="preserve">は、下限価格・無補償の出力制御・容量市場の下での私的な限界参入者の収益にとどまる</w:t>
      </w:r>
      <w:r>
        <w:rPr>
          <w:rStyle w:val="FootnoteReference"/>
        </w:rPr>
        <w:footnoteReference w:id="278"/>
      </w:r>
      <w:r>
        <w:rPr>
          <w:rFonts w:hint="eastAsia"/>
        </w:rPr>
        <w:t xml:space="preserve">。第二に、負の価格の許容は、規制者が価格を固定することではなく市場に価格の発見を任せることであり、Weitzman（1974）のいう価格による規制とは異なる。本章は</w:t>
      </w:r>
      <w:r>
        <w:t xml:space="preserve"> </w:t>
      </w:r>
      <w:r>
        <w:rPr>
          <w:rFonts w:hint="eastAsia"/>
        </w:rPr>
        <w:t xml:space="preserve">Weitzman（1974）を、二つの調整を対比する観点として参照するにとどめる。</w:t>
      </w:r>
    </w:p>
    <w:p>
      <w:pPr>
        <w:pStyle w:val="BodyText"/>
      </w:pPr>
      <w:r>
        <w:rPr>
          <w:rFonts w:hint="eastAsia"/>
        </w:rPr>
        <w:t xml:space="preserve">この観点に照らしたとき、負の価格の利点は、価格の発見と透明性にある。負の価格の下では、どの電源をどれだけ止めるかを行政が決める代わりに、支払意思の低い電源から順に止まり、蓄電池には吸収の価値が直接支払われる。透明性の面でも、出力制御の実績は事後に需給実績や月次の検証資料で把握するしかないのに対し、負の価格は30分ごとに公表される。</w:t>
      </w:r>
    </w:p>
    <w:p>
      <w:pPr>
        <w:pStyle w:val="BodyText"/>
      </w:pPr>
      <w:r>
        <w:rPr>
          <w:rFonts w:hint="eastAsia"/>
        </w:rPr>
        <w:t xml:space="preserve">ただし負の価格には限界が二つある。第一に、負の価格が拾うのはエリア全体の余剰だけである。ローカル系統の混雑による制御は、現状では太陽光のノンファーム電源に限られて小さいが（各系統で最大0.25万kW、太陽光の抑制の1.5%以下。8.5.1項・付録C.4.2）、ゾーン価格には映らず、ノーダル価格か混雑管理の制度なしには解消しない。第二に、負の価格の深さは希少性ではなく補助制度で決まる。FIT</w:t>
      </w:r>
      <w:r>
        <w:t xml:space="preserve"> </w:t>
      </w:r>
      <w:r>
        <w:rPr>
          <w:rFonts w:hint="eastAsia"/>
        </w:rPr>
        <w:t xml:space="preserve">の無補償ルールと</w:t>
      </w:r>
      <w:r>
        <w:t xml:space="preserve"> FIP </w:t>
      </w:r>
      <w:r>
        <w:rPr>
          <w:rFonts w:hint="eastAsia"/>
        </w:rPr>
        <w:t xml:space="preserve">のプレミアムが残れば、負の価格はプレミアムの大きさを映すだけで、余剰の限界価値を示す指標にはならない。透明性の高い指標として働くのは、補助の設計と組み合わせた場合に限られる。</w:t>
      </w:r>
    </w:p>
    <w:bookmarkEnd w:id="279"/>
    <w:bookmarkStart w:id="280" w:name="頑健性の確認-3"/>
    <w:p>
      <w:pPr>
        <w:pStyle w:val="Heading2"/>
      </w:pPr>
      <w:r>
        <w:t xml:space="preserve">9.6　</w:t>
      </w:r>
      <w:r>
        <w:rPr>
          <w:rFonts w:hint="eastAsia"/>
        </w:rPr>
        <w:t xml:space="preserve">頑健性の確認</w:t>
      </w:r>
    </w:p>
    <w:p>
      <w:pPr>
        <w:pStyle w:val="FirstParagraph"/>
      </w:pPr>
      <w:r>
        <w:rPr>
          <w:rFonts w:hint="eastAsia"/>
        </w:rPr>
        <w:t xml:space="preserve">本節では、9.3節と9.4節の結果が、段差モデルの仕様、余剰の量の置き方、損益分岐の解き方、移転の計測の定義に依存しないかを確かめる。表9.3</w:t>
      </w:r>
      <w:r>
        <w:t xml:space="preserve"> </w:t>
      </w:r>
      <w:r>
        <w:rPr>
          <w:rFonts w:hint="eastAsia"/>
        </w:rPr>
        <w:t xml:space="preserve">に、泊と風力2倍のシナリオで仕様と下限張り付き時間の置き方を変えた結果と、現状で実績価格の下限の時間を負の価格に置いた結果を示す（その他の組合せは表C.49）。</w:t>
      </w:r>
    </w:p>
    <w:p>
      <w:pPr>
        <w:pStyle w:val="TableCaption"/>
      </w:pPr>
      <w:r>
        <w:rPr>
          <w:rFonts w:hint="eastAsia"/>
        </w:rPr>
        <w:t xml:space="preserve">表9.3</w:t>
      </w:r>
      <w:r>
        <w:t xml:space="preserve">　</w:t>
      </w:r>
      <w:r>
        <w:rPr>
          <w:rFonts w:hint="eastAsia"/>
        </w:rPr>
        <w:t xml:space="preserve">段差モデルの仕様と余剰の量の置き方への感応度</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9.3　段差モデルの仕様と余剰の量の置き方への感応度"/>
      </w:tblPr>
      <w:tblGrid>
        <w:gridCol w:w="1320"/>
        <w:gridCol w:w="1320"/>
        <w:gridCol w:w="1760"/>
        <w:gridCol w:w="1760"/>
        <w:gridCol w:w="1760"/>
      </w:tblGrid>
      <w:tr>
        <w:trPr>
          <w:tblHeader w:val="on"/>
        </w:trPr>
        <w:tc>
          <w:tcPr>
            <w:tcBorders>
              <w:bottom w:val="single" w:sz="6" w:color="000000"/>
            </w:tcBorders>
          </w:tcPr>
          <w:p>
            <w:pPr>
              <w:pStyle w:val="Compact"/>
            </w:pPr>
            <w:r>
              <w:rPr>
                <w:rFonts w:hint="eastAsia"/>
                <w:sz w:val="18"/>
              </w:rPr>
              <w:t xml:space="preserve">シナリオ・扱い</w:t>
            </w:r>
          </w:p>
        </w:tc>
        <w:tc>
          <w:tcPr>
            <w:tcBorders>
              <w:bottom w:val="single" w:sz="6" w:color="000000"/>
            </w:tcBorders>
          </w:tcPr>
          <w:p>
            <w:pPr>
              <w:pStyle w:val="Compact"/>
            </w:pPr>
            <w:r>
              <w:rPr>
                <w:rFonts w:hint="eastAsia"/>
                <w:sz w:val="18"/>
              </w:rPr>
              <w:t xml:space="preserve">下限</w:t>
            </w:r>
          </w:p>
        </w:tc>
        <w:tc>
          <w:tcPr>
            <w:tcBorders>
              <w:bottom w:val="single" w:sz="6" w:color="000000"/>
            </w:tcBorders>
          </w:tcPr>
          <w:p>
            <w:pPr>
              <w:pStyle w:val="Compact"/>
              <w:jc w:val="right"/>
            </w:pPr>
            <w:r>
              <w:rPr>
                <w:rFonts w:hint="eastAsia"/>
                <w:sz w:val="18"/>
              </w:rPr>
              <w:t xml:space="preserve">負の価格の時間（時間/年）</w:t>
            </w:r>
          </w:p>
        </w:tc>
        <w:tc>
          <w:tcPr>
            <w:tcBorders>
              <w:bottom w:val="single" w:sz="6" w:color="000000"/>
            </w:tcBorders>
          </w:tcPr>
          <w:p>
            <w:pPr>
              <w:pStyle w:val="Compact"/>
              <w:jc w:val="right"/>
            </w:pPr>
            <m:oMath>
              <m:r>
                <m:t>π</m:t>
              </m:r>
              <m:r>
                <m:rPr>
                  <m:sty m:val="p"/>
                </m:rPr>
                <m:t>(</m:t>
              </m:r>
              <m:r>
                <m:t>0</m:t>
              </m:r>
              <m:r>
                <m:rPr>
                  <m:sty m:val="p"/>
                </m:rPr>
                <m:t>)</m:t>
              </m:r>
            </m:oMath>
          </w:p>
        </w:tc>
        <w:tc>
          <w:tcPr>
            <w:tcBorders>
              <w:bottom w:val="single" w:sz="6" w:color="000000"/>
            </w:tcBorders>
          </w:tcPr>
          <w:p>
            <w:pPr>
              <w:pStyle w:val="Compact"/>
              <w:jc w:val="right"/>
            </w:pPr>
            <m:oMath>
              <m:sSup>
                <m:e>
                  <m:r>
                    <m:t>θ</m:t>
                  </m:r>
                </m:e>
                <m:sup>
                  <m:r>
                    <m:rPr>
                      <m:sty m:val="p"/>
                    </m:rPr>
                    <m:t>*</m:t>
                  </m:r>
                </m:sup>
              </m:sSup>
            </m:oMath>
          </w:p>
        </w:tc>
      </w:tr>
      <w:tr>
        <w:tc>
          <w:tcPr/>
          <w:p>
            <w:pPr>
              <w:pStyle w:val="Compact"/>
            </w:pPr>
            <w:r>
              <w:rPr>
                <w:rFonts w:hint="eastAsia"/>
                <w:sz w:val="18"/>
              </w:rPr>
              <w:t xml:space="preserve">泊＋風力2倍・仕様A</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7,026</w:t>
            </w:r>
          </w:p>
        </w:tc>
        <w:tc>
          <w:tcPr/>
          <w:p>
            <w:pPr>
              <w:pStyle w:val="Compact"/>
              <w:jc w:val="right"/>
            </w:pPr>
            <w:r>
              <w:rPr>
                <w:sz w:val="18"/>
              </w:rPr>
              <w:t xml:space="preserve">2.87</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1,478</w:t>
            </w:r>
          </w:p>
        </w:tc>
        <w:tc>
          <w:tcPr/>
          <w:p>
            <w:pPr>
              <w:pStyle w:val="Compact"/>
              <w:jc w:val="right"/>
            </w:pPr>
            <w:r>
              <w:rPr>
                <w:sz w:val="18"/>
              </w:rPr>
              <w:t xml:space="preserve">10,851</w:t>
            </w:r>
          </w:p>
        </w:tc>
        <w:tc>
          <w:tcPr/>
          <w:p>
            <w:pPr>
              <w:pStyle w:val="Compact"/>
              <w:jc w:val="right"/>
            </w:pPr>
            <w:r>
              <w:rPr>
                <w:sz w:val="18"/>
              </w:rPr>
              <w:t xml:space="preserve">2.43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1,478</w:t>
            </w:r>
          </w:p>
        </w:tc>
        <w:tc>
          <w:tcPr/>
          <w:p>
            <w:pPr>
              <w:pStyle w:val="Compact"/>
              <w:jc w:val="right"/>
            </w:pPr>
            <w:r>
              <w:rPr>
                <w:sz w:val="18"/>
              </w:rPr>
              <w:t xml:space="preserve">14,639</w:t>
            </w:r>
          </w:p>
        </w:tc>
        <w:tc>
          <w:tcPr/>
          <w:p>
            <w:pPr>
              <w:pStyle w:val="Compact"/>
              <w:jc w:val="right"/>
            </w:pPr>
            <w:r>
              <w:rPr>
                <w:sz w:val="18"/>
              </w:rPr>
              <w:t xml:space="preserve">2.00</w:t>
            </w:r>
          </w:p>
        </w:tc>
      </w:tr>
      <w:tr>
        <w:tc>
          <w:tcPr/>
          <w:p>
            <w:pPr>
              <w:pStyle w:val="Compact"/>
            </w:pPr>
            <w:r>
              <w:rPr>
                <w:rFonts w:hint="eastAsia"/>
                <w:sz w:val="18"/>
              </w:rPr>
              <w:t xml:space="preserve">泊＋風力2倍・下端の線形外挿</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6,027</w:t>
            </w:r>
          </w:p>
        </w:tc>
        <w:tc>
          <w:tcPr/>
          <w:p>
            <w:pPr>
              <w:pStyle w:val="Compact"/>
              <w:jc w:val="right"/>
            </w:pPr>
            <w:r>
              <w:rPr>
                <w:sz w:val="18"/>
              </w:rPr>
              <w:t xml:space="preserve">3.23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1,092</w:t>
            </w:r>
          </w:p>
        </w:tc>
        <w:tc>
          <w:tcPr/>
          <w:p>
            <w:pPr>
              <w:pStyle w:val="Compact"/>
              <w:jc w:val="right"/>
            </w:pPr>
            <w:r>
              <w:rPr>
                <w:sz w:val="18"/>
              </w:rPr>
              <w:t xml:space="preserve">10,693</w:t>
            </w:r>
          </w:p>
        </w:tc>
        <w:tc>
          <w:tcPr/>
          <w:p>
            <w:pPr>
              <w:pStyle w:val="Compact"/>
              <w:jc w:val="right"/>
            </w:pPr>
            <w:r>
              <w:rPr>
                <w:sz w:val="18"/>
              </w:rPr>
              <w:t xml:space="preserve">2.63</w:t>
            </w:r>
          </w:p>
        </w:tc>
      </w:tr>
      <w:tr>
        <w:tc>
          <w:tcPr/>
          <w:p>
            <w:pPr>
              <w:pStyle w:val="Compact"/>
            </w:pPr>
            <w:r>
              <w:rPr>
                <w:rFonts w:hint="eastAsia"/>
                <w:sz w:val="18"/>
              </w:rPr>
              <w:t xml:space="preserve">泊＋風力2倍・下限時間の較正</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7,296</w:t>
            </w:r>
          </w:p>
        </w:tc>
        <w:tc>
          <w:tcPr/>
          <w:p>
            <w:pPr>
              <w:pStyle w:val="Compact"/>
              <w:jc w:val="right"/>
            </w:pPr>
            <w:r>
              <w:rPr>
                <w:sz w:val="18"/>
              </w:rPr>
              <w:t xml:space="preserve">2.78</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2,103</w:t>
            </w:r>
          </w:p>
        </w:tc>
        <w:tc>
          <w:tcPr/>
          <w:p>
            <w:pPr>
              <w:pStyle w:val="Compact"/>
              <w:jc w:val="right"/>
            </w:pPr>
            <w:r>
              <w:rPr>
                <w:sz w:val="18"/>
              </w:rPr>
              <w:t xml:space="preserve">16,251</w:t>
            </w:r>
          </w:p>
        </w:tc>
        <w:tc>
          <w:tcPr/>
          <w:p>
            <w:pPr>
              <w:pStyle w:val="Compact"/>
              <w:jc w:val="right"/>
            </w:pPr>
            <w:r>
              <w:rPr>
                <w:sz w:val="18"/>
              </w:rPr>
              <w:t xml:space="preserve">1.79</w:t>
            </w:r>
          </w:p>
        </w:tc>
      </w:tr>
      <w:tr>
        <w:tc>
          <w:tcPr/>
          <w:p>
            <w:pPr>
              <w:pStyle w:val="Compact"/>
            </w:pPr>
            <w:r>
              <w:rPr>
                <w:rFonts w:hint="eastAsia"/>
                <w:sz w:val="18"/>
              </w:rPr>
              <w:t xml:space="preserve">現状・実績価格</w:t>
            </w:r>
          </w:p>
        </w:tc>
        <w:tc>
          <w:tcPr/>
          <w:p>
            <w:pPr>
              <w:pStyle w:val="Compact"/>
            </w:pPr>
            <w:r>
              <w:rPr>
                <w:rFonts w:hint="eastAsia"/>
                <w:sz w:val="18"/>
              </w:rPr>
              <w:t xml:space="preserve">−5円</w:t>
            </w:r>
          </w:p>
        </w:tc>
        <w:tc>
          <w:tcPr/>
          <w:p>
            <w:pPr>
              <w:pStyle w:val="Compact"/>
              <w:jc w:val="right"/>
            </w:pPr>
            <w:r>
              <w:rPr>
                <w:sz w:val="18"/>
              </w:rPr>
              <w:t xml:space="preserve">203</w:t>
            </w:r>
          </w:p>
        </w:tc>
        <w:tc>
          <w:tcPr/>
          <w:p>
            <w:pPr>
              <w:pStyle w:val="Compact"/>
              <w:jc w:val="right"/>
            </w:pPr>
            <w:r>
              <w:rPr>
                <w:sz w:val="18"/>
              </w:rPr>
              <w:t xml:space="preserve">7,421</w:t>
            </w:r>
          </w:p>
        </w:tc>
        <w:tc>
          <w:tcPr/>
          <w:p>
            <w:pPr>
              <w:pStyle w:val="Compact"/>
              <w:jc w:val="right"/>
            </w:pPr>
            <w:r>
              <w:rPr>
                <w:sz w:val="18"/>
              </w:rPr>
              <w:t xml:space="preserve">2.90</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203</w:t>
            </w:r>
          </w:p>
        </w:tc>
        <w:tc>
          <w:tcPr/>
          <w:p>
            <w:pPr>
              <w:pStyle w:val="Compact"/>
              <w:jc w:val="right"/>
            </w:pPr>
            <w:r>
              <w:rPr>
                <w:sz w:val="18"/>
              </w:rPr>
              <w:t xml:space="preserve">8,166</w:t>
            </w:r>
          </w:p>
        </w:tc>
        <w:tc>
          <w:tcPr/>
          <w:p>
            <w:pPr>
              <w:pStyle w:val="Compact"/>
              <w:jc w:val="right"/>
            </w:pPr>
            <w:r>
              <w:rPr>
                <w:sz w:val="18"/>
              </w:rPr>
              <w:t xml:space="preserve">2.81</w:t>
            </w:r>
          </w:p>
        </w:tc>
      </w:tr>
    </w:tbl>
    <w:p>
      <w:pPr>
        <w:pStyle w:val="TableNote"/>
      </w:pPr>
      <w:r>
        <w:rPr>
          <w:rFonts w:hint="eastAsia"/>
        </w:rPr>
        <w:t xml:space="preserve">注）</w:t>
      </w:r>
      <m:oMath>
        <m:r>
          <m:t>π</m:t>
        </m:r>
        <m:r>
          <m:rPr>
            <m:sty m:val="p"/>
          </m:rPr>
          <m:t>(</m:t>
        </m:r>
        <m:r>
          <m:t>0</m:t>
        </m:r>
        <m:r>
          <m:rPr>
            <m:sty m:val="p"/>
          </m:rPr>
          <m:t>)</m:t>
        </m:r>
      </m:oMath>
      <w:r>
        <w:t xml:space="preserve"> </w:t>
      </w:r>
      <w:r>
        <w:rPr>
          <w:rFonts w:hint="eastAsia"/>
        </w:rPr>
        <w:t xml:space="preserve">は円/kW-年。表9.1</w:t>
      </w:r>
      <w:r>
        <w:t xml:space="preserve"> </w:t>
      </w:r>
      <w:r>
        <w:rPr>
          <w:rFonts w:hint="eastAsia"/>
        </w:rPr>
        <w:t xml:space="preserve">と同じ条件で、仕様と下限張り付き時間の置き方だけを変えた。実績価格の行を除き、水準係数付きの仕様A（</w:t>
      </w:r>
      <m:oMath>
        <m:r>
          <m:t>λ</m:t>
        </m:r>
        <m:r>
          <m:rPr>
            <m:sty m:val="p"/>
          </m:rPr>
          <m:t>=</m:t>
        </m:r>
        <m:r>
          <m:t>1.108</m:t>
        </m:r>
      </m:oMath>
      <w:r>
        <w:rPr>
          <w:rFonts w:hint="eastAsia"/>
        </w:rPr>
        <w:t xml:space="preserve">）による。仕様A</w:t>
      </w:r>
      <w:r>
        <w:t xml:space="preserve"> </w:t>
      </w:r>
      <w:r>
        <w:rPr>
          <w:rFonts w:hint="eastAsia"/>
        </w:rPr>
        <w:t xml:space="preserve">の行は表9.1</w:t>
      </w:r>
      <w:r>
        <w:t xml:space="preserve"> </w:t>
      </w:r>
      <w:r>
        <w:rPr>
          <w:rFonts w:hint="eastAsia"/>
        </w:rPr>
        <w:t xml:space="preserve">と同じ段差モデル、下端の線形外挿の行は、供給曲線の下端を線形に延ばし、下限のない潜在価格が0.01円以下になる時間だけを</w:t>
      </w:r>
      <w:r>
        <w:t xml:space="preserve"> </w:t>
      </w:r>
      <m:oMath>
        <m:r>
          <m:rPr>
            <m:sty m:val="p"/>
          </m:rPr>
          <m:t>−</m:t>
        </m:r>
        <m:r>
          <m:t>δ</m:t>
        </m:r>
      </m:oMath>
      <w:r>
        <w:t xml:space="preserve"> </w:t>
      </w:r>
      <w:r>
        <w:rPr>
          <w:rFonts w:hint="eastAsia"/>
        </w:rPr>
        <w:t xml:space="preserve">に置いたもの。下限時間の較正の行は、季節別の閾値で現状の下限張り付き時間を実績（約203時間/年）に合わせたもの。実績価格の行は、FY2023〜25</w:t>
      </w:r>
      <w:r>
        <w:t xml:space="preserve"> </w:t>
      </w:r>
      <w:r>
        <w:rPr>
          <w:rFonts w:hint="eastAsia"/>
        </w:rPr>
        <w:t xml:space="preserve">の実績価格の下限の時間（年平均203時間）をそのまま</w:t>
      </w:r>
      <w:r>
        <w:t xml:space="preserve"> </w:t>
      </w:r>
      <m:oMath>
        <m:r>
          <m:rPr>
            <m:sty m:val="p"/>
          </m:rPr>
          <m:t>−</m:t>
        </m:r>
        <m:r>
          <m:t>δ</m:t>
        </m:r>
      </m:oMath>
      <w:r>
        <w:t xml:space="preserve"> </w:t>
      </w:r>
      <w:r>
        <w:rPr>
          <w:rFonts w:hint="eastAsia"/>
        </w:rPr>
        <w:t xml:space="preserve">に置いて戦略</w:t>
      </w:r>
      <w:r>
        <w:t xml:space="preserve"> c </w:t>
      </w:r>
      <w:r>
        <w:rPr>
          <w:rFonts w:hint="eastAsia"/>
        </w:rPr>
        <w:t xml:space="preserve">を直接計算した値で、</w:t>
      </w:r>
      <m:oMath>
        <m:r>
          <m:t>K</m:t>
        </m:r>
        <m:r>
          <m:rPr>
            <m:sty m:val="p"/>
          </m:rPr>
          <m:t>=</m:t>
        </m:r>
        <m:r>
          <m:t>0</m:t>
        </m:r>
      </m:oMath>
      <w:r>
        <w:t xml:space="preserve"> </w:t>
      </w:r>
      <w:r>
        <w:rPr>
          <w:rFonts w:hint="eastAsia"/>
        </w:rPr>
        <w:t xml:space="preserve">だけを示す。</w:t>
      </w:r>
    </w:p>
    <w:p>
      <w:pPr>
        <w:pStyle w:val="TableNote"/>
      </w:pPr>
      <w:r>
        <w:rPr>
          <w:rFonts w:hint="eastAsia"/>
        </w:rPr>
        <w:t xml:space="preserve">出所）表9.1</w:t>
      </w:r>
      <w:r>
        <w:t xml:space="preserve"> </w:t>
      </w:r>
      <w:r>
        <w:rPr>
          <w:rFonts w:hint="eastAsia"/>
        </w:rPr>
        <w:t xml:space="preserve">と同じ。</w:t>
      </w:r>
    </w:p>
    <w:p>
      <w:pPr>
        <w:pStyle w:val="BodyText"/>
      </w:pPr>
      <w:r>
        <w:rPr>
          <w:rFonts w:hint="eastAsia"/>
        </w:rPr>
        <w:t xml:space="preserve">主な結論は変わらない。第一に、現状の効果が小さいという結論は、モデルの下限張り付き時間が実績を下回ることによるものではない。実績価格の下限の時間を−10円に置くと、</w:t>
      </w:r>
      <m:oMath>
        <m:r>
          <m:t>π</m:t>
        </m:r>
        <m:r>
          <m:rPr>
            <m:sty m:val="p"/>
          </m:rPr>
          <m:t>(</m:t>
        </m:r>
        <m:r>
          <m:t>0</m:t>
        </m:r>
        <m:r>
          <m:rPr>
            <m:sty m:val="p"/>
          </m:rPr>
          <m:t>)</m:t>
        </m:r>
      </m:oMath>
      <w:r>
        <w:t xml:space="preserve"> </w:t>
      </w:r>
      <w:r>
        <w:rPr>
          <w:rFonts w:hint="eastAsia"/>
        </w:rPr>
        <w:t xml:space="preserve">の増分はモデルの約1.6倍の+1,491円で、完全予見粗利の増分の96%を捕捉するが、</w:t>
      </w:r>
      <m:oMath>
        <m:sSup>
          <m:e>
            <m:r>
              <m:t>θ</m:t>
            </m:r>
          </m:e>
          <m:sup>
            <m:r>
              <m:rPr>
                <m:sty m:val="p"/>
              </m:rPr>
              <m:t>*</m:t>
            </m:r>
          </m:sup>
        </m:sSup>
      </m:oMath>
      <w:r>
        <w:t xml:space="preserve"> </w:t>
      </w:r>
      <w:r>
        <w:t xml:space="preserve">は2.81 </w:t>
      </w:r>
      <w:r>
        <w:rPr>
          <w:rFonts w:hint="eastAsia"/>
        </w:rPr>
        <w:t xml:space="preserve">にとどまる。第二に、余剰の大きい局面で</w:t>
      </w:r>
      <w:r>
        <w:t xml:space="preserve"> </w:t>
      </w:r>
      <m:oMath>
        <m:sSup>
          <m:e>
            <m:r>
              <m:t>θ</m:t>
            </m:r>
          </m:e>
          <m:sup>
            <m:r>
              <m:rPr>
                <m:sty m:val="p"/>
              </m:rPr>
              <m:t>*</m:t>
            </m:r>
          </m:sup>
        </m:sSup>
      </m:oMath>
      <w:r>
        <w:t xml:space="preserve"> </w:t>
      </w:r>
      <w:r>
        <w:rPr>
          <w:rFonts w:hint="eastAsia"/>
        </w:rPr>
        <w:t xml:space="preserve">が下がる向きは、仕様と下端の置き方によらない。泊と風力2倍・−10円の</w:t>
      </w:r>
      <w:r>
        <w:t xml:space="preserve"> </w:t>
      </w:r>
      <m:oMath>
        <m:sSup>
          <m:e>
            <m:r>
              <m:t>θ</m:t>
            </m:r>
          </m:e>
          <m:sup>
            <m:r>
              <m:rPr>
                <m:sty m:val="p"/>
              </m:rPr>
              <m:t>*</m:t>
            </m:r>
          </m:sup>
        </m:sSup>
      </m:oMath>
      <w:r>
        <w:t xml:space="preserve"> </w:t>
      </w:r>
      <w:r>
        <w:rPr>
          <w:rFonts w:hint="eastAsia"/>
        </w:rPr>
        <w:t xml:space="preserve">の低下は、仕様A</w:t>
      </w:r>
      <w:r>
        <w:t xml:space="preserve"> </w:t>
      </w:r>
      <w:r>
        <w:rPr>
          <w:rFonts w:hint="eastAsia"/>
        </w:rPr>
        <w:t xml:space="preserve">で30%、下端の線形外挿で19%、下限時間の較正で36%であり、主の仕様A′</w:t>
      </w:r>
      <w:r>
        <w:t xml:space="preserve"> </w:t>
      </w:r>
      <w:r>
        <w:rPr>
          <w:rFonts w:hint="eastAsia"/>
        </w:rPr>
        <w:t xml:space="preserve">の27%はこの19〜36%の幅の中にある。第三に、どの扱いでも</w:t>
      </w:r>
      <w:r>
        <w:t xml:space="preserve"> </w:t>
      </w:r>
      <m:oMath>
        <m:sSup>
          <m:e>
            <m:r>
              <m:t>θ</m:t>
            </m:r>
          </m:e>
          <m:sup>
            <m:r>
              <m:rPr>
                <m:sty m:val="p"/>
              </m:rPr>
              <m:t>*</m:t>
            </m:r>
          </m:sup>
        </m:sSup>
      </m:oMath>
      <w:r>
        <w:t xml:space="preserve"> </w:t>
      </w:r>
      <w:r>
        <w:rPr>
          <w:rFonts w:hint="eastAsia"/>
        </w:rPr>
        <w:t xml:space="preserve">は1を超え、最小でも下限時間を較正した泊＋風力2倍・−10円の1.79</w:t>
      </w:r>
      <w:r>
        <w:t xml:space="preserve"> </w:t>
      </w:r>
      <w:r>
        <w:rPr>
          <w:rFonts w:hint="eastAsia"/>
        </w:rPr>
        <w:t xml:space="preserve">であるので、負の価格だけではマーチャントの参入は開かない。導入容量の計上時期を補正しても</w:t>
      </w:r>
      <w:r>
        <w:t xml:space="preserve"> </w:t>
      </w:r>
      <m:oMath>
        <m:sSup>
          <m:e>
            <m:r>
              <m:t>θ</m:t>
            </m:r>
          </m:e>
          <m:sup>
            <m:r>
              <m:rPr>
                <m:sty m:val="p"/>
              </m:rPr>
              <m:t>*</m:t>
            </m:r>
          </m:sup>
        </m:sSup>
      </m:oMath>
      <w:r>
        <w:t xml:space="preserve"> </w:t>
      </w:r>
      <w:r>
        <w:rPr>
          <w:rFonts w:hint="eastAsia"/>
        </w:rPr>
        <w:t xml:space="preserve">はほとんど変わらない（付録C.5.2）。</w:t>
      </w:r>
    </w:p>
    <w:p>
      <w:pPr>
        <w:pStyle w:val="BodyText"/>
      </w:pPr>
      <w:r>
        <w:rPr>
          <w:rFonts w:hint="eastAsia"/>
        </w:rPr>
        <w:t xml:space="preserve">損益分岐の解き方は低下の幅を左右する。比例の式（式(4.8)）で解くと</w:t>
      </w:r>
      <w:r>
        <w:t xml:space="preserve"> </w:t>
      </w:r>
      <m:oMath>
        <m:r>
          <m:rPr>
            <m:sty m:val="p"/>
          </m:rPr>
          <m:t>−</m:t>
        </m:r>
        <m:r>
          <m:t>δ</m:t>
        </m:r>
      </m:oMath>
      <w:r>
        <w:t xml:space="preserve"> </w:t>
      </w:r>
      <w:r>
        <w:t xml:space="preserve">も</w:t>
      </w:r>
      <w:r>
        <w:t xml:space="preserve"> </w:t>
      </w:r>
      <m:oMath>
        <m:r>
          <m:t>θ</m:t>
        </m:r>
      </m:oMath>
      <w:r>
        <w:t xml:space="preserve"> </w:t>
      </w:r>
      <w:r>
        <w:rPr>
          <w:rFonts w:hint="eastAsia"/>
        </w:rPr>
        <w:t xml:space="preserve">とともに伸縮すると置くことになり、−10円では、仕様A</w:t>
      </w:r>
      <w:r>
        <w:t xml:space="preserve"> </w:t>
      </w:r>
      <w:r>
        <w:rPr>
          <w:rFonts w:hint="eastAsia"/>
        </w:rPr>
        <w:t xml:space="preserve">の泊＋風力2倍で直接解の2.00</w:t>
      </w:r>
      <w:r>
        <w:t xml:space="preserve"> </w:t>
      </w:r>
      <w:r>
        <w:rPr>
          <w:rFonts w:hint="eastAsia"/>
        </w:rPr>
        <w:t xml:space="preserve">に対し1.54、泊3号で2.28</w:t>
      </w:r>
      <w:r>
        <w:t xml:space="preserve"> </w:t>
      </w:r>
      <w:r>
        <w:rPr>
          <w:rFonts w:hint="eastAsia"/>
        </w:rPr>
        <w:t xml:space="preserve">に対し1.83</w:t>
      </w:r>
      <w:r>
        <w:t xml:space="preserve"> </w:t>
      </w:r>
      <w:r>
        <w:rPr>
          <w:rFonts w:hint="eastAsia"/>
        </w:rPr>
        <w:t xml:space="preserve">と、低下を大きく見せる。本章が直接解を用いるのはこのためであるが（9.1.2項）、比例の式で解いても</w:t>
      </w:r>
      <w:r>
        <w:t xml:space="preserve"> </w:t>
      </w:r>
      <m:oMath>
        <m:sSup>
          <m:e>
            <m:r>
              <m:t>θ</m:t>
            </m:r>
          </m:e>
          <m:sup>
            <m:r>
              <m:rPr>
                <m:sty m:val="p"/>
              </m:rPr>
              <m:t>*</m:t>
            </m:r>
          </m:sup>
        </m:sSup>
      </m:oMath>
      <w:r>
        <w:t xml:space="preserve"> </w:t>
      </w:r>
      <w:r>
        <w:rPr>
          <w:rFonts w:hint="eastAsia"/>
        </w:rPr>
        <w:t xml:space="preserve">は1を超える。</w:t>
      </w:r>
    </w:p>
    <w:p>
      <w:pPr>
        <w:pStyle w:val="BodyText"/>
      </w:pPr>
      <w:r>
        <w:rPr>
          <w:rFonts w:hint="eastAsia"/>
        </w:rPr>
        <w:t xml:space="preserve">再エネ側からの移転と抑制の価値の比較も、計測の定義に左右されない。収入減を抑制前の出力で測ると、抑制された電力量を収入減と影の価格の価値の両方に数えることになるが、その場合でも比は</w:t>
      </w:r>
      <w:r>
        <w:t xml:space="preserve"> FY2025 </w:t>
      </w:r>
      <w:r>
        <w:rPr>
          <w:rFonts w:hint="eastAsia"/>
        </w:rPr>
        <w:t xml:space="preserve">で23.8倍、FY2026</w:t>
      </w:r>
      <w:r>
        <w:t xml:space="preserve"> </w:t>
      </w:r>
      <w:r>
        <w:rPr>
          <w:rFonts w:hint="eastAsia"/>
        </w:rPr>
        <w:t xml:space="preserve">の4〜6月で6.7倍であり、移転額が抑制の価値を大きく上回るという結論は変わらない（付録C.5.3）。</w:t>
      </w:r>
    </w:p>
    <w:p>
      <w:pPr>
        <w:pStyle w:val="BodyText"/>
      </w:pPr>
      <w:r>
        <w:rPr>
          <w:rFonts w:hint="eastAsia"/>
        </w:rPr>
        <w:t xml:space="preserve">留保が二つある。第一に、余剰の量そのものが段差の仮定に依存する。泊のシナリオの下限張り付き時間の6〜7割は、推定範囲外の純需要で価格を0.01円とする仮定から生じる。第二に、現状・</w:t>
      </w:r>
      <m:oMath>
        <m:r>
          <m:t>K</m:t>
        </m:r>
        <m:r>
          <m:rPr>
            <m:sty m:val="p"/>
          </m:rPr>
          <m:t>=</m:t>
        </m:r>
        <m:r>
          <m:t>0</m:t>
        </m:r>
      </m:oMath>
      <w:r>
        <w:t xml:space="preserve"> </w:t>
      </w:r>
      <w:r>
        <w:rPr>
          <w:rFonts w:hint="eastAsia"/>
        </w:rPr>
        <w:t xml:space="preserve">で推定した</w:t>
      </w:r>
      <w:r>
        <w:t xml:space="preserve"> </w:t>
      </w:r>
      <m:oMath>
        <m:r>
          <m:t>λ</m:t>
        </m:r>
      </m:oMath>
      <w:r>
        <w:t xml:space="preserve"> </w:t>
      </w:r>
      <w:r>
        <w:rPr>
          <w:rFonts w:hint="eastAsia"/>
        </w:rPr>
        <w:t xml:space="preserve">を負の価格のシナリオに当てるのは仮定である。仕様A</w:t>
      </w:r>
      <w:r>
        <w:t xml:space="preserve"> </w:t>
      </w:r>
      <w:r>
        <w:rPr>
          <w:rFonts w:hint="eastAsia"/>
        </w:rPr>
        <w:t xml:space="preserve">の泊＋風力2倍・−10円では校正後の粗利が完全予見粗利の0.97倍に達しており、余剰の大きいシナリオの</w:t>
      </w:r>
      <w:r>
        <w:t xml:space="preserve"> </w:t>
      </w:r>
      <m:oMath>
        <m:sSup>
          <m:e>
            <m:r>
              <m:t>θ</m:t>
            </m:r>
          </m:e>
          <m:sup>
            <m:r>
              <m:rPr>
                <m:sty m:val="p"/>
              </m:rPr>
              <m:t>*</m:t>
            </m:r>
          </m:sup>
        </m:sSup>
      </m:oMath>
      <w:r>
        <w:t xml:space="preserve"> </w:t>
      </w:r>
      <w:r>
        <w:rPr>
          <w:rFonts w:hint="eastAsia"/>
        </w:rPr>
        <w:t xml:space="preserve">は、参入に有利な側に偏っている可能性がある。この偏りがあれば、</w:t>
      </w:r>
      <m:oMath>
        <m:sSup>
          <m:e>
            <m:r>
              <m:t>θ</m:t>
            </m:r>
          </m:e>
          <m:sup>
            <m:r>
              <m:rPr>
                <m:sty m:val="p"/>
              </m:rPr>
              <m:t>*</m:t>
            </m:r>
          </m:sup>
        </m:sSup>
      </m:oMath>
      <w:r>
        <w:t xml:space="preserve"> </w:t>
      </w:r>
      <w:r>
        <w:rPr>
          <w:rFonts w:hint="eastAsia"/>
        </w:rPr>
        <w:t xml:space="preserve">の低下の幅は過大に出ているが、負の価格だけでは参入が開かないという結論はむしろ強まる。</w:t>
      </w:r>
    </w:p>
    <w:bookmarkEnd w:id="280"/>
    <w:bookmarkStart w:id="281" w:name="小括-4"/>
    <w:p>
      <w:pPr>
        <w:pStyle w:val="Heading2"/>
      </w:pPr>
      <w:r>
        <w:t xml:space="preserve">9.7　</w:t>
      </w:r>
      <w:r>
        <w:rPr>
          <w:rFonts w:hint="eastAsia"/>
        </w:rPr>
        <w:t xml:space="preserve">小括</w:t>
      </w:r>
    </w:p>
    <w:p>
      <w:pPr>
        <w:pStyle w:val="FirstParagraph"/>
      </w:pPr>
      <w:r>
        <w:rPr>
          <w:rFonts w:hint="eastAsia"/>
        </w:rPr>
        <w:t xml:space="preserve">本章の主要な結果は次の5点である。</w:t>
      </w:r>
    </w:p>
    <w:p>
      <w:pPr>
        <w:pStyle w:val="Compact"/>
        <w:numPr>
          <w:ilvl w:val="0"/>
          <w:numId w:val="1006"/>
        </w:numPr>
      </w:pPr>
      <w:r>
        <w:rPr>
          <w:rFonts w:hint="eastAsia"/>
        </w:rPr>
        <w:t xml:space="preserve">下限価格0.01円/kWh</w:t>
      </w:r>
      <w:r>
        <w:t xml:space="preserve"> </w:t>
      </w:r>
      <w:r>
        <w:rPr>
          <w:rFonts w:hint="eastAsia"/>
        </w:rPr>
        <w:t xml:space="preserve">の下で、充電する蓄電池は行使価格0.01円のプットを売っている形になる。下限価格は裁定価値を削り、下限より下にあるはずの余剰の価値を無補償の出力制御という数量に置き換えて、スポット価格から隠す。</w:t>
      </w:r>
    </w:p>
    <w:p>
      <w:pPr>
        <w:pStyle w:val="Compact"/>
        <w:numPr>
          <w:ilvl w:val="0"/>
          <w:numId w:val="1006"/>
        </w:numPr>
      </w:pPr>
      <w:r>
        <w:rPr>
          <w:rFonts w:hint="eastAsia"/>
        </w:rPr>
        <w:t xml:space="preserve">負の価格の導入はこのプットの行使価格を下げることにあたり、効果は深さと下限張り付き時間とともに大きくなる。現在の余剰の量では効果は小さいが、泊と風力2倍・−10円の局面では、参入に必要な価格水準を27%（下端の置き方・仕様により19〜36%）下げる。</w:t>
      </w:r>
    </w:p>
    <w:p>
      <w:pPr>
        <w:pStyle w:val="Compact"/>
        <w:numPr>
          <w:ilvl w:val="0"/>
          <w:numId w:val="1006"/>
        </w:numPr>
      </w:pPr>
      <w:r>
        <w:rPr>
          <w:rFonts w:hint="eastAsia"/>
        </w:rPr>
        <w:t xml:space="preserve">現行の資本費と容量収入の下では、どのシナリオでも、また仕様と余剰の量の置き方を変えても</w:t>
      </w:r>
      <w:r>
        <w:t xml:space="preserve"> </w:t>
      </w:r>
      <m:oMath>
        <m:sSup>
          <m:e>
            <m:r>
              <m:t>θ</m:t>
            </m:r>
          </m:e>
          <m:sup>
            <m:r>
              <m:rPr>
                <m:sty m:val="p"/>
              </m:rPr>
              <m:t>*</m:t>
            </m:r>
          </m:sup>
        </m:sSup>
      </m:oMath>
      <w:r>
        <w:t xml:space="preserve"> </w:t>
      </w:r>
      <w:r>
        <w:rPr>
          <w:rFonts w:hint="eastAsia"/>
        </w:rPr>
        <w:t xml:space="preserve">は1を超え、負の価格だけではマーチャントの参入は開かない。負の価格は、資本費・容量収入と並ぶ第三の政策レバーである。</w:t>
      </w:r>
    </w:p>
    <w:p>
      <w:pPr>
        <w:pStyle w:val="Compact"/>
        <w:numPr>
          <w:ilvl w:val="0"/>
          <w:numId w:val="1006"/>
        </w:numPr>
      </w:pPr>
      <w:r>
        <w:rPr>
          <w:rFonts w:hint="eastAsia"/>
        </w:rPr>
        <w:t xml:space="preserve">再エネ側からの移転額は、抑制の増加とともに比が下がっているものの、抑制の影の価格の価値を大きく上回る。負の価格には、FIP</w:t>
      </w:r>
      <w:r>
        <w:t xml:space="preserve"> </w:t>
      </w:r>
      <w:r>
        <w:rPr>
          <w:rFonts w:hint="eastAsia"/>
        </w:rPr>
        <w:t xml:space="preserve">のプレミアムの停止規則や</w:t>
      </w:r>
      <w:r>
        <w:t xml:space="preserve"> FIT </w:t>
      </w:r>
      <w:r>
        <w:rPr>
          <w:rFonts w:hint="eastAsia"/>
        </w:rPr>
        <w:t xml:space="preserve">電源の扱いと一体の設計が要る。</w:t>
      </w:r>
    </w:p>
    <w:p>
      <w:pPr>
        <w:pStyle w:val="Compact"/>
        <w:numPr>
          <w:ilvl w:val="0"/>
          <w:numId w:val="1006"/>
        </w:numPr>
      </w:pPr>
      <w:r>
        <w:rPr>
          <w:rFonts w:hint="eastAsia"/>
        </w:rPr>
        <w:t xml:space="preserve">負の価格の利点は、余剰の配分を行政による数量割当から価格の発見に移し、吸収の価値を公表される価格として示す透明性にある。ただし負の価格はエリア全体の余剰しか映さず、ローカル系統の混雑による抑制はゾーン価格に現れない。</w:t>
      </w:r>
    </w:p>
    <w:p>
      <w:pPr>
        <w:pStyle w:val="FirstParagraph"/>
      </w:pPr>
      <w:r>
        <w:rPr>
          <w:rFonts w:hint="eastAsia"/>
        </w:rPr>
        <w:t xml:space="preserve">仮説6は支持される。下限価格は充電脚のプットの売りとして裁定価値を削り、負の価格の効果は余剰の量に依存して、現在の余剰ではマーチャントの参入を単独で開かない。</w:t>
      </w:r>
    </w:p>
    <w:p>
      <w:pPr>
        <w:pStyle w:val="BodyText"/>
      </w:pPr>
      <w:r>
        <w:t xml:space="preserve">RQ6 </w:t>
      </w:r>
      <w:r>
        <w:rPr>
          <w:rFonts w:hint="eastAsia"/>
        </w:rPr>
        <w:t xml:space="preserve">への答えは次のとおりである。下限価格は充電脚のプットの売りとして蓄電池の裁定価値を削り、余剰の価値を市場から隠しているが、負の価格が裁定価値と参入条件を動かす幅は将来の余剰の大きさで決まり、現在の余剰の量と現行の費用の下ではマーチャントの参入を単独で開くには足りない。次章では、第5章から本章までの結果を統合し、先行研究との関係、機構、外的妥当性と限界を考察する。</w:t>
      </w:r>
    </w:p>
    <w:bookmarkEnd w:id="281"/>
    <w:bookmarkEnd w:id="282"/>
    <w:bookmarkStart w:id="295" w:name="第10章-考察"/>
    <w:p>
      <w:pPr>
        <w:pStyle w:val="Heading1"/>
        <w:pageBreakBefore/>
      </w:pPr>
      <w:r>
        <w:rPr>
          <w:rFonts w:hint="eastAsia"/>
        </w:rPr>
        <w:t xml:space="preserve">第10章</w:t>
      </w:r>
      <w:r>
        <w:t xml:space="preserve">　</w:t>
      </w:r>
      <w:r>
        <w:rPr>
          <w:rFonts w:hint="eastAsia"/>
        </w:rPr>
        <w:t xml:space="preserve">考察</w:t>
      </w:r>
    </w:p>
    <w:p>
      <w:pPr>
        <w:pStyle w:val="FirstParagraph"/>
      </w:pPr>
      <w:r>
        <w:rPr>
          <w:rFonts w:hint="eastAsia"/>
        </w:rPr>
        <w:t xml:space="preserve">本章は、第5章から第9章の結果を統合し、主RQ</w:t>
      </w:r>
      <w:r>
        <w:t xml:space="preserve"> </w:t>
      </w:r>
      <w:r>
        <w:rPr>
          <w:rFonts w:hint="eastAsia"/>
        </w:rPr>
        <w:t xml:space="preserve">に対する本研究の答えをファイナンスの概念で解釈する。分析の各章は</w:t>
      </w:r>
      <w:r>
        <w:t xml:space="preserve"> RQ1〜RQ6 </w:t>
      </w:r>
      <w:r>
        <w:rPr>
          <w:rFonts w:hint="eastAsia"/>
        </w:rPr>
        <w:t xml:space="preserve">に個別に答えたが、その結果は、価格形成から蓄電池の価値、自由参入均衡、均衡からの乖離、制度の反実仮想へと積み重なる一つの議論をなす。10.1節でこの議論を五つの論点に整理し、10.2節で主要な先行研究と対比し、10.3節で結果を生む機構を検討する。10.4節で外的妥当性を、10.5節で分析の限界と主要な前提の影響を論じ、10.6節で本研究の結論を覆しうる反証条件を示す。</w:t>
      </w:r>
    </w:p>
    <w:bookmarkStart w:id="283" w:name="結果の統合的解釈"/>
    <w:p>
      <w:pPr>
        <w:pStyle w:val="Heading2"/>
      </w:pPr>
      <w:r>
        <w:t xml:space="preserve">10.1　</w:t>
      </w:r>
      <w:r>
        <w:rPr>
          <w:rFonts w:hint="eastAsia"/>
        </w:rPr>
        <w:t xml:space="preserve">結果の統合的解釈</w:t>
      </w:r>
    </w:p>
    <w:p>
      <w:pPr>
        <w:pStyle w:val="FirstParagraph"/>
      </w:pPr>
      <w:r>
        <w:rPr>
          <w:rFonts w:hint="eastAsia"/>
        </w:rPr>
        <w:t xml:space="preserve">第一に、「再エネの増加は価格のボラティリティを高める」という通説は、電源の種類と時間スケールによって分岐する。24時間の価格カーブを受渡時刻の並ぶ短い期間構造とみなし、金利の期間構造（Litterman</w:t>
      </w:r>
      <w:r>
        <w:t xml:space="preserve"> &amp; Scheinkman, </w:t>
      </w:r>
      <w:r>
        <w:rPr>
          <w:rFonts w:hint="eastAsia"/>
        </w:rPr>
        <w:t xml:space="preserve">1991）と同じく主成分に分けると、太陽光は水準と形状の両方の因子に負荷し、不需要期を中心に昼と夕方の価格差を広げる。風力は主に水準の因子に負荷し、一日の価格をほぼ一様に押し下げ（5.7節）、日内スプレッド（TB4h）を広げるという頑健な証拠はない（5.3節）。ただし不需要期を暦月の春と秋に分けると、FY2023〜25</w:t>
      </w:r>
      <w:r>
        <w:t xml:space="preserve"> </w:t>
      </w:r>
      <w:r>
        <w:rPr>
          <w:rFonts w:hint="eastAsia"/>
        </w:rPr>
        <w:t xml:space="preserve">の春には境界的な正の係数がある。日々の価格の散らばりに限れば、風力も太陽光も季節によっては価格を安定させる（5.8節）。なお、Navia</w:t>
      </w:r>
      <w:r>
        <w:t xml:space="preserve"> Simon and Diaz </w:t>
      </w:r>
      <w:r>
        <w:rPr>
          <w:rFonts w:hint="eastAsia"/>
        </w:rPr>
        <w:t xml:space="preserve">Anadon（2025）は、再エネが電力価格の燃料価格への感応度を下げることを「保険価値」と呼んだ。これは数年規模の構造を対象とする別の量であり、本研究の日々の散らばりの結果を直接に裏づけるものではないが、再エネが価格を安定させる側に働く経路があることを示す参考になる。</w:t>
      </w:r>
    </w:p>
    <w:p>
      <w:pPr>
        <w:pStyle w:val="BodyText"/>
      </w:pPr>
      <w:r>
        <w:rPr>
          <w:rFonts w:hint="eastAsia"/>
        </w:rPr>
        <w:t xml:space="preserve">第二に、蓄電池のスポット価値を決めるのは、ボラティリティ一般ではなく価格カーブの日内の形状である。4時間蓄電池は日次の交換オプションの束とみなせ（Deng</w:t>
      </w:r>
      <w:r>
        <w:t xml:space="preserve"> et al., 2001; Margrabe, </w:t>
      </w:r>
      <w:r>
        <w:rPr>
          <w:rFonts w:hint="eastAsia"/>
        </w:rPr>
        <w:t xml:space="preserve">1978）、その事後のペイオフである完全予見粗利の8割強は、前日に気候値で窓を固定する本源的方策の価値である（6.6節）。このペイオフを価格カーブの因子に回帰すると、FY2023〜25</w:t>
      </w:r>
      <w:r>
        <w:t xml:space="preserve"> </w:t>
      </w:r>
      <w:r>
        <w:rPr>
          <w:rFonts w:hint="eastAsia"/>
        </w:rPr>
        <w:t xml:space="preserve">の構造では水準へのエクスポージャーはほぼゼロで、昼と夕方の差へのエクスポージャーが大きい（6.4.2項）。債券のファクター・デュレーションに倣っていえば、現行の構造の蓄電池は、平均でみて価格カーブの形状に対するロング・ポジションである。風力は主に水準の因子に負荷するので、実績価格の上で風力が作る価格変動を大きくしても、日内の形状成分を動かす場合と違って、年間の完全予見粗利はほとんど動かない。再エネの増加がボラティリティを通じて蓄電池の価値を高めるという連鎖は、風力については現行の構造では弱い。</w:t>
      </w:r>
    </w:p>
    <w:p>
      <w:pPr>
        <w:pStyle w:val="BodyText"/>
      </w:pPr>
      <w:r>
        <w:rPr>
          <w:rFonts w:hint="eastAsia"/>
        </w:rPr>
        <w:t xml:space="preserve">第三に、価値の転換点を作るのは風力ではなく、蓄電池自身の競合である。限界参入者の実現可能収益</w:t>
      </w:r>
      <w:r>
        <w:t xml:space="preserve"> </w:t>
      </w:r>
      <m:oMath>
        <m:r>
          <m:t>π</m:t>
        </m:r>
        <m:r>
          <m:rPr>
            <m:sty m:val="p"/>
          </m:rPr>
          <m:t>(</m:t>
        </m:r>
        <m:r>
          <m:t>K</m:t>
        </m:r>
        <m:r>
          <m:rPr>
            <m:sty m:val="p"/>
          </m:rPr>
          <m:t>)</m:t>
        </m:r>
      </m:oMath>
      <w:r>
        <w:t xml:space="preserve"> </w:t>
      </w:r>
      <w:r>
        <w:rPr>
          <w:rFonts w:hint="eastAsia"/>
        </w:rPr>
        <w:t xml:space="preserve">は、フリートの拡大に対して速く減衰する（7.4節）。裁定のポジションが自らの価格インパクトで裁定の機会を消していく、蓄電池のカニバリゼーション（共食い）である。限界参入者のゼロレント条件で判定すると、現行の資本費と価格構造の下で、スポット裁定と容量収入だけに依存するマーチャントの均衡容量は</w:t>
      </w:r>
      <w:r>
        <w:t xml:space="preserve"> </w:t>
      </w:r>
      <m:oMath>
        <m:sSup>
          <m:e>
            <m:r>
              <m:t>K</m:t>
            </m:r>
          </m:e>
          <m:sup>
            <m:r>
              <m:rPr>
                <m:sty m:val="p"/>
              </m:rPr>
              <m:t>*</m:t>
            </m:r>
          </m:sup>
        </m:sSup>
        <m:r>
          <m:rPr>
            <m:sty m:val="p"/>
          </m:rPr>
          <m:t>=</m:t>
        </m:r>
        <m:r>
          <m:t>0</m:t>
        </m:r>
      </m:oMath>
      <w:r>
        <w:t xml:space="preserve"> </w:t>
      </w:r>
      <w:r>
        <w:rPr>
          <w:rFonts w:hint="eastAsia"/>
        </w:rPr>
        <w:t xml:space="preserve">である（7.5節）。需給調整市場のレントは0と置いたが、蓄電池どうしの競争の下では、このレントが支えうる容量は調達量の程度にとどまる（7.6節）。</w:t>
      </w:r>
      <m:oMath>
        <m:r>
          <m:t>K</m:t>
        </m:r>
        <m:r>
          <m:rPr>
            <m:sty m:val="p"/>
          </m:rPr>
          <m:t>=</m:t>
        </m:r>
        <m:r>
          <m:t>0</m:t>
        </m:r>
      </m:oMath>
      <w:r>
        <w:t xml:space="preserve"> </w:t>
      </w:r>
      <w:r>
        <w:rPr>
          <w:rFonts w:hint="eastAsia"/>
        </w:rPr>
        <w:t xml:space="preserve">で参入が開く価格水準係数</w:t>
      </w:r>
      <w:r>
        <w:t xml:space="preserve"> </w:t>
      </w:r>
      <m:oMath>
        <m:sSup>
          <m:e>
            <m:r>
              <m:t>θ</m:t>
            </m:r>
          </m:e>
          <m:sup>
            <m:r>
              <m:rPr>
                <m:sty m:val="p"/>
              </m:rPr>
              <m:t>*</m:t>
            </m:r>
          </m:sup>
        </m:sSup>
      </m:oMath>
      <w:r>
        <w:t xml:space="preserve"> </w:t>
      </w:r>
      <w:r>
        <w:rPr>
          <w:rFonts w:hint="eastAsia"/>
        </w:rPr>
        <w:t xml:space="preserve">は、参入に必要な収入から逆算した含意の価格水準であり、reverse</w:t>
      </w:r>
      <w:r>
        <w:t xml:space="preserve"> DCF </w:t>
      </w:r>
      <w:r>
        <w:rPr>
          <w:rFonts w:hint="eastAsia"/>
        </w:rPr>
        <w:t xml:space="preserve">と同じ考え方に立つ。その値は、収益の基準の置き方によって</w:t>
      </w:r>
      <w:r>
        <w:t xml:space="preserve"> FY2023〜25 </w:t>
      </w:r>
      <w:r>
        <w:rPr>
          <w:rFonts w:hint="eastAsia"/>
        </w:rPr>
        <w:t xml:space="preserve">の2倍強から約3倍にあたり、FY2022</w:t>
      </w:r>
      <w:r>
        <w:t xml:space="preserve"> </w:t>
      </w:r>
      <w:r>
        <w:rPr>
          <w:rFonts w:hint="eastAsia"/>
        </w:rPr>
        <w:t xml:space="preserve">の水準も</w:t>
      </w:r>
      <w:r>
        <w:t xml:space="preserve"> </w:t>
      </w:r>
      <w:r>
        <w:rPr>
          <w:rFonts w:hint="eastAsia"/>
        </w:rPr>
        <w:t xml:space="preserve">FY2026上期の水準も上回る。FY2022</w:t>
      </w:r>
      <w:r>
        <w:t xml:space="preserve"> </w:t>
      </w:r>
      <w:r>
        <w:rPr>
          <w:rFonts w:hint="eastAsia"/>
        </w:rPr>
        <w:t xml:space="preserve">の実績価格そのものでも、得られる収益は参入に必要なスポット収益の82〜99%にとどまる（7.5節・8.6節）。この判定は、実効容量収入が1.25万円/kW-年にとどまる限り割引率の選び方によらず（8.7.1項）、待機の価値を考慮するとより強く成り立つ（7.8節）。</w:t>
      </w:r>
    </w:p>
    <w:p>
      <w:pPr>
        <w:pStyle w:val="BodyText"/>
      </w:pPr>
      <w:r>
        <w:rPr>
          <w:rFonts w:hint="eastAsia"/>
        </w:rPr>
        <w:t xml:space="preserve">第四に、それでも参入が続く理由の一つは、収入の契約形態を変える制度にある。LTDA</w:t>
      </w:r>
      <w:r>
        <w:t xml:space="preserve"> </w:t>
      </w:r>
      <w:r>
        <w:rPr>
          <w:rFonts w:hint="eastAsia"/>
        </w:rPr>
        <w:t xml:space="preserve">は、他市場収益の約9割と容量市場への参加を原則20年の固定収入と交換するレベニュースワップであり（8.3.2項）、同じ6時間蓄電池の事業</w:t>
      </w:r>
      <w:r>
        <w:t xml:space="preserve"> IRR は、LTDA </w:t>
      </w:r>
      <w:r>
        <w:rPr>
          <w:rFonts w:hint="eastAsia"/>
        </w:rPr>
        <w:t xml:space="preserve">の上限価格では正、マーチャントでは負になる（8.7.1項）。IRR</w:t>
      </w:r>
      <w:r>
        <w:t xml:space="preserve"> </w:t>
      </w:r>
      <w:r>
        <w:rPr>
          <w:rFonts w:hint="eastAsia"/>
        </w:rPr>
        <w:t xml:space="preserve">の符号を分けているのは収入の契約形態であるが、その差は主にリスクの移転ではなく期待値の移転から生じる。LTDA</w:t>
      </w:r>
      <w:r>
        <w:t xml:space="preserve"> </w:t>
      </w:r>
      <w:r>
        <w:rPr>
          <w:rFonts w:hint="eastAsia"/>
        </w:rPr>
        <w:t xml:space="preserve">はマーチャントの年間市場収入の多因子</w:t>
      </w:r>
      <w:r>
        <w:t xml:space="preserve"> </w:t>
      </w:r>
      <w:r>
        <w:rPr>
          <w:rFonts w:hint="eastAsia"/>
        </w:rPr>
        <w:t xml:space="preserve">Cash-Flow-at-Risk（CFaR;</w:t>
      </w:r>
      <w:r>
        <w:t xml:space="preserve"> Andrén et al., </w:t>
      </w:r>
      <w:r>
        <w:rPr>
          <w:rFonts w:hint="eastAsia"/>
        </w:rPr>
        <w:t xml:space="preserve">2005）の大半を移転するが、スワップの価値のうちリスク移転にあたるのは約1割にすぎない（8.7節）。CFaR</w:t>
      </w:r>
      <w:r>
        <w:t xml:space="preserve"> </w:t>
      </w:r>
      <w:r>
        <w:rPr>
          <w:rFonts w:hint="eastAsia"/>
        </w:rPr>
        <w:t xml:space="preserve">への寄与が大きい容量価格と他者の参入には上場商品がなく、マーチャントの蓄電池は長期のリスクについて非完備な市場に直面している。LTDA</w:t>
      </w:r>
      <w:r>
        <w:t xml:space="preserve"> </w:t>
      </w:r>
      <w:r>
        <w:rPr>
          <w:rFonts w:hint="eastAsia"/>
        </w:rPr>
        <w:t xml:space="preserve">はそれを制度で補っていると読めるが、</w:t>
      </w:r>
      <m:oMath>
        <m:sSup>
          <m:e>
            <m:r>
              <m:t>K</m:t>
            </m:r>
          </m:e>
          <m:sup>
            <m:r>
              <m:rPr>
                <m:sty m:val="p"/>
              </m:rPr>
              <m:t>*</m:t>
            </m:r>
          </m:sup>
        </m:sSup>
        <m:r>
          <m:rPr>
            <m:sty m:val="p"/>
          </m:rPr>
          <m:t>=</m:t>
        </m:r>
        <m:r>
          <m:t>0</m:t>
        </m:r>
      </m:oMath>
      <w:r>
        <w:t xml:space="preserve"> </w:t>
      </w:r>
      <w:r>
        <w:rPr>
          <w:rFonts w:hint="eastAsia"/>
        </w:rPr>
        <w:t xml:space="preserve">は期待値で決まっているので、ヘッジの市場が完備になっても覆らない（8.7.6項）。</w:t>
      </w:r>
    </w:p>
    <w:p>
      <w:pPr>
        <w:pStyle w:val="BodyText"/>
      </w:pPr>
      <w:r>
        <w:rPr>
          <w:rFonts w:hint="eastAsia"/>
        </w:rPr>
        <w:t xml:space="preserve">第五に、下限価格は余剰の価値を市場から隠す制度であり（第9章）、充電する蓄電池からみると行使価格0.01円/kWh</w:t>
      </w:r>
      <w:r>
        <w:t xml:space="preserve"> </w:t>
      </w:r>
      <w:r>
        <w:rPr>
          <w:rFonts w:hint="eastAsia"/>
        </w:rPr>
        <w:t xml:space="preserve">のプットの売りにあたって裁定価値を削る（10.3.2項）。負の価格の導入は余剰の量に比例して裁定価値を高めるが、現状の余剰では効果は小さく、泊3号機の再稼働と風力の倍増が重なる局面でも、それだけではマーチャントの参入は開かない。一方で、再エネ側からの移転額は出力制御の価値を大きく上回る（9.3節・9.4節）。</w:t>
      </w:r>
    </w:p>
    <w:p>
      <w:pPr>
        <w:pStyle w:val="BodyText"/>
      </w:pPr>
      <w:r>
        <w:rPr>
          <w:rFonts w:hint="eastAsia"/>
        </w:rPr>
        <w:t xml:space="preserve">五つの論点をつなぐと、主RQ</w:t>
      </w:r>
      <w:r>
        <w:t xml:space="preserve"> </w:t>
      </w:r>
      <w:r>
        <w:rPr>
          <w:rFonts w:hint="eastAsia"/>
        </w:rPr>
        <w:t xml:space="preserve">への答えは次のようになる。北海道の市場構造と制度を所与とすれば、スポット裁定と容量収入だけに依存するマーチャントの均衡容量</w:t>
      </w:r>
      <w:r>
        <w:t xml:space="preserve"> </w:t>
      </w:r>
      <m:oMath>
        <m:sSup>
          <m:e>
            <m:r>
              <m:t>K</m:t>
            </m:r>
          </m:e>
          <m:sup>
            <m:r>
              <m:rPr>
                <m:sty m:val="p"/>
              </m:rPr>
              <m:t>*</m:t>
            </m:r>
          </m:sup>
        </m:sSup>
      </m:oMath>
      <w:r>
        <w:t xml:space="preserve"> </w:t>
      </w:r>
      <w:r>
        <w:rPr>
          <w:rFonts w:hint="eastAsia"/>
        </w:rPr>
        <w:t xml:space="preserve">はゼロである。価格カーブの形状が決める</w:t>
      </w:r>
      <w:r>
        <w:t xml:space="preserve"> </w:t>
      </w:r>
      <m:oMath>
        <m:r>
          <m:t>K</m:t>
        </m:r>
        <m:r>
          <m:rPr>
            <m:sty m:val="p"/>
          </m:rPr>
          <m:t>=</m:t>
        </m:r>
        <m:r>
          <m:t>0</m:t>
        </m:r>
      </m:oMath>
      <w:r>
        <w:t xml:space="preserve"> </w:t>
      </w:r>
      <w:r>
        <w:rPr>
          <w:rFonts w:hint="eastAsia"/>
        </w:rPr>
        <w:t xml:space="preserve">の収益が資本費を賄えず、風力の増加も下限価格の見直しもそれを覆すほどには収益を動かさないからであり、参入が開く局面でも、共食いによって限界参入者の収益は速く減衰する。現実の参入はこの均衡を大きく超えているが、市場外収入で説明できると確かめられるのは</w:t>
      </w:r>
      <w:r>
        <w:t xml:space="preserve"> LTDA </w:t>
      </w:r>
      <w:r>
        <w:rPr>
          <w:rFonts w:hint="eastAsia"/>
        </w:rPr>
        <w:t xml:space="preserve">の落札分（容量の2〜3割）にとどまり、属性の特定できない6〜7割は、マーチャントとして建設されるなら計測していない成分に依存する（8.2節、10.3.3項）。</w:t>
      </w:r>
    </w:p>
    <w:bookmarkEnd w:id="283"/>
    <w:bookmarkStart w:id="287" w:name="先行研究との対話"/>
    <w:p>
      <w:pPr>
        <w:pStyle w:val="Heading2"/>
      </w:pPr>
      <w:r>
        <w:t xml:space="preserve">10.2　</w:t>
      </w:r>
      <w:r>
        <w:rPr>
          <w:rFonts w:hint="eastAsia"/>
        </w:rPr>
        <w:t xml:space="preserve">先行研究との対話</w:t>
      </w:r>
    </w:p>
    <w:bookmarkStart w:id="284" w:name="日内の価格変動の指標と時間スケール"/>
    <w:p>
      <w:pPr>
        <w:pStyle w:val="Heading3"/>
      </w:pPr>
      <w:r>
        <w:t xml:space="preserve">10.2.1　</w:t>
      </w:r>
      <w:r>
        <w:rPr>
          <w:rFonts w:hint="eastAsia"/>
        </w:rPr>
        <w:t xml:space="preserve">日内の価格変動の指標と時間スケール</w:t>
      </w:r>
    </w:p>
    <w:p>
      <w:pPr>
        <w:pStyle w:val="FirstParagraph"/>
      </w:pPr>
      <w:r>
        <w:t xml:space="preserve">Fuke and </w:t>
      </w:r>
      <w:r>
        <w:rPr>
          <w:rFonts w:hint="eastAsia"/>
        </w:rPr>
        <w:t xml:space="preserve">Ohashi（2025）は、九州の太陽光について、昼間の平均価格の条件付き分位点幅（IQR）で測った変動性が春と夏に低下することを示した。本研究は同じ九州で、太陽光が日内スプレッド（TB4h）を冬と不需要期に広げることを示しており、両者は一見矛盾する。しかし彼らの</w:t>
      </w:r>
      <w:r>
        <w:t xml:space="preserve"> IQR </w:t>
      </w:r>
      <w:r>
        <w:rPr>
          <w:rFonts w:hint="eastAsia"/>
        </w:rPr>
        <w:t xml:space="preserve">は昼間の平均価格の日々の散らばり（多日変動）を測り、TB4h</w:t>
      </w:r>
      <w:r>
        <w:t xml:space="preserve"> </w:t>
      </w:r>
      <w:r>
        <w:rPr>
          <w:rFonts w:hint="eastAsia"/>
        </w:rPr>
        <w:t xml:space="preserve">は日内の形状を測るので、太陽光が昼間の平均価格を日々安定させながら、同時に昼と夕方の差を開くことに矛盾はない。実際に、彼らの仕様を再現したうえで被説明変数を</w:t>
      </w:r>
      <w:r>
        <w:t xml:space="preserve"> TB4h </w:t>
      </w:r>
      <w:r>
        <w:rPr>
          <w:rFonts w:hint="eastAsia"/>
        </w:rPr>
        <w:t xml:space="preserve">に替えると、同じ標本で係数の符号が変わる（5.8節）。蓄電池の裁定の原資は日内の形状で決まるので、蓄電池の分析には本研究の指標が適する。彼らが今後の課題に挙げた時間値データによる日内変動の分析は、本研究が取り組んだ部分にあたる。</w:t>
      </w:r>
    </w:p>
    <w:bookmarkEnd w:id="284"/>
    <w:bookmarkStart w:id="285" w:name="構造型価格モデルと供給曲線の両端"/>
    <w:p>
      <w:pPr>
        <w:pStyle w:val="Heading3"/>
      </w:pPr>
      <w:r>
        <w:t xml:space="preserve">10.2.2　</w:t>
      </w:r>
      <w:r>
        <w:rPr>
          <w:rFonts w:hint="eastAsia"/>
        </w:rPr>
        <w:t xml:space="preserve">構造型価格モデルと供給曲線の両端</w:t>
      </w:r>
    </w:p>
    <w:p>
      <w:pPr>
        <w:pStyle w:val="FirstParagraph"/>
      </w:pPr>
      <w:r>
        <w:t xml:space="preserve">Kanamura and </w:t>
      </w:r>
      <w:r>
        <w:rPr>
          <w:rFonts w:hint="eastAsia"/>
        </w:rPr>
        <w:t xml:space="preserve">Ohashi（2007）は、構造型の電力価格モデルを揚水発電の最適な運用方策の導出に用いており、貯蔵の運用を構造型の価格モデルの上で評価した点で、第7章の先行例である。同論文のホッケースティック型の供給曲線は、需要が供給力に近づくと価格が急騰する上端の急勾配でスパイクを表す（Weron,</w:t>
      </w:r>
      <w:r>
        <w:t xml:space="preserve"> </w:t>
      </w:r>
      <w:r>
        <w:rPr>
          <w:rFonts w:hint="eastAsia"/>
        </w:rPr>
        <w:t xml:space="preserve">2014）。これに対し本研究の結果は、蓄電池の裁定価値には供給曲線の両端が効くことを示す。放電脚は上端の側に、充電脚は下端の側にある。北海道の不需要期の下端は中位の約2倍の傾きをもち、価格過程の上では、純需要がこの範囲に入ると安い時間ほど大きく下がって充電脚の価値が上がる。この下端の急勾配はホッケースティックの鏡像にあたり、その終点に0.01円/kWh</w:t>
      </w:r>
      <w:r>
        <w:t xml:space="preserve"> </w:t>
      </w:r>
      <w:r>
        <w:rPr>
          <w:rFonts w:hint="eastAsia"/>
        </w:rPr>
        <w:t xml:space="preserve">の下限価格がある。ただしこれはモデル上の機構であり、標本内の回帰では確かめられない（7.7節）。</w:t>
      </w:r>
    </w:p>
    <w:bookmarkEnd w:id="285"/>
    <w:bookmarkStart w:id="286" w:name="蓄電池の価値の減衰と参入"/>
    <w:p>
      <w:pPr>
        <w:pStyle w:val="Heading3"/>
      </w:pPr>
      <w:r>
        <w:t xml:space="preserve">10.2.3　</w:t>
      </w:r>
      <w:r>
        <w:rPr>
          <w:rFonts w:hint="eastAsia"/>
        </w:rPr>
        <w:t xml:space="preserve">蓄電池の価値の減衰と参入</w:t>
      </w:r>
    </w:p>
    <w:p>
      <w:pPr>
        <w:pStyle w:val="FirstParagraph"/>
      </w:pPr>
      <w:r>
        <w:t xml:space="preserve">Butters et </w:t>
      </w:r>
      <w:r>
        <w:rPr>
          <w:rFonts w:hint="eastAsia"/>
        </w:rPr>
        <w:t xml:space="preserve">al.（2025）と比べると、本研究の戦略</w:t>
      </w:r>
      <w:r>
        <w:t xml:space="preserve"> c </w:t>
      </w:r>
      <w:r>
        <w:rPr>
          <w:rFonts w:hint="eastAsia"/>
        </w:rPr>
        <w:t xml:space="preserve">の実現率（FY2023〜25</w:t>
      </w:r>
      <w:r>
        <w:t xml:space="preserve"> </w:t>
      </w:r>
      <w:r>
        <w:rPr>
          <w:rFonts w:hint="eastAsia"/>
        </w:rPr>
        <w:t xml:space="preserve">の年度別で80.6〜82.6%）は、彼らの実行可能戦略が達成する完全予見の約7割より1割ほど高いが、同じ水準帯にある。彼らはカリフォルニア州の電力市場（CAISO）の5分値を扱い、本研究は前日スポットの60分値で1日1サイクルに限るので、上界とする完全予見そのものが異なる。蓄電池の単位価値が導入量とともに下がるという彼らの結果は、本研究の</w:t>
      </w:r>
      <w:r>
        <w:t xml:space="preserve"> </w:t>
      </w:r>
      <m:oMath>
        <m:r>
          <m:t>π</m:t>
        </m:r>
        <m:r>
          <m:rPr>
            <m:sty m:val="p"/>
          </m:rPr>
          <m:t>(</m:t>
        </m:r>
        <m:r>
          <m:t>K</m:t>
        </m:r>
        <m:r>
          <m:rPr>
            <m:sty m:val="p"/>
          </m:rPr>
          <m:t>)</m:t>
        </m:r>
      </m:oMath>
      <w:r>
        <w:t xml:space="preserve"> </w:t>
      </w:r>
      <w:r>
        <w:rPr>
          <w:rFonts w:hint="eastAsia"/>
        </w:rPr>
        <w:t xml:space="preserve">の減衰と方向として矛盾しない。ただし指標も市場の規模も異なるので、減衰の速度は直接には比べられない。</w:t>
      </w:r>
    </w:p>
    <w:p>
      <w:pPr>
        <w:pStyle w:val="BodyText"/>
      </w:pPr>
      <w:r>
        <w:rPr>
          <w:rFonts w:hint="eastAsia"/>
        </w:rPr>
        <w:t xml:space="preserve">彼らの設定で仮定によって捨象されていた条件のうち、本研究で一次的に重要であったのは、下限価格、連系線の制約、複数の市場である。下限価格は裁定価値を削る制約として、また余剰の価値を市場から隠す制度として効いた（7.7節、第9章）。連系線の制約は市場分断の構成の変化として（5.5節）、複数の市場は容量市場と</w:t>
      </w:r>
      <w:r>
        <w:t xml:space="preserve"> LTDA </w:t>
      </w:r>
      <w:r>
        <w:rPr>
          <w:rFonts w:hint="eastAsia"/>
        </w:rPr>
        <w:t xml:space="preserve">による乖離として現れた。これに対し、彼らが脚注で示唆した併設蓄電池の抑制回避の価値は小さく、系統用の乖離も説明しない（8.5節）。ただし、彼らが明示した限界のうち、火力の退出と資本費の内生的な低下は本研究でも扱っていない。標本内の変動から高い導入量を外挿するという限界も、気象のパスを保存したまま風力の導入量を動かす価格過程によって、部分的に緩和したにとどまる。</w:t>
      </w:r>
    </w:p>
    <w:p>
      <w:pPr>
        <w:pStyle w:val="BodyText"/>
      </w:pPr>
      <w:r>
        <w:rPr>
          <w:rFonts w:hint="eastAsia"/>
        </w:rPr>
        <w:t xml:space="preserve">テキサス州の電力市場（ERCOT）で蓄電池の年間収益が2年で約6分の1に下がったこと（2.2.1項）も、方向としては</w:t>
      </w:r>
      <w:r>
        <w:t xml:space="preserve"> </w:t>
      </w:r>
      <m:oMath>
        <m:r>
          <m:t>π</m:t>
        </m:r>
        <m:r>
          <m:rPr>
            <m:sty m:val="p"/>
          </m:rPr>
          <m:t>(</m:t>
        </m:r>
        <m:r>
          <m:t>K</m:t>
        </m:r>
        <m:r>
          <m:rPr>
            <m:sty m:val="p"/>
          </m:rPr>
          <m:t>)</m:t>
        </m:r>
      </m:oMath>
      <w:r>
        <w:t xml:space="preserve"> </w:t>
      </w:r>
      <w:r>
        <w:rPr>
          <w:rFonts w:hint="eastAsia"/>
        </w:rPr>
        <w:t xml:space="preserve">の急な減衰と矛盾しないが、アンシラリーサービスの収益の減少を含む総収益の動きであり、減衰の傾きの裏づけにはならない。北海道の契約申込は、限界参入者の収益が負に転じる容量を大きく超えている。これは</w:t>
      </w:r>
      <w:r>
        <w:t xml:space="preserve"> ERCOT </w:t>
      </w:r>
      <w:r>
        <w:rPr>
          <w:rFonts w:hint="eastAsia"/>
        </w:rPr>
        <w:t xml:space="preserve">の後追いではなく、LTDA</w:t>
      </w:r>
      <w:r>
        <w:t xml:space="preserve"> </w:t>
      </w:r>
      <w:r>
        <w:rPr>
          <w:rFonts w:hint="eastAsia"/>
        </w:rPr>
        <w:t xml:space="preserve">と容量市場という日本固有の市場外収入が、共食いの先へ参入の一部を押し出している結果と読める。ただし量で確かめられるのは</w:t>
      </w:r>
      <w:r>
        <w:t xml:space="preserve"> LTDA </w:t>
      </w:r>
      <w:r>
        <w:rPr>
          <w:rFonts w:hint="eastAsia"/>
        </w:rPr>
        <w:t xml:space="preserve">の分である（10.1節）。</w:t>
      </w:r>
    </w:p>
    <w:p>
      <w:pPr>
        <w:pStyle w:val="BodyText"/>
      </w:pPr>
      <w:r>
        <w:rPr>
          <w:rFonts w:hint="eastAsia"/>
        </w:rPr>
        <w:t xml:space="preserve">参入については、彼らが動学的な競争均衡を推定したのに対し、本研究は競争均衡の参入閾値を実物オプションとして解いた（7.8節）。競争の下では待機の価値が消えて静学の</w:t>
      </w:r>
      <w:r>
        <w:t xml:space="preserve"> NPV </w:t>
      </w:r>
      <w:r>
        <w:rPr>
          <w:rFonts w:hint="eastAsia"/>
        </w:rPr>
        <w:t xml:space="preserve">判断に近づく、という読み方は正確でなく、静学のゼロレント条件は動学的な参入閾値の下限にとどまる（7.1.4項）。</w:t>
      </w:r>
    </w:p>
    <w:bookmarkEnd w:id="286"/>
    <w:bookmarkEnd w:id="287"/>
    <w:bookmarkStart w:id="291" w:name="結果を生む機構"/>
    <w:p>
      <w:pPr>
        <w:pStyle w:val="Heading2"/>
      </w:pPr>
      <w:r>
        <w:t xml:space="preserve">10.3　</w:t>
      </w:r>
      <w:r>
        <w:rPr>
          <w:rFonts w:hint="eastAsia"/>
        </w:rPr>
        <w:t xml:space="preserve">結果を生む機構</w:t>
      </w:r>
    </w:p>
    <w:bookmarkStart w:id="288" w:name="風力の時間構造とフリートの集約"/>
    <w:p>
      <w:pPr>
        <w:pStyle w:val="Heading3"/>
      </w:pPr>
      <w:r>
        <w:t xml:space="preserve">10.3.1　</w:t>
      </w:r>
      <w:r>
        <w:rPr>
          <w:rFonts w:hint="eastAsia"/>
        </w:rPr>
        <w:t xml:space="preserve">風力の時間構造とフリートの集約</w:t>
      </w:r>
    </w:p>
    <w:p>
      <w:pPr>
        <w:pStyle w:val="FirstParagraph"/>
      </w:pPr>
      <w:r>
        <w:rPr>
          <w:rFonts w:hint="eastAsia"/>
        </w:rPr>
        <w:t xml:space="preserve">風力が日内の形状を広げる頑健な証拠がない理由として、二つの機構が考えられる。第一に、風力には系統的な日内のサイクルがなく、何時に吹くかは決まっていない。第二に、北海道は広域の単一価格ゾーンであるため、地理的に分散した風力がフリートとして集約され、日内の高周波の変動が相殺された後に価格に効く。価格過程（仕様A）の上の反実仮想（5.6節）では、日内の確率的な変動を文献の相関距離（St.</w:t>
      </w:r>
      <w:r>
        <w:t xml:space="preserve"> Martin et al., </w:t>
      </w:r>
      <w:r>
        <w:rPr>
          <w:rFonts w:hint="eastAsia"/>
        </w:rPr>
        <w:t xml:space="preserve">2015）で校正した中央の値まで増やしても完全予見粗利はわずかしか動かないが、系統的な日周は位相次第で粗利を増やしも減らしもし、分散1単位あたりで一様な増幅よりはるかに大きく効く。中央の校正の範囲では、系統的な日内の位相がないことが本質であり、フリートの集約は補助的な機構である。ただしこの順位は仕様A</w:t>
      </w:r>
      <w:r>
        <w:t xml:space="preserve"> </w:t>
      </w:r>
      <w:r>
        <w:rPr>
          <w:rFonts w:hint="eastAsia"/>
        </w:rPr>
        <w:t xml:space="preserve">の上で比べたもので、仕様A′</w:t>
      </w:r>
      <w:r>
        <w:t xml:space="preserve"> </w:t>
      </w:r>
      <w:r>
        <w:rPr>
          <w:rFonts w:hint="eastAsia"/>
        </w:rPr>
        <w:t xml:space="preserve">の上では確かめていない。また校正の上限まで集中度を上げると風力は日内形状を広げる側に働きうるが、実際のフリート配置から測った集中度は校正の下限から中央に近い。</w:t>
      </w:r>
    </w:p>
    <w:p>
      <w:pPr>
        <w:pStyle w:val="BodyText"/>
      </w:pPr>
      <w:r>
        <w:t xml:space="preserve">Rintamäki et </w:t>
      </w:r>
      <w:r>
        <w:rPr>
          <w:rFonts w:hint="eastAsia"/>
        </w:rPr>
        <w:t xml:space="preserve">al.（2017）がデンマークについて示した、風が終日ほぼ一様に吹くのでピークとオフピークの価格がほぼ等しく下がるという機構は、北海道の第一の機構と一致する。彼らがドイツで観察した、夜間に偏った風力が変動性を上げる機構が北海道で働かないのは、道内の風力に系統的な日内の偏りがないためと解釈できる。この性質は市場と系統の構造の産物であり、洋上風力が道北に集中してサイト間の相関が高まれば弱まりうる。なお、反実仮想は価格ゾーンの構成を動かしていないので、単一価格ゾーンの寄与そのものは識別していない。</w:t>
      </w:r>
    </w:p>
    <w:bookmarkEnd w:id="288"/>
    <w:bookmarkStart w:id="289" w:name="水準の低下と下限価格"/>
    <w:p>
      <w:pPr>
        <w:pStyle w:val="Heading3"/>
      </w:pPr>
      <w:r>
        <w:t xml:space="preserve">10.3.2　</w:t>
      </w:r>
      <w:r>
        <w:rPr>
          <w:rFonts w:hint="eastAsia"/>
        </w:rPr>
        <w:t xml:space="preserve">水準の低下と下限価格</w:t>
      </w:r>
    </w:p>
    <w:p>
      <w:pPr>
        <w:pStyle w:val="FirstParagraph"/>
      </w:pPr>
      <w:r>
        <w:rPr>
          <w:rFonts w:hint="eastAsia"/>
        </w:rPr>
        <w:t xml:space="preserve">風力による価格の引下げは、24時間の形でみると厳密な平行移動ではないが、上位・下位4時間の2点でみると、平均価格に比例した低下とも平行移動とも頑健には区別できない（5.3.2項・5.7.2項）。日次のペイオフは価格について1次同次なので、比例的な低下であればペイオフは同じ割合だけ縮み、平行移動であれば、下限で打ち切らない限り、往復損失を安く買える分だけ粗利がわずかに増える（7.7節）。下限価格の役割は、平行な水準の低下に下限での打ち切りが加わってスプレッドが開く、というものではない。平行に下がる価格が下限で打ち切られると、安い側だけが下がらなくなるので、スプレッドは縮む（表7.4、式(9.3)）。</w:t>
      </w:r>
    </w:p>
    <w:p>
      <w:pPr>
        <w:pStyle w:val="BodyText"/>
      </w:pPr>
      <w:r>
        <w:rPr>
          <w:rFonts w:hint="eastAsia"/>
        </w:rPr>
        <w:t xml:space="preserve">太陽光が昼の純需要を彫って形状の因子からスプレッドを作るのに対し、風力が作るのは主に水準の低下であり、価値への効きは供給曲線の下端の形と往復損失を通じたものにとどまる。風力が蓄電池の価値を動かす経路は、この見方で三段階に整理できる。第一に、現行の水準では風力の効果はほぼ一様であり、価値をほとんど動かさない。第二に、導入量が増えると、純需要の低い時間が供給曲線の下端の急な部分に入り、価格過程の上では安い時間ほど大きく下がる非平行の効果がスプレッドを開く。ただしその大きさは仕様に強く依存し、しかも増える完全予見粗利の大半は気候値では予測できない日々の深い安値から来るので、戦略</w:t>
      </w:r>
      <w:r>
        <w:t xml:space="preserve"> c </w:t>
      </w:r>
      <w:r>
        <w:rPr>
          <w:rFonts w:hint="eastAsia"/>
        </w:rPr>
        <w:t xml:space="preserve">の粗利はほとんど増えない（7.3節）。第三に、下限価格はその落ち込みの終点であり、それ自体は価値を削る（7.7節）。第9章で下限を負の価格に置き換えると</w:t>
      </w:r>
      <w:r>
        <w:t xml:space="preserve"> </w:t>
      </w:r>
      <m:oMath>
        <m:r>
          <m:t>π</m:t>
        </m:r>
        <m:r>
          <m:rPr>
            <m:sty m:val="p"/>
          </m:rPr>
          <m:t>(</m:t>
        </m:r>
        <m:r>
          <m:t>0</m:t>
        </m:r>
        <m:r>
          <m:rPr>
            <m:sty m:val="p"/>
          </m:rPr>
          <m:t>)</m:t>
        </m:r>
      </m:oMath>
      <w:r>
        <w:t xml:space="preserve"> </w:t>
      </w:r>
      <w:r>
        <w:rPr>
          <w:rFonts w:hint="eastAsia"/>
        </w:rPr>
        <w:t xml:space="preserve">が上がるという結果は、同じことの裏返しである。</w:t>
      </w:r>
    </w:p>
    <w:p>
      <w:pPr>
        <w:pStyle w:val="BodyText"/>
      </w:pPr>
      <w:r>
        <w:rPr>
          <w:rFonts w:hint="eastAsia"/>
        </w:rPr>
        <w:t xml:space="preserve">原子力（ベースロード）の増加も同じ見方で読める。泊3号機の再稼働による完全予見粗利の増分は往復損失の水準効果によるもので、スプレッドは広がらない（式(7.1)、7.3節）。泊3号機から全基までの再稼働のどの想定でも、</w:t>
      </w:r>
      <m:oMath>
        <m:sSup>
          <m:e>
            <m:r>
              <m:t>θ</m:t>
            </m:r>
          </m:e>
          <m:sup>
            <m:r>
              <m:rPr>
                <m:sty m:val="p"/>
              </m:rPr>
              <m:t>*</m:t>
            </m:r>
          </m:sup>
        </m:sSup>
      </m:oMath>
      <w:r>
        <w:t xml:space="preserve"> </w:t>
      </w:r>
      <w:r>
        <w:t xml:space="preserve">は FY2022 </w:t>
      </w:r>
      <w:r>
        <w:rPr>
          <w:rFonts w:hint="eastAsia"/>
        </w:rPr>
        <w:t xml:space="preserve">の水準を大きく上回る（7.3節）。この結論は主に北海道の価格モデルに依るが（7.7節）、原子力の再稼働がスプレッドを広げて蓄電池の価値を大きく上げるという見方は、本研究の結果からは支持されない。</w:t>
      </w:r>
    </w:p>
    <w:bookmarkEnd w:id="289"/>
    <w:bookmarkStart w:id="290" w:name="契約と期待による参入"/>
    <w:p>
      <w:pPr>
        <w:pStyle w:val="Heading3"/>
      </w:pPr>
      <w:r>
        <w:t xml:space="preserve">10.3.3　</w:t>
      </w:r>
      <w:r>
        <w:rPr>
          <w:rFonts w:hint="eastAsia"/>
        </w:rPr>
        <w:t xml:space="preserve">契約と期待による参入</w:t>
      </w:r>
    </w:p>
    <w:p>
      <w:pPr>
        <w:pStyle w:val="FirstParagraph"/>
      </w:pPr>
      <w:r>
        <w:rPr>
          <w:rFonts w:hint="eastAsia"/>
        </w:rPr>
        <w:t xml:space="preserve">参入が均衡を超える理由は、契約型とマーチャントの二つの層に分けると理解しやすい。LTDA</w:t>
      </w:r>
      <w:r>
        <w:t xml:space="preserve"> </w:t>
      </w:r>
      <w:r>
        <w:rPr>
          <w:rFonts w:hint="eastAsia"/>
        </w:rPr>
        <w:t xml:space="preserve">と補助金の市場外収入に依存する容量は市場収益と無関係に建設され、マーチャントの容量はその後に残ったスプレッドに直面する。ただし補助による参入は、契約型並みの割引率と高い価格水準を同時に置かなければ説明できない（8.7.3項）。期待による説明にも限りがある。補助金のない参入者は</w:t>
      </w:r>
      <w:r>
        <w:t xml:space="preserve"> FY2023〜25 </w:t>
      </w:r>
      <w:r>
        <w:rPr>
          <w:rFonts w:hint="eastAsia"/>
        </w:rPr>
        <w:t xml:space="preserve">の約3倍以上の価格水準を20年の平均で見込む必要があり、補助を組み合わせても、北海道の交付額で賄える容量は小さい（8.4.1項）。</w:t>
      </w:r>
    </w:p>
    <w:p>
      <w:pPr>
        <w:pStyle w:val="BodyText"/>
      </w:pPr>
      <w:r>
        <w:rPr>
          <w:rFonts w:hint="eastAsia"/>
        </w:rPr>
        <w:t xml:space="preserve">属性の特定できない6〜7割がすべてマーチャントの4時間蓄電池として建設されるなら、需給調整市場の移行期のレント、見通しの違い、接続枠の待機価値という計測していない成分が、8.2節で求めた不足を埋めなければならない。契約申込の多くは、建設の約束ではなく、保証金を価格とする接続枠という待機オプションの取得として理解するのが整合的であるが、それが成り立つのは工事費負担金の小さい地点に限られる（8.4.2項）。「100%マーチャント」とされる</w:t>
      </w:r>
      <w:r>
        <w:t xml:space="preserve"> Helios </w:t>
      </w:r>
      <w:r>
        <w:rPr>
          <w:rFonts w:hint="eastAsia"/>
        </w:rPr>
        <w:t xml:space="preserve">も、需給調整市場の移行期のレントに依存する案件と読むのが自然である（8.4.3項）。</w:t>
      </w:r>
    </w:p>
    <w:bookmarkEnd w:id="290"/>
    <w:bookmarkEnd w:id="291"/>
    <w:bookmarkStart w:id="292" w:name="外的妥当性"/>
    <w:p>
      <w:pPr>
        <w:pStyle w:val="Heading2"/>
      </w:pPr>
      <w:r>
        <w:t xml:space="preserve">10.4　</w:t>
      </w:r>
      <w:r>
        <w:rPr>
          <w:rFonts w:hint="eastAsia"/>
        </w:rPr>
        <w:t xml:space="preserve">外的妥当性</w:t>
      </w:r>
    </w:p>
    <w:p>
      <w:pPr>
        <w:pStyle w:val="FirstParagraph"/>
      </w:pPr>
      <w:r>
        <w:rPr>
          <w:rFonts w:hint="eastAsia"/>
        </w:rPr>
        <w:t xml:space="preserve">本研究の枠組みの自然な比較対象は、風力と太陽光が混在し東京への連系が太い東北エリアと、太陽光が主導し昼の下限張り付きが多い九州エリアである。九州では、太陽光が増え続けるなかで、下限張り付きのコマ数と完全予見粗利が</w:t>
      </w:r>
      <w:r>
        <w:t xml:space="preserve"> FY2023 から FY2025 </w:t>
      </w:r>
      <w:r>
        <w:rPr>
          <w:rFonts w:hint="eastAsia"/>
        </w:rPr>
        <w:t xml:space="preserve">にかけて減った（3.6.1項）。この圧縮は揚水の運用の拡大などによる可能性があるが、本研究はその要因を識別していない。仮にそうであれば、余剰を吸収する揚水や連系線の運用が広がるにつれて北海道でも同じ圧縮が起こりうるが、これは推測にとどまる。同時市場の導入の検討とノーダル化の議論は、需給調整市場のゼロレントの仮定と、併設蓄電池のローカル価値の扱いを変えうる。ドイツでは、当日市場の逐次の再最適化を含む複数市場の戦略が、日前市場だけの粗利を4〜5割上回るという報告がある（Oeltz</w:t>
      </w:r>
      <w:r>
        <w:t xml:space="preserve"> &amp; Pfingsten, </w:t>
      </w:r>
      <w:r>
        <w:rPr>
          <w:rFonts w:hint="eastAsia"/>
        </w:rPr>
        <w:t xml:space="preserve">2025。査読前のプレプリント）。国内でも、同時市場で蓄電池がプライスメーカーとして参加する際の損益の評価手法が提案されている（清水ほか，2026）。スポット単独のゼロレントの仮定は、これらの市場設計の下では再検討を要する。ただし本研究の層分解では、前日の価格のまま時間前に窓を組み替えられるとしても、上乗せの上限は完全予見粗利の18.3%である（6.6節）。ドイツとの差は、当日の価格が前日と別に動くことと、細かい取引単位で何度も組み替えられることの価値によるとみられ、国内の時間前市場の厚みに依存する。</w:t>
      </w:r>
    </w:p>
    <w:p>
      <w:pPr>
        <w:pStyle w:val="BodyText"/>
      </w:pPr>
      <w:r>
        <w:rPr>
          <w:rFonts w:hint="eastAsia"/>
        </w:rPr>
        <w:t xml:space="preserve">ファイナンスの結果の外的妥当性には、二つの注意がいる。第一に、蓄電池の因子エクスポージャーは市場の構造で変わる。FY2016〜19</w:t>
      </w:r>
      <w:r>
        <w:t xml:space="preserve"> </w:t>
      </w:r>
      <w:r>
        <w:rPr>
          <w:rFonts w:hint="eastAsia"/>
        </w:rPr>
        <w:t xml:space="preserve">の北海道では、水準の高い日ほど夕方の価格が大きく上がり、蓄電池は水準の因子にも強いロング・ポジションをもっていた（付録C.2.3）。需給の逼迫でスパイクが立ちやすい市場や燃料価格の高騰期には、蓄電池の価値は価格水準と連動しやすい。北海道の中でも形状は年度で動き、FY2026</w:t>
      </w:r>
      <w:r>
        <w:t xml:space="preserve"> </w:t>
      </w:r>
      <w:r>
        <w:rPr>
          <w:rFonts w:hint="eastAsia"/>
        </w:rPr>
        <w:t xml:space="preserve">の4〜6月には昼の窪みが九州並みに深まって、完全予見粗利は九州の1.45倍になった（表6.1）。第二に、東京や関西には上場先物があるので、ヘッジ有効性の条件と、先物の期間構造による価格水準の恒久成分の識別（Schwartz</w:t>
      </w:r>
      <w:r>
        <w:t xml:space="preserve"> &amp; Smith, </w:t>
      </w:r>
      <w:r>
        <w:rPr>
          <w:rFonts w:hint="eastAsia"/>
        </w:rPr>
        <w:t xml:space="preserve">2000）の条件が北海道と異なる。これらのエリアでは、参入閾値を、市場で観察されるリスクの価格を用いて求め直せる可能性がある。</w:t>
      </w:r>
    </w:p>
    <w:bookmarkEnd w:id="292"/>
    <w:bookmarkStart w:id="293" w:name="分析の限界"/>
    <w:p>
      <w:pPr>
        <w:pStyle w:val="Heading2"/>
      </w:pPr>
      <w:r>
        <w:t xml:space="preserve">10.5　</w:t>
      </w:r>
      <w:r>
        <w:rPr>
          <w:rFonts w:hint="eastAsia"/>
        </w:rPr>
        <w:t xml:space="preserve">分析の限界</w:t>
      </w:r>
    </w:p>
    <w:p>
      <w:pPr>
        <w:pStyle w:val="FirstParagraph"/>
      </w:pPr>
      <w:r>
        <w:rPr>
          <w:rFonts w:hint="eastAsia"/>
        </w:rPr>
        <w:t xml:space="preserve">本研究の限界は、部分均衡、推論と識別、価格過程と収益の基準、不確実性とリスクの評価、乖離の勘定と観測データの五つに整理できる。主要な前提と捨象を外したときに主な結論が動く方向を表10.1</w:t>
      </w:r>
      <w:r>
        <w:t xml:space="preserve"> </w:t>
      </w:r>
      <w:r>
        <w:rPr>
          <w:rFonts w:hint="eastAsia"/>
        </w:rPr>
        <w:t xml:space="preserve">にまとめ、各前提の内容と感応度の詳細は表C.51</w:t>
      </w:r>
      <w:r>
        <w:t xml:space="preserve"> </w:t>
      </w:r>
      <w:r>
        <w:rPr>
          <w:rFonts w:hint="eastAsia"/>
        </w:rPr>
        <w:t xml:space="preserve">に示す。</w:t>
      </w:r>
    </w:p>
    <w:p>
      <w:pPr>
        <w:pStyle w:val="TableCaption"/>
      </w:pPr>
      <w:r>
        <w:rPr>
          <w:rFonts w:hint="eastAsia"/>
        </w:rPr>
        <w:t xml:space="preserve">表10.1</w:t>
      </w:r>
      <w:r>
        <w:t xml:space="preserve">　</w:t>
      </w:r>
      <w:r>
        <w:rPr>
          <w:rFonts w:hint="eastAsia"/>
        </w:rPr>
        <w:t xml:space="preserve">主要な前提・捨象と結論への影響</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10.1　主要な前提・捨象と結論への影響"/>
      </w:tblPr>
      <w:tblGrid>
        <w:gridCol w:w="3960"/>
        <w:gridCol w:w="3960"/>
      </w:tblGrid>
      <w:tr>
        <w:trPr>
          <w:tblHeader w:val="on"/>
        </w:trPr>
        <w:tc>
          <w:tcPr>
            <w:tcBorders>
              <w:bottom w:val="single" w:sz="6" w:color="000000"/>
            </w:tcBorders>
          </w:tcPr>
          <w:p>
            <w:pPr>
              <w:pStyle w:val="Compact"/>
            </w:pPr>
            <w:r>
              <w:rPr>
                <w:rFonts w:hint="eastAsia"/>
                <w:sz w:val="18"/>
              </w:rPr>
              <w:t xml:space="preserve">前提・捨象</w:t>
            </w:r>
          </w:p>
        </w:tc>
        <w:tc>
          <w:tcPr>
            <w:tcBorders>
              <w:bottom w:val="single" w:sz="6" w:color="000000"/>
            </w:tcBorders>
          </w:tcPr>
          <w:p>
            <w:pPr>
              <w:pStyle w:val="Compact"/>
            </w:pPr>
            <w:r>
              <w:rPr>
                <w:rFonts w:hint="eastAsia"/>
                <w:sz w:val="18"/>
              </w:rPr>
              <w:t xml:space="preserve">外したときの影響の方向</w:t>
            </w:r>
          </w:p>
        </w:tc>
      </w:tr>
      <w:tr>
        <w:tc>
          <w:tcPr/>
          <w:p>
            <w:pPr>
              <w:pStyle w:val="Compact"/>
            </w:pPr>
            <w:r>
              <w:rPr>
                <w:rFonts w:hint="eastAsia"/>
                <w:sz w:val="18"/>
              </w:rPr>
              <w:t xml:space="preserve">部分均衡と時間不変の供給曲線</w:t>
            </w:r>
          </w:p>
        </w:tc>
        <w:tc>
          <w:tcPr/>
          <w:p>
            <w:pPr>
              <w:pStyle w:val="Compact"/>
            </w:pPr>
            <w:r>
              <w:rPr>
                <w:rFonts w:hint="eastAsia"/>
                <w:sz w:val="18"/>
              </w:rPr>
              <w:t xml:space="preserve">一律でない（火力の退出は価値を上げ、揚水・連系線の運用拡大は下げる）。覆すには</w:t>
            </w:r>
            <w:r>
              <w:rPr>
                <w:sz w:val="18"/>
              </w:rPr>
              <w:t xml:space="preserve"> </w:t>
            </w:r>
            <m:oMath>
              <m:sSup>
                <m:e>
                  <m:r>
                    <m:t>θ</m:t>
                  </m:r>
                </m:e>
                <m:sup>
                  <m:r>
                    <m:rPr>
                      <m:sty m:val="p"/>
                    </m:rPr>
                    <m:t>*</m:t>
                  </m:r>
                </m:sup>
              </m:sSup>
              <m:r>
                <m:rPr>
                  <m:sty m:val="p"/>
                </m:rPr>
                <m:t>=</m:t>
              </m:r>
              <m:r>
                <m:t>2.99</m:t>
              </m:r>
            </m:oMath>
            <w:r>
              <w:rPr>
                <w:sz w:val="18"/>
              </w:rPr>
              <w:t xml:space="preserve"> </w:t>
            </w:r>
            <w:r>
              <w:rPr>
                <w:rFonts w:hint="eastAsia"/>
                <w:sz w:val="18"/>
              </w:rPr>
              <w:t xml:space="preserve">に相当する変化が要る</w:t>
            </w:r>
          </w:p>
        </w:tc>
      </w:tr>
      <w:tr>
        <w:tc>
          <w:tcPr/>
          <w:p>
            <w:pPr>
              <w:pStyle w:val="Compact"/>
            </w:pPr>
            <w:r>
              <w:rPr>
                <w:rFonts w:hint="eastAsia"/>
                <w:sz w:val="18"/>
              </w:rPr>
              <w:t xml:space="preserve">決定論的な価格過程と静学のゼロレント条件</w:t>
            </w:r>
          </w:p>
        </w:tc>
        <w:tc>
          <w:tcPr/>
          <w:p>
            <w:pPr>
              <w:pStyle w:val="Compact"/>
            </w:pPr>
            <w:r>
              <w:rPr>
                <w:rFonts w:hint="eastAsia"/>
                <w:sz w:val="18"/>
              </w:rPr>
              <w:t xml:space="preserve">強める（不確実性を入れると閾値は静学の1.17〜1.59倍）。期待成長を見込むと弱める（年2%で下限2.50）</w:t>
            </w:r>
          </w:p>
        </w:tc>
      </w:tr>
      <w:tr>
        <w:tc>
          <w:tcPr/>
          <w:p>
            <w:pPr>
              <w:pStyle w:val="Compact"/>
            </w:pPr>
            <w:r>
              <w:rPr>
                <w:rFonts w:hint="eastAsia"/>
                <w:sz w:val="18"/>
              </w:rPr>
              <w:t xml:space="preserve">実効容量収入を1.25万円/kW-年で20年一定</w:t>
            </w:r>
          </w:p>
        </w:tc>
        <w:tc>
          <w:tcPr/>
          <w:p>
            <w:pPr>
              <w:pStyle w:val="Compact"/>
            </w:pPr>
            <w:r>
              <w:rPr>
                <w:rFonts w:hint="eastAsia"/>
                <w:sz w:val="18"/>
              </w:rPr>
              <w:t xml:space="preserve">弱める（2030年度向けの1.75万円が続けば、FY2026上期以上の水準で</w:t>
            </w:r>
            <w:r>
              <w:rPr>
                <w:sz w:val="18"/>
              </w:rPr>
              <w:t xml:space="preserve"> IRR </w:t>
            </w:r>
            <w:r>
              <w:rPr>
                <w:rFonts w:hint="eastAsia"/>
                <w:sz w:val="18"/>
              </w:rPr>
              <w:t xml:space="preserve">1.5〜2.2%）。容量価格の</w:t>
            </w:r>
            <w:r>
              <w:rPr>
                <w:sz w:val="18"/>
              </w:rPr>
              <w:t xml:space="preserve"> </w:t>
            </w:r>
            <m:oMath>
              <m:r>
                <m:t>K</m:t>
              </m:r>
            </m:oMath>
            <w:r>
              <w:rPr>
                <w:sz w:val="18"/>
              </w:rPr>
              <w:t xml:space="preserve"> </w:t>
            </w:r>
            <w:r>
              <w:rPr>
                <w:rFonts w:hint="eastAsia"/>
                <w:sz w:val="18"/>
              </w:rPr>
              <w:t xml:space="preserve">依存はそれを打ち消す</w:t>
            </w:r>
          </w:p>
        </w:tc>
      </w:tr>
      <w:tr>
        <w:tc>
          <w:tcPr/>
          <w:p>
            <w:pPr>
              <w:pStyle w:val="Compact"/>
            </w:pPr>
            <w:r>
              <w:rPr>
                <w:rFonts w:hint="eastAsia"/>
                <w:sz w:val="18"/>
              </w:rPr>
              <w:t xml:space="preserve">既設・契約型の蓄電池がない</w:t>
            </w:r>
            <w:r>
              <w:rPr>
                <w:sz w:val="18"/>
              </w:rPr>
              <w:t xml:space="preserve"> </w:t>
            </w:r>
            <m:oMath>
              <m:r>
                <m:t>K</m:t>
              </m:r>
              <m:r>
                <m:rPr>
                  <m:sty m:val="p"/>
                </m:rPr>
                <m:t>=</m:t>
              </m:r>
              <m:r>
                <m:t>0</m:t>
              </m:r>
            </m:oMath>
            <w:r>
              <w:rPr>
                <w:sz w:val="18"/>
              </w:rPr>
              <w:t xml:space="preserve"> </w:t>
            </w:r>
            <w:r>
              <w:rPr>
                <w:rFonts w:hint="eastAsia"/>
                <w:sz w:val="18"/>
              </w:rPr>
              <w:t xml:space="preserve">で評価</w:t>
            </w:r>
          </w:p>
        </w:tc>
        <w:tc>
          <w:tcPr/>
          <w:p>
            <w:pPr>
              <w:pStyle w:val="Compact"/>
            </w:pPr>
            <w:r>
              <w:rPr>
                <w:rFonts w:hint="eastAsia"/>
                <w:sz w:val="18"/>
              </w:rPr>
              <w:t xml:space="preserve">強める（接続済み20万kW</w:t>
            </w:r>
            <w:r>
              <w:rPr>
                <w:sz w:val="18"/>
              </w:rPr>
              <w:t xml:space="preserve"> </w:t>
            </w:r>
            <w:r>
              <w:rPr>
                <w:rFonts w:hint="eastAsia"/>
                <w:sz w:val="18"/>
              </w:rPr>
              <w:t xml:space="preserve">の上で</w:t>
            </w:r>
            <w:r>
              <w:rPr>
                <w:sz w:val="18"/>
              </w:rPr>
              <w:t xml:space="preserve"> </w:t>
            </w:r>
            <m:oMath>
              <m:sSup>
                <m:e>
                  <m:r>
                    <m:t>θ</m:t>
                  </m:r>
                </m:e>
                <m:sup>
                  <m:r>
                    <m:rPr>
                      <m:sty m:val="p"/>
                    </m:rPr>
                    <m:t>*</m:t>
                  </m:r>
                </m:sup>
              </m:sSup>
              <m:r>
                <m:rPr>
                  <m:sty m:val="p"/>
                </m:rPr>
                <m:t>=</m:t>
              </m:r>
              <m:r>
                <m:t>4.05</m:t>
              </m:r>
            </m:oMath>
            <w:r>
              <w:rPr>
                <w:rFonts w:hint="eastAsia"/>
                <w:sz w:val="18"/>
              </w:rPr>
              <w:t xml:space="preserve">）</w:t>
            </w:r>
          </w:p>
        </w:tc>
      </w:tr>
      <w:tr>
        <w:tc>
          <w:tcPr/>
          <w:p>
            <w:pPr>
              <w:pStyle w:val="Compact"/>
            </w:pPr>
            <w:r>
              <w:rPr>
                <w:rFonts w:hint="eastAsia"/>
                <w:sz w:val="18"/>
              </w:rPr>
              <w:t xml:space="preserve">前日スポット・1日1サイクル・4時間</w:t>
            </w:r>
          </w:p>
        </w:tc>
        <w:tc>
          <w:tcPr/>
          <w:p>
            <w:pPr>
              <w:pStyle w:val="Compact"/>
            </w:pPr>
            <w:r>
              <w:rPr>
                <w:rFonts w:hint="eastAsia"/>
                <w:sz w:val="18"/>
              </w:rPr>
              <w:t xml:space="preserve">弱めるが</w:t>
            </w:r>
            <w:r>
              <w:rPr>
                <w:sz w:val="18"/>
              </w:rPr>
              <w:t xml:space="preserve"> </w:t>
            </w:r>
            <m:oMath>
              <m:sSup>
                <m:e>
                  <m:r>
                    <m:t>K</m:t>
                  </m:r>
                </m:e>
                <m:sup>
                  <m:r>
                    <m:rPr>
                      <m:sty m:val="p"/>
                    </m:rPr>
                    <m:t>*</m:t>
                  </m:r>
                </m:sup>
              </m:sSup>
              <m:r>
                <m:rPr>
                  <m:sty m:val="p"/>
                </m:rPr>
                <m:t>=</m:t>
              </m:r>
              <m:r>
                <m:t>0</m:t>
              </m:r>
            </m:oMath>
            <w:r>
              <w:rPr>
                <w:sz w:val="18"/>
              </w:rPr>
              <w:t xml:space="preserve"> </w:t>
            </w:r>
            <w:r>
              <w:rPr>
                <w:rFonts w:hint="eastAsia"/>
                <w:sz w:val="18"/>
              </w:rPr>
              <w:t xml:space="preserve">は変わらない（2サイクルで戦略</w:t>
            </w:r>
            <w:r>
              <w:rPr>
                <w:sz w:val="18"/>
              </w:rPr>
              <w:t xml:space="preserve"> c </w:t>
            </w:r>
            <w:r>
              <w:rPr>
                <w:rFonts w:hint="eastAsia"/>
                <w:sz w:val="18"/>
              </w:rPr>
              <w:t xml:space="preserve">は+1.0%以下、時間前の上乗せは最大18.3%、duration</w:t>
            </w:r>
            <w:r>
              <w:rPr>
                <w:sz w:val="18"/>
              </w:rPr>
              <w:t xml:space="preserve"> </w:t>
            </w:r>
            <w:r>
              <w:rPr>
                <w:rFonts w:hint="eastAsia"/>
                <w:sz w:val="18"/>
              </w:rPr>
              <w:t xml:space="preserve">の選び直しで</w:t>
            </w:r>
            <w:r>
              <w:rPr>
                <w:sz w:val="18"/>
              </w:rPr>
              <w:t xml:space="preserve"> </w:t>
            </w:r>
            <m:oMath>
              <m:sSup>
                <m:e>
                  <m:r>
                    <m:t>θ</m:t>
                  </m:r>
                </m:e>
                <m:sup>
                  <m:r>
                    <m:rPr>
                      <m:sty m:val="p"/>
                    </m:rPr>
                    <m:t>*</m:t>
                  </m:r>
                </m:sup>
              </m:sSup>
            </m:oMath>
            <w:r>
              <w:rPr>
                <w:sz w:val="18"/>
              </w:rPr>
              <w:t xml:space="preserve"> </w:t>
            </w:r>
            <w:r>
              <w:rPr>
                <w:rFonts w:hint="eastAsia"/>
                <w:sz w:val="18"/>
              </w:rPr>
              <w:t xml:space="preserve">は約4%、極端な組合せでも最大6.6%低下）</w:t>
            </w:r>
          </w:p>
        </w:tc>
      </w:tr>
      <w:tr>
        <w:tc>
          <w:tcPr/>
          <w:p>
            <w:pPr>
              <w:pStyle w:val="Compact"/>
            </w:pPr>
            <w:r>
              <w:rPr>
                <w:rFonts w:hint="eastAsia"/>
                <w:sz w:val="18"/>
              </w:rPr>
              <w:t xml:space="preserve">実績整合ケース（校正係数</w:t>
            </w:r>
            <w:r>
              <w:rPr>
                <w:sz w:val="18"/>
              </w:rPr>
              <w:t xml:space="preserve"> </w:t>
            </w:r>
            <m:oMath>
              <m:r>
                <m:t>λ</m:t>
              </m:r>
            </m:oMath>
            <w:r>
              <w:rPr>
                <w:sz w:val="18"/>
              </w:rPr>
              <w:t xml:space="preserve"> </w:t>
            </w:r>
            <w:r>
              <w:rPr>
                <w:rFonts w:hint="eastAsia"/>
                <w:sz w:val="18"/>
              </w:rPr>
              <w:t xml:space="preserve">を一定）</w:t>
            </w:r>
          </w:p>
        </w:tc>
        <w:tc>
          <w:tcPr/>
          <w:p>
            <w:pPr>
              <w:pStyle w:val="Compact"/>
            </w:pPr>
            <w:r>
              <w:rPr>
                <w:rFonts w:hint="eastAsia"/>
                <w:sz w:val="18"/>
              </w:rPr>
              <w:t xml:space="preserve">一律でない（</w:t>
            </w:r>
            <m:oMath>
              <m:r>
                <m:t>K</m:t>
              </m:r>
              <m:r>
                <m:rPr>
                  <m:sty m:val="p"/>
                </m:rPr>
                <m:t>&gt;</m:t>
              </m:r>
              <m:r>
                <m:t>0</m:t>
              </m:r>
            </m:oMath>
            <w:r>
              <w:rPr>
                <w:sz w:val="18"/>
              </w:rPr>
              <w:t xml:space="preserve"> </w:t>
            </w:r>
            <w:r>
              <w:rPr>
                <w:rFonts w:hint="eastAsia"/>
                <w:sz w:val="18"/>
              </w:rPr>
              <w:t xml:space="preserve">では収益を上側に、</w:t>
            </w:r>
            <m:oMath>
              <m:r>
                <m:t>K</m:t>
              </m:r>
              <m:r>
                <m:rPr>
                  <m:sty m:val="p"/>
                </m:rPr>
                <m:t>=</m:t>
              </m:r>
              <m:r>
                <m:t>0</m:t>
              </m:r>
            </m:oMath>
            <w:r>
              <w:rPr>
                <w:sz w:val="18"/>
              </w:rPr>
              <w:t xml:space="preserve"> </w:t>
            </w:r>
            <w:r>
              <w:rPr>
                <w:rFonts w:hint="eastAsia"/>
                <w:sz w:val="18"/>
              </w:rPr>
              <w:t xml:space="preserve">では過小に置く可能性）。</w:t>
            </w:r>
            <m:oMath>
              <m:sSup>
                <m:e>
                  <m:r>
                    <m:t>θ</m:t>
                  </m:r>
                </m:e>
                <m:sup>
                  <m:r>
                    <m:rPr>
                      <m:sty m:val="p"/>
                    </m:rPr>
                    <m:t>*</m:t>
                  </m:r>
                </m:sup>
              </m:sSup>
            </m:oMath>
            <w:r>
              <w:rPr>
                <w:sz w:val="18"/>
              </w:rPr>
              <w:t xml:space="preserve"> </w:t>
            </w:r>
            <w:r>
              <w:rPr>
                <w:sz w:val="18"/>
              </w:rPr>
              <w:t xml:space="preserve">は</w:t>
            </w:r>
            <w:r>
              <w:rPr>
                <w:sz w:val="18"/>
              </w:rPr>
              <w:t xml:space="preserve"> </w:t>
            </w:r>
            <m:oMath>
              <m:r>
                <m:t>λ</m:t>
              </m:r>
            </m:oMath>
            <w:r>
              <w:rPr>
                <w:sz w:val="18"/>
              </w:rPr>
              <w:t xml:space="preserve"> </w:t>
            </w:r>
            <w:r>
              <w:rPr>
                <w:rFonts w:hint="eastAsia"/>
                <w:sz w:val="18"/>
              </w:rPr>
              <w:t xml:space="preserve">の95%区間で2.78〜3.21</w:t>
            </w:r>
          </w:p>
        </w:tc>
      </w:tr>
      <w:tr>
        <w:tc>
          <w:tcPr/>
          <w:p>
            <w:pPr>
              <w:pStyle w:val="Compact"/>
            </w:pPr>
            <w:r>
              <w:rPr>
                <w:rFonts w:hint="eastAsia"/>
                <w:sz w:val="18"/>
              </w:rPr>
              <w:t xml:space="preserve">フリートの情報と配分</w:t>
            </w:r>
          </w:p>
        </w:tc>
        <w:tc>
          <w:tcPr/>
          <w:p>
            <w:pPr>
              <w:pStyle w:val="Compact"/>
            </w:pPr>
            <m:oMath>
              <m:r>
                <m:t>π</m:t>
              </m:r>
              <m:r>
                <m:rPr>
                  <m:sty m:val="p"/>
                </m:rPr>
                <m:t>=</m:t>
              </m:r>
              <m:r>
                <m:t>0</m:t>
              </m:r>
            </m:oMath>
            <w:r>
              <w:rPr>
                <w:sz w:val="18"/>
              </w:rPr>
              <w:t xml:space="preserve"> </w:t>
            </w:r>
            <w:r>
              <w:rPr>
                <w:rFonts w:hint="eastAsia"/>
                <w:sz w:val="18"/>
              </w:rPr>
              <w:t xml:space="preserve">の容量は53〜72万kW</w:t>
            </w:r>
            <w:r>
              <w:rPr>
                <w:sz w:val="18"/>
              </w:rPr>
              <w:t xml:space="preserve"> </w:t>
            </w:r>
            <w:r>
              <w:rPr>
                <w:rFonts w:hint="eastAsia"/>
                <w:sz w:val="18"/>
              </w:rPr>
              <w:t xml:space="preserve">で動くが、</w:t>
            </w:r>
            <m:oMath>
              <m:sSup>
                <m:e>
                  <m:r>
                    <m:t>K</m:t>
                  </m:r>
                </m:e>
                <m:sup>
                  <m:r>
                    <m:rPr>
                      <m:sty m:val="p"/>
                    </m:rPr>
                    <m:t>*</m:t>
                  </m:r>
                </m:sup>
              </m:sSup>
              <m:r>
                <m:rPr>
                  <m:sty m:val="p"/>
                </m:rPr>
                <m:t>=</m:t>
              </m:r>
              <m:r>
                <m:t>0</m:t>
              </m:r>
            </m:oMath>
            <w:r>
              <w:rPr>
                <w:sz w:val="18"/>
              </w:rPr>
              <w:t xml:space="preserve"> </w:t>
            </w:r>
            <w:r>
              <w:rPr>
                <w:sz w:val="18"/>
              </w:rPr>
              <w:t xml:space="preserve">は</w:t>
            </w:r>
            <w:r>
              <w:rPr>
                <w:sz w:val="18"/>
              </w:rPr>
              <w:t xml:space="preserve"> </w:t>
            </w:r>
            <m:oMath>
              <m:r>
                <m:t>π</m:t>
              </m:r>
              <m:r>
                <m:rPr>
                  <m:sty m:val="p"/>
                </m:rPr>
                <m:t>(</m:t>
              </m:r>
              <m:r>
                <m:t>0</m:t>
              </m:r>
              <m:r>
                <m:rPr>
                  <m:sty m:val="p"/>
                </m:rPr>
                <m:t>)</m:t>
              </m:r>
            </m:oMath>
            <w:r>
              <w:rPr>
                <w:sz w:val="18"/>
              </w:rPr>
              <w:t xml:space="preserve"> </w:t>
            </w:r>
            <w:r>
              <w:rPr>
                <w:rFonts w:hint="eastAsia"/>
                <w:sz w:val="18"/>
              </w:rPr>
              <w:t xml:space="preserve">で決まるので影響しない</w:t>
            </w:r>
          </w:p>
        </w:tc>
      </w:tr>
      <w:tr>
        <w:tc>
          <w:tcPr/>
          <w:p>
            <w:pPr>
              <w:pStyle w:val="Compact"/>
            </w:pPr>
            <w:r>
              <w:rPr>
                <w:rFonts w:hint="eastAsia"/>
                <w:sz w:val="18"/>
              </w:rPr>
              <w:t xml:space="preserve">需給調整市場のゼロレント</w:t>
            </w:r>
          </w:p>
        </w:tc>
        <w:tc>
          <w:tcPr/>
          <w:p>
            <w:pPr>
              <w:pStyle w:val="Compact"/>
            </w:pPr>
            <w:r>
              <w:rPr>
                <w:rFonts w:hint="eastAsia"/>
                <w:sz w:val="18"/>
              </w:rPr>
              <w:t xml:space="preserve">弱める（初期の参入者の収入を過小に見る）。レントは参入とともに消える</w:t>
            </w:r>
          </w:p>
        </w:tc>
      </w:tr>
      <w:tr>
        <w:tc>
          <w:tcPr/>
          <w:p>
            <w:pPr>
              <w:pStyle w:val="Compact"/>
            </w:pPr>
            <w:r>
              <w:rPr>
                <w:rFonts w:hint="eastAsia"/>
                <w:sz w:val="18"/>
              </w:rPr>
              <w:t xml:space="preserve">価格過程の仕様と推定範囲より下の価格</w:t>
            </w:r>
          </w:p>
        </w:tc>
        <w:tc>
          <w:tcPr/>
          <w:p>
            <w:pPr>
              <w:pStyle w:val="Compact"/>
            </w:pPr>
            <w:r>
              <w:rPr>
                <w:rFonts w:hint="eastAsia"/>
                <w:sz w:val="18"/>
              </w:rPr>
              <w:t xml:space="preserve">弱めない（仕様A′</w:t>
            </w:r>
            <w:r>
              <w:rPr>
                <w:sz w:val="18"/>
              </w:rPr>
              <w:t xml:space="preserve"> </w:t>
            </w:r>
            <w:r>
              <w:rPr>
                <w:rFonts w:hint="eastAsia"/>
                <w:sz w:val="18"/>
              </w:rPr>
              <w:t xml:space="preserve">でも風力の効果はなお上限側の可能性）。下端の置き方は泊の効果の符号まで動かすが、どの扱いでも</w:t>
            </w:r>
            <w:r>
              <w:rPr>
                <w:sz w:val="18"/>
              </w:rPr>
              <w:t xml:space="preserve"> </w:t>
            </w:r>
            <m:oMath>
              <m:sSup>
                <m:e>
                  <m:r>
                    <m:t>K</m:t>
                  </m:r>
                </m:e>
                <m:sup>
                  <m:r>
                    <m:rPr>
                      <m:sty m:val="p"/>
                    </m:rPr>
                    <m:t>*</m:t>
                  </m:r>
                </m:sup>
              </m:sSup>
              <m:r>
                <m:rPr>
                  <m:sty m:val="p"/>
                </m:rPr>
                <m:t>=</m:t>
              </m:r>
              <m:r>
                <m:t>0</m:t>
              </m:r>
            </m:oMath>
          </w:p>
        </w:tc>
      </w:tr>
      <w:tr>
        <w:tc>
          <w:tcPr/>
          <w:p>
            <w:pPr>
              <w:pStyle w:val="Compact"/>
            </w:pPr>
            <w:r>
              <w:rPr>
                <w:rFonts w:hint="eastAsia"/>
                <w:sz w:val="18"/>
              </w:rPr>
              <w:t xml:space="preserve">負の価格の深さを外生に置く</w:t>
            </w:r>
          </w:p>
        </w:tc>
        <w:tc>
          <w:tcPr/>
          <w:p>
            <w:pPr>
              <w:pStyle w:val="Compact"/>
            </w:pPr>
            <w:r>
              <w:rPr>
                <w:rFonts w:hint="eastAsia"/>
                <w:sz w:val="18"/>
              </w:rPr>
              <w:t xml:space="preserve">弱める側だが小さい。効果は下限張り付き時間の置き方に依存し、実績の下限張り付き時間を使っても</w:t>
            </w:r>
            <w:r>
              <w:rPr>
                <w:sz w:val="18"/>
              </w:rPr>
              <w:t xml:space="preserve"> </w:t>
            </w:r>
            <m:oMath>
              <m:sSup>
                <m:e>
                  <m:r>
                    <m:t>θ</m:t>
                  </m:r>
                </m:e>
                <m:sup>
                  <m:r>
                    <m:rPr>
                      <m:sty m:val="p"/>
                    </m:rPr>
                    <m:t>*</m:t>
                  </m:r>
                </m:sup>
              </m:sSup>
              <m:r>
                <m:rPr>
                  <m:sty m:val="p"/>
                </m:rPr>
                <m:t>=</m:t>
              </m:r>
              <m:r>
                <m:t>2.81</m:t>
              </m:r>
            </m:oMath>
          </w:p>
        </w:tc>
      </w:tr>
      <w:tr>
        <w:tc>
          <w:tcPr/>
          <w:p>
            <w:pPr>
              <w:pStyle w:val="Compact"/>
            </w:pPr>
            <w:r>
              <w:rPr>
                <w:rFonts w:hint="eastAsia"/>
                <w:sz w:val="18"/>
              </w:rPr>
              <w:t xml:space="preserve">60分値と平滑化された風力出力</w:t>
            </w:r>
          </w:p>
        </w:tc>
        <w:tc>
          <w:tcPr/>
          <w:p>
            <w:pPr>
              <w:pStyle w:val="Compact"/>
            </w:pPr>
            <w:r>
              <w:rPr>
                <w:rFonts w:hint="eastAsia"/>
                <w:sz w:val="18"/>
              </w:rPr>
              <w:t xml:space="preserve">弱める側（高周波の成分と裁定価値を過小に見る）だが、4時間尺度の評価への影響は小さい</w:t>
            </w:r>
          </w:p>
        </w:tc>
      </w:tr>
      <w:tr>
        <w:tc>
          <w:tcPr/>
          <w:p>
            <w:pPr>
              <w:pStyle w:val="Compact"/>
            </w:pPr>
            <w:r>
              <w:rPr>
                <w:rFonts w:hint="eastAsia"/>
                <w:sz w:val="18"/>
              </w:rPr>
              <w:t xml:space="preserve">風力の空間分散を現状に固定</w:t>
            </w:r>
          </w:p>
        </w:tc>
        <w:tc>
          <w:tcPr/>
          <w:p>
            <w:pPr>
              <w:pStyle w:val="Compact"/>
            </w:pPr>
            <w:r>
              <w:rPr>
                <w:rFonts w:hint="eastAsia"/>
                <w:sz w:val="18"/>
              </w:rPr>
              <w:t xml:space="preserve">弱める（集中立地の上限側では完全予見粗利が+19%）</w:t>
            </w:r>
          </w:p>
        </w:tc>
      </w:tr>
      <w:tr>
        <w:tc>
          <w:tcPr/>
          <w:p>
            <w:pPr>
              <w:pStyle w:val="Compact"/>
            </w:pPr>
            <w:r>
              <w:rPr>
                <w:rFonts w:hint="eastAsia"/>
                <w:sz w:val="18"/>
              </w:rPr>
              <w:t xml:space="preserve">実物確率の下の</w:t>
            </w:r>
            <w:r>
              <w:rPr>
                <w:sz w:val="18"/>
              </w:rPr>
              <w:t xml:space="preserve"> WACC </w:t>
            </w:r>
            <w:r>
              <w:rPr>
                <w:rFonts w:hint="eastAsia"/>
                <w:sz w:val="18"/>
              </w:rPr>
              <w:t xml:space="preserve">による割引</w:t>
            </w:r>
          </w:p>
        </w:tc>
        <w:tc>
          <w:tcPr/>
          <w:p>
            <w:pPr>
              <w:pStyle w:val="Compact"/>
            </w:pPr>
            <w:r>
              <w:rPr>
                <w:rFonts w:hint="eastAsia"/>
                <w:sz w:val="18"/>
              </w:rPr>
              <w:t xml:space="preserve">割引率を上げると閾値が上がり、強める（8%で静学の損益分岐3.46）</w:t>
            </w:r>
          </w:p>
        </w:tc>
      </w:tr>
    </w:tbl>
    <w:p>
      <w:pPr>
        <w:pStyle w:val="TableNote"/>
      </w:pPr>
      <w:r>
        <w:rPr>
          <w:rFonts w:hint="eastAsia"/>
        </w:rPr>
        <w:t xml:space="preserve">注）影響の方向は、前提を外したときに、主な結論（「風力が日内の形状を広げる頑健な証拠はない」と「マーチャントの</w:t>
      </w:r>
      <w:r>
        <w:t xml:space="preserve"> </w:t>
      </w:r>
      <m:oMath>
        <m:sSup>
          <m:e>
            <m:r>
              <m:t>K</m:t>
            </m:r>
          </m:e>
          <m:sup>
            <m:r>
              <m:rPr>
                <m:sty m:val="p"/>
              </m:rPr>
              <m:t>*</m:t>
            </m:r>
          </m:sup>
        </m:sSup>
        <m:r>
          <m:rPr>
            <m:sty m:val="p"/>
          </m:rPr>
          <m:t>=</m:t>
        </m:r>
        <m:r>
          <m:t>0</m:t>
        </m:r>
      </m:oMath>
      <w:r>
        <w:rPr>
          <w:rFonts w:hint="eastAsia"/>
        </w:rPr>
        <w:t xml:space="preserve">」）が強まるか弱まるかを示す。</w:t>
      </w:r>
      <m:oMath>
        <m:sSup>
          <m:e>
            <m:r>
              <m:t>θ</m:t>
            </m:r>
          </m:e>
          <m:sup>
            <m:r>
              <m:rPr>
                <m:sty m:val="p"/>
              </m:rPr>
              <m:t>*</m:t>
            </m:r>
          </m:sup>
        </m:sSup>
      </m:oMath>
      <w:r>
        <w:t xml:space="preserve"> </w:t>
      </w:r>
      <w:r>
        <w:t xml:space="preserve">は</w:t>
      </w:r>
      <w:r>
        <w:t xml:space="preserve"> </w:t>
      </w:r>
      <m:oMath>
        <m:r>
          <m:t>K</m:t>
        </m:r>
        <m:r>
          <m:rPr>
            <m:sty m:val="p"/>
          </m:rPr>
          <m:t>=</m:t>
        </m:r>
        <m:r>
          <m:t>0</m:t>
        </m:r>
      </m:oMath>
      <w:r>
        <w:t xml:space="preserve"> </w:t>
      </w:r>
      <w:r>
        <w:rPr>
          <w:rFonts w:hint="eastAsia"/>
        </w:rPr>
        <w:t xml:space="preserve">で参入が開く価格水準係数で、FY2023〜25</w:t>
      </w:r>
      <w:r>
        <w:t xml:space="preserve"> </w:t>
      </w:r>
      <w:r>
        <w:rPr>
          <w:rFonts w:hint="eastAsia"/>
        </w:rPr>
        <w:t xml:space="preserve">の水準を1とする。</w:t>
      </w:r>
    </w:p>
    <w:p>
      <w:pPr>
        <w:pStyle w:val="TableNote"/>
      </w:pPr>
      <w:r>
        <w:rPr>
          <w:rFonts w:hint="eastAsia"/>
        </w:rPr>
        <w:t xml:space="preserve">出所）筆者作成。</w:t>
      </w:r>
    </w:p>
    <w:p>
      <w:pPr>
        <w:pStyle w:val="BodyText"/>
      </w:pPr>
      <w:r>
        <w:rPr>
          <w:rFonts w:hint="eastAsia"/>
        </w:rPr>
        <w:t xml:space="preserve">第一に、分析は部分均衡である。システムプライスは外生であり、火力の退出、連系線の増強、揚水の運用といった供給側の反応は、価格過程に埋め込まれた歴史的な応答として固定されている。供給曲線</w:t>
      </w:r>
      <w:r>
        <w:t xml:space="preserve"> </w:t>
      </w:r>
      <m:oMath>
        <m:r>
          <m:t>g</m:t>
        </m:r>
      </m:oMath>
      <w:r>
        <w:t xml:space="preserve"> </w:t>
      </w:r>
      <w:r>
        <w:rPr>
          <w:rFonts w:hint="eastAsia"/>
        </w:rPr>
        <w:t xml:space="preserve">と時刻別の項</w:t>
      </w:r>
      <w:r>
        <w:t xml:space="preserve"> </w:t>
      </w:r>
      <m:oMath>
        <m:r>
          <m:t>μ</m:t>
        </m:r>
      </m:oMath>
      <w:r>
        <w:t xml:space="preserve"> </w:t>
      </w:r>
      <w:r>
        <w:t xml:space="preserve">は FY2023〜25 </w:t>
      </w:r>
      <w:r>
        <w:rPr>
          <w:rFonts w:hint="eastAsia"/>
        </w:rPr>
        <w:t xml:space="preserve">の推定のまま不変とし、動かすのは水準係数</w:t>
      </w:r>
      <w:r>
        <w:t xml:space="preserve"> </w:t>
      </w:r>
      <m:oMath>
        <m:r>
          <m:t>θ</m:t>
        </m:r>
      </m:oMath>
      <w:r>
        <w:t xml:space="preserve"> </w:t>
      </w:r>
      <w:r>
        <w:rPr>
          <w:rFonts w:hint="eastAsia"/>
        </w:rPr>
        <w:t xml:space="preserve">だけである。価格過程は完全予見粗利の実績の7〜9割しか再現せず、期間の外で検証したのは形状だけであり、</w:t>
      </w:r>
      <m:oMath>
        <m:r>
          <m:t>θ</m:t>
        </m:r>
      </m:oMath>
      <w:r>
        <w:t xml:space="preserve"> </w:t>
      </w:r>
      <w:r>
        <w:rPr>
          <w:rFonts w:hint="eastAsia"/>
        </w:rPr>
        <w:t xml:space="preserve">は予測ではなくシナリオの変数である。もっとも、</w:t>
      </w:r>
      <m:oMath>
        <m:sSup>
          <m:e>
            <m:r>
              <m:t>K</m:t>
            </m:r>
          </m:e>
          <m:sup>
            <m:r>
              <m:rPr>
                <m:sty m:val="p"/>
              </m:rPr>
              <m:t>*</m:t>
            </m:r>
          </m:sup>
        </m:sSup>
        <m:r>
          <m:rPr>
            <m:sty m:val="p"/>
          </m:rPr>
          <m:t>=</m:t>
        </m:r>
        <m:r>
          <m:t>0</m:t>
        </m:r>
      </m:oMath>
      <w:r>
        <w:t xml:space="preserve"> </w:t>
      </w:r>
      <w:r>
        <w:t xml:space="preserve">は</w:t>
      </w:r>
      <w:r>
        <w:t xml:space="preserve"> </w:t>
      </w:r>
      <m:oMath>
        <m:r>
          <m:t>θ</m:t>
        </m:r>
      </m:oMath>
      <w:r>
        <w:t xml:space="preserve"> </w:t>
      </w:r>
      <w:r>
        <w:rPr>
          <w:rFonts w:hint="eastAsia"/>
        </w:rPr>
        <w:t xml:space="preserve">を2倍強から約3倍に引き上げない限り覆らないので、この限界が結論を変える可能性は小さい。第9章の負の価格も外生の深さを置いた反実仮想であり、負の領域の供給曲線と補助制度の反応は扱っていない。参入者は競争的な価格テイカーとし、貯蔵の所有構造や市場支配力による歪み（Andrés-Cerezo</w:t>
      </w:r>
      <w:r>
        <w:t xml:space="preserve"> &amp; Fabra, 2023; Sioshansi, </w:t>
      </w:r>
      <w:r>
        <w:rPr>
          <w:rFonts w:hint="eastAsia"/>
        </w:rPr>
        <w:t xml:space="preserve">2010）と厚生は扱っていない。</w:t>
      </w:r>
    </w:p>
    <w:p>
      <w:pPr>
        <w:pStyle w:val="BodyText"/>
      </w:pPr>
      <w:r>
        <w:rPr>
          <w:rFonts w:hint="eastAsia"/>
        </w:rPr>
        <w:t xml:space="preserve">第二に、推論と識別の限界がある。日次回帰の残差は強く系列相関している（1次の自己相関0.76〜0.91）。本研究は</w:t>
      </w:r>
      <w:r>
        <w:t xml:space="preserve"> Lazarus et </w:t>
      </w:r>
      <w:r>
        <w:rPr>
          <w:rFonts w:hint="eastAsia"/>
        </w:rPr>
        <w:t xml:space="preserve">al.（2018）の等重み余弦（EWC）検定を主の推論法とし、残る歪みをブートストラップで確かめたが、この補正もなお歪みをやや小さめに見積もる。また、有意でない係数は「効果がない」とは読まず、95%区間の上限で効果の大きさを限った。気温は統制しておらず、需要の統制を通じて一部吸収されるにすぎない。九州の風力は標本と仕様で係数の符号も有意性も変わるので、積極的な主張をしない。</w:t>
      </w:r>
    </w:p>
    <w:p>
      <w:pPr>
        <w:pStyle w:val="BodyText"/>
      </w:pPr>
      <w:r>
        <w:rPr>
          <w:rFonts w:hint="eastAsia"/>
        </w:rPr>
        <w:t xml:space="preserve">第三に、価格過程と収益の基準に関する限界がある。風力のシナリオに用いた仕様A′</w:t>
      </w:r>
      <w:r>
        <w:t xml:space="preserve"> </w:t>
      </w:r>
      <w:r>
        <w:rPr>
          <w:rFonts w:hint="eastAsia"/>
        </w:rPr>
        <w:t xml:space="preserve">も標本内で選んだ仕様であり、風力の効果はなお上限側である可能性がある（7.2.2項）。供給曲線の推定範囲より低い純需要の価格は識別できず、泊の効果は大きさだけでなく、場合によっては符号も、その置き方に依存する（7.7節）。校正係数</w:t>
      </w:r>
      <w:r>
        <w:t xml:space="preserve"> </w:t>
      </w:r>
      <m:oMath>
        <m:r>
          <m:t>λ</m:t>
        </m:r>
      </m:oMath>
      <w:r>
        <w:t xml:space="preserve"> </w:t>
      </w:r>
      <w:r>
        <w:rPr>
          <w:rFonts w:hint="eastAsia"/>
        </w:rPr>
        <w:t xml:space="preserve">は推定期間内の校正であり、</w:t>
      </w:r>
      <m:oMath>
        <m:r>
          <m:t>K</m:t>
        </m:r>
      </m:oMath>
      <w:r>
        <w:t xml:space="preserve"> </w:t>
      </w:r>
      <w:r>
        <w:t xml:space="preserve">と</w:t>
      </w:r>
      <w:r>
        <w:t xml:space="preserve"> </w:t>
      </w:r>
      <m:oMath>
        <m:r>
          <m:t>θ</m:t>
        </m:r>
      </m:oMath>
      <w:r>
        <w:t xml:space="preserve"> </w:t>
      </w:r>
      <w:r>
        <w:rPr>
          <w:rFonts w:hint="eastAsia"/>
        </w:rPr>
        <w:t xml:space="preserve">によらず一定と置いたことの影響の向きは一律でない（表10.1）。</w:t>
      </w:r>
    </w:p>
    <w:p>
      <w:pPr>
        <w:pStyle w:val="BodyText"/>
      </w:pPr>
      <w:r>
        <w:rPr>
          <w:rFonts w:hint="eastAsia"/>
        </w:rPr>
        <w:t xml:space="preserve">第四に、不確実性とリスクの評価に関する限界がある。価格水準の恒久成分のボラティリティ</w:t>
      </w:r>
      <w:r>
        <w:t xml:space="preserve"> </w:t>
      </w:r>
      <m:oMath>
        <m:r>
          <m:t>σ</m:t>
        </m:r>
      </m:oMath>
      <w:r>
        <w:t xml:space="preserve"> </w:t>
      </w:r>
      <w:r>
        <w:rPr>
          <w:rFonts w:hint="eastAsia"/>
        </w:rPr>
        <w:t xml:space="preserve">と期待成長は、10年余りのスポット価格からは識別できず、識別に要る1世紀規模の価格系列（Pindyck,</w:t>
      </w:r>
      <w:r>
        <w:t xml:space="preserve"> </w:t>
      </w:r>
      <w:r>
        <w:rPr>
          <w:rFonts w:hint="eastAsia"/>
        </w:rPr>
        <w:t xml:space="preserve">1999）も先物の期間構造（Schwartz</w:t>
      </w:r>
      <w:r>
        <w:t xml:space="preserve"> &amp; Smith, </w:t>
      </w:r>
      <w:r>
        <w:rPr>
          <w:rFonts w:hint="eastAsia"/>
        </w:rPr>
        <w:t xml:space="preserve">2000）も北海道エリアにはない。そこで</w:t>
      </w:r>
      <w:r>
        <w:t xml:space="preserve"> </w:t>
      </w:r>
      <m:oMath>
        <m:r>
          <m:t>σ</m:t>
        </m:r>
      </m:oMath>
      <w:r>
        <w:t xml:space="preserve"> </w:t>
      </w:r>
      <w:r>
        <w:t xml:space="preserve">は0.10〜0.30 </w:t>
      </w:r>
      <w:r>
        <w:rPr>
          <w:rFonts w:hint="eastAsia"/>
        </w:rPr>
        <w:t xml:space="preserve">の幅で示し、期待成長は0と置いた。静学の損益分岐に対する参入閾値の倍率（1.17〜1.59倍）はこの</w:t>
      </w:r>
      <w:r>
        <w:t xml:space="preserve"> </w:t>
      </w:r>
      <m:oMath>
        <m:r>
          <m:t>σ</m:t>
        </m:r>
      </m:oMath>
      <w:r>
        <w:t xml:space="preserve"> </w:t>
      </w:r>
      <w:r>
        <w:rPr>
          <w:rFonts w:hint="eastAsia"/>
        </w:rPr>
        <w:t xml:space="preserve">の幅で決まる値であり、状態変数を価格水準だけに限っているので、上乗せの下側の値である（7.8.4項）。年2%の期待成長を見込むと参入が開く確率は上がるが、2030年度までの確率が3%以下、2040年度のフリート容量の期待値が12万kW</w:t>
      </w:r>
      <w:r>
        <w:t xml:space="preserve"> </w:t>
      </w:r>
      <w:r>
        <w:rPr>
          <w:rFonts w:hint="eastAsia"/>
        </w:rPr>
        <w:t xml:space="preserve">未満という結論は変わらない（7.8.3項）。割引は実物確率の下で</w:t>
      </w:r>
      <w:r>
        <w:t xml:space="preserve"> WACC </w:t>
      </w:r>
      <w:r>
        <w:rPr>
          <w:rFonts w:hint="eastAsia"/>
        </w:rPr>
        <w:t xml:space="preserve">によって行い、リスク中立化はしていない。価格水準を複製できる取引商品がなく、市場のリスクの価格を校正できないためであり、リスクの調整は割引率に含めた（Dixit</w:t>
      </w:r>
      <w:r>
        <w:t xml:space="preserve"> &amp; Pindyck, 1994, Chapter </w:t>
      </w:r>
      <w:r>
        <w:rPr>
          <w:rFonts w:hint="eastAsia"/>
        </w:rPr>
        <w:t xml:space="preserve">4）。確実性等価のリスクの価格も仮定であり、多因子</w:t>
      </w:r>
      <w:r>
        <w:t xml:space="preserve"> CFaR </w:t>
      </w:r>
      <w:r>
        <w:rPr>
          <w:rFonts w:hint="eastAsia"/>
        </w:rPr>
        <w:t xml:space="preserve">は因子を独立とした静学的な年次分布、ヘッジ有効性は標本内の上限側の値である（8.7節）。</w:t>
      </w:r>
    </w:p>
    <w:p>
      <w:pPr>
        <w:pStyle w:val="BodyText"/>
      </w:pPr>
      <w:r>
        <w:rPr>
          <w:rFonts w:hint="eastAsia"/>
        </w:rPr>
        <w:t xml:space="preserve">第五に、乖離の勘定と観測データに関する限界がある。乖離の勘定で属性を特定できたのは</w:t>
      </w:r>
      <w:r>
        <w:t xml:space="preserve"> kW </w:t>
      </w:r>
      <w:r>
        <w:rPr>
          <w:rFonts w:hint="eastAsia"/>
        </w:rPr>
        <w:t xml:space="preserve">の3〜4割にとどまり、補助と</w:t>
      </w:r>
      <w:r>
        <w:t xml:space="preserve"> LTDA </w:t>
      </w:r>
      <w:r>
        <w:rPr>
          <w:rFonts w:hint="eastAsia"/>
        </w:rPr>
        <w:t xml:space="preserve">の北海道分の</w:t>
      </w:r>
      <w:r>
        <w:t xml:space="preserve"> kW </w:t>
      </w:r>
      <w:r>
        <w:rPr>
          <w:rFonts w:hint="eastAsia"/>
        </w:rPr>
        <w:t xml:space="preserve">は公表資料からの推定である（8.2節）。また、風力出力は出力変動緩和の技術要件（北海道電力ネットワーク，2023）の下で平滑化された後の値を含み、帯域分解の6時間未満の成分は過小でありうる。ただし九州との比較と反実仮想から、4時間尺度の評価への影響は小さい（3.6.4項・5.6節・表C.5）。</w:t>
      </w:r>
    </w:p>
    <w:p>
      <w:pPr>
        <w:pStyle w:val="BodyText"/>
      </w:pPr>
      <w:r>
        <w:rPr>
          <w:rFonts w:hint="eastAsia"/>
        </w:rPr>
        <w:t xml:space="preserve">以上のように、多くの前提は、外すと</w:t>
      </w:r>
      <w:r>
        <w:t xml:space="preserve"> </w:t>
      </w:r>
      <m:oMath>
        <m:sSup>
          <m:e>
            <m:r>
              <m:t>K</m:t>
            </m:r>
          </m:e>
          <m:sup>
            <m:r>
              <m:rPr>
                <m:sty m:val="p"/>
              </m:rPr>
              <m:t>*</m:t>
            </m:r>
          </m:sup>
        </m:sSup>
        <m:r>
          <m:rPr>
            <m:sty m:val="p"/>
          </m:rPr>
          <m:t>=</m:t>
        </m:r>
        <m:r>
          <m:t>0</m:t>
        </m:r>
      </m:oMath>
      <w:r>
        <w:t xml:space="preserve"> </w:t>
      </w:r>
      <w:r>
        <w:rPr>
          <w:rFonts w:hint="eastAsia"/>
        </w:rPr>
        <w:t xml:space="preserve">を強める側に働くか、方向が一律でない。弱める側に働くのは、価格水準の期待成長、容量収入の上振れ、補助、資本費の低下、需給調整市場の移行期のレント、時間前市場での組み替え、風力の集中立地の上限側、FY2022</w:t>
      </w:r>
      <w:r>
        <w:t xml:space="preserve"> </w:t>
      </w:r>
      <w:r>
        <w:rPr>
          <w:rFonts w:hint="eastAsia"/>
        </w:rPr>
        <w:t xml:space="preserve">の実績価格という例外である。このうちレントは参入とともに消え、補助と容量収入の上振れは交付額と容量価格の</w:t>
      </w:r>
      <w:r>
        <w:t xml:space="preserve"> </w:t>
      </w:r>
      <m:oMath>
        <m:r>
          <m:t>K</m:t>
        </m:r>
      </m:oMath>
      <w:r>
        <w:t xml:space="preserve"> </w:t>
      </w:r>
      <w:r>
        <w:rPr>
          <w:rFonts w:hint="eastAsia"/>
        </w:rPr>
        <w:t xml:space="preserve">依存で上限が決まる。資本費が揚水並みの2.3万円/kWh</w:t>
      </w:r>
      <w:r>
        <w:t xml:space="preserve"> </w:t>
      </w:r>
      <w:r>
        <w:rPr>
          <w:rFonts w:hint="eastAsia"/>
        </w:rPr>
        <w:t xml:space="preserve">まで下がれば、</w:t>
      </w:r>
      <m:oMath>
        <m:sSup>
          <m:e>
            <m:r>
              <m:t>θ</m:t>
            </m:r>
          </m:e>
          <m:sup>
            <m:r>
              <m:rPr>
                <m:sty m:val="p"/>
              </m:rPr>
              <m:t>*</m:t>
            </m:r>
          </m:sup>
        </m:sSup>
      </m:oMath>
      <w:r>
        <w:t xml:space="preserve"> </w:t>
      </w:r>
      <w:r>
        <w:t xml:space="preserve">は1.12 </w:t>
      </w:r>
      <w:r>
        <w:rPr>
          <w:rFonts w:hint="eastAsia"/>
        </w:rPr>
        <w:t xml:space="preserve">となり、価格水準の恒久成分の推定値（1.22）と同程度になる（7.5節）。</w:t>
      </w:r>
    </w:p>
    <w:bookmarkEnd w:id="293"/>
    <w:bookmarkStart w:id="294" w:name="反証条件"/>
    <w:p>
      <w:pPr>
        <w:pStyle w:val="Heading2"/>
      </w:pPr>
      <w:r>
        <w:t xml:space="preserve">10.6　</w:t>
      </w:r>
      <w:r>
        <w:rPr>
          <w:rFonts w:hint="eastAsia"/>
        </w:rPr>
        <w:t xml:space="preserve">反証条件</w:t>
      </w:r>
    </w:p>
    <w:p>
      <w:pPr>
        <w:pStyle w:val="FirstParagraph"/>
      </w:pPr>
      <w:r>
        <w:rPr>
          <w:rFonts w:hint="eastAsia"/>
        </w:rPr>
        <w:t xml:space="preserve">本研究の主張は、現行の市場制度と公表済みの構造イベントを所与とする条件つきの命題であるが、観察によって反証されうる。反証の条件は次の三つである。</w:t>
      </w:r>
    </w:p>
    <w:p>
      <w:pPr>
        <w:pStyle w:val="BodyText"/>
      </w:pPr>
      <w:r>
        <w:rPr>
          <w:rFonts w:hint="eastAsia"/>
        </w:rPr>
        <w:t xml:space="preserve">第一に、LTDA</w:t>
      </w:r>
      <w:r>
        <w:t xml:space="preserve"> </w:t>
      </w:r>
      <w:r>
        <w:rPr>
          <w:rFonts w:hint="eastAsia"/>
        </w:rPr>
        <w:t xml:space="preserve">と補助を受けない4時間のマーチャント蓄電池が、需給調整市場の収入を除いても採算を見込む形で一定の規模（たとえば数十万kW）着工すれば、本研究の収益の基準（実績整合ケースの</w:t>
      </w:r>
      <w:r>
        <w:t xml:space="preserve"> </w:t>
      </w:r>
      <m:oMath>
        <m:r>
          <m:t>π</m:t>
        </m:r>
        <m:r>
          <m:rPr>
            <m:sty m:val="p"/>
          </m:rPr>
          <m:t>(</m:t>
        </m:r>
        <m:r>
          <m:t>0</m:t>
        </m:r>
        <m:r>
          <m:rPr>
            <m:sty m:val="p"/>
          </m:rPr>
          <m:t>)</m:t>
        </m:r>
      </m:oMath>
      <w:r>
        <w:rPr>
          <w:rFonts w:hint="eastAsia"/>
        </w:rPr>
        <w:t xml:space="preserve">）か均衡の判定のいずれかが棄却される。これは</w:t>
      </w:r>
      <w:r>
        <w:t xml:space="preserve"> </w:t>
      </w:r>
      <m:oMath>
        <m:sSup>
          <m:e>
            <m:r>
              <m:t>K</m:t>
            </m:r>
          </m:e>
          <m:sup>
            <m:r>
              <m:rPr>
                <m:sty m:val="p"/>
              </m:rPr>
              <m:t>*</m:t>
            </m:r>
          </m:sup>
        </m:sSup>
        <m:r>
          <m:rPr>
            <m:sty m:val="p"/>
          </m:rPr>
          <m:t>=</m:t>
        </m:r>
        <m:r>
          <m:t>0</m:t>
        </m:r>
      </m:oMath>
      <w:r>
        <w:t xml:space="preserve"> </w:t>
      </w:r>
      <w:r>
        <w:rPr>
          <w:rFonts w:hint="eastAsia"/>
        </w:rPr>
        <w:t xml:space="preserve">に対する最も直接の反証である。契約申込ではなく着工で判定し、需給調整市場の収入を除くのは、属性を特定できない申込が接続枠の待機価値や需給調整市場の移行期のレントでも説明でき（10.3.3項）、これらの計測していない成分がどの反例も吸収してしまうのを避けるためである。このとき残る見通しの違いで参入を説明するには、参入者が</w:t>
      </w:r>
      <w:r>
        <w:t xml:space="preserve"> FY2023〜25 </w:t>
      </w:r>
      <w:r>
        <w:rPr>
          <w:rFonts w:hint="eastAsia"/>
        </w:rPr>
        <w:t xml:space="preserve">の約3倍以上の価格水準を20年の平均で見込んでいなければならない（8.4.1項）。</w:t>
      </w:r>
    </w:p>
    <w:p>
      <w:pPr>
        <w:pStyle w:val="BodyText"/>
      </w:pPr>
      <w:r>
        <w:rPr>
          <w:rFonts w:hint="eastAsia"/>
        </w:rPr>
        <w:t xml:space="preserve">第二に、スプレッドが損益分岐の水準を上回ったまま、契約申込と着工が2年以上止まれば、本研究の枠組みは棄却される。ここでの損益分岐の水準は、不確実性の下では、待機の価値を含む動学的な参入閾値である（7.8節）。</w:t>
      </w:r>
    </w:p>
    <w:p>
      <w:pPr>
        <w:pStyle w:val="BodyText"/>
      </w:pPr>
      <w:r>
        <w:rPr>
          <w:rFonts w:hint="eastAsia"/>
        </w:rPr>
        <w:t xml:space="preserve">第三に、資本費や容量収入が損益分岐を超えて参入が開いた局面で、本研究の</w:t>
      </w:r>
      <w:r>
        <w:t xml:space="preserve"> </w:t>
      </w:r>
      <m:oMath>
        <m:sSup>
          <m:e>
            <m:r>
              <m:t>K</m:t>
            </m:r>
          </m:e>
          <m:sup>
            <m:r>
              <m:rPr>
                <m:sty m:val="p"/>
              </m:rPr>
              <m:t>*</m:t>
            </m:r>
          </m:sup>
        </m:sSup>
      </m:oMath>
      <w:r>
        <w:rPr>
          <w:rFonts w:hint="eastAsia"/>
        </w:rPr>
        <w:t xml:space="preserve">（表C.40）を大きく下回る容量でスプレッドが恒常的に損益分岐を割れば、本研究は</w:t>
      </w:r>
      <w:r>
        <w:t xml:space="preserve"> </w:t>
      </w:r>
      <m:oMath>
        <m:r>
          <m:t>π</m:t>
        </m:r>
        <m:r>
          <m:rPr>
            <m:sty m:val="p"/>
          </m:rPr>
          <m:t>(</m:t>
        </m:r>
        <m:r>
          <m:t>K</m:t>
        </m:r>
        <m:r>
          <m:rPr>
            <m:sty m:val="p"/>
          </m:rPr>
          <m:t>)</m:t>
        </m:r>
      </m:oMath>
      <w:r>
        <w:t xml:space="preserve"> </w:t>
      </w:r>
      <w:r>
        <w:rPr>
          <w:rFonts w:hint="eastAsia"/>
        </w:rPr>
        <w:t xml:space="preserve">の減衰を緩やかに見て、</w:t>
      </w:r>
      <m:oMath>
        <m:sSup>
          <m:e>
            <m:r>
              <m:t>K</m:t>
            </m:r>
          </m:e>
          <m:sup>
            <m:r>
              <m:rPr>
                <m:sty m:val="p"/>
              </m:rPr>
              <m:t>*</m:t>
            </m:r>
          </m:sup>
        </m:sSup>
      </m:oMath>
      <w:r>
        <w:t xml:space="preserve"> </w:t>
      </w:r>
      <w:r>
        <w:rPr>
          <w:rFonts w:hint="eastAsia"/>
        </w:rPr>
        <w:t xml:space="preserve">を過大に推計していることになる。</w:t>
      </w:r>
    </w:p>
    <w:p>
      <w:pPr>
        <w:pStyle w:val="BodyText"/>
      </w:pPr>
      <w:r>
        <w:rPr>
          <w:rFonts w:hint="eastAsia"/>
        </w:rPr>
        <w:t xml:space="preserve">これに加えて、風力についての結論は、系統的な日内の位相をもたない風力が広域の単一価格ゾーンで集約されるという現在の構造の下でのものであり、洋上風力が道北に集中してサイト間の相関が高まれば弱まりうる（10.3.1項）。泊3号機の再稼働、混雑管理システムの運開、第4回</w:t>
      </w:r>
      <w:r>
        <w:t xml:space="preserve"> LTDA </w:t>
      </w:r>
      <w:r>
        <w:rPr>
          <w:rFonts w:hint="eastAsia"/>
        </w:rPr>
        <w:t xml:space="preserve">の結果などの今後の事実は、これらの条件に照らして本研究の結論を検証する材料になる。第11章では、本章の考察を踏まえて</w:t>
      </w:r>
      <w:r>
        <w:t xml:space="preserve"> RQ </w:t>
      </w:r>
      <w:r>
        <w:rPr>
          <w:rFonts w:hint="eastAsia"/>
        </w:rPr>
        <w:t xml:space="preserve">ごとの答えをまとめ、実務と政策への含意と今後の課題を述べる。</w:t>
      </w:r>
    </w:p>
    <w:bookmarkEnd w:id="294"/>
    <w:bookmarkEnd w:id="295"/>
    <w:bookmarkStart w:id="300" w:name="第11章-結論"/>
    <w:p>
      <w:pPr>
        <w:pStyle w:val="Heading1"/>
        <w:pageBreakBefore/>
      </w:pPr>
      <w:r>
        <w:rPr>
          <w:rFonts w:hint="eastAsia"/>
        </w:rPr>
        <w:t xml:space="preserve">第11章</w:t>
      </w:r>
      <w:r>
        <w:t xml:space="preserve">　</w:t>
      </w:r>
      <w:r>
        <w:rPr>
          <w:rFonts w:hint="eastAsia"/>
        </w:rPr>
        <w:t xml:space="preserve">結論</w:t>
      </w:r>
    </w:p>
    <w:p>
      <w:pPr>
        <w:pStyle w:val="FirstParagraph"/>
      </w:pPr>
      <w:r>
        <w:rPr>
          <w:rFonts w:hint="eastAsia"/>
        </w:rPr>
        <w:t xml:space="preserve">本研究は、風力主導の北海道エリアにおいて、スポット裁定と容量収入だけで運営する系統用蓄電池（マーチャント）の自由参入均衡容量が、需給調整市場のレントを0と置く限り、現行の資本費と価格構造の下でゼロであり、接続済みと契約申込を合わせた254万kW</w:t>
      </w:r>
      <w:r>
        <w:t xml:space="preserve"> </w:t>
      </w:r>
      <w:r>
        <w:rPr>
          <w:rFonts w:hint="eastAsia"/>
        </w:rPr>
        <w:t xml:space="preserve">のうち市場外収入で説明できるのは2〜3割にとどまることを、価格形成から蓄電池の価値、均衡、乖離へと積み上げた分析で示した。本章では、まず第1章で設定した六つの研究課題と主たる研究課題に順に答える（11.1節）。次に、分析に用いたファイナンスの手法ごとに得られた成果を整理し（11.2節）、投資実務と政策への含意を述べ（11.3節）、最後に今後の課題を示す（11.4節）。分析の限界は第10章で論じたので、本章では繰り返さない。</w:t>
      </w:r>
    </w:p>
    <w:bookmarkStart w:id="296" w:name="研究課題への答え"/>
    <w:p>
      <w:pPr>
        <w:pStyle w:val="Heading2"/>
      </w:pPr>
      <w:r>
        <w:t xml:space="preserve">11.1　</w:t>
      </w:r>
      <w:r>
        <w:rPr>
          <w:rFonts w:hint="eastAsia"/>
        </w:rPr>
        <w:t xml:space="preserve">研究課題への答え</w:t>
      </w:r>
    </w:p>
    <w:p>
      <w:pPr>
        <w:pStyle w:val="FirstParagraph"/>
      </w:pPr>
      <w:r>
        <w:rPr>
          <w:rFonts w:hint="eastAsia"/>
        </w:rPr>
        <w:t xml:space="preserve">六つの研究課題への答えは、次のとおりである。</w:t>
      </w:r>
    </w:p>
    <w:p>
      <w:pPr>
        <w:numPr>
          <w:ilvl w:val="0"/>
          <w:numId w:val="1007"/>
        </w:numPr>
      </w:pPr>
      <w:r>
        <w:rPr>
          <w:rFonts w:hint="eastAsia"/>
          <w:b/>
          <w:bCs/>
        </w:rPr>
        <w:t xml:space="preserve">RQ1（価格形成）</w:t>
      </w:r>
      <w:r>
        <w:t xml:space="preserve">　</w:t>
      </w:r>
      <w:r>
        <w:rPr>
          <w:rFonts w:hint="eastAsia"/>
        </w:rPr>
        <w:t xml:space="preserve">太陽光は、不需要期を中心に昼の価格を押し下げ、日内の価格差を広げる（第5章）。これに対し風力は一日の価格をほぼ一様に押し下げ、日内の価格差を広げるという頑健な証拠はない。効果があったとしても、その95%信頼区間の上限は、夏・冬・不需要期の3季節の区分では年度内1標準偏差あたり季節平均の</w:t>
      </w:r>
      <w:r>
        <w:t xml:space="preserve"> TB4h </w:t>
      </w:r>
      <w:r>
        <w:rPr>
          <w:rFonts w:hint="eastAsia"/>
        </w:rPr>
        <w:t xml:space="preserve">の約3〜5%（FY2023〜25</w:t>
      </w:r>
      <w:r>
        <w:t xml:space="preserve"> </w:t>
      </w:r>
      <w:r>
        <w:rPr>
          <w:rFonts w:hint="eastAsia"/>
        </w:rPr>
        <w:t xml:space="preserve">の夏で約11%）にとどまる。不需要期を暦月の春に限ると上限は約7%で、春の正の点推定も境界的な証拠にとどまる。風力の変動の約7割は1日を超える帯域にあり、風力の倍増と北本連系線の増強を経ても、高分位のメリットオーダー効果が弱まった証拠はない。この性質は北海道の市場・系統構造に依存しており、洋上風力が道北に集中すれば弱まりうる（10.3.1項）。</w:t>
      </w:r>
    </w:p>
    <w:p>
      <w:pPr>
        <w:numPr>
          <w:ilvl w:val="0"/>
          <w:numId w:val="1007"/>
        </w:numPr>
      </w:pPr>
      <w:r>
        <w:rPr>
          <w:rFonts w:hint="eastAsia"/>
          <w:b/>
          <w:bCs/>
        </w:rPr>
        <w:t xml:space="preserve">RQ2（系統用蓄電池の価値）</w:t>
      </w:r>
      <w:r>
        <w:t xml:space="preserve">　</w:t>
      </w:r>
      <w:r>
        <w:rPr>
          <w:rFonts w:hint="eastAsia"/>
        </w:rPr>
        <w:t xml:space="preserve">北海道の4時間蓄電池の完全予見粗利は、FY2023〜25</w:t>
      </w:r>
      <w:r>
        <w:t xml:space="preserve"> </w:t>
      </w:r>
      <w:r>
        <w:rPr>
          <w:rFonts w:hint="eastAsia"/>
        </w:rPr>
        <w:t xml:space="preserve">に0.96〜1.15万円/kW-年で、九州の約9割である（第6章）。過去28日の平均価格カーブ（気候値）に基づいて前日に充放電の窓を固定する本源的方策（戦略</w:t>
      </w:r>
      <w:r>
        <w:t xml:space="preserve"> </w:t>
      </w:r>
      <w:r>
        <w:rPr>
          <w:rFonts w:hint="eastAsia"/>
        </w:rPr>
        <w:t xml:space="preserve">c）がその81.7%を取り、試した戦略の中にこれを上回るものはなく、風力の導入が蓄電池のスポット価値を高めるという頑健な証拠もない。この価値はフリートの拡大に対して速く減衰し、限界参入者の実現可能収益（実績整合ケース）は、</w:t>
      </w:r>
      <m:oMath>
        <m:r>
          <m:t>K</m:t>
        </m:r>
        <m:r>
          <m:rPr>
            <m:sty m:val="p"/>
          </m:rPr>
          <m:t>=</m:t>
        </m:r>
        <m:r>
          <m:t>0</m:t>
        </m:r>
      </m:oMath>
      <w:r>
        <w:t xml:space="preserve"> </w:t>
      </w:r>
      <w:r>
        <w:rPr>
          <w:rFonts w:hint="eastAsia"/>
        </w:rPr>
        <w:t xml:space="preserve">の6,675円/kW-年から約31万kW</w:t>
      </w:r>
      <w:r>
        <w:t xml:space="preserve"> </w:t>
      </w:r>
      <w:r>
        <w:rPr>
          <w:rFonts w:hint="eastAsia"/>
        </w:rPr>
        <w:t xml:space="preserve">で半減し、約72万kW</w:t>
      </w:r>
      <w:r>
        <w:t xml:space="preserve"> </w:t>
      </w:r>
      <w:r>
        <w:rPr>
          <w:rFonts w:hint="eastAsia"/>
        </w:rPr>
        <w:t xml:space="preserve">で負に転じる（第7章）。</w:t>
      </w:r>
    </w:p>
    <w:p>
      <w:pPr>
        <w:numPr>
          <w:ilvl w:val="0"/>
          <w:numId w:val="1007"/>
        </w:numPr>
      </w:pPr>
      <w:r>
        <w:rPr>
          <w:rFonts w:hint="eastAsia"/>
          <w:b/>
          <w:bCs/>
        </w:rPr>
        <w:t xml:space="preserve">RQ3（均衡と均衡からの乖離）</w:t>
      </w:r>
      <w:r>
        <w:t xml:space="preserve">　</w:t>
      </w:r>
      <w:r>
        <w:rPr>
          <w:rFonts w:hint="eastAsia"/>
        </w:rPr>
        <w:t xml:space="preserve">現行の資本費と価格構造の下で、スポット裁定と容量収入だけに依存するマーチャントの均衡容量はゼロである（第7章）。需給調整市場のレントは0と置いたが、蓄電池どうしの競争の下でこのレントが支えうる容量は、調達量の程度にとどまる。</w:t>
      </w:r>
      <m:oMath>
        <m:r>
          <m:t>K</m:t>
        </m:r>
        <m:r>
          <m:rPr>
            <m:sty m:val="p"/>
          </m:rPr>
          <m:t>=</m:t>
        </m:r>
        <m:r>
          <m:t>0</m:t>
        </m:r>
      </m:oMath>
      <w:r>
        <w:t xml:space="preserve"> </w:t>
      </w:r>
      <w:r>
        <w:rPr>
          <w:rFonts w:hint="eastAsia"/>
        </w:rPr>
        <w:t xml:space="preserve">で参入が開くには、モデルの水準係数で</w:t>
      </w:r>
      <w:r>
        <w:t xml:space="preserve"> FY2023〜25 </w:t>
      </w:r>
      <w:r>
        <w:rPr>
          <w:rFonts w:hint="eastAsia"/>
        </w:rPr>
        <w:t xml:space="preserve">の約3.0倍（割引率6%で</w:t>
      </w:r>
      <w:r>
        <w:t xml:space="preserve"> </w:t>
      </w:r>
      <m:oMath>
        <m:sSup>
          <m:e>
            <m:r>
              <m:t>θ</m:t>
            </m:r>
          </m:e>
          <m:sup>
            <m:r>
              <m:rPr>
                <m:sty m:val="p"/>
              </m:rPr>
              <m:t>*</m:t>
            </m:r>
          </m:sup>
        </m:sSup>
        <m:r>
          <m:rPr>
            <m:sty m:val="p"/>
          </m:rPr>
          <m:t>=</m:t>
        </m:r>
        <m:r>
          <m:t>2.99</m:t>
        </m:r>
      </m:oMath>
      <w:r>
        <w:rPr>
          <w:rFonts w:hint="eastAsia"/>
        </w:rPr>
        <w:t xml:space="preserve">）の価格水準が要る。実績価格の上で実現率を1とする極端な場合でも2.44倍、期間外の実績とモデルの比で校正し直しても2倍強であり、FY2026上期（1.57倍）や燃料危機の</w:t>
      </w:r>
      <w:r>
        <w:t xml:space="preserve"> </w:t>
      </w:r>
      <w:r>
        <w:rPr>
          <w:rFonts w:hint="eastAsia"/>
        </w:rPr>
        <w:t xml:space="preserve">FY2022（1.72倍）の水準を与えても判定は変わらない。FY2022</w:t>
      </w:r>
      <w:r>
        <w:t xml:space="preserve"> </w:t>
      </w:r>
      <w:r>
        <w:rPr>
          <w:rFonts w:hint="eastAsia"/>
        </w:rPr>
        <w:t xml:space="preserve">の実績価格そのものでも、得られる収益は参入に必要なスポット収益の82〜99%にとどまる。一方、接続済み（約20万kW）と契約申込（約234万kW）は、いずれもこの均衡を超えている。この254万kW</w:t>
      </w:r>
      <w:r>
        <w:t xml:space="preserve"> </w:t>
      </w:r>
      <w:r>
        <w:rPr>
          <w:rFonts w:hint="eastAsia"/>
        </w:rPr>
        <w:t xml:space="preserve">のうち、市場外収入で調整現在価値（APV）が正になるのは長期脱炭素電源オークション（LTDA）の落札分であり、落札容量で22〜27%にあたる（第8章）。補助を受けた案件とマーチャントと確認できた案件の計8〜13%は、本研究の資本コスト（9%）で評価した</w:t>
      </w:r>
      <w:r>
        <w:t xml:space="preserve"> APV </w:t>
      </w:r>
      <w:r>
        <w:rPr>
          <w:rFonts w:hint="eastAsia"/>
        </w:rPr>
        <w:t xml:space="preserve">が負のまま参入を決めており、61〜70%は属性が特定できない。補助金のない参入を期待だけで説明するには約3.0倍以上の価格水準を20年の平均で見込む必要があるが、これは価格水準の恒久成分の推定値（1.2前後）とかけ離れている。契約申込の多くは、保証金を価格とする接続枠の待機オプションとして読むのが整合的であるが、それが成り立つのは工事費負担金の小さい地点に限られる。</w:t>
      </w:r>
    </w:p>
    <w:p>
      <w:pPr>
        <w:numPr>
          <w:ilvl w:val="0"/>
          <w:numId w:val="1007"/>
        </w:numPr>
      </w:pPr>
      <w:r>
        <w:rPr>
          <w:rFonts w:hint="eastAsia"/>
          <w:b/>
          <w:bCs/>
        </w:rPr>
        <w:t xml:space="preserve">RQ4（併設蓄電池の価値）</w:t>
      </w:r>
      <w:r>
        <w:t xml:space="preserve">　</w:t>
      </w:r>
      <w:r>
        <w:rPr>
          <w:rFonts w:hint="eastAsia"/>
        </w:rPr>
        <w:t xml:space="preserve">北海道の現状で価格に映らない出力制御の中心は、ローカル系統の混雑ではなく下限価格での打ち切りであり、風力の抑制電力量の7割強は下限張り付きの時間に生じている（第8章）。併設蓄電池の抑制回避の価値は、系統用のスポット収益に対して</w:t>
      </w:r>
      <w:r>
        <w:t xml:space="preserve"> FY2025 </w:t>
      </w:r>
      <w:r>
        <w:rPr>
          <w:rFonts w:hint="eastAsia"/>
        </w:rPr>
        <w:t xml:space="preserve">の実績で約1%であり、観察された抑制の時間構造を比例的に拡大しても25〜31%で頭打ちになる。現行の資本費（6.8万円/kWh）では、抑制率が2035年度の見通し（37%）まで上がっても、併設の内生的な参入は立たない。併設蓄電池は系統用の統計の外にあり、乖離も説明しない。</w:t>
      </w:r>
    </w:p>
    <w:p>
      <w:pPr>
        <w:numPr>
          <w:ilvl w:val="0"/>
          <w:numId w:val="1007"/>
        </w:numPr>
      </w:pPr>
      <w:r>
        <w:rPr>
          <w:rFonts w:hint="eastAsia"/>
          <w:b/>
          <w:bCs/>
        </w:rPr>
        <w:t xml:space="preserve">RQ5（反転条件）</w:t>
      </w:r>
      <w:r>
        <w:t xml:space="preserve">　FY2023〜25 </w:t>
      </w:r>
      <w:r>
        <w:rPr>
          <w:rFonts w:hint="eastAsia"/>
        </w:rPr>
        <w:t xml:space="preserve">の価格水準で</w:t>
      </w:r>
      <w:r>
        <w:t xml:space="preserve"> </w:t>
      </w:r>
      <m:oMath>
        <m:sSup>
          <m:e>
            <m:r>
              <m:t>K</m:t>
            </m:r>
          </m:e>
          <m:sup>
            <m:r>
              <m:rPr>
                <m:sty m:val="p"/>
              </m:rPr>
              <m:t>*</m:t>
            </m:r>
          </m:sup>
        </m:sSup>
        <m:r>
          <m:rPr>
            <m:sty m:val="p"/>
          </m:rPr>
          <m:t>&gt;</m:t>
        </m:r>
        <m:r>
          <m:t>0</m:t>
        </m:r>
      </m:oMath>
      <w:r>
        <w:t xml:space="preserve"> </w:t>
      </w:r>
      <w:r>
        <w:rPr>
          <w:rFonts w:hint="eastAsia"/>
        </w:rPr>
        <w:t xml:space="preserve">に転じるのは、資本費3.0万円/kWh</w:t>
      </w:r>
      <w:r>
        <w:t xml:space="preserve"> </w:t>
      </w:r>
      <w:r>
        <w:rPr>
          <w:rFonts w:hint="eastAsia"/>
        </w:rPr>
        <w:t xml:space="preserve">以下かつ実効容量収入1.75万円/kW-年以上、または資本費4.0〜5.0万円/kWh</w:t>
      </w:r>
      <w:r>
        <w:t xml:space="preserve"> </w:t>
      </w:r>
      <w:r>
        <w:rPr>
          <w:rFonts w:hint="eastAsia"/>
        </w:rPr>
        <w:t xml:space="preserve">かつ実効容量収入2.5万円の組合せに限られる（第8章）。FY2026上期並みの水準が続けば、現行の資本費でも容量収入2.5万円で参入が開く。いずれも複数の条件を同時に要する連言条件である。参入が開いても、容量価格がフリートの容量に依存することを入れると、資本費2.3万円/kWh・容量収入2.5万円の組合せでも均衡容量は全国連系で約77万kW、北海道が単独のブロックで約定すれば約8万kW</w:t>
      </w:r>
      <w:r>
        <w:t xml:space="preserve"> </w:t>
      </w:r>
      <w:r>
        <w:rPr>
          <w:rFonts w:hint="eastAsia"/>
        </w:rPr>
        <w:t xml:space="preserve">にとどまり、契約申込の約234万kW</w:t>
      </w:r>
      <w:r>
        <w:t xml:space="preserve"> </w:t>
      </w:r>
      <w:r>
        <w:rPr>
          <w:rFonts w:hint="eastAsia"/>
        </w:rPr>
        <w:t xml:space="preserve">には届かない。負の価格も損益分岐を資本費・容量収入と同じ方向に動かす第三の政策の手段である（第9章）。</w:t>
      </w:r>
    </w:p>
    <w:p>
      <w:pPr>
        <w:numPr>
          <w:ilvl w:val="0"/>
          <w:numId w:val="1007"/>
        </w:numPr>
      </w:pPr>
      <w:r>
        <w:rPr>
          <w:rFonts w:hint="eastAsia"/>
          <w:b/>
          <w:bCs/>
        </w:rPr>
        <w:t xml:space="preserve">RQ6（下限価格）</w:t>
      </w:r>
      <w:r>
        <w:t xml:space="preserve">　</w:t>
      </w:r>
      <w:r>
        <w:rPr>
          <w:rFonts w:hint="eastAsia"/>
        </w:rPr>
        <w:t xml:space="preserve">0.01円/kWh</w:t>
      </w:r>
      <w:r>
        <w:t xml:space="preserve"> </w:t>
      </w:r>
      <w:r>
        <w:rPr>
          <w:rFonts w:hint="eastAsia"/>
        </w:rPr>
        <w:t xml:space="preserve">の下限価格は、余剰の時間に充電側の価格の下落を止めて裁定価値を削り、余剰の価値を市場から隠している（第7章、第9章）。充電する蓄電池からみれば、下限価格は行使価格0.01円のプットの売りにあたり、負の価格の導入はその行使価格を下げて、余剰の量とともに裁定価値を高める。しかし現状の余剰では効果は小さく、−10円/kWh</w:t>
      </w:r>
      <w:r>
        <w:t xml:space="preserve"> </w:t>
      </w:r>
      <w:r>
        <w:rPr>
          <w:rFonts w:hint="eastAsia"/>
        </w:rPr>
        <w:t xml:space="preserve">の下限でも損益分岐の水準係数は2.99から2.88に下がるだけであり、泊3号機の再稼働と風力の倍増が重なる局面でも、参入に必要な価格水準の低下は27%にとどまる。現行の資本費と容量収入の下では、どのシナリオでも</w:t>
      </w:r>
      <w:r>
        <w:t xml:space="preserve"> </w:t>
      </w:r>
      <m:oMath>
        <m:sSup>
          <m:e>
            <m:r>
              <m:t>θ</m:t>
            </m:r>
          </m:e>
          <m:sup>
            <m:r>
              <m:rPr>
                <m:sty m:val="p"/>
              </m:rPr>
              <m:t>*</m:t>
            </m:r>
          </m:sup>
        </m:sSup>
      </m:oMath>
      <w:r>
        <w:t xml:space="preserve"> </w:t>
      </w:r>
      <w:r>
        <w:rPr>
          <w:rFonts w:hint="eastAsia"/>
        </w:rPr>
        <w:t xml:space="preserve">は1を超え、負の価格だけでマーチャントの参入が開くわけではない。他方、再エネ側からの移転額（FY2023〜25</w:t>
      </w:r>
      <w:r>
        <w:t xml:space="preserve"> </w:t>
      </w:r>
      <w:r>
        <w:rPr>
          <w:rFonts w:hint="eastAsia"/>
        </w:rPr>
        <w:t xml:space="preserve">に−10円/kWh</w:t>
      </w:r>
      <w:r>
        <w:t xml:space="preserve"> </w:t>
      </w:r>
      <w:r>
        <w:rPr>
          <w:rFonts w:hint="eastAsia"/>
        </w:rPr>
        <w:t xml:space="preserve">で年27〜44億円）は、出力制御の価値を大きく上回る。</w:t>
      </w:r>
    </w:p>
    <w:p>
      <w:pPr>
        <w:pStyle w:val="FirstParagraph"/>
      </w:pPr>
      <w:r>
        <w:rPr>
          <w:rFonts w:hint="eastAsia"/>
        </w:rPr>
        <w:t xml:space="preserve">第2章で示した六つの仮説（2.6.3項）の判定は次のとおりである。仮説1（風力は主に水準を下げ、日内の形状を変えるのは主に太陽光である）は支持される。仮説2（本源的方策が裁定価値の大半を取り、その価値はフリートの拡大とともに減衰する）も支持される。仮説3（マーチャントの均衡容量は現実の参入を大きく下回り、市場外収入はその一部しか説明しない）は支持され、市場外収入で説明できるのは</w:t>
      </w:r>
      <w:r>
        <w:t xml:space="preserve"> LTDA </w:t>
      </w:r>
      <w:r>
        <w:rPr>
          <w:rFonts w:hint="eastAsia"/>
        </w:rPr>
        <w:t xml:space="preserve">の落札分である。仮説4（併設の抑制回避の価値は小さく、乖離を説明しない）は一部だけ支持される。価値が小さく乖離を説明しないことは確かめられたが、価格に映らない抑制の中心は下限価格での打ち切りであり、ローカル系統の制約による経路は風力については確認されなかった。仮説5（単一の条件の変化では均衡容量は正に転じない）は、FY2023〜25</w:t>
      </w:r>
      <w:r>
        <w:t xml:space="preserve"> </w:t>
      </w:r>
      <w:r>
        <w:rPr>
          <w:rFonts w:hint="eastAsia"/>
        </w:rPr>
        <w:t xml:space="preserve">の価格水準を基準とする限り支持される。恒久成分の推定値1.22</w:t>
      </w:r>
      <w:r>
        <w:t xml:space="preserve"> </w:t>
      </w:r>
      <w:r>
        <w:rPr>
          <w:rFonts w:hint="eastAsia"/>
        </w:rPr>
        <w:t xml:space="preserve">を基準にすると、資本費の低下だけで参入が開く。仮説6（下限価格は裁定価値を削るが、負の価格だけでは現状の余剰の下で参入は開かない）は支持される。</w:t>
      </w:r>
    </w:p>
    <w:p>
      <w:pPr>
        <w:pStyle w:val="BodyText"/>
      </w:pPr>
      <w:r>
        <w:rPr>
          <w:rFonts w:hint="eastAsia"/>
        </w:rPr>
        <w:t xml:space="preserve">以上から、主たる研究課題には次のように答えられる。北海道の市場構造と制度を所与とすれば、スポット裁定と容量収入だけに依存するマーチャントの系統用蓄電池の均衡容量はゼロである。この判定は、duration</w:t>
      </w:r>
      <w:r>
        <w:t xml:space="preserve"> </w:t>
      </w:r>
      <w:r>
        <w:rPr>
          <w:rFonts w:hint="eastAsia"/>
        </w:rPr>
        <w:t xml:space="preserve">を選び直しても、価格水準の不確実性を考慮しても変わらず、実効容量収入1.25万円の下でモデルの価格水準を与える限り、割引率の選び方にもよらない。接続済みと契約申込の254万kW</w:t>
      </w:r>
      <w:r>
        <w:t xml:space="preserve"> </w:t>
      </w:r>
      <w:r>
        <w:rPr>
          <w:rFonts w:hint="eastAsia"/>
        </w:rPr>
        <w:t xml:space="preserve">とこの均衡との乖離のうち、市場外収入で説明できるのは2〜3割にとどまり、属性の特定できない6〜7割がすべてマーチャントの4時間蓄電池として建設されるなら、計測していない成分（需給調整市場の移行期のレント、見通しの違い、接続枠のオプション価値）が、1kWあたり約21万円、総額で約3,200〜3,700億円を埋めなければならない（資産の資本コスト9%、</w:t>
      </w:r>
      <m:oMath>
        <m:r>
          <m:t>K</m:t>
        </m:r>
        <m:r>
          <m:rPr>
            <m:sty m:val="p"/>
          </m:rPr>
          <m:t>=</m:t>
        </m:r>
        <m:r>
          <m:t>0</m:t>
        </m:r>
      </m:oMath>
      <w:r>
        <w:t xml:space="preserve"> </w:t>
      </w:r>
      <w:r>
        <w:rPr>
          <w:rFonts w:hint="eastAsia"/>
        </w:rPr>
        <w:t xml:space="preserve">で評価した規模の目安）。説明できない残差は「測れない」ものではなく、乖離の勘定表（表8.1）の属性不明の</w:t>
      </w:r>
      <w:r>
        <w:t xml:space="preserve"> kW </w:t>
      </w:r>
      <w:r>
        <w:rPr>
          <w:rFonts w:hint="eastAsia"/>
        </w:rPr>
        <w:t xml:space="preserve">と円で定義される量である。</w:t>
      </w:r>
    </w:p>
    <w:bookmarkEnd w:id="296"/>
    <w:bookmarkStart w:id="297" w:name="ファイナンスの手法による成果"/>
    <w:p>
      <w:pPr>
        <w:pStyle w:val="Heading2"/>
      </w:pPr>
      <w:r>
        <w:t xml:space="preserve">11.2　</w:t>
      </w:r>
      <w:r>
        <w:rPr>
          <w:rFonts w:hint="eastAsia"/>
        </w:rPr>
        <w:t xml:space="preserve">ファイナンスの手法による成果</w:t>
      </w:r>
    </w:p>
    <w:p>
      <w:pPr>
        <w:pStyle w:val="FirstParagraph"/>
      </w:pPr>
      <w:r>
        <w:rPr>
          <w:rFonts w:hint="eastAsia"/>
        </w:rPr>
        <w:t xml:space="preserve">本研究は、ファイナンスと金融工学の手法を四つの場面で用いた（対応は表4.2）。各場面で手法が明らかにしたことは、次のとおりである。</w:t>
      </w:r>
    </w:p>
    <w:p>
      <w:pPr>
        <w:pStyle w:val="BodyText"/>
      </w:pPr>
      <w:r>
        <w:rPr>
          <w:rFonts w:hint="eastAsia"/>
          <w:b/>
          <w:bCs/>
        </w:rPr>
        <w:t xml:space="preserve">資産の評価</w:t>
      </w:r>
      <w:r>
        <w:t xml:space="preserve">　</w:t>
      </w:r>
      <w:r>
        <w:rPr>
          <w:rFonts w:hint="eastAsia"/>
        </w:rPr>
        <w:t xml:space="preserve">蓄電池を日次のスプレッド（交換）オプションの束とみなし、完全予見粗利をペナルティのない情報緩和による上界（D.</w:t>
      </w:r>
      <w:r>
        <w:t xml:space="preserve"> B. Brown et al., </w:t>
      </w:r>
      <w:r>
        <w:rPr>
          <w:rFonts w:hint="eastAsia"/>
        </w:rPr>
        <w:t xml:space="preserve">2010）として、本源的方策の価値、休止の価値（2.0%）、窓の選び直しの価値（16.3%）の3層に分けた（第6章）。本源的方策の点推定での優位は、予測を加えた戦略</w:t>
      </w:r>
      <w:r>
        <w:t xml:space="preserve"> b </w:t>
      </w:r>
      <w:r>
        <w:rPr>
          <w:rFonts w:hint="eastAsia"/>
        </w:rPr>
        <w:t xml:space="preserve">に対しては選択の偏りを考慮しても有意であり、本源的方策を有意に上回る戦略はない（データ・スヌーピングを補正する</w:t>
      </w:r>
      <w:r>
        <w:t xml:space="preserve"> SPA </w:t>
      </w:r>
      <w:r>
        <w:rPr>
          <w:rFonts w:hint="eastAsia"/>
        </w:rPr>
        <w:t xml:space="preserve">検定による。Hansen,</w:t>
      </w:r>
      <w:r>
        <w:t xml:space="preserve"> </w:t>
      </w:r>
      <w:r>
        <w:rPr>
          <w:rFonts w:hint="eastAsia"/>
        </w:rPr>
        <w:t xml:space="preserve">2005）。Diebold</w:t>
      </w:r>
      <w:r>
        <w:t xml:space="preserve"> and </w:t>
      </w:r>
      <w:r>
        <w:rPr>
          <w:rFonts w:hint="eastAsia"/>
        </w:rPr>
        <w:t xml:space="preserve">Li（2006）型の動的因子予測は、時間別価格の予測誤差を減らしても実現率では本源的方策に劣る。前日の情報で予測できるのは主に日平均の水準であり、充放電の順位を決める形状はほとんど持ち越されない。この層分解が、均衡分析で限界参入者の収益を実績に校正する基準（実績整合ケース）を与えた。</w:t>
      </w:r>
    </w:p>
    <w:p>
      <w:pPr>
        <w:pStyle w:val="BodyText"/>
      </w:pPr>
      <w:r>
        <w:rPr>
          <w:rFonts w:hint="eastAsia"/>
          <w:b/>
          <w:bCs/>
        </w:rPr>
        <w:t xml:space="preserve">価格の因子と構造</w:t>
      </w:r>
      <w:r>
        <w:t xml:space="preserve">　</w:t>
      </w:r>
      <w:r>
        <w:rPr>
          <w:rFonts w:hint="eastAsia"/>
        </w:rPr>
        <w:t xml:space="preserve">24時間の価格カーブを期間構造とみなして主成分に分け、蓄電池のペイオフを因子に回帰すると、現行の市場構造の蓄電池は、水準の因子へのエクスポージャーがほぼゼロで、昼と夕方の差の因子に対するロング・ポジションである（第5章、第6章）。ただし</w:t>
      </w:r>
      <w:r>
        <w:t xml:space="preserve"> FY2016〜19 </w:t>
      </w:r>
      <w:r>
        <w:rPr>
          <w:rFonts w:hint="eastAsia"/>
        </w:rPr>
        <w:t xml:space="preserve">には水準へのエクスポージャーも大きく、この性質は市場の構造で変わる。構造型の価格モデルの上では、完全予見粗利は価格の比例的な変化に1次同次であり、加法的な平行移動には往復損失を通じてしか反応しない（第7章）。風力を動かす反実仮想は、風力への条件付き応答について、モデルと実績の差が標本内で有意でなくなるよう修正した仕様A′</w:t>
      </w:r>
      <w:r>
        <w:t xml:space="preserve"> </w:t>
      </w:r>
      <w:r>
        <w:rPr>
          <w:rFonts w:hint="eastAsia"/>
        </w:rPr>
        <w:t xml:space="preserve">で行ったが、差が有意でないことは一致を意味せず、仕様A′</w:t>
      </w:r>
      <w:r>
        <w:t xml:space="preserve"> </w:t>
      </w:r>
      <w:r>
        <w:rPr>
          <w:rFonts w:hint="eastAsia"/>
        </w:rPr>
        <w:t xml:space="preserve">の風力への応答もなお実績の約2倍である。</w:t>
      </w:r>
    </w:p>
    <w:p>
      <w:pPr>
        <w:pStyle w:val="BodyText"/>
      </w:pPr>
      <w:r>
        <w:rPr>
          <w:rFonts w:hint="eastAsia"/>
          <w:b/>
          <w:bCs/>
        </w:rPr>
        <w:t xml:space="preserve">参入の判断</w:t>
      </w:r>
      <w:r>
        <w:t xml:space="preserve">　</w:t>
      </w:r>
      <w:r>
        <w:rPr>
          <w:rFonts w:hint="eastAsia"/>
        </w:rPr>
        <w:t xml:space="preserve">価格水準を恒久成分と一時成分に分ける</w:t>
      </w:r>
      <w:r>
        <w:t xml:space="preserve"> Schwartz and </w:t>
      </w:r>
      <w:r>
        <w:rPr>
          <w:rFonts w:hint="eastAsia"/>
        </w:rPr>
        <w:t xml:space="preserve">Smith（2000）型の2因子モデルを推定し、競争均衡の参入閾値（Leahy,</w:t>
      </w:r>
      <w:r>
        <w:t xml:space="preserve"> </w:t>
      </w:r>
      <w:r>
        <w:rPr>
          <w:rFonts w:hint="eastAsia"/>
        </w:rPr>
        <w:t xml:space="preserve">1993）を実物オプションとして解いた（第7章）。競争が消すのは参入時点の超過</w:t>
      </w:r>
      <w:r>
        <w:t xml:space="preserve"> NPV </w:t>
      </w:r>
      <w:r>
        <w:rPr>
          <w:rFonts w:hint="eastAsia"/>
        </w:rPr>
        <w:t xml:space="preserve">であって閾値の上乗せではなく、閾値は静学の損益分岐の1.17〜1.59倍である。補助金がなく価格水準の期待成長を0と置くと、2040年度までにマーチャントの参入が開く確率は、資本費一定で最大7.3%、資本費が年5%下がる場合で最大14%である。前提を参入に有利な側へ動かしても、2040年度のフリート容量の期待値は12万kW</w:t>
      </w:r>
      <w:r>
        <w:t xml:space="preserve"> </w:t>
      </w:r>
      <w:r>
        <w:rPr>
          <w:rFonts w:hint="eastAsia"/>
        </w:rPr>
        <w:t xml:space="preserve">未満である。恒久成分のボラティリティと期待成長はデータから識別できないので、これらの確率は幅をもって読む必要がある。</w:t>
      </w:r>
    </w:p>
    <w:p>
      <w:pPr>
        <w:pStyle w:val="BodyText"/>
      </w:pPr>
      <w:r>
        <w:rPr>
          <w:rFonts w:hint="eastAsia"/>
          <w:b/>
          <w:bCs/>
        </w:rPr>
        <w:t xml:space="preserve">契約の評価</w:t>
      </w:r>
      <w:r>
        <w:t xml:space="preserve">　</w:t>
      </w:r>
      <w:r>
        <w:rPr>
          <w:rFonts w:hint="eastAsia"/>
        </w:rPr>
        <w:t xml:space="preserve">事業</w:t>
      </w:r>
      <w:r>
        <w:t xml:space="preserve"> </w:t>
      </w:r>
      <w:r>
        <w:rPr>
          <w:rFonts w:hint="eastAsia"/>
        </w:rPr>
        <w:t xml:space="preserve">IRR、資産の資本コスト、APV（Myers,</w:t>
      </w:r>
      <w:r>
        <w:t xml:space="preserve"> </w:t>
      </w:r>
      <w:r>
        <w:rPr>
          <w:rFonts w:hint="eastAsia"/>
        </w:rPr>
        <w:t xml:space="preserve">1974）、確実性等価、多因子の</w:t>
      </w:r>
      <w:r>
        <w:t xml:space="preserve"> </w:t>
      </w:r>
      <w:r>
        <w:rPr>
          <w:rFonts w:hint="eastAsia"/>
        </w:rPr>
        <w:t xml:space="preserve">Cash-Flow-at-Risk（CFaR）、ヘッジ有効性を組み合わせ、契約型とマーチャントを同じ物差しで比べた（第8章）。マーチャントの4時間蓄電池の事業</w:t>
      </w:r>
      <w:r>
        <w:t xml:space="preserve"> IRR </w:t>
      </w:r>
      <w:r>
        <w:rPr>
          <w:rFonts w:hint="eastAsia"/>
        </w:rPr>
        <w:t xml:space="preserve">は実績整合ケースで−5.6%、LTDA</w:t>
      </w:r>
      <w:r>
        <w:t xml:space="preserve"> </w:t>
      </w:r>
      <w:r>
        <w:rPr>
          <w:rFonts w:hint="eastAsia"/>
        </w:rPr>
        <w:t xml:space="preserve">の6時間蓄電池の上限価格での事業</w:t>
      </w:r>
      <w:r>
        <w:t xml:space="preserve"> IRR </w:t>
      </w:r>
      <w:r>
        <w:rPr>
          <w:rFonts w:hint="eastAsia"/>
        </w:rPr>
        <w:t xml:space="preserve">は12.2〜13.6%であり、上限価格は公正な固定価格の4.4〜5.0倍にあたる。LTDA</w:t>
      </w:r>
      <w:r>
        <w:t xml:space="preserve"> はマーチャントの5% CFaR </w:t>
      </w:r>
      <w:r>
        <w:rPr>
          <w:rFonts w:hint="eastAsia"/>
        </w:rPr>
        <w:t xml:space="preserve">の95.9%を移すが、レベニュースワップとしての価値のうちリスクの移転は約11%にすぎない。移すリスクの量は大きいが、そのリスクに付く価格は小さい。CFaR</w:t>
      </w:r>
      <w:r>
        <w:t xml:space="preserve"> </w:t>
      </w:r>
      <w:r>
        <w:rPr>
          <w:rFonts w:hint="eastAsia"/>
        </w:rPr>
        <w:t xml:space="preserve">の二大因子である容量価格の約定水準と他者の参入には上場商品がなく、東京の先物を最長6年度分固定しても、20年の収入の現在価値の分散は38〜56%しか消せない。マーチャントは長期のリスクについて非完備な市場に直面し、LTDA</w:t>
      </w:r>
      <w:r>
        <w:t xml:space="preserve"> </w:t>
      </w:r>
      <w:r>
        <w:rPr>
          <w:rFonts w:hint="eastAsia"/>
        </w:rPr>
        <w:t xml:space="preserve">はそれを制度で補っているが、</w:t>
      </w:r>
      <m:oMath>
        <m:sSup>
          <m:e>
            <m:r>
              <m:t>K</m:t>
            </m:r>
          </m:e>
          <m:sup>
            <m:r>
              <m:rPr>
                <m:sty m:val="p"/>
              </m:rPr>
              <m:t>*</m:t>
            </m:r>
          </m:sup>
        </m:sSup>
        <m:r>
          <m:rPr>
            <m:sty m:val="p"/>
          </m:rPr>
          <m:t>=</m:t>
        </m:r>
        <m:r>
          <m:t>0</m:t>
        </m:r>
      </m:oMath>
      <w:r>
        <w:t xml:space="preserve"> </w:t>
      </w:r>
      <w:r>
        <w:rPr>
          <w:rFonts w:hint="eastAsia"/>
        </w:rPr>
        <w:t xml:space="preserve">は期待値の不足で決まっており、リスクの移転やヘッジ市場の完備化では覆らない。</w:t>
      </w:r>
    </w:p>
    <w:bookmarkEnd w:id="297"/>
    <w:bookmarkStart w:id="298" w:name="実務政策への含意"/>
    <w:p>
      <w:pPr>
        <w:pStyle w:val="Heading2"/>
      </w:pPr>
      <w:r>
        <w:t xml:space="preserve">11.3　</w:t>
      </w:r>
      <w:r>
        <w:rPr>
          <w:rFonts w:hint="eastAsia"/>
        </w:rPr>
        <w:t xml:space="preserve">実務・政策への含意</w:t>
      </w:r>
    </w:p>
    <w:p>
      <w:pPr>
        <w:pStyle w:val="FirstParagraph"/>
      </w:pPr>
      <w:r>
        <w:rPr>
          <w:rFonts w:hint="eastAsia"/>
        </w:rPr>
        <w:t xml:space="preserve">投資実務にとってまず重要なのは、スポット裁定が蓄電池の収益源の一部にすぎず、しかも参入の進展に対して最も脆弱な源泉だということである。収益スタックの評価では、参入に伴う減衰を織り込む必要がある。風力の増加も原子力の再稼働もスプレッドをほとんど広げず、データセンター等のフラット需要の増加は価値を下げうる（第7章）。価値の転換点を作る主因は、蓄電池自身の競合である。</w:t>
      </w:r>
    </w:p>
    <w:p>
      <w:pPr>
        <w:pStyle w:val="BodyText"/>
      </w:pPr>
      <w:r>
        <w:rPr>
          <w:rFonts w:hint="eastAsia"/>
        </w:rPr>
        <w:t xml:space="preserve">ファイナンスの面では、投資家にとって三つの含意がある。第一に、割引率の選び方である。FY2022</w:t>
      </w:r>
      <w:r>
        <w:t xml:space="preserve"> </w:t>
      </w:r>
      <w:r>
        <w:rPr>
          <w:rFonts w:hint="eastAsia"/>
        </w:rPr>
        <w:t xml:space="preserve">の実績価格、2030年度向け以降の容量価格の上振れ、補助金を受ける案件では割引率が判定を左右し、そのとき固定収入を前提とした契約型の水準（6%前後）をマーチャントに当てると、参入を有利に見る。価格リスクをそのまま負うマーチャントには資産の資本コスト8〜9%が対応し、損益分岐の水準係数は3.46〜3.71に上がる。節税効果は小さく、レバレッジでエクイティの</w:t>
      </w:r>
      <w:r>
        <w:t xml:space="preserve"> IRR </w:t>
      </w:r>
      <w:r>
        <w:rPr>
          <w:rFonts w:hint="eastAsia"/>
        </w:rPr>
        <w:t xml:space="preserve">が上がっても事業の価値は生まれない。第二に、LTDA</w:t>
      </w:r>
      <w:r>
        <w:t xml:space="preserve"> </w:t>
      </w:r>
      <w:r>
        <w:rPr>
          <w:rFonts w:hint="eastAsia"/>
        </w:rPr>
        <w:t xml:space="preserve">の評価の中心は、リスクの移転ではなく、公正な固定価格を上回る期待収入の差に置くべきである。第三に、北海道エリアには上場先物がなく、収入の最大のリスク因子にも対応する商品がない。マーチャントの投資家は、ヘッジできない長期のリスクを負うことを前提に資本コストと資本構成を決める必要がある。加えて、資本費の低下が見込まれる限り待機の価値は競争の下でも消えず、その見込みは参入を遅らせる方向に働く。</w:t>
      </w:r>
    </w:p>
    <w:p>
      <w:pPr>
        <w:pStyle w:val="BodyText"/>
      </w:pPr>
      <w:r>
        <w:rPr>
          <w:rFonts w:hint="eastAsia"/>
        </w:rPr>
        <w:t xml:space="preserve">政策にとって、導入見通しと市場均衡の乖離は市場外収入に依存する容量の規模を示す。ただし</w:t>
      </w:r>
      <w:r>
        <w:t xml:space="preserve"> LTDA </w:t>
      </w:r>
      <w:r>
        <w:rPr>
          <w:rFonts w:hint="eastAsia"/>
        </w:rPr>
        <w:t xml:space="preserve">で説明できるのはその一部にとどまるので、乖離を制度の効果として評価するには、案件の属性と段階を一次資料で照合した統計が要る。LTDA</w:t>
      </w:r>
      <w:r>
        <w:t xml:space="preserve"> </w:t>
      </w:r>
      <w:r>
        <w:rPr>
          <w:rFonts w:hint="eastAsia"/>
        </w:rPr>
        <w:t xml:space="preserve">と補助金が参入を駆動している以上、duration</w:t>
      </w:r>
      <w:r>
        <w:t xml:space="preserve"> </w:t>
      </w:r>
      <w:r>
        <w:rPr>
          <w:rFonts w:hint="eastAsia"/>
        </w:rPr>
        <w:t xml:space="preserve">の要件、還付の構造、上限価格といった制度設計が導入の量と質を決める。LTDA</w:t>
      </w:r>
      <w:r>
        <w:t xml:space="preserve"> </w:t>
      </w:r>
      <w:r>
        <w:rPr>
          <w:rFonts w:hint="eastAsia"/>
        </w:rPr>
        <w:t xml:space="preserve">の固定収入の価値の77〜80%は容量拠出金を通じた需要家からの移転であり（第8章）、上限価格の水準は参入の量だけでなく需要家の負担を直接に決める。LTDA</w:t>
      </w:r>
      <w:r>
        <w:t xml:space="preserve"> </w:t>
      </w:r>
      <w:r>
        <w:rPr>
          <w:rFonts w:hint="eastAsia"/>
        </w:rPr>
        <w:t xml:space="preserve">が実際に担っているのは、長期の価格リスクについて市場の非完備を制度で補う役割よりも、期待値の不足を需要家からの移転で埋める役割である。接続枠の保証金を工事費負担金の5%から10%に引き上げる措置は、契約申込を待機オプションとみる本研究の解釈を検証し、空押さえ対策の効果を測る機会になる。</w:t>
      </w:r>
    </w:p>
    <w:p>
      <w:pPr>
        <w:pStyle w:val="BodyText"/>
      </w:pPr>
      <w:r>
        <w:rPr>
          <w:rFonts w:hint="eastAsia"/>
        </w:rPr>
        <w:t xml:space="preserve">出力制御については、併設蓄電池の導入は、抑制回避の価値よりも、併設の要件、FIP</w:t>
      </w:r>
      <w:r>
        <w:t xml:space="preserve"> </w:t>
      </w:r>
      <w:r>
        <w:rPr>
          <w:rFonts w:hint="eastAsia"/>
        </w:rPr>
        <w:t xml:space="preserve">電源への併設、制御順の見直しといった制度に依存する（第8章、第9章）。下限価格を負の価格に置き換えることは、余剰の配分を数量の割当から価格発見に移し、蓄電池による吸収の価値を市場の内側に入れる。ただしその効果は余剰の量に依存して現状の余剰では小さく、FIP</w:t>
      </w:r>
      <w:r>
        <w:t xml:space="preserve"> </w:t>
      </w:r>
      <w:r>
        <w:rPr>
          <w:rFonts w:hint="eastAsia"/>
        </w:rPr>
        <w:t xml:space="preserve">のプレミアムの停止規則と一体で設計しなければ、再エネ側の収入を大きく損なう。ローカル系統の混雑による抑制は、現状では小さいが、ゾーン価格の負の価格では解消しないので、ノーダル価格か混雑管理の制度が別に要る。</w:t>
      </w:r>
    </w:p>
    <w:bookmarkEnd w:id="298"/>
    <w:bookmarkStart w:id="299" w:name="今後の課題"/>
    <w:p>
      <w:pPr>
        <w:pStyle w:val="Heading2"/>
      </w:pPr>
      <w:r>
        <w:t xml:space="preserve">11.4　</w:t>
      </w:r>
      <w:r>
        <w:rPr>
          <w:rFonts w:hint="eastAsia"/>
        </w:rPr>
        <w:t xml:space="preserve">今後の課題</w:t>
      </w:r>
    </w:p>
    <w:p>
      <w:pPr>
        <w:pStyle w:val="FirstParagraph"/>
      </w:pPr>
      <w:r>
        <w:rPr>
          <w:rFonts w:hint="eastAsia"/>
        </w:rPr>
        <w:t xml:space="preserve">主要な前提と捨象が結論に与える影響は10.5節で検討した。以下では、残る研究課題を、ファイナンスの分析と、データ・価格モデル・制度に分けて述べる。</w:t>
      </w:r>
    </w:p>
    <w:p>
      <w:pPr>
        <w:pStyle w:val="BodyText"/>
      </w:pPr>
      <w:r>
        <w:rPr>
          <w:rFonts w:hint="eastAsia"/>
        </w:rPr>
        <w:t xml:space="preserve">ファイナンスの分析には、五つの課題がある。第一に、先物の期間構造による価格水準の恒久成分の識別である。東京・関西エリアの上場先物を用いて</w:t>
      </w:r>
      <w:r>
        <w:t xml:space="preserve"> Schwartz and </w:t>
      </w:r>
      <w:r>
        <w:rPr>
          <w:rFonts w:hint="eastAsia"/>
        </w:rPr>
        <w:t xml:space="preserve">Smith（2000）の本来の方法で2因子を推定できれば、参入閾値と参入が開く確率の幅を狭め、市場で観察されるリスクの価格による評価に近づける。第二に、上場インフラファンドやマーチャント型の事業者の株価からアセットベータを推定し、本研究が仮定で置いた資産の資本コストと確実性等価のリスクの価格を検証することである。第三に、外生変数つきの</w:t>
      </w:r>
      <w:r>
        <w:t xml:space="preserve"> </w:t>
      </w:r>
      <w:r>
        <w:rPr>
          <w:rFonts w:hint="eastAsia"/>
        </w:rPr>
        <w:t xml:space="preserve">GARCH（GARCH-X）による日間の条件付き分散への再エネの効果の推定と、Kyritsis</w:t>
      </w:r>
      <w:r>
        <w:t xml:space="preserve"> et </w:t>
      </w:r>
      <w:r>
        <w:rPr>
          <w:rFonts w:hint="eastAsia"/>
        </w:rPr>
        <w:t xml:space="preserve">al.（2017）との直接の比較である。第四に、保証金の引き上げの前後での北海道の契約申込の変化による、接続枠のオプション価値の検証である。第五に、価格条件付きの入札を含む実行可能戦略の検定と、ペナルティ付きの情報緩和による上界の締め付けである。これにより、完全予見粗利と本源的方策の間に残る18.3%のうち、前日の入札で取れる部分を測れる。</w:t>
      </w:r>
    </w:p>
    <w:p>
      <w:pPr>
        <w:pStyle w:val="BodyText"/>
      </w:pPr>
      <w:r>
        <w:rPr>
          <w:rFonts w:hint="eastAsia"/>
        </w:rPr>
        <w:t xml:space="preserve">データ・価格モデル・制度については、次の課題がある。第六に、気温のデータを日次回帰の統制に加える。第七に、価格過程の裾の再現、外部の燃料価格指数による水準係数の校正、供給曲線の時間依存と推定範囲より下の価格の識別を改善する。第八に、仕様A′</w:t>
      </w:r>
      <w:r>
        <w:t xml:space="preserve"> </w:t>
      </w:r>
      <w:r>
        <w:rPr>
          <w:rFonts w:hint="eastAsia"/>
        </w:rPr>
        <w:t xml:space="preserve">の風力への応答、実績整合ケースの校正係数、フリートの情報の仮定を、FY2026</w:t>
      </w:r>
      <w:r>
        <w:t xml:space="preserve"> </w:t>
      </w:r>
      <w:r>
        <w:rPr>
          <w:rFonts w:hint="eastAsia"/>
        </w:rPr>
        <w:t xml:space="preserve">以降のデータと実際の運用で期間外に検証する。第九に、火力の退出、連系線と揚水の運用、資本費の低下など、部分均衡の外の反応を取り込む。第十に、容量市場の按分規則と需給調整市場のレントを実測し、補助金の交付案件や</w:t>
      </w:r>
      <w:r>
        <w:t xml:space="preserve"> LTDA </w:t>
      </w:r>
      <w:r>
        <w:rPr>
          <w:rFonts w:hint="eastAsia"/>
        </w:rPr>
        <w:t xml:space="preserve">の落札案件の</w:t>
      </w:r>
      <w:r>
        <w:t xml:space="preserve"> </w:t>
      </w:r>
      <w:r>
        <w:rPr>
          <w:rFonts w:hint="eastAsia"/>
        </w:rPr>
        <w:t xml:space="preserve">kW・段階・連系時期を一次資料で照合して、属性不明の61〜70%を狭める。第十一に、抑制のサイト別の分布と平滑化の範囲をとらえ、サイト別の出力データで洋上風力の集中の影響を検証する。第十二に、同時市場への移行後の需給調整市場と、洋上風力の大量導入後の帯域構造を再検証する。第十三に、負の価格の深さを補助制度から内生的に導く市場設計のモデルで、2035年度の出力制御の見通しを前提に均衡容量を計算し直す。</w:t>
      </w:r>
    </w:p>
    <w:bookmarkEnd w:id="299"/>
    <w:bookmarkEnd w:id="300"/>
    <w:bookmarkStart w:id="301" w:name="研究における生成aiの利用について"/>
    <w:p>
      <w:pPr>
        <w:pStyle w:val="Heading1"/>
        <w:pageBreakBefore/>
      </w:pPr>
      <w:r>
        <w:rPr>
          <w:rFonts w:hint="eastAsia"/>
        </w:rPr>
        <w:t xml:space="preserve">研究における生成AIの利用について</w:t>
      </w:r>
    </w:p>
    <w:p>
      <w:pPr>
        <w:pStyle w:val="FirstParagraph"/>
      </w:pPr>
      <w:r>
        <w:rPr>
          <w:rFonts w:hint="eastAsia"/>
        </w:rPr>
        <w:t xml:space="preserve">【要確認】</w:t>
      </w:r>
    </w:p>
    <w:p>
      <w:pPr>
        <w:pStyle w:val="BlockText"/>
      </w:pPr>
      <w:r>
        <w:rPr>
          <w:rFonts w:hint="eastAsia"/>
        </w:rPr>
        <w:t xml:space="preserve">一橋大学と経営管理研究科の生成AIの利用に関する方針、および指導教員の指示を確認したうえで、この項を記載する。方針が開示を求める場合、または本研究で生成AIを用いた場合は、次の三点を具体的に書く。第一に、用いたツールの名称と版（例えば</w:t>
      </w:r>
      <w:r>
        <w:t xml:space="preserve"> </w:t>
      </w:r>
      <w:r>
        <w:rPr>
          <w:rFonts w:hint="eastAsia"/>
        </w:rPr>
        <w:t xml:space="preserve">Claude（Anthropic）と、そのモデルの名称）である。第二に、用途である。原稿の構成の再編、文章の推敲、英文の要旨の作成、解析コードの作成と点検、文献の整理など、用いた作業ごとに範囲を示す。第三に、結果の扱いである。生成された文章とコードを筆者がどのように確認したか（本文の数値を解析の出力と照合した方法など）を書く。生成AIを出典として引用しないこと、生成AIが書いた文章をそのまま筆者の文章として出さないことは、方針の有無にかかわらず守る。</w:t>
      </w:r>
    </w:p>
    <w:bookmarkEnd w:id="301"/>
    <w:bookmarkStart w:id="302" w:name="謝辞"/>
    <w:p>
      <w:pPr>
        <w:pStyle w:val="Heading1"/>
        <w:pageBreakBefore/>
      </w:pPr>
      <w:r>
        <w:rPr>
          <w:rFonts w:hint="eastAsia"/>
        </w:rPr>
        <w:t xml:space="preserve">謝辞</w:t>
      </w:r>
    </w:p>
    <w:p>
      <w:pPr>
        <w:pStyle w:val="FirstParagraph"/>
      </w:pPr>
      <w:r>
        <w:rPr>
          <w:rFonts w:hint="eastAsia"/>
        </w:rPr>
        <w:t xml:space="preserve">【要記入】</w:t>
      </w:r>
    </w:p>
    <w:p>
      <w:pPr>
        <w:pStyle w:val="BlockText"/>
      </w:pPr>
      <w:r>
        <w:rPr>
          <w:rFonts w:hint="eastAsia"/>
        </w:rPr>
        <w:t xml:space="preserve">謝辞は1頁以内とし、本論文の中で個人的な内容を書くのはこの項だけとする。書く内容は次のとおりである。指導教員と審査員への謝意、ゼミと研究科の教員・学生から受けた助言への謝意（個人名を挙げる場合は本人の了解を得る）、データや資料の提供を受けた機関・個人があればその旨（公表データだけを用いた場合は不要）を書く。研究のきっかけになった実務の経験や、九州の予備的な分析から北海道に対象を移した経緯を書く場合も、この項に置く。勤務先が電力・蓄電池の事業にかかわる場合は、本論文の見解が筆者個人のものであって所属する組織の見解ではないことと、利益相反の有無を明記する。勤務先の守秘にかかわる案件の情報は書かない。</w:t>
      </w:r>
    </w:p>
    <w:bookmarkEnd w:id="302"/>
    <w:bookmarkStart w:id="304" w:name="参考文献"/>
    <w:p>
      <w:pPr>
        <w:pStyle w:val="Heading1"/>
        <w:pageBreakBefore/>
      </w:pPr>
      <w:r>
        <w:rPr>
          <w:rFonts w:hint="eastAsia"/>
        </w:rPr>
        <w:t xml:space="preserve">参考文献</w:t>
      </w:r>
    </w:p>
    <w:p>
      <w:pPr>
        <w:pStyle w:val="FirstParagraph"/>
      </w:pPr>
      <w:r>
        <w:rPr>
          <w:rFonts w:hint="eastAsia"/>
        </w:rPr>
        <w:t xml:space="preserve">本文と付録で引用した文献を、和文献（著者名の五十音順）、欧文献（著者名のアルファベット順）の順に掲げる。</w:t>
      </w:r>
    </w:p>
    <w:p>
      <w:pPr>
        <w:pStyle w:val="Bibliography"/>
      </w:pPr>
      <w:r>
        <w:rPr>
          <w:rFonts w:hint="eastAsia"/>
        </w:rPr>
        <w:t xml:space="preserve">清水龍一・亀井友暉・益田泰輔（2026）「蓄電池事業者が参加する同時市場における市場参加者の損益評価手法」『電気学会論文誌B（電力・エネルギー部門誌）』146(2),</w:t>
      </w:r>
      <w:r>
        <w:t xml:space="preserve"> 125–138. https://doi.org/10.1541/ieejpes.146.125</w:t>
      </w:r>
    </w:p>
    <w:p>
      <w:pPr>
        <w:pStyle w:val="Bibliography"/>
      </w:pPr>
      <w:r>
        <w:rPr>
          <w:rFonts w:hint="eastAsia"/>
        </w:rPr>
        <w:t xml:space="preserve">丹羽弘善（2006）『電力市場における電力貯蔵システムの運用戦略』修士論文,</w:t>
      </w:r>
      <w:r>
        <w:t xml:space="preserve"> </w:t>
      </w:r>
      <w:r>
        <w:rPr>
          <w:rFonts w:hint="eastAsia"/>
        </w:rPr>
        <w:t xml:space="preserve">東京大学大学院新領域創成科学研究科先端エネルギー工学専攻.</w:t>
      </w:r>
      <w:r>
        <w:t xml:space="preserve"> https://repository.dl.itc.u-tokyo.ac.jp/records/8837</w:t>
      </w:r>
    </w:p>
    <w:p>
      <w:pPr>
        <w:pStyle w:val="Bibliography"/>
      </w:pPr>
      <w:r>
        <w:t xml:space="preserve">Acerbi, C., &amp; Tasche, D. (2002). On the coherence of expected shortfall.</w:t>
      </w:r>
      <w:r>
        <w:t xml:space="preserve"> </w:t>
      </w:r>
      <w:r>
        <w:rPr>
          <w:i/>
          <w:iCs/>
        </w:rPr>
        <w:t xml:space="preserve">Journal of Banking &amp; Finance</w:t>
      </w:r>
      <w:r>
        <w:t xml:space="preserve">,</w:t>
      </w:r>
      <w:r>
        <w:t xml:space="preserve"> </w:t>
      </w:r>
      <w:r>
        <w:rPr>
          <w:i/>
          <w:iCs/>
        </w:rPr>
        <w:t xml:space="preserve">26</w:t>
      </w:r>
      <w:r>
        <w:t xml:space="preserve">(7), 1487–1503. https://doi.org/10.1016/S0378-4266(02)00283-2</w:t>
      </w:r>
    </w:p>
    <w:p>
      <w:pPr>
        <w:pStyle w:val="Bibliography"/>
      </w:pPr>
      <w:r>
        <w:t xml:space="preserve">Andrén, N., Jankensgård, H., &amp; Oxelheim, L. (2005). Exposure-based cash-flow-at-risk: An alternative to VaR for industrial companies.</w:t>
      </w:r>
      <w:r>
        <w:t xml:space="preserve"> </w:t>
      </w:r>
      <w:r>
        <w:rPr>
          <w:i/>
          <w:iCs/>
        </w:rPr>
        <w:t xml:space="preserve">Journal of Applied Corporate Finance</w:t>
      </w:r>
      <w:r>
        <w:t xml:space="preserve">,</w:t>
      </w:r>
      <w:r>
        <w:t xml:space="preserve"> </w:t>
      </w:r>
      <w:r>
        <w:rPr>
          <w:i/>
          <w:iCs/>
        </w:rPr>
        <w:t xml:space="preserve">17</w:t>
      </w:r>
      <w:r>
        <w:t xml:space="preserve">(3), 76–86. https://doi.org/10.1111/j.1745-6622.2005.00046.x</w:t>
      </w:r>
    </w:p>
    <w:p>
      <w:pPr>
        <w:pStyle w:val="Bibliography"/>
      </w:pPr>
      <w:r>
        <w:t xml:space="preserve">Andrés-Cerezo, D., &amp; Fabra, N. (2023). Storing power: Market structure matters.</w:t>
      </w:r>
      <w:r>
        <w:t xml:space="preserve"> </w:t>
      </w:r>
      <w:r>
        <w:rPr>
          <w:i/>
          <w:iCs/>
        </w:rPr>
        <w:t xml:space="preserve">The RAND Journal of Economics</w:t>
      </w:r>
      <w:r>
        <w:t xml:space="preserve">,</w:t>
      </w:r>
      <w:r>
        <w:t xml:space="preserve"> </w:t>
      </w:r>
      <w:r>
        <w:rPr>
          <w:i/>
          <w:iCs/>
        </w:rPr>
        <w:t xml:space="preserve">54</w:t>
      </w:r>
      <w:r>
        <w:t xml:space="preserve">(1), 3–53. https://doi.org/10.1111/1756-2171.12429</w:t>
      </w:r>
    </w:p>
    <w:p>
      <w:pPr>
        <w:pStyle w:val="Bibliography"/>
      </w:pPr>
      <w:r>
        <w:t xml:space="preserve">Andrews, D. W. K. (1991). Heteroskedasticity and autocorrelation consistent covariance matrix estimation.</w:t>
      </w:r>
      <w:r>
        <w:t xml:space="preserve"> </w:t>
      </w:r>
      <w:r>
        <w:rPr>
          <w:i/>
          <w:iCs/>
        </w:rPr>
        <w:t xml:space="preserve">Econometrica</w:t>
      </w:r>
      <w:r>
        <w:t xml:space="preserve">,</w:t>
      </w:r>
      <w:r>
        <w:t xml:space="preserve"> </w:t>
      </w:r>
      <w:r>
        <w:rPr>
          <w:i/>
          <w:iCs/>
        </w:rPr>
        <w:t xml:space="preserve">59</w:t>
      </w:r>
      <w:r>
        <w:t xml:space="preserve">(3), 817–858. https://doi.org/10.2307/2938229</w:t>
      </w:r>
    </w:p>
    <w:p>
      <w:pPr>
        <w:pStyle w:val="Bibliography"/>
      </w:pPr>
      <w:r>
        <w:t xml:space="preserve">Artzner, P., Delbaen, F., Eber, J.-M., &amp; Heath, D. (1999). Coherent measures of risk.</w:t>
      </w:r>
      <w:r>
        <w:t xml:space="preserve"> </w:t>
      </w:r>
      <w:r>
        <w:rPr>
          <w:i/>
          <w:iCs/>
        </w:rPr>
        <w:t xml:space="preserve">Mathematical Finance</w:t>
      </w:r>
      <w:r>
        <w:t xml:space="preserve">,</w:t>
      </w:r>
      <w:r>
        <w:t xml:space="preserve"> </w:t>
      </w:r>
      <w:r>
        <w:rPr>
          <w:i/>
          <w:iCs/>
        </w:rPr>
        <w:t xml:space="preserve">9</w:t>
      </w:r>
      <w:r>
        <w:t xml:space="preserve">(3), 203–228. https://doi.org/10.1111/1467-9965.00068</w:t>
      </w:r>
    </w:p>
    <w:p>
      <w:pPr>
        <w:pStyle w:val="Bibliography"/>
      </w:pPr>
      <w:r>
        <w:t xml:space="preserve">Atherton, J., Akroyd, J., Farazi, F., Mosbach, S., Lim, M. Q., &amp; Kraft, M. (2023). British wind farm ESS attachments: Curtailment reduction vs. price arbitrage.</w:t>
      </w:r>
      <w:r>
        <w:t xml:space="preserve"> </w:t>
      </w:r>
      <w:r>
        <w:rPr>
          <w:i/>
          <w:iCs/>
        </w:rPr>
        <w:t xml:space="preserve">Energy &amp; Environmental Science</w:t>
      </w:r>
      <w:r>
        <w:t xml:space="preserve">,</w:t>
      </w:r>
      <w:r>
        <w:t xml:space="preserve"> </w:t>
      </w:r>
      <w:r>
        <w:rPr>
          <w:i/>
          <w:iCs/>
        </w:rPr>
        <w:t xml:space="preserve">16</w:t>
      </w:r>
      <w:r>
        <w:t xml:space="preserve">(9), 4020–4040. https://doi.org/10.1039/d3ee01355c</w:t>
      </w:r>
    </w:p>
    <w:p>
      <w:pPr>
        <w:pStyle w:val="Bibliography"/>
      </w:pPr>
      <w:r>
        <w:t xml:space="preserve">Back, K., &amp; Paulsen, D. (2009). Open-loop equilibria and perfect competition in option exercise games.</w:t>
      </w:r>
      <w:r>
        <w:t xml:space="preserve"> </w:t>
      </w:r>
      <w:r>
        <w:rPr>
          <w:i/>
          <w:iCs/>
        </w:rPr>
        <w:t xml:space="preserve">The Review of Financial Studies</w:t>
      </w:r>
      <w:r>
        <w:t xml:space="preserve">,</w:t>
      </w:r>
      <w:r>
        <w:t xml:space="preserve"> </w:t>
      </w:r>
      <w:r>
        <w:rPr>
          <w:i/>
          <w:iCs/>
        </w:rPr>
        <w:t xml:space="preserve">22</w:t>
      </w:r>
      <w:r>
        <w:t xml:space="preserve">(11), 4531–4552. https://doi.org/10.1093/rfs/hhp046</w:t>
      </w:r>
    </w:p>
    <w:p>
      <w:pPr>
        <w:pStyle w:val="Bibliography"/>
      </w:pPr>
      <w:r>
        <w:t xml:space="preserve">Bakke, I., Fleten, S.-E., Hagfors, L. I., Hagspiel, V., Norheim, B., &amp; Wogrin, S. (2016). Investment in electric energy storage under uncertainty: A real options approach.</w:t>
      </w:r>
      <w:r>
        <w:t xml:space="preserve"> </w:t>
      </w:r>
      <w:r>
        <w:rPr>
          <w:i/>
          <w:iCs/>
        </w:rPr>
        <w:t xml:space="preserve">Computational Management Science</w:t>
      </w:r>
      <w:r>
        <w:t xml:space="preserve">,</w:t>
      </w:r>
      <w:r>
        <w:t xml:space="preserve"> </w:t>
      </w:r>
      <w:r>
        <w:rPr>
          <w:i/>
          <w:iCs/>
        </w:rPr>
        <w:t xml:space="preserve">13</w:t>
      </w:r>
      <w:r>
        <w:t xml:space="preserve">(3), 483–500. https://doi.org/10.1007/s10287-016-0256-3</w:t>
      </w:r>
    </w:p>
    <w:p>
      <w:pPr>
        <w:pStyle w:val="Bibliography"/>
      </w:pPr>
      <w:r>
        <w:t xml:space="preserve">Baldursson, F. M., &amp; Karatzas, I. (1996). Irreversible investment and industry equilibrium.</w:t>
      </w:r>
      <w:r>
        <w:t xml:space="preserve"> </w:t>
      </w:r>
      <w:r>
        <w:rPr>
          <w:i/>
          <w:iCs/>
        </w:rPr>
        <w:t xml:space="preserve">Finance and Stochastics</w:t>
      </w:r>
      <w:r>
        <w:t xml:space="preserve">,</w:t>
      </w:r>
      <w:r>
        <w:t xml:space="preserve"> </w:t>
      </w:r>
      <w:r>
        <w:rPr>
          <w:i/>
          <w:iCs/>
        </w:rPr>
        <w:t xml:space="preserve">1</w:t>
      </w:r>
      <w:r>
        <w:t xml:space="preserve">(1), 69–89. https://doi.org/10.1007/s007800050017</w:t>
      </w:r>
    </w:p>
    <w:p>
      <w:pPr>
        <w:pStyle w:val="Bibliography"/>
      </w:pPr>
      <w:r>
        <w:t xml:space="preserve">Barlow, M. T. (2002). A diffusion model for electricity prices.</w:t>
      </w:r>
      <w:r>
        <w:t xml:space="preserve"> </w:t>
      </w:r>
      <w:r>
        <w:rPr>
          <w:i/>
          <w:iCs/>
        </w:rPr>
        <w:t xml:space="preserve">Mathematical Finance</w:t>
      </w:r>
      <w:r>
        <w:t xml:space="preserve">,</w:t>
      </w:r>
      <w:r>
        <w:t xml:space="preserve"> </w:t>
      </w:r>
      <w:r>
        <w:rPr>
          <w:i/>
          <w:iCs/>
        </w:rPr>
        <w:t xml:space="preserve">12</w:t>
      </w:r>
      <w:r>
        <w:t xml:space="preserve">(4), 287–298. https://doi.org/10.1111/j.1467-9965.2002.tb00125.x</w:t>
      </w:r>
    </w:p>
    <w:p>
      <w:pPr>
        <w:pStyle w:val="Bibliography"/>
      </w:pPr>
      <w:r>
        <w:t xml:space="preserve">Broadie, M., Glasserman, P., &amp; Kou, S. (1997). A continuity correction for discrete barrier options.</w:t>
      </w:r>
      <w:r>
        <w:t xml:space="preserve"> </w:t>
      </w:r>
      <w:r>
        <w:rPr>
          <w:i/>
          <w:iCs/>
        </w:rPr>
        <w:t xml:space="preserve">Mathematical Finance</w:t>
      </w:r>
      <w:r>
        <w:t xml:space="preserve">,</w:t>
      </w:r>
      <w:r>
        <w:t xml:space="preserve"> </w:t>
      </w:r>
      <w:r>
        <w:rPr>
          <w:i/>
          <w:iCs/>
        </w:rPr>
        <w:t xml:space="preserve">7</w:t>
      </w:r>
      <w:r>
        <w:t xml:space="preserve">(4), 325–349. https://doi.org/10.1111/1467-9965.00035</w:t>
      </w:r>
    </w:p>
    <w:p>
      <w:pPr>
        <w:pStyle w:val="Bibliography"/>
      </w:pPr>
      <w:r>
        <w:t xml:space="preserve">Brown, D. B., Smith, J. E., &amp; Sun, P. (2010). Information relaxations and duality in stochastic dynamic programs.</w:t>
      </w:r>
      <w:r>
        <w:t xml:space="preserve"> </w:t>
      </w:r>
      <w:r>
        <w:rPr>
          <w:i/>
          <w:iCs/>
        </w:rPr>
        <w:t xml:space="preserve">Operations Research</w:t>
      </w:r>
      <w:r>
        <w:t xml:space="preserve">,</w:t>
      </w:r>
      <w:r>
        <w:t xml:space="preserve"> </w:t>
      </w:r>
      <w:r>
        <w:rPr>
          <w:i/>
          <w:iCs/>
        </w:rPr>
        <w:t xml:space="preserve">58</w:t>
      </w:r>
      <w:r>
        <w:t xml:space="preserve">(4, Part 1), 785–801. https://doi.org/10.1287/opre.1090.0796</w:t>
      </w:r>
    </w:p>
    <w:p>
      <w:pPr>
        <w:pStyle w:val="Bibliography"/>
      </w:pPr>
      <w:r>
        <w:t xml:space="preserve">Brown, T., &amp; Reichenberg, L. (2021). Decreasing market value of variable renewables can be avoided by policy action.</w:t>
      </w:r>
      <w:r>
        <w:t xml:space="preserve"> </w:t>
      </w:r>
      <w:r>
        <w:rPr>
          <w:i/>
          <w:iCs/>
        </w:rPr>
        <w:t xml:space="preserve">Energy Economics</w:t>
      </w:r>
      <w:r>
        <w:t xml:space="preserve">,</w:t>
      </w:r>
      <w:r>
        <w:t xml:space="preserve"> </w:t>
      </w:r>
      <w:r>
        <w:rPr>
          <w:i/>
          <w:iCs/>
        </w:rPr>
        <w:t xml:space="preserve">100</w:t>
      </w:r>
      <w:r>
        <w:t xml:space="preserve">, Article 105354. https://doi.org/10.1016/j.eneco.2021.105354</w:t>
      </w:r>
    </w:p>
    <w:p>
      <w:pPr>
        <w:pStyle w:val="Bibliography"/>
      </w:pPr>
      <w:r>
        <w:t xml:space="preserve">Bühlmann, P. (1997). Sieve bootstrap for time series.</w:t>
      </w:r>
      <w:r>
        <w:t xml:space="preserve"> </w:t>
      </w:r>
      <w:r>
        <w:rPr>
          <w:i/>
          <w:iCs/>
        </w:rPr>
        <w:t xml:space="preserve">Bernoulli</w:t>
      </w:r>
      <w:r>
        <w:t xml:space="preserve">,</w:t>
      </w:r>
      <w:r>
        <w:t xml:space="preserve"> </w:t>
      </w:r>
      <w:r>
        <w:rPr>
          <w:i/>
          <w:iCs/>
        </w:rPr>
        <w:t xml:space="preserve">3</w:t>
      </w:r>
      <w:r>
        <w:t xml:space="preserve">(2), 123–148. https://doi.org/10.2307/3318584</w:t>
      </w:r>
    </w:p>
    <w:p>
      <w:pPr>
        <w:pStyle w:val="Bibliography"/>
      </w:pPr>
      <w:r>
        <w:t xml:space="preserve">Butters, R. A., Dorsey, J., &amp; Gowrisankaran, G. (2025). Soaking up the sun: Battery investment, renewable energy, and market equilibrium.</w:t>
      </w:r>
      <w:r>
        <w:t xml:space="preserve"> </w:t>
      </w:r>
      <w:r>
        <w:rPr>
          <w:i/>
          <w:iCs/>
        </w:rPr>
        <w:t xml:space="preserve">Econometrica</w:t>
      </w:r>
      <w:r>
        <w:t xml:space="preserve">,</w:t>
      </w:r>
      <w:r>
        <w:t xml:space="preserve"> </w:t>
      </w:r>
      <w:r>
        <w:rPr>
          <w:i/>
          <w:iCs/>
        </w:rPr>
        <w:t xml:space="preserve">93</w:t>
      </w:r>
      <w:r>
        <w:t xml:space="preserve">(3), 891–927. </w:t>
      </w:r>
      <w:r>
        <w:rPr>
          <w:rFonts w:hint="eastAsia"/>
        </w:rPr>
        <w:t xml:space="preserve">https://doi.org/10.3982/ECTA20411（参照したのは</w:t>
      </w:r>
      <w:r>
        <w:t xml:space="preserve"> NBER Working Paper No. 29133 </w:t>
      </w:r>
      <w:r>
        <w:rPr>
          <w:rFonts w:hint="eastAsia"/>
        </w:rPr>
        <w:t xml:space="preserve">の2024年9月改訂版）</w:t>
      </w:r>
    </w:p>
    <w:p>
      <w:pPr>
        <w:pStyle w:val="Bibliography"/>
      </w:pPr>
      <w:r>
        <w:t xml:space="preserve">Cameron, A. C., &amp; Miller, D. L. (2015). A practitioner’s guide to cluster-robust inference.</w:t>
      </w:r>
      <w:r>
        <w:t xml:space="preserve"> </w:t>
      </w:r>
      <w:r>
        <w:rPr>
          <w:i/>
          <w:iCs/>
        </w:rPr>
        <w:t xml:space="preserve">Journal of Human Resources</w:t>
      </w:r>
      <w:r>
        <w:t xml:space="preserve">,</w:t>
      </w:r>
      <w:r>
        <w:t xml:space="preserve"> </w:t>
      </w:r>
      <w:r>
        <w:rPr>
          <w:i/>
          <w:iCs/>
        </w:rPr>
        <w:t xml:space="preserve">50</w:t>
      </w:r>
      <w:r>
        <w:t xml:space="preserve">(2), 317–372. https://doi.org/10.3368/jhr.50.2.317</w:t>
      </w:r>
    </w:p>
    <w:p>
      <w:pPr>
        <w:pStyle w:val="Bibliography"/>
      </w:pPr>
      <w:r>
        <w:t xml:space="preserve">Carmona, R., Coulon, M., &amp; Schwarz, D. (2013). Electricity price modeling and asset valuation: A multi-fuel structural approach.</w:t>
      </w:r>
      <w:r>
        <w:t xml:space="preserve"> </w:t>
      </w:r>
      <w:r>
        <w:rPr>
          <w:i/>
          <w:iCs/>
        </w:rPr>
        <w:t xml:space="preserve">Mathematics and Financial Economics</w:t>
      </w:r>
      <w:r>
        <w:t xml:space="preserve">,</w:t>
      </w:r>
      <w:r>
        <w:t xml:space="preserve"> </w:t>
      </w:r>
      <w:r>
        <w:rPr>
          <w:i/>
          <w:iCs/>
        </w:rPr>
        <w:t xml:space="preserve">7</w:t>
      </w:r>
      <w:r>
        <w:t xml:space="preserve">(2), 167–202. https://doi.org/10.1007/s11579-012-0091-4</w:t>
      </w:r>
    </w:p>
    <w:p>
      <w:pPr>
        <w:pStyle w:val="Bibliography"/>
      </w:pPr>
      <w:r>
        <w:t xml:space="preserve">Cochrane, D., &amp; Orcutt, G. H. (1949). Application of least squares regression to relationships containing auto-correlated error terms.</w:t>
      </w:r>
      <w:r>
        <w:t xml:space="preserve"> </w:t>
      </w:r>
      <w:r>
        <w:rPr>
          <w:i/>
          <w:iCs/>
        </w:rPr>
        <w:t xml:space="preserve">Journal of the American Statistical Association</w:t>
      </w:r>
      <w:r>
        <w:t xml:space="preserve">,</w:t>
      </w:r>
      <w:r>
        <w:t xml:space="preserve"> </w:t>
      </w:r>
      <w:r>
        <w:rPr>
          <w:i/>
          <w:iCs/>
        </w:rPr>
        <w:t xml:space="preserve">44</w:t>
      </w:r>
      <w:r>
        <w:t xml:space="preserve">(245), 32–61. https://doi.org/10.1080/01621459.1949.10483290</w:t>
      </w:r>
    </w:p>
    <w:p>
      <w:pPr>
        <w:pStyle w:val="Bibliography"/>
      </w:pPr>
      <w:r>
        <w:t xml:space="preserve">Corsi, F. (2009). A simple approximate long-memory model of realized volatility.</w:t>
      </w:r>
      <w:r>
        <w:t xml:space="preserve"> </w:t>
      </w:r>
      <w:r>
        <w:rPr>
          <w:i/>
          <w:iCs/>
        </w:rPr>
        <w:t xml:space="preserve">Journal of Financial Econometrics</w:t>
      </w:r>
      <w:r>
        <w:t xml:space="preserve">,</w:t>
      </w:r>
      <w:r>
        <w:t xml:space="preserve"> </w:t>
      </w:r>
      <w:r>
        <w:rPr>
          <w:i/>
          <w:iCs/>
        </w:rPr>
        <w:t xml:space="preserve">7</w:t>
      </w:r>
      <w:r>
        <w:t xml:space="preserve">(2), 174–196. https://doi.org/10.1093/jjfinec/nbp001</w:t>
      </w:r>
    </w:p>
    <w:p>
      <w:pPr>
        <w:pStyle w:val="Bibliography"/>
      </w:pPr>
      <w:r>
        <w:t xml:space="preserve">de Maere d’Aertrycke, G., Ehrenmann, A., &amp; Smeers, Y. (2017). Investment with incomplete markets for risk: The need for long-term contracts.</w:t>
      </w:r>
      <w:r>
        <w:t xml:space="preserve"> </w:t>
      </w:r>
      <w:r>
        <w:rPr>
          <w:i/>
          <w:iCs/>
        </w:rPr>
        <w:t xml:space="preserve">Energy Policy</w:t>
      </w:r>
      <w:r>
        <w:t xml:space="preserve">,</w:t>
      </w:r>
      <w:r>
        <w:t xml:space="preserve"> </w:t>
      </w:r>
      <w:r>
        <w:rPr>
          <w:i/>
          <w:iCs/>
        </w:rPr>
        <w:t xml:space="preserve">105</w:t>
      </w:r>
      <w:r>
        <w:t xml:space="preserve">, 571–583. https://doi.org/10.1016/j.enpol.2017.01.029</w:t>
      </w:r>
    </w:p>
    <w:p>
      <w:pPr>
        <w:pStyle w:val="Bibliography"/>
      </w:pPr>
      <w:r>
        <w:t xml:space="preserve">Deng, S.-J., Johnson, B., &amp; Sogomonian, A. (2001). Exotic electricity options and the valuation of electricity generation and transmission assets.</w:t>
      </w:r>
      <w:r>
        <w:t xml:space="preserve"> </w:t>
      </w:r>
      <w:r>
        <w:rPr>
          <w:i/>
          <w:iCs/>
        </w:rPr>
        <w:t xml:space="preserve">Decision Support Systems</w:t>
      </w:r>
      <w:r>
        <w:t xml:space="preserve">,</w:t>
      </w:r>
      <w:r>
        <w:t xml:space="preserve"> </w:t>
      </w:r>
      <w:r>
        <w:rPr>
          <w:i/>
          <w:iCs/>
        </w:rPr>
        <w:t xml:space="preserve">30</w:t>
      </w:r>
      <w:r>
        <w:t xml:space="preserve">(3), 383–392. https://doi.org/10.1016/S0167-9236(00)00112-3</w:t>
      </w:r>
    </w:p>
    <w:p>
      <w:pPr>
        <w:pStyle w:val="Bibliography"/>
      </w:pPr>
      <w:r>
        <w:t xml:space="preserve">De Vos, K. (2015). Negative wholesale electricity prices in the German, French and Belgian day-ahead, intra-day and real-time markets.</w:t>
      </w:r>
      <w:r>
        <w:t xml:space="preserve"> </w:t>
      </w:r>
      <w:r>
        <w:rPr>
          <w:i/>
          <w:iCs/>
        </w:rPr>
        <w:t xml:space="preserve">The Electricity Journal</w:t>
      </w:r>
      <w:r>
        <w:t xml:space="preserve">,</w:t>
      </w:r>
      <w:r>
        <w:t xml:space="preserve"> </w:t>
      </w:r>
      <w:r>
        <w:rPr>
          <w:i/>
          <w:iCs/>
        </w:rPr>
        <w:t xml:space="preserve">28</w:t>
      </w:r>
      <w:r>
        <w:t xml:space="preserve">(4), 36–50. https://doi.org/10.1016/j.tej.2015.04.001</w:t>
      </w:r>
    </w:p>
    <w:p>
      <w:pPr>
        <w:pStyle w:val="Bibliography"/>
      </w:pPr>
      <w:r>
        <w:t xml:space="preserve">Dickey, D. A., &amp; Fuller, W. A. (1979). Distribution of the estimators for autoregressive time series with a unit root.</w:t>
      </w:r>
      <w:r>
        <w:t xml:space="preserve"> </w:t>
      </w:r>
      <w:r>
        <w:rPr>
          <w:i/>
          <w:iCs/>
        </w:rPr>
        <w:t xml:space="preserve">Journal of the American Statistical Association</w:t>
      </w:r>
      <w:r>
        <w:t xml:space="preserve">,</w:t>
      </w:r>
      <w:r>
        <w:t xml:space="preserve"> </w:t>
      </w:r>
      <w:r>
        <w:rPr>
          <w:i/>
          <w:iCs/>
        </w:rPr>
        <w:t xml:space="preserve">74</w:t>
      </w:r>
      <w:r>
        <w:t xml:space="preserve">(366), 427–431. https://doi.org/10.1080/01621459.1979.10482531</w:t>
      </w:r>
    </w:p>
    <w:p>
      <w:pPr>
        <w:pStyle w:val="Bibliography"/>
      </w:pPr>
      <w:r>
        <w:t xml:space="preserve">Diebold, F. X., &amp; Li, C. (2006). Forecasting the term structure of government bond yields.</w:t>
      </w:r>
      <w:r>
        <w:t xml:space="preserve"> </w:t>
      </w:r>
      <w:r>
        <w:rPr>
          <w:i/>
          <w:iCs/>
        </w:rPr>
        <w:t xml:space="preserve">Journal of Econometrics</w:t>
      </w:r>
      <w:r>
        <w:t xml:space="preserve">,</w:t>
      </w:r>
      <w:r>
        <w:t xml:space="preserve"> </w:t>
      </w:r>
      <w:r>
        <w:rPr>
          <w:i/>
          <w:iCs/>
        </w:rPr>
        <w:t xml:space="preserve">130</w:t>
      </w:r>
      <w:r>
        <w:t xml:space="preserve">(2), 337–364. https://doi.org/10.1016/j.jeconom.2005.03.005</w:t>
      </w:r>
    </w:p>
    <w:p>
      <w:pPr>
        <w:pStyle w:val="Bibliography"/>
      </w:pPr>
      <w:r>
        <w:t xml:space="preserve">Diebold, F. X., &amp; Mariano, R. S. (1995). Comparing predictive accuracy.</w:t>
      </w:r>
      <w:r>
        <w:t xml:space="preserve"> </w:t>
      </w:r>
      <w:r>
        <w:rPr>
          <w:i/>
          <w:iCs/>
        </w:rPr>
        <w:t xml:space="preserve">Journal of Business &amp; Economic Statistics</w:t>
      </w:r>
      <w:r>
        <w:t xml:space="preserve">,</w:t>
      </w:r>
      <w:r>
        <w:t xml:space="preserve"> </w:t>
      </w:r>
      <w:r>
        <w:rPr>
          <w:i/>
          <w:iCs/>
        </w:rPr>
        <w:t xml:space="preserve">13</w:t>
      </w:r>
      <w:r>
        <w:t xml:space="preserve">(3), 253–263. https://doi.org/10.1080/07350015.1995.10524599</w:t>
      </w:r>
    </w:p>
    <w:p>
      <w:pPr>
        <w:pStyle w:val="Bibliography"/>
      </w:pPr>
      <w:r>
        <w:t xml:space="preserve">Dixit, A. K., &amp; Pindyck, R. S. (1994).</w:t>
      </w:r>
      <w:r>
        <w:t xml:space="preserve"> </w:t>
      </w:r>
      <w:r>
        <w:rPr>
          <w:i/>
          <w:iCs/>
        </w:rPr>
        <w:t xml:space="preserve">Investment under uncertainty</w:t>
      </w:r>
      <w:r>
        <w:t xml:space="preserve">. Princeton University Press.</w:t>
      </w:r>
    </w:p>
    <w:p>
      <w:pPr>
        <w:pStyle w:val="Bibliography"/>
      </w:pPr>
      <w:r>
        <w:t xml:space="preserve">Dunbar, A. (2016).</w:t>
      </w:r>
      <w:r>
        <w:t xml:space="preserve"> </w:t>
      </w:r>
      <w:r>
        <w:rPr>
          <w:i/>
          <w:iCs/>
        </w:rPr>
        <w:t xml:space="preserve">Value of electrical energy storage: A comparison between commercial and system level benefits</w:t>
      </w:r>
      <w:r>
        <w:t xml:space="preserve"> </w:t>
      </w:r>
      <w:r>
        <w:t xml:space="preserve">[Doctoral dissertation, The University of Edinburgh]. Edinburgh Research Archive. https://hdl.handle.net/1842/25438</w:t>
      </w:r>
    </w:p>
    <w:p>
      <w:pPr>
        <w:pStyle w:val="Bibliography"/>
      </w:pPr>
      <w:r>
        <w:t xml:space="preserve">Ederington, L. H. (1979). The hedging performance of the new futures markets.</w:t>
      </w:r>
      <w:r>
        <w:t xml:space="preserve"> </w:t>
      </w:r>
      <w:r>
        <w:rPr>
          <w:i/>
          <w:iCs/>
        </w:rPr>
        <w:t xml:space="preserve">The Journal of Finance</w:t>
      </w:r>
      <w:r>
        <w:t xml:space="preserve">,</w:t>
      </w:r>
      <w:r>
        <w:t xml:space="preserve"> </w:t>
      </w:r>
      <w:r>
        <w:rPr>
          <w:i/>
          <w:iCs/>
        </w:rPr>
        <w:t xml:space="preserve">34</w:t>
      </w:r>
      <w:r>
        <w:t xml:space="preserve">(1), 157–170. https://doi.org/10.1111/j.1540-6261.1979.tb02077.x</w:t>
      </w:r>
    </w:p>
    <w:p>
      <w:pPr>
        <w:pStyle w:val="Bibliography"/>
      </w:pPr>
      <w:r>
        <w:t xml:space="preserve">Emmanuel, M., &amp; Denholm, P. (2022). A market feedback framework for improved estimates of the arbitrage value of energy storage using price-taker models.</w:t>
      </w:r>
      <w:r>
        <w:t xml:space="preserve"> </w:t>
      </w:r>
      <w:r>
        <w:rPr>
          <w:i/>
          <w:iCs/>
        </w:rPr>
        <w:t xml:space="preserve">Applied Energy</w:t>
      </w:r>
      <w:r>
        <w:t xml:space="preserve">,</w:t>
      </w:r>
      <w:r>
        <w:t xml:space="preserve"> </w:t>
      </w:r>
      <w:r>
        <w:rPr>
          <w:i/>
          <w:iCs/>
        </w:rPr>
        <w:t xml:space="preserve">310</w:t>
      </w:r>
      <w:r>
        <w:t xml:space="preserve">, Article 118250. https://doi.org/10.1016/j.apenergy.2021.118250</w:t>
      </w:r>
    </w:p>
    <w:p>
      <w:pPr>
        <w:pStyle w:val="Bibliography"/>
      </w:pPr>
      <w:r>
        <w:t xml:space="preserve">Fama, E. F. (1977). Risk-adjusted discount rates and capital budgeting under uncertainty.</w:t>
      </w:r>
      <w:r>
        <w:t xml:space="preserve"> </w:t>
      </w:r>
      <w:r>
        <w:rPr>
          <w:i/>
          <w:iCs/>
        </w:rPr>
        <w:t xml:space="preserve">Journal of Financial Economics</w:t>
      </w:r>
      <w:r>
        <w:t xml:space="preserve">,</w:t>
      </w:r>
      <w:r>
        <w:t xml:space="preserve"> </w:t>
      </w:r>
      <w:r>
        <w:rPr>
          <w:i/>
          <w:iCs/>
        </w:rPr>
        <w:t xml:space="preserve">5</w:t>
      </w:r>
      <w:r>
        <w:t xml:space="preserve">(1), 3–24. https://doi.org/10.1016/0304-405X(77)90027-7</w:t>
      </w:r>
    </w:p>
    <w:p>
      <w:pPr>
        <w:pStyle w:val="Bibliography"/>
      </w:pPr>
      <w:r>
        <w:t xml:space="preserve">Fanone, E., Gamba, A., &amp; Prokopczuk, M. (2013). The case of negative day-ahead electricity prices.</w:t>
      </w:r>
      <w:r>
        <w:t xml:space="preserve"> </w:t>
      </w:r>
      <w:r>
        <w:rPr>
          <w:i/>
          <w:iCs/>
        </w:rPr>
        <w:t xml:space="preserve">Energy Economics</w:t>
      </w:r>
      <w:r>
        <w:t xml:space="preserve">,</w:t>
      </w:r>
      <w:r>
        <w:t xml:space="preserve"> </w:t>
      </w:r>
      <w:r>
        <w:rPr>
          <w:i/>
          <w:iCs/>
        </w:rPr>
        <w:t xml:space="preserve">35</w:t>
      </w:r>
      <w:r>
        <w:t xml:space="preserve">, 22–34. https://doi.org/10.1016/j.eneco.2011.12.006</w:t>
      </w:r>
    </w:p>
    <w:p>
      <w:pPr>
        <w:pStyle w:val="Bibliography"/>
      </w:pPr>
      <w:r>
        <w:t xml:space="preserve">Fieller, E. C. (1954). Some problems in interval estimation.</w:t>
      </w:r>
      <w:r>
        <w:t xml:space="preserve"> </w:t>
      </w:r>
      <w:r>
        <w:rPr>
          <w:i/>
          <w:iCs/>
        </w:rPr>
        <w:t xml:space="preserve">Journal of the Royal Statistical Society: Series B (Methodological)</w:t>
      </w:r>
      <w:r>
        <w:t xml:space="preserve">,</w:t>
      </w:r>
      <w:r>
        <w:t xml:space="preserve"> </w:t>
      </w:r>
      <w:r>
        <w:rPr>
          <w:i/>
          <w:iCs/>
        </w:rPr>
        <w:t xml:space="preserve">16</w:t>
      </w:r>
      <w:r>
        <w:t xml:space="preserve">(2), 175–185. https://doi.org/10.1111/j.2517-6161.1954.tb00159.x</w:t>
      </w:r>
    </w:p>
    <w:p>
      <w:pPr>
        <w:pStyle w:val="Bibliography"/>
      </w:pPr>
      <w:r>
        <w:t xml:space="preserve">Fleten, S.-E., Linnerud, K., Molnár, P., &amp; Tandberg Nygaard, M. (2016). Green electricity investment timing in practice: Real options or net present value?</w:t>
      </w:r>
      <w:r>
        <w:t xml:space="preserve"> </w:t>
      </w:r>
      <w:r>
        <w:rPr>
          <w:i/>
          <w:iCs/>
        </w:rPr>
        <w:t xml:space="preserve">Energy</w:t>
      </w:r>
      <w:r>
        <w:t xml:space="preserve">,</w:t>
      </w:r>
      <w:r>
        <w:t xml:space="preserve"> </w:t>
      </w:r>
      <w:r>
        <w:rPr>
          <w:i/>
          <w:iCs/>
        </w:rPr>
        <w:t xml:space="preserve">116</w:t>
      </w:r>
      <w:r>
        <w:t xml:space="preserve">(Part 1), 498–506. https://doi.org/10.1016/j.energy.2016.09.114</w:t>
      </w:r>
    </w:p>
    <w:p>
      <w:pPr>
        <w:pStyle w:val="Bibliography"/>
      </w:pPr>
      <w:r>
        <w:t xml:space="preserve">Fudenberg, D., &amp; Tirole, J. (1985). Preemption and rent equalization in the adoption of new technology.</w:t>
      </w:r>
      <w:r>
        <w:t xml:space="preserve"> </w:t>
      </w:r>
      <w:r>
        <w:rPr>
          <w:i/>
          <w:iCs/>
        </w:rPr>
        <w:t xml:space="preserve">The Review of Economic Studies</w:t>
      </w:r>
      <w:r>
        <w:t xml:space="preserve">,</w:t>
      </w:r>
      <w:r>
        <w:t xml:space="preserve"> </w:t>
      </w:r>
      <w:r>
        <w:rPr>
          <w:i/>
          <w:iCs/>
        </w:rPr>
        <w:t xml:space="preserve">52</w:t>
      </w:r>
      <w:r>
        <w:t xml:space="preserve">(3), 383–401. https://doi.org/10.2307/2297660</w:t>
      </w:r>
    </w:p>
    <w:p>
      <w:pPr>
        <w:pStyle w:val="Bibliography"/>
      </w:pPr>
      <w:r>
        <w:t xml:space="preserve">Fuke, N., &amp; Ohashi, K. (2025). Seasonal variation in the impact of solar power generation on electricity price level and variability.</w:t>
      </w:r>
      <w:r>
        <w:t xml:space="preserve"> </w:t>
      </w:r>
      <w:r>
        <w:rPr>
          <w:i/>
          <w:iCs/>
        </w:rPr>
        <w:t xml:space="preserve">Journal of Commodity Markets</w:t>
      </w:r>
      <w:r>
        <w:t xml:space="preserve">,</w:t>
      </w:r>
      <w:r>
        <w:t xml:space="preserve"> </w:t>
      </w:r>
      <w:r>
        <w:rPr>
          <w:i/>
          <w:iCs/>
        </w:rPr>
        <w:t xml:space="preserve">40</w:t>
      </w:r>
      <w:r>
        <w:t xml:space="preserve">, Article 100521. https://doi.org/10.1016/j.jcomm.2025.100521</w:t>
      </w:r>
    </w:p>
    <w:p>
      <w:pPr>
        <w:pStyle w:val="Bibliography"/>
      </w:pPr>
      <w:r>
        <w:t xml:space="preserve">Giacomini, R., &amp; White, H. (2006). Tests of conditional predictive ability.</w:t>
      </w:r>
      <w:r>
        <w:t xml:space="preserve"> </w:t>
      </w:r>
      <w:r>
        <w:rPr>
          <w:i/>
          <w:iCs/>
        </w:rPr>
        <w:t xml:space="preserve">Econometrica</w:t>
      </w:r>
      <w:r>
        <w:t xml:space="preserve">,</w:t>
      </w:r>
      <w:r>
        <w:t xml:space="preserve"> </w:t>
      </w:r>
      <w:r>
        <w:rPr>
          <w:i/>
          <w:iCs/>
        </w:rPr>
        <w:t xml:space="preserve">74</w:t>
      </w:r>
      <w:r>
        <w:t xml:space="preserve">(6), 1545–1578. https://doi.org/10.1111/j.1468-0262.2006.00718.x</w:t>
      </w:r>
    </w:p>
    <w:p>
      <w:pPr>
        <w:pStyle w:val="Bibliography"/>
      </w:pPr>
      <w:r>
        <w:t xml:space="preserve">Gohdes, N., Simshauser, P., &amp; Wilson, C. (2022). Renewable entry costs, project finance and the role of revenue quality in Australia’s National Electricity Market.</w:t>
      </w:r>
      <w:r>
        <w:t xml:space="preserve"> </w:t>
      </w:r>
      <w:r>
        <w:rPr>
          <w:i/>
          <w:iCs/>
        </w:rPr>
        <w:t xml:space="preserve">Energy Economics</w:t>
      </w:r>
      <w:r>
        <w:t xml:space="preserve">,</w:t>
      </w:r>
      <w:r>
        <w:t xml:space="preserve"> </w:t>
      </w:r>
      <w:r>
        <w:rPr>
          <w:i/>
          <w:iCs/>
        </w:rPr>
        <w:t xml:space="preserve">114</w:t>
      </w:r>
      <w:r>
        <w:t xml:space="preserve">, Article 106312. </w:t>
      </w:r>
      <w:r>
        <w:rPr>
          <w:rFonts w:hint="eastAsia"/>
        </w:rPr>
        <w:t xml:space="preserve">https://doi.org/10.1016/j.eneco.2022.106312（資本構成の調査値は、Working</w:t>
      </w:r>
      <w:r>
        <w:t xml:space="preserve"> Paper </w:t>
      </w:r>
      <w:r>
        <w:rPr>
          <w:rFonts w:hint="eastAsia"/>
        </w:rPr>
        <w:t xml:space="preserve">版〔Gohdes</w:t>
      </w:r>
      <w:r>
        <w:t xml:space="preserve"> &amp; Simshauser, EPRG Working Paper 2204〕の Table 3 </w:t>
      </w:r>
      <w:r>
        <w:rPr>
          <w:rFonts w:hint="eastAsia"/>
        </w:rPr>
        <w:t xml:space="preserve">による）</w:t>
      </w:r>
    </w:p>
    <w:p>
      <w:pPr>
        <w:pStyle w:val="Bibliography"/>
      </w:pPr>
      <w:r>
        <w:t xml:space="preserve">Grenadier, S. R. (2002). Option exercise games: An application to the equilibrium investment strategies of firms.</w:t>
      </w:r>
      <w:r>
        <w:t xml:space="preserve"> </w:t>
      </w:r>
      <w:r>
        <w:rPr>
          <w:i/>
          <w:iCs/>
        </w:rPr>
        <w:t xml:space="preserve">The Review of Financial Studies</w:t>
      </w:r>
      <w:r>
        <w:t xml:space="preserve">,</w:t>
      </w:r>
      <w:r>
        <w:t xml:space="preserve"> </w:t>
      </w:r>
      <w:r>
        <w:rPr>
          <w:i/>
          <w:iCs/>
        </w:rPr>
        <w:t xml:space="preserve">15</w:t>
      </w:r>
      <w:r>
        <w:t xml:space="preserve">(3), 691–721. https://doi.org/10.1093/rfs/15.3.691</w:t>
      </w:r>
    </w:p>
    <w:p>
      <w:pPr>
        <w:pStyle w:val="Bibliography"/>
      </w:pPr>
      <w:r>
        <w:t xml:space="preserve">Grimaldi, A., Minuto, F. D., Perol, A., Casagrande, S., &amp; Lanzini, A. (2025). Techno-economic optimization of utility-scale battery storage integration with a wind farm for wholesale energy arbitrage considering wind curtailment and battery degradation.</w:t>
      </w:r>
      <w:r>
        <w:t xml:space="preserve"> </w:t>
      </w:r>
      <w:r>
        <w:rPr>
          <w:i/>
          <w:iCs/>
        </w:rPr>
        <w:t xml:space="preserve">Journal of Energy Storage</w:t>
      </w:r>
      <w:r>
        <w:t xml:space="preserve">,</w:t>
      </w:r>
      <w:r>
        <w:t xml:space="preserve"> </w:t>
      </w:r>
      <w:r>
        <w:rPr>
          <w:i/>
          <w:iCs/>
        </w:rPr>
        <w:t xml:space="preserve">112</w:t>
      </w:r>
      <w:r>
        <w:t xml:space="preserve">, Article 115500. https://doi.org/10.1016/j.est.2025.115500</w:t>
      </w:r>
    </w:p>
    <w:p>
      <w:pPr>
        <w:pStyle w:val="Bibliography"/>
      </w:pPr>
      <w:r>
        <w:t xml:space="preserve">Hagfors, L. I., Kamperud, H. H., Paraschiv, F., Prokopczuk, M., Sator, A., &amp; Westgaard, S. (2016). Prediction of extreme price occurrences in the German day-ahead electricity market.</w:t>
      </w:r>
      <w:r>
        <w:t xml:space="preserve"> </w:t>
      </w:r>
      <w:r>
        <w:rPr>
          <w:i/>
          <w:iCs/>
        </w:rPr>
        <w:t xml:space="preserve">Quantitative Finance</w:t>
      </w:r>
      <w:r>
        <w:t xml:space="preserve">,</w:t>
      </w:r>
      <w:r>
        <w:t xml:space="preserve"> </w:t>
      </w:r>
      <w:r>
        <w:rPr>
          <w:i/>
          <w:iCs/>
        </w:rPr>
        <w:t xml:space="preserve">16</w:t>
      </w:r>
      <w:r>
        <w:t xml:space="preserve">(12), 1929–1948. https://doi.org/10.1080/14697688.2016.1211794</w:t>
      </w:r>
    </w:p>
    <w:p>
      <w:pPr>
        <w:pStyle w:val="Bibliography"/>
      </w:pPr>
      <w:r>
        <w:t xml:space="preserve">Handschy, M. A., Rose, S., &amp; Apt, J. (2017). Is it always windy somewhere? Occurrence of low-wind-power events over large areas.</w:t>
      </w:r>
      <w:r>
        <w:t xml:space="preserve"> </w:t>
      </w:r>
      <w:r>
        <w:rPr>
          <w:i/>
          <w:iCs/>
        </w:rPr>
        <w:t xml:space="preserve">Renewable Energy</w:t>
      </w:r>
      <w:r>
        <w:t xml:space="preserve">,</w:t>
      </w:r>
      <w:r>
        <w:t xml:space="preserve"> </w:t>
      </w:r>
      <w:r>
        <w:rPr>
          <w:i/>
          <w:iCs/>
        </w:rPr>
        <w:t xml:space="preserve">101</w:t>
      </w:r>
      <w:r>
        <w:t xml:space="preserve">, 1124–1130. https://doi.org/10.1016/j.renene.2016.10.004</w:t>
      </w:r>
    </w:p>
    <w:p>
      <w:pPr>
        <w:pStyle w:val="Bibliography"/>
      </w:pPr>
      <w:r>
        <w:t xml:space="preserve">Hansen, P. R. (2005). A test for superior predictive ability.</w:t>
      </w:r>
      <w:r>
        <w:t xml:space="preserve"> </w:t>
      </w:r>
      <w:r>
        <w:rPr>
          <w:i/>
          <w:iCs/>
        </w:rPr>
        <w:t xml:space="preserve">Journal of Business &amp; Economic Statistics</w:t>
      </w:r>
      <w:r>
        <w:t xml:space="preserve">,</w:t>
      </w:r>
      <w:r>
        <w:t xml:space="preserve"> </w:t>
      </w:r>
      <w:r>
        <w:rPr>
          <w:i/>
          <w:iCs/>
        </w:rPr>
        <w:t xml:space="preserve">23</w:t>
      </w:r>
      <w:r>
        <w:t xml:space="preserve">(4), 365–380. https://doi.org/10.1198/073500105000000063</w:t>
      </w:r>
    </w:p>
    <w:p>
      <w:pPr>
        <w:pStyle w:val="Bibliography"/>
      </w:pPr>
      <w:r>
        <w:t xml:space="preserve">Hansen, P. R., Lunde, A., &amp; Nason, J. M. (2011). The model confidence set.</w:t>
      </w:r>
      <w:r>
        <w:t xml:space="preserve"> </w:t>
      </w:r>
      <w:r>
        <w:rPr>
          <w:i/>
          <w:iCs/>
        </w:rPr>
        <w:t xml:space="preserve">Econometrica</w:t>
      </w:r>
      <w:r>
        <w:t xml:space="preserve">,</w:t>
      </w:r>
      <w:r>
        <w:t xml:space="preserve"> </w:t>
      </w:r>
      <w:r>
        <w:rPr>
          <w:i/>
          <w:iCs/>
        </w:rPr>
        <w:t xml:space="preserve">79</w:t>
      </w:r>
      <w:r>
        <w:t xml:space="preserve">(2), 453–497. https://doi.org/10.3982/ECTA5771</w:t>
      </w:r>
    </w:p>
    <w:p>
      <w:pPr>
        <w:pStyle w:val="Bibliography"/>
      </w:pPr>
      <w:r>
        <w:t xml:space="preserve">Harvey, D., Leybourne, S., &amp; Newbold, P. (1997). Testing the equality of prediction mean squared errors.</w:t>
      </w:r>
      <w:r>
        <w:t xml:space="preserve"> </w:t>
      </w:r>
      <w:r>
        <w:rPr>
          <w:i/>
          <w:iCs/>
        </w:rPr>
        <w:t xml:space="preserve">International Journal of Forecasting</w:t>
      </w:r>
      <w:r>
        <w:t xml:space="preserve">,</w:t>
      </w:r>
      <w:r>
        <w:t xml:space="preserve"> </w:t>
      </w:r>
      <w:r>
        <w:rPr>
          <w:i/>
          <w:iCs/>
        </w:rPr>
        <w:t xml:space="preserve">13</w:t>
      </w:r>
      <w:r>
        <w:t xml:space="preserve">(2), 281–291. https://doi.org/10.1016/S0169-2070(96)00719-4</w:t>
      </w:r>
    </w:p>
    <w:p>
      <w:pPr>
        <w:pStyle w:val="Bibliography"/>
      </w:pPr>
      <w:r>
        <w:t xml:space="preserve">Hirth, L. (2013). The market value of variable renewables: The effect of solar wind power variability on their relative price.</w:t>
      </w:r>
      <w:r>
        <w:t xml:space="preserve"> </w:t>
      </w:r>
      <w:r>
        <w:rPr>
          <w:i/>
          <w:iCs/>
        </w:rPr>
        <w:t xml:space="preserve">Energy Economics</w:t>
      </w:r>
      <w:r>
        <w:t xml:space="preserve">,</w:t>
      </w:r>
      <w:r>
        <w:t xml:space="preserve"> </w:t>
      </w:r>
      <w:r>
        <w:rPr>
          <w:i/>
          <w:iCs/>
        </w:rPr>
        <w:t xml:space="preserve">38</w:t>
      </w:r>
      <w:r>
        <w:t xml:space="preserve">, 218–236. https://doi.org/10.1016/j.eneco.2013.02.004</w:t>
      </w:r>
    </w:p>
    <w:p>
      <w:pPr>
        <w:pStyle w:val="Bibliography"/>
      </w:pPr>
      <w:r>
        <w:t xml:space="preserve">Holm, S. (1979). A simple sequentially rejective multiple test procedure.</w:t>
      </w:r>
      <w:r>
        <w:t xml:space="preserve"> </w:t>
      </w:r>
      <w:r>
        <w:rPr>
          <w:i/>
          <w:iCs/>
        </w:rPr>
        <w:t xml:space="preserve">Scandinavian Journal of Statistics</w:t>
      </w:r>
      <w:r>
        <w:t xml:space="preserve">,</w:t>
      </w:r>
      <w:r>
        <w:t xml:space="preserve"> </w:t>
      </w:r>
      <w:r>
        <w:rPr>
          <w:i/>
          <w:iCs/>
        </w:rPr>
        <w:t xml:space="preserve">6</w:t>
      </w:r>
      <w:r>
        <w:t xml:space="preserve">(2), 65–70. https://www.jstor.org/stable/4615733</w:t>
      </w:r>
    </w:p>
    <w:p>
      <w:pPr>
        <w:pStyle w:val="Bibliography"/>
      </w:pPr>
      <w:r>
        <w:t xml:space="preserve">Hou, S., &amp; Bunn, D. (2024). Daily episodic and continuous arbitrage trading with electric batteries.</w:t>
      </w:r>
      <w:r>
        <w:t xml:space="preserve"> </w:t>
      </w:r>
      <w:r>
        <w:rPr>
          <w:i/>
          <w:iCs/>
        </w:rPr>
        <w:t xml:space="preserve">The Energy Journal</w:t>
      </w:r>
      <w:r>
        <w:t xml:space="preserve">,</w:t>
      </w:r>
      <w:r>
        <w:t xml:space="preserve"> </w:t>
      </w:r>
      <w:r>
        <w:rPr>
          <w:i/>
          <w:iCs/>
        </w:rPr>
        <w:t xml:space="preserve">45</w:t>
      </w:r>
      <w:r>
        <w:t xml:space="preserve">(4), 179–194. https://doi.org/10.1177/01956574241281143</w:t>
      </w:r>
    </w:p>
    <w:p>
      <w:pPr>
        <w:pStyle w:val="Bibliography"/>
      </w:pPr>
      <w:r>
        <w:t xml:space="preserve">Howison, S. (2007). A matched asymptotic expansions approach to continuity corrections for discretely sampled options. Part 2: Bermudan options.</w:t>
      </w:r>
      <w:r>
        <w:t xml:space="preserve"> </w:t>
      </w:r>
      <w:r>
        <w:rPr>
          <w:i/>
          <w:iCs/>
        </w:rPr>
        <w:t xml:space="preserve">Applied Mathematical Finance</w:t>
      </w:r>
      <w:r>
        <w:t xml:space="preserve">,</w:t>
      </w:r>
      <w:r>
        <w:t xml:space="preserve"> </w:t>
      </w:r>
      <w:r>
        <w:rPr>
          <w:i/>
          <w:iCs/>
        </w:rPr>
        <w:t xml:space="preserve">14</w:t>
      </w:r>
      <w:r>
        <w:t xml:space="preserve">(1), 91–104. https://doi.org/10.1080/13504860600858410</w:t>
      </w:r>
    </w:p>
    <w:p>
      <w:pPr>
        <w:pStyle w:val="Bibliography"/>
      </w:pPr>
      <w:r>
        <w:t xml:space="preserve">Ikeda, S. S. (2019). Illiquidity in the Japan Electric Power Exchange.</w:t>
      </w:r>
      <w:r>
        <w:t xml:space="preserve"> </w:t>
      </w:r>
      <w:r>
        <w:rPr>
          <w:i/>
          <w:iCs/>
        </w:rPr>
        <w:t xml:space="preserve">Journal of Commodity Markets</w:t>
      </w:r>
      <w:r>
        <w:t xml:space="preserve">,</w:t>
      </w:r>
      <w:r>
        <w:t xml:space="preserve"> </w:t>
      </w:r>
      <w:r>
        <w:rPr>
          <w:i/>
          <w:iCs/>
        </w:rPr>
        <w:t xml:space="preserve">14</w:t>
      </w:r>
      <w:r>
        <w:t xml:space="preserve">, 16–39. https://doi.org/10.1016/j.jcomm.2018.08.001</w:t>
      </w:r>
    </w:p>
    <w:p>
      <w:pPr>
        <w:pStyle w:val="Bibliography"/>
      </w:pPr>
      <w:r>
        <w:t xml:space="preserve">Jiang, D. R., &amp; Powell, W. B. (2015). Optimal hour-ahead bidding in the real-time electricity market with battery storage using approximate dynamic programming.</w:t>
      </w:r>
      <w:r>
        <w:t xml:space="preserve"> </w:t>
      </w:r>
      <w:r>
        <w:rPr>
          <w:i/>
          <w:iCs/>
        </w:rPr>
        <w:t xml:space="preserve">INFORMS Journal on Computing</w:t>
      </w:r>
      <w:r>
        <w:t xml:space="preserve">,</w:t>
      </w:r>
      <w:r>
        <w:t xml:space="preserve"> </w:t>
      </w:r>
      <w:r>
        <w:rPr>
          <w:i/>
          <w:iCs/>
        </w:rPr>
        <w:t xml:space="preserve">27</w:t>
      </w:r>
      <w:r>
        <w:t xml:space="preserve">(3), 525–543. https://doi.org/10.1287/ijoc.2015.0640</w:t>
      </w:r>
    </w:p>
    <w:p>
      <w:pPr>
        <w:pStyle w:val="Bibliography"/>
      </w:pPr>
      <w:r>
        <w:t xml:space="preserve">Jorgenson, D. W. (1963). Capital theory and investment behavior.</w:t>
      </w:r>
      <w:r>
        <w:t xml:space="preserve"> </w:t>
      </w:r>
      <w:r>
        <w:rPr>
          <w:i/>
          <w:iCs/>
        </w:rPr>
        <w:t xml:space="preserve">The American Economic Review</w:t>
      </w:r>
      <w:r>
        <w:t xml:space="preserve">,</w:t>
      </w:r>
      <w:r>
        <w:t xml:space="preserve"> </w:t>
      </w:r>
      <w:r>
        <w:rPr>
          <w:i/>
          <w:iCs/>
        </w:rPr>
        <w:t xml:space="preserve">53</w:t>
      </w:r>
      <w:r>
        <w:t xml:space="preserve">(2), 247–259.</w:t>
      </w:r>
    </w:p>
    <w:p>
      <w:pPr>
        <w:pStyle w:val="Bibliography"/>
      </w:pPr>
      <w:r>
        <w:t xml:space="preserve">Kanamura, T., &amp; Bunn, D. W. (2022). Market making and electricity price formation in Japan.</w:t>
      </w:r>
      <w:r>
        <w:t xml:space="preserve"> </w:t>
      </w:r>
      <w:r>
        <w:rPr>
          <w:i/>
          <w:iCs/>
        </w:rPr>
        <w:t xml:space="preserve">Energy Economics</w:t>
      </w:r>
      <w:r>
        <w:t xml:space="preserve">,</w:t>
      </w:r>
      <w:r>
        <w:t xml:space="preserve"> </w:t>
      </w:r>
      <w:r>
        <w:rPr>
          <w:i/>
          <w:iCs/>
        </w:rPr>
        <w:t xml:space="preserve">107</w:t>
      </w:r>
      <w:r>
        <w:t xml:space="preserve">, Article 105765. https://doi.org/10.1016/j.eneco.2021.105765</w:t>
      </w:r>
    </w:p>
    <w:p>
      <w:pPr>
        <w:pStyle w:val="Bibliography"/>
      </w:pPr>
      <w:r>
        <w:t xml:space="preserve">Kanamura, T., &amp; Ohashi, K. (2007). A structural model for electricity prices with spikes: Measurement of spike risk and optimal policies for hydropower plant operation.</w:t>
      </w:r>
      <w:r>
        <w:t xml:space="preserve"> </w:t>
      </w:r>
      <w:r>
        <w:rPr>
          <w:i/>
          <w:iCs/>
        </w:rPr>
        <w:t xml:space="preserve">Energy Economics</w:t>
      </w:r>
      <w:r>
        <w:t xml:space="preserve">,</w:t>
      </w:r>
      <w:r>
        <w:t xml:space="preserve"> </w:t>
      </w:r>
      <w:r>
        <w:rPr>
          <w:i/>
          <w:iCs/>
        </w:rPr>
        <w:t xml:space="preserve">29</w:t>
      </w:r>
      <w:r>
        <w:t xml:space="preserve">(5), 1010–1032. https://doi.org/10.1016/j.eneco.2006.05.012</w:t>
      </w:r>
    </w:p>
    <w:p>
      <w:pPr>
        <w:pStyle w:val="Bibliography"/>
      </w:pPr>
      <w:r>
        <w:t xml:space="preserve">Karaduman, Ö. (2023).</w:t>
      </w:r>
      <w:r>
        <w:t xml:space="preserve"> </w:t>
      </w:r>
      <w:r>
        <w:rPr>
          <w:i/>
          <w:iCs/>
        </w:rPr>
        <w:t xml:space="preserve">Economics of grid-scale energy storage in wholesale electricity markets</w:t>
      </w:r>
      <w:r>
        <w:t xml:space="preserve"> </w:t>
      </w:r>
      <w:r>
        <w:t xml:space="preserve">(Working paper). Stanford Graduate School of Business. https://gsb-faculty.stanford.edu/omer-karaduman/files/2022/09/Economics-of-Grid-Scale-Energy-Storage.pdf</w:t>
      </w:r>
    </w:p>
    <w:p>
      <w:pPr>
        <w:pStyle w:val="Bibliography"/>
      </w:pPr>
      <w:r>
        <w:t xml:space="preserve">Ketterer, J. C. (2014). The impact of wind power generation on the electricity price in Germany.</w:t>
      </w:r>
      <w:r>
        <w:t xml:space="preserve"> </w:t>
      </w:r>
      <w:r>
        <w:rPr>
          <w:i/>
          <w:iCs/>
        </w:rPr>
        <w:t xml:space="preserve">Energy Economics</w:t>
      </w:r>
      <w:r>
        <w:t xml:space="preserve">,</w:t>
      </w:r>
      <w:r>
        <w:t xml:space="preserve"> </w:t>
      </w:r>
      <w:r>
        <w:rPr>
          <w:i/>
          <w:iCs/>
        </w:rPr>
        <w:t xml:space="preserve">44</w:t>
      </w:r>
      <w:r>
        <w:t xml:space="preserve">, 270–280. https://doi.org/10.1016/j.eneco.2014.04.003</w:t>
      </w:r>
    </w:p>
    <w:p>
      <w:pPr>
        <w:pStyle w:val="Bibliography"/>
      </w:pPr>
      <w:r>
        <w:t xml:space="preserve">Kiefer, N. M., &amp; Vogelsang, T. J. (2005). A new asymptotic theory for heteroskedasticity-autocorrelation robust tests.</w:t>
      </w:r>
      <w:r>
        <w:t xml:space="preserve"> </w:t>
      </w:r>
      <w:r>
        <w:rPr>
          <w:i/>
          <w:iCs/>
        </w:rPr>
        <w:t xml:space="preserve">Econometric Theory</w:t>
      </w:r>
      <w:r>
        <w:t xml:space="preserve">,</w:t>
      </w:r>
      <w:r>
        <w:t xml:space="preserve"> </w:t>
      </w:r>
      <w:r>
        <w:rPr>
          <w:i/>
          <w:iCs/>
        </w:rPr>
        <w:t xml:space="preserve">21</w:t>
      </w:r>
      <w:r>
        <w:t xml:space="preserve">(6), 1130–1164. https://doi.org/10.1017/S0266466605050565</w:t>
      </w:r>
    </w:p>
    <w:p>
      <w:pPr>
        <w:pStyle w:val="Bibliography"/>
      </w:pPr>
      <w:r>
        <w:t xml:space="preserve">Koekebakker, S., &amp; Ollmar, F. (2005). Forward curve dynamics in the Nordic electricity market.</w:t>
      </w:r>
      <w:r>
        <w:t xml:space="preserve"> </w:t>
      </w:r>
      <w:r>
        <w:rPr>
          <w:i/>
          <w:iCs/>
        </w:rPr>
        <w:t xml:space="preserve">Managerial Finance</w:t>
      </w:r>
      <w:r>
        <w:t xml:space="preserve">,</w:t>
      </w:r>
      <w:r>
        <w:t xml:space="preserve"> </w:t>
      </w:r>
      <w:r>
        <w:rPr>
          <w:i/>
          <w:iCs/>
        </w:rPr>
        <w:t xml:space="preserve">31</w:t>
      </w:r>
      <w:r>
        <w:t xml:space="preserve">(6), 73–94. https://doi.org/10.1108/03074350510769703</w:t>
      </w:r>
    </w:p>
    <w:p>
      <w:pPr>
        <w:pStyle w:val="Bibliography"/>
      </w:pPr>
      <w:r>
        <w:t xml:space="preserve">Koenker, R., &amp; Bassett, G. (1978). Regression quantiles.</w:t>
      </w:r>
      <w:r>
        <w:t xml:space="preserve"> </w:t>
      </w:r>
      <w:r>
        <w:rPr>
          <w:i/>
          <w:iCs/>
        </w:rPr>
        <w:t xml:space="preserve">Econometrica</w:t>
      </w:r>
      <w:r>
        <w:t xml:space="preserve">,</w:t>
      </w:r>
      <w:r>
        <w:t xml:space="preserve"> </w:t>
      </w:r>
      <w:r>
        <w:rPr>
          <w:i/>
          <w:iCs/>
        </w:rPr>
        <w:t xml:space="preserve">46</w:t>
      </w:r>
      <w:r>
        <w:t xml:space="preserve">(1), 33–50. https://doi.org/10.2307/1913643</w:t>
      </w:r>
    </w:p>
    <w:p>
      <w:pPr>
        <w:pStyle w:val="Bibliography"/>
      </w:pPr>
      <w:r>
        <w:t xml:space="preserve">Künsch, H. R. (1989). The jackknife and the bootstrap for general stationary observations.</w:t>
      </w:r>
      <w:r>
        <w:t xml:space="preserve"> </w:t>
      </w:r>
      <w:r>
        <w:rPr>
          <w:i/>
          <w:iCs/>
        </w:rPr>
        <w:t xml:space="preserve">The Annals of Statistics</w:t>
      </w:r>
      <w:r>
        <w:t xml:space="preserve">,</w:t>
      </w:r>
      <w:r>
        <w:t xml:space="preserve"> </w:t>
      </w:r>
      <w:r>
        <w:rPr>
          <w:i/>
          <w:iCs/>
        </w:rPr>
        <w:t xml:space="preserve">17</w:t>
      </w:r>
      <w:r>
        <w:t xml:space="preserve">(3), 1217–1241. https://doi.org/10.1214/aos/1176347265</w:t>
      </w:r>
    </w:p>
    <w:p>
      <w:pPr>
        <w:pStyle w:val="Bibliography"/>
      </w:pPr>
      <w:r>
        <w:t xml:space="preserve">Kwiatkowski, D., Phillips, P. C. B., Schmidt, P., &amp; Shin, Y. (1992). Testing the null hypothesis of stationarity against the alternative of a unit root.</w:t>
      </w:r>
      <w:r>
        <w:t xml:space="preserve"> </w:t>
      </w:r>
      <w:r>
        <w:rPr>
          <w:i/>
          <w:iCs/>
        </w:rPr>
        <w:t xml:space="preserve">Journal of Econometrics</w:t>
      </w:r>
      <w:r>
        <w:t xml:space="preserve">,</w:t>
      </w:r>
      <w:r>
        <w:t xml:space="preserve"> </w:t>
      </w:r>
      <w:r>
        <w:rPr>
          <w:i/>
          <w:iCs/>
        </w:rPr>
        <w:t xml:space="preserve">54</w:t>
      </w:r>
      <w:r>
        <w:t xml:space="preserve">(1–3), 159–178. https://doi.org/10.1016/0304-4076(92)90104-Y</w:t>
      </w:r>
    </w:p>
    <w:p>
      <w:pPr>
        <w:pStyle w:val="Bibliography"/>
      </w:pPr>
      <w:r>
        <w:t xml:space="preserve">Kyle, A. S. (1985). Continuous auctions and insider trading.</w:t>
      </w:r>
      <w:r>
        <w:t xml:space="preserve"> </w:t>
      </w:r>
      <w:r>
        <w:rPr>
          <w:i/>
          <w:iCs/>
        </w:rPr>
        <w:t xml:space="preserve">Econometrica</w:t>
      </w:r>
      <w:r>
        <w:t xml:space="preserve">,</w:t>
      </w:r>
      <w:r>
        <w:t xml:space="preserve"> </w:t>
      </w:r>
      <w:r>
        <w:rPr>
          <w:i/>
          <w:iCs/>
        </w:rPr>
        <w:t xml:space="preserve">53</w:t>
      </w:r>
      <w:r>
        <w:t xml:space="preserve">(6), 1315–1335. https://doi.org/10.2307/1913210</w:t>
      </w:r>
    </w:p>
    <w:p>
      <w:pPr>
        <w:pStyle w:val="Bibliography"/>
      </w:pPr>
      <w:r>
        <w:t xml:space="preserve">Kyritsis, E., Andersson, J., &amp; Serletis, A. (2017). Electricity prices, large-scale renewable integration, and policy implications.</w:t>
      </w:r>
      <w:r>
        <w:t xml:space="preserve"> </w:t>
      </w:r>
      <w:r>
        <w:rPr>
          <w:i/>
          <w:iCs/>
        </w:rPr>
        <w:t xml:space="preserve">Energy Policy</w:t>
      </w:r>
      <w:r>
        <w:t xml:space="preserve">,</w:t>
      </w:r>
      <w:r>
        <w:t xml:space="preserve"> </w:t>
      </w:r>
      <w:r>
        <w:rPr>
          <w:i/>
          <w:iCs/>
        </w:rPr>
        <w:t xml:space="preserve">101</w:t>
      </w:r>
      <w:r>
        <w:t xml:space="preserve">, 550–560. https://doi.org/10.1016/j.enpol.2016.11.014</w:t>
      </w:r>
    </w:p>
    <w:p>
      <w:pPr>
        <w:pStyle w:val="Bibliography"/>
      </w:pPr>
      <w:r>
        <w:t xml:space="preserve">Lago, J., Marcjasz, G., De Schutter, B., &amp; Weron, R. (2021). Forecasting day-ahead electricity prices: A review of state-of-the-art algorithms, best practices and an open-access benchmark.</w:t>
      </w:r>
      <w:r>
        <w:t xml:space="preserve"> </w:t>
      </w:r>
      <w:r>
        <w:rPr>
          <w:i/>
          <w:iCs/>
        </w:rPr>
        <w:t xml:space="preserve">Applied Energy</w:t>
      </w:r>
      <w:r>
        <w:t xml:space="preserve">,</w:t>
      </w:r>
      <w:r>
        <w:t xml:space="preserve"> </w:t>
      </w:r>
      <w:r>
        <w:rPr>
          <w:i/>
          <w:iCs/>
        </w:rPr>
        <w:t xml:space="preserve">293</w:t>
      </w:r>
      <w:r>
        <w:t xml:space="preserve">, Article 116983. https://doi.org/10.1016/j.apenergy.2021.116983</w:t>
      </w:r>
    </w:p>
    <w:p>
      <w:pPr>
        <w:pStyle w:val="Bibliography"/>
      </w:pPr>
      <w:r>
        <w:t xml:space="preserve">Lai, G., Margot, F., &amp; Secomandi, N. (2010). An approximate dynamic programming approach to benchmark practice-based heuristics for natural gas storage valuation.</w:t>
      </w:r>
      <w:r>
        <w:t xml:space="preserve"> </w:t>
      </w:r>
      <w:r>
        <w:rPr>
          <w:i/>
          <w:iCs/>
        </w:rPr>
        <w:t xml:space="preserve">Operations Research</w:t>
      </w:r>
      <w:r>
        <w:t xml:space="preserve">,</w:t>
      </w:r>
      <w:r>
        <w:t xml:space="preserve"> </w:t>
      </w:r>
      <w:r>
        <w:rPr>
          <w:i/>
          <w:iCs/>
        </w:rPr>
        <w:t xml:space="preserve">58</w:t>
      </w:r>
      <w:r>
        <w:t xml:space="preserve">(3), 564–582. https://doi.org/10.1287/opre.1090.0768</w:t>
      </w:r>
    </w:p>
    <w:p>
      <w:pPr>
        <w:pStyle w:val="Bibliography"/>
      </w:pPr>
      <w:r>
        <w:t xml:space="preserve">Lamont, A. D. (2013). Assessing the economic value and optimal structure of large-scale electricity storage.</w:t>
      </w:r>
      <w:r>
        <w:t xml:space="preserve"> </w:t>
      </w:r>
      <w:r>
        <w:rPr>
          <w:i/>
          <w:iCs/>
        </w:rPr>
        <w:t xml:space="preserve">IEEE Transactions on Power Systems</w:t>
      </w:r>
      <w:r>
        <w:t xml:space="preserve">,</w:t>
      </w:r>
      <w:r>
        <w:t xml:space="preserve"> </w:t>
      </w:r>
      <w:r>
        <w:rPr>
          <w:i/>
          <w:iCs/>
        </w:rPr>
        <w:t xml:space="preserve">28</w:t>
      </w:r>
      <w:r>
        <w:t xml:space="preserve">(2), 911–921. https://doi.org/10.1109/TPWRS.2012.2218135</w:t>
      </w:r>
    </w:p>
    <w:p>
      <w:pPr>
        <w:pStyle w:val="Bibliography"/>
      </w:pPr>
      <w:r>
        <w:t xml:space="preserve">Lamp, S., &amp; Samano, M. (2022). Large-scale battery storage, short-term market outcomes, and arbitrage.</w:t>
      </w:r>
      <w:r>
        <w:t xml:space="preserve"> </w:t>
      </w:r>
      <w:r>
        <w:rPr>
          <w:i/>
          <w:iCs/>
        </w:rPr>
        <w:t xml:space="preserve">Energy Economics</w:t>
      </w:r>
      <w:r>
        <w:t xml:space="preserve">,</w:t>
      </w:r>
      <w:r>
        <w:t xml:space="preserve"> </w:t>
      </w:r>
      <w:r>
        <w:rPr>
          <w:i/>
          <w:iCs/>
        </w:rPr>
        <w:t xml:space="preserve">107</w:t>
      </w:r>
      <w:r>
        <w:t xml:space="preserve">, Article 105786. https://doi.org/10.1016/j.eneco.2021.105786</w:t>
      </w:r>
    </w:p>
    <w:p>
      <w:pPr>
        <w:pStyle w:val="Bibliography"/>
      </w:pPr>
      <w:r>
        <w:t xml:space="preserve">Landy, M., Schmidt, O., Johnson, N., &amp; Staffell, I. (2026). Maximising the economic value of renewable and battery storage hybrids with revenue stacking.</w:t>
      </w:r>
      <w:r>
        <w:t xml:space="preserve"> </w:t>
      </w:r>
      <w:r>
        <w:rPr>
          <w:i/>
          <w:iCs/>
        </w:rPr>
        <w:t xml:space="preserve">Energy &amp; Environmental Science</w:t>
      </w:r>
      <w:r>
        <w:t xml:space="preserve">,</w:t>
      </w:r>
      <w:r>
        <w:t xml:space="preserve"> </w:t>
      </w:r>
      <w:r>
        <w:rPr>
          <w:i/>
          <w:iCs/>
        </w:rPr>
        <w:t xml:space="preserve">19</w:t>
      </w:r>
      <w:r>
        <w:t xml:space="preserve">(13), 4469–4494. https://doi.org/10.1039/d6ee00776g</w:t>
      </w:r>
    </w:p>
    <w:p>
      <w:pPr>
        <w:pStyle w:val="Bibliography"/>
      </w:pPr>
      <w:r>
        <w:t xml:space="preserve">Lazarus, E., Lewis, D. J., Stock, J. H., &amp; Watson, M. W. (2018). HAR inference: Recommendations for practice.</w:t>
      </w:r>
      <w:r>
        <w:t xml:space="preserve"> </w:t>
      </w:r>
      <w:r>
        <w:rPr>
          <w:i/>
          <w:iCs/>
        </w:rPr>
        <w:t xml:space="preserve">Journal of Business &amp; Economic Statistics</w:t>
      </w:r>
      <w:r>
        <w:t xml:space="preserve">,</w:t>
      </w:r>
      <w:r>
        <w:t xml:space="preserve"> </w:t>
      </w:r>
      <w:r>
        <w:rPr>
          <w:i/>
          <w:iCs/>
        </w:rPr>
        <w:t xml:space="preserve">36</w:t>
      </w:r>
      <w:r>
        <w:t xml:space="preserve">(4), 541–559. https://doi.org/10.1080/07350015.2018.1506926</w:t>
      </w:r>
    </w:p>
    <w:p>
      <w:pPr>
        <w:pStyle w:val="Bibliography"/>
      </w:pPr>
      <w:r>
        <w:t xml:space="preserve">Leahy, J. V. (1993). Investment in competitive equilibrium: The optimality of myopic behavior.</w:t>
      </w:r>
      <w:r>
        <w:t xml:space="preserve"> </w:t>
      </w:r>
      <w:r>
        <w:rPr>
          <w:i/>
          <w:iCs/>
        </w:rPr>
        <w:t xml:space="preserve">The Quarterly Journal of Economics</w:t>
      </w:r>
      <w:r>
        <w:t xml:space="preserve">,</w:t>
      </w:r>
      <w:r>
        <w:t xml:space="preserve"> </w:t>
      </w:r>
      <w:r>
        <w:rPr>
          <w:i/>
          <w:iCs/>
        </w:rPr>
        <w:t xml:space="preserve">108</w:t>
      </w:r>
      <w:r>
        <w:t xml:space="preserve">(4), 1105–1133. https://doi.org/10.2307/2118461</w:t>
      </w:r>
    </w:p>
    <w:p>
      <w:pPr>
        <w:pStyle w:val="Bibliography"/>
      </w:pPr>
      <w:r>
        <w:t xml:space="preserve">Leitch, G., &amp; Tanner, J. E. (1991). Economic forecast evaluation: Profits versus the conventional error measures.</w:t>
      </w:r>
      <w:r>
        <w:t xml:space="preserve"> </w:t>
      </w:r>
      <w:r>
        <w:rPr>
          <w:i/>
          <w:iCs/>
        </w:rPr>
        <w:t xml:space="preserve">The American Economic Review</w:t>
      </w:r>
      <w:r>
        <w:t xml:space="preserve">,</w:t>
      </w:r>
      <w:r>
        <w:t xml:space="preserve"> </w:t>
      </w:r>
      <w:r>
        <w:rPr>
          <w:i/>
          <w:iCs/>
        </w:rPr>
        <w:t xml:space="preserve">81</w:t>
      </w:r>
      <w:r>
        <w:t xml:space="preserve">(3), 580–590.</w:t>
      </w:r>
    </w:p>
    <w:p>
      <w:pPr>
        <w:pStyle w:val="Bibliography"/>
      </w:pPr>
      <w:r>
        <w:t xml:space="preserve">Li, H.-Z., Bu, L.-L., Kopsakangas-Savolainen, M., &amp; Goto, M. (2025). A revisiting of 2021 Japanese electricity spot market dysfunction event: How it happened and what can we learn from it?</w:t>
      </w:r>
      <w:r>
        <w:t xml:space="preserve"> </w:t>
      </w:r>
      <w:r>
        <w:rPr>
          <w:i/>
          <w:iCs/>
        </w:rPr>
        <w:t xml:space="preserve">Energy Policy</w:t>
      </w:r>
      <w:r>
        <w:t xml:space="preserve">,</w:t>
      </w:r>
      <w:r>
        <w:t xml:space="preserve"> </w:t>
      </w:r>
      <w:r>
        <w:rPr>
          <w:i/>
          <w:iCs/>
        </w:rPr>
        <w:t xml:space="preserve">206</w:t>
      </w:r>
      <w:r>
        <w:t xml:space="preserve">, Article 114802. https://doi.org/10.1016/j.enpol.2025.114802</w:t>
      </w:r>
    </w:p>
    <w:p>
      <w:pPr>
        <w:pStyle w:val="Bibliography"/>
      </w:pPr>
      <w:r>
        <w:t xml:space="preserve">Li, Y., Xie, Y., Zhang, X., Xiao, F., &amp; Gao, W. (2024). Grid variability and value assessment of long-duration energy storage under rising photovoltaic penetration: Evidence from Japan.</w:t>
      </w:r>
      <w:r>
        <w:t xml:space="preserve"> </w:t>
      </w:r>
      <w:r>
        <w:rPr>
          <w:i/>
          <w:iCs/>
        </w:rPr>
        <w:t xml:space="preserve">Energy</w:t>
      </w:r>
      <w:r>
        <w:t xml:space="preserve">,</w:t>
      </w:r>
      <w:r>
        <w:t xml:space="preserve"> </w:t>
      </w:r>
      <w:r>
        <w:rPr>
          <w:i/>
          <w:iCs/>
        </w:rPr>
        <w:t xml:space="preserve">307</w:t>
      </w:r>
      <w:r>
        <w:t xml:space="preserve">, Article 132607. https://doi.org/10.1016/j.energy.2024.132607</w:t>
      </w:r>
    </w:p>
    <w:p>
      <w:pPr>
        <w:pStyle w:val="Bibliography"/>
      </w:pPr>
      <w:r>
        <w:t xml:space="preserve">Litterman, R., &amp; Scheinkman, J. (1991). Common factors affecting bond returns.</w:t>
      </w:r>
      <w:r>
        <w:t xml:space="preserve"> </w:t>
      </w:r>
      <w:r>
        <w:rPr>
          <w:i/>
          <w:iCs/>
        </w:rPr>
        <w:t xml:space="preserve">The Journal of Fixed Income</w:t>
      </w:r>
      <w:r>
        <w:t xml:space="preserve">,</w:t>
      </w:r>
      <w:r>
        <w:t xml:space="preserve"> </w:t>
      </w:r>
      <w:r>
        <w:rPr>
          <w:i/>
          <w:iCs/>
        </w:rPr>
        <w:t xml:space="preserve">1</w:t>
      </w:r>
      <w:r>
        <w:t xml:space="preserve">(1), 54–61. https://doi.org/10.3905/jfi.1991.692347</w:t>
      </w:r>
    </w:p>
    <w:p>
      <w:pPr>
        <w:pStyle w:val="Bibliography"/>
      </w:pPr>
      <w:r>
        <w:t xml:space="preserve">Lo, A. W., &amp; MacKinlay, A. C. (1988). Stock market prices do not follow random walks: Evidence from a simple specification test.</w:t>
      </w:r>
      <w:r>
        <w:t xml:space="preserve"> </w:t>
      </w:r>
      <w:r>
        <w:rPr>
          <w:i/>
          <w:iCs/>
        </w:rPr>
        <w:t xml:space="preserve">The Review of Financial Studies</w:t>
      </w:r>
      <w:r>
        <w:t xml:space="preserve">,</w:t>
      </w:r>
      <w:r>
        <w:t xml:space="preserve"> </w:t>
      </w:r>
      <w:r>
        <w:rPr>
          <w:i/>
          <w:iCs/>
        </w:rPr>
        <w:t xml:space="preserve">1</w:t>
      </w:r>
      <w:r>
        <w:t xml:space="preserve">(1), 41–66. https://doi.org/10.1093/rfs/1.1.41</w:t>
      </w:r>
    </w:p>
    <w:p>
      <w:pPr>
        <w:pStyle w:val="Bibliography"/>
      </w:pPr>
      <w:r>
        <w:t xml:space="preserve">López Prol, J., &amp; Schill, W.-P. (2021). The economics of variable renewable energy and electricity storage.</w:t>
      </w:r>
      <w:r>
        <w:t xml:space="preserve"> </w:t>
      </w:r>
      <w:r>
        <w:rPr>
          <w:i/>
          <w:iCs/>
        </w:rPr>
        <w:t xml:space="preserve">Annual Review of Resource Economics</w:t>
      </w:r>
      <w:r>
        <w:t xml:space="preserve">,</w:t>
      </w:r>
      <w:r>
        <w:t xml:space="preserve"> </w:t>
      </w:r>
      <w:r>
        <w:rPr>
          <w:i/>
          <w:iCs/>
        </w:rPr>
        <w:t xml:space="preserve">13</w:t>
      </w:r>
      <w:r>
        <w:t xml:space="preserve">, 443–467. https://doi.org/10.1146/annurev-resource-101620-081246</w:t>
      </w:r>
    </w:p>
    <w:p>
      <w:pPr>
        <w:pStyle w:val="Bibliography"/>
      </w:pPr>
      <w:r>
        <w:t xml:space="preserve">Loukatou, A., Johnson, P., Howell, S., &amp; Duck, P. (2021). Optimal valuation of wind energy projects co-located with battery storage.</w:t>
      </w:r>
      <w:r>
        <w:t xml:space="preserve"> </w:t>
      </w:r>
      <w:r>
        <w:rPr>
          <w:i/>
          <w:iCs/>
        </w:rPr>
        <w:t xml:space="preserve">Applied Energy</w:t>
      </w:r>
      <w:r>
        <w:t xml:space="preserve">,</w:t>
      </w:r>
      <w:r>
        <w:t xml:space="preserve"> </w:t>
      </w:r>
      <w:r>
        <w:rPr>
          <w:i/>
          <w:iCs/>
        </w:rPr>
        <w:t xml:space="preserve">283</w:t>
      </w:r>
      <w:r>
        <w:t xml:space="preserve">, Article 116247. https://doi.org/10.1016/j.apenergy.2020.116247</w:t>
      </w:r>
    </w:p>
    <w:p>
      <w:pPr>
        <w:pStyle w:val="Bibliography"/>
      </w:pPr>
      <w:r>
        <w:t xml:space="preserve">Ma, T., Du, Y., Xu, T., &amp; Chen, W. (2023). Cross-regional effects of renewable power generation on the electricity market: An empirical study on Japan’s electricity spot market.</w:t>
      </w:r>
      <w:r>
        <w:t xml:space="preserve"> </w:t>
      </w:r>
      <w:r>
        <w:rPr>
          <w:i/>
          <w:iCs/>
        </w:rPr>
        <w:t xml:space="preserve">Applied Economics</w:t>
      </w:r>
      <w:r>
        <w:t xml:space="preserve">,</w:t>
      </w:r>
      <w:r>
        <w:t xml:space="preserve"> </w:t>
      </w:r>
      <w:r>
        <w:rPr>
          <w:i/>
          <w:iCs/>
        </w:rPr>
        <w:t xml:space="preserve">55</w:t>
      </w:r>
      <w:r>
        <w:t xml:space="preserve">(18), 2070–2097. https://doi.org/10.1080/00036846.2022.2101609</w:t>
      </w:r>
    </w:p>
    <w:p>
      <w:pPr>
        <w:pStyle w:val="Bibliography"/>
      </w:pPr>
      <w:r>
        <w:t xml:space="preserve">Maciejowska, K. (2020). Assessing the impact of renewable energy sources on the electricity price level and variability – A quantile regression approach.</w:t>
      </w:r>
      <w:r>
        <w:t xml:space="preserve"> </w:t>
      </w:r>
      <w:r>
        <w:rPr>
          <w:i/>
          <w:iCs/>
        </w:rPr>
        <w:t xml:space="preserve">Energy Economics</w:t>
      </w:r>
      <w:r>
        <w:t xml:space="preserve">,</w:t>
      </w:r>
      <w:r>
        <w:t xml:space="preserve"> </w:t>
      </w:r>
      <w:r>
        <w:rPr>
          <w:i/>
          <w:iCs/>
        </w:rPr>
        <w:t xml:space="preserve">85</w:t>
      </w:r>
      <w:r>
        <w:t xml:space="preserve">, Article 104532. https://doi.org/10.1016/j.eneco.2019.104532</w:t>
      </w:r>
    </w:p>
    <w:p>
      <w:pPr>
        <w:pStyle w:val="Bibliography"/>
      </w:pPr>
      <w:r>
        <w:t xml:space="preserve">Maekawa, J., Hai, B. H., Shinkuma, S., &amp; Shimada, K. (2018). The effect of renewable energy generation on the electric power spot price of the Japan Electric Power Exchange.</w:t>
      </w:r>
      <w:r>
        <w:t xml:space="preserve"> </w:t>
      </w:r>
      <w:r>
        <w:rPr>
          <w:i/>
          <w:iCs/>
        </w:rPr>
        <w:t xml:space="preserve">Energies</w:t>
      </w:r>
      <w:r>
        <w:t xml:space="preserve">,</w:t>
      </w:r>
      <w:r>
        <w:t xml:space="preserve"> </w:t>
      </w:r>
      <w:r>
        <w:rPr>
          <w:i/>
          <w:iCs/>
        </w:rPr>
        <w:t xml:space="preserve">11</w:t>
      </w:r>
      <w:r>
        <w:t xml:space="preserve">(9), Article 2215. https://doi.org/10.3390/en11092215</w:t>
      </w:r>
    </w:p>
    <w:p>
      <w:pPr>
        <w:pStyle w:val="Bibliography"/>
      </w:pPr>
      <w:r>
        <w:t xml:space="preserve">Maji, D., Irwin, D., Shenoy, P., &amp; Sitaraman, R. K. (2025). A first look at node-level curtailment of renewable energy and its implications. In</w:t>
      </w:r>
      <w:r>
        <w:t xml:space="preserve"> </w:t>
      </w:r>
      <w:r>
        <w:rPr>
          <w:i/>
          <w:iCs/>
        </w:rPr>
        <w:t xml:space="preserve">Proceedings of the 16th ACM International Conference on Future and Sustainable Energy Systems</w:t>
      </w:r>
      <w:r>
        <w:t xml:space="preserve"> </w:t>
      </w:r>
      <w:r>
        <w:t xml:space="preserve">(pp. 293–304). Association for Computing Machinery. https://doi.org/10.1145/3679240.3734627</w:t>
      </w:r>
    </w:p>
    <w:p>
      <w:pPr>
        <w:pStyle w:val="Bibliography"/>
      </w:pPr>
      <w:r>
        <w:t xml:space="preserve">Malvaldi, A., Weiss, S., Infield, D., Browell, J., Leahy, P., &amp; Foley, A. M. (2017). A spatial and temporal correlation analysis of aggregate wind power in an ideally interconnected Europe.</w:t>
      </w:r>
      <w:r>
        <w:t xml:space="preserve"> </w:t>
      </w:r>
      <w:r>
        <w:rPr>
          <w:i/>
          <w:iCs/>
        </w:rPr>
        <w:t xml:space="preserve">Wind Energy</w:t>
      </w:r>
      <w:r>
        <w:t xml:space="preserve">,</w:t>
      </w:r>
      <w:r>
        <w:t xml:space="preserve"> </w:t>
      </w:r>
      <w:r>
        <w:rPr>
          <w:i/>
          <w:iCs/>
        </w:rPr>
        <w:t xml:space="preserve">20</w:t>
      </w:r>
      <w:r>
        <w:t xml:space="preserve">(8), 1315–1329. https://doi.org/10.1002/we.2095</w:t>
      </w:r>
    </w:p>
    <w:p>
      <w:pPr>
        <w:pStyle w:val="Bibliography"/>
      </w:pPr>
      <w:r>
        <w:t xml:space="preserve">Margrabe, W. (1978). The value of an option to exchange one asset for another.</w:t>
      </w:r>
      <w:r>
        <w:t xml:space="preserve"> </w:t>
      </w:r>
      <w:r>
        <w:rPr>
          <w:i/>
          <w:iCs/>
        </w:rPr>
        <w:t xml:space="preserve">The Journal of Finance</w:t>
      </w:r>
      <w:r>
        <w:t xml:space="preserve">,</w:t>
      </w:r>
      <w:r>
        <w:t xml:space="preserve"> </w:t>
      </w:r>
      <w:r>
        <w:rPr>
          <w:i/>
          <w:iCs/>
        </w:rPr>
        <w:t xml:space="preserve">33</w:t>
      </w:r>
      <w:r>
        <w:t xml:space="preserve">(1), 177–186. https://doi.org/10.1111/j.1540-6261.1978.tb03397.x</w:t>
      </w:r>
    </w:p>
    <w:p>
      <w:pPr>
        <w:pStyle w:val="Bibliography"/>
      </w:pPr>
      <w:r>
        <w:t xml:space="preserve">Markowitz, H. (1952). Portfolio selection.</w:t>
      </w:r>
      <w:r>
        <w:t xml:space="preserve"> </w:t>
      </w:r>
      <w:r>
        <w:rPr>
          <w:i/>
          <w:iCs/>
        </w:rPr>
        <w:t xml:space="preserve">The Journal of Finance</w:t>
      </w:r>
      <w:r>
        <w:t xml:space="preserve">,</w:t>
      </w:r>
      <w:r>
        <w:t xml:space="preserve"> </w:t>
      </w:r>
      <w:r>
        <w:rPr>
          <w:i/>
          <w:iCs/>
        </w:rPr>
        <w:t xml:space="preserve">7</w:t>
      </w:r>
      <w:r>
        <w:t xml:space="preserve">(1), 77–91. https://doi.org/10.1111/j.1540-6261.1952.tb01525.x</w:t>
      </w:r>
    </w:p>
    <w:p>
      <w:pPr>
        <w:pStyle w:val="Bibliography"/>
      </w:pPr>
      <w:r>
        <w:t xml:space="preserve">McDonald, R., &amp; Siegel, D. (1986). The value of waiting to invest.</w:t>
      </w:r>
      <w:r>
        <w:t xml:space="preserve"> </w:t>
      </w:r>
      <w:r>
        <w:rPr>
          <w:i/>
          <w:iCs/>
        </w:rPr>
        <w:t xml:space="preserve">The Quarterly Journal of Economics</w:t>
      </w:r>
      <w:r>
        <w:t xml:space="preserve">,</w:t>
      </w:r>
      <w:r>
        <w:t xml:space="preserve"> </w:t>
      </w:r>
      <w:r>
        <w:rPr>
          <w:i/>
          <w:iCs/>
        </w:rPr>
        <w:t xml:space="preserve">101</w:t>
      </w:r>
      <w:r>
        <w:t xml:space="preserve">(4), 707–727. https://doi.org/10.2307/1884175</w:t>
      </w:r>
    </w:p>
    <w:p>
      <w:pPr>
        <w:pStyle w:val="Bibliography"/>
      </w:pPr>
      <w:r>
        <w:t xml:space="preserve">Mello, A. S., &amp; Parsons, J. E. (1995). Maturity structure of a hedge matters: Lessons from the Metallgesellschaft debacle.</w:t>
      </w:r>
      <w:r>
        <w:t xml:space="preserve"> </w:t>
      </w:r>
      <w:r>
        <w:rPr>
          <w:i/>
          <w:iCs/>
        </w:rPr>
        <w:t xml:space="preserve">Journal of Applied Corporate Finance</w:t>
      </w:r>
      <w:r>
        <w:t xml:space="preserve">,</w:t>
      </w:r>
      <w:r>
        <w:t xml:space="preserve"> </w:t>
      </w:r>
      <w:r>
        <w:rPr>
          <w:i/>
          <w:iCs/>
        </w:rPr>
        <w:t xml:space="preserve">8</w:t>
      </w:r>
      <w:r>
        <w:t xml:space="preserve">(1), 106–121. https://doi.org/10.1111/j.1745-6622.1995.tb00279.x</w:t>
      </w:r>
    </w:p>
    <w:p>
      <w:pPr>
        <w:pStyle w:val="Bibliography"/>
      </w:pPr>
      <w:r>
        <w:t xml:space="preserve">Mercier, T., Olivier, M., &amp; De Jaeger, E. (2023). The value of electricity storage arbitrage on day-ahead markets across Europe.</w:t>
      </w:r>
      <w:r>
        <w:t xml:space="preserve"> </w:t>
      </w:r>
      <w:r>
        <w:rPr>
          <w:i/>
          <w:iCs/>
        </w:rPr>
        <w:t xml:space="preserve">Energy Economics</w:t>
      </w:r>
      <w:r>
        <w:t xml:space="preserve">,</w:t>
      </w:r>
      <w:r>
        <w:t xml:space="preserve"> </w:t>
      </w:r>
      <w:r>
        <w:rPr>
          <w:i/>
          <w:iCs/>
        </w:rPr>
        <w:t xml:space="preserve">123</w:t>
      </w:r>
      <w:r>
        <w:t xml:space="preserve">, Article 106721. https://doi.org/10.1016/j.eneco.2023.106721</w:t>
      </w:r>
    </w:p>
    <w:p>
      <w:pPr>
        <w:pStyle w:val="Bibliography"/>
      </w:pPr>
      <w:r>
        <w:t xml:space="preserve">Miles, J. A., &amp; Ezzell, J. R. (1980). The weighted average cost of capital, perfect capital markets, and project life: A clarification.</w:t>
      </w:r>
      <w:r>
        <w:t xml:space="preserve"> </w:t>
      </w:r>
      <w:r>
        <w:rPr>
          <w:i/>
          <w:iCs/>
        </w:rPr>
        <w:t xml:space="preserve">Journal of Financial and Quantitative Analysis</w:t>
      </w:r>
      <w:r>
        <w:t xml:space="preserve">,</w:t>
      </w:r>
      <w:r>
        <w:t xml:space="preserve"> </w:t>
      </w:r>
      <w:r>
        <w:rPr>
          <w:i/>
          <w:iCs/>
        </w:rPr>
        <w:t xml:space="preserve">15</w:t>
      </w:r>
      <w:r>
        <w:t xml:space="preserve">(3), 719–730. https://doi.org/10.2307/2330405</w:t>
      </w:r>
    </w:p>
    <w:p>
      <w:pPr>
        <w:pStyle w:val="Bibliography"/>
      </w:pPr>
      <w:r>
        <w:t xml:space="preserve">Modigliani, F., &amp; Miller, M. H. (1958). The cost of capital, corporation finance and the theory of investment.</w:t>
      </w:r>
      <w:r>
        <w:t xml:space="preserve"> </w:t>
      </w:r>
      <w:r>
        <w:rPr>
          <w:i/>
          <w:iCs/>
        </w:rPr>
        <w:t xml:space="preserve">The American Economic Review</w:t>
      </w:r>
      <w:r>
        <w:t xml:space="preserve">,</w:t>
      </w:r>
      <w:r>
        <w:t xml:space="preserve"> </w:t>
      </w:r>
      <w:r>
        <w:rPr>
          <w:i/>
          <w:iCs/>
        </w:rPr>
        <w:t xml:space="preserve">48</w:t>
      </w:r>
      <w:r>
        <w:t xml:space="preserve">(3), 261–297. https://www.jstor.org/stable/1809766</w:t>
      </w:r>
    </w:p>
    <w:p>
      <w:pPr>
        <w:pStyle w:val="Bibliography"/>
      </w:pPr>
      <w:r>
        <w:t xml:space="preserve">Mwampashi, M. M., Nikitopoulos, C. S., Konstandatos, O., &amp; Rai, A. (2021). Wind generation and the dynamics of electricity prices in Australia.</w:t>
      </w:r>
      <w:r>
        <w:t xml:space="preserve"> </w:t>
      </w:r>
      <w:r>
        <w:rPr>
          <w:i/>
          <w:iCs/>
        </w:rPr>
        <w:t xml:space="preserve">Energy Economics</w:t>
      </w:r>
      <w:r>
        <w:t xml:space="preserve">,</w:t>
      </w:r>
      <w:r>
        <w:t xml:space="preserve"> </w:t>
      </w:r>
      <w:r>
        <w:rPr>
          <w:i/>
          <w:iCs/>
        </w:rPr>
        <w:t xml:space="preserve">103</w:t>
      </w:r>
      <w:r>
        <w:t xml:space="preserve">, Article 105547. https://doi.org/10.1016/j.eneco.2021.105547</w:t>
      </w:r>
    </w:p>
    <w:p>
      <w:pPr>
        <w:pStyle w:val="Bibliography"/>
      </w:pPr>
      <w:r>
        <w:t xml:space="preserve">Myers, S. C. (1974). Interactions of corporate financing and investment decisions—Implications for capital budgeting.</w:t>
      </w:r>
      <w:r>
        <w:t xml:space="preserve"> </w:t>
      </w:r>
      <w:r>
        <w:rPr>
          <w:i/>
          <w:iCs/>
        </w:rPr>
        <w:t xml:space="preserve">The Journal of Finance</w:t>
      </w:r>
      <w:r>
        <w:t xml:space="preserve">,</w:t>
      </w:r>
      <w:r>
        <w:t xml:space="preserve"> </w:t>
      </w:r>
      <w:r>
        <w:rPr>
          <w:i/>
          <w:iCs/>
        </w:rPr>
        <w:t xml:space="preserve">29</w:t>
      </w:r>
      <w:r>
        <w:t xml:space="preserve">(1), 1–25. https://doi.org/10.2307/2978211</w:t>
      </w:r>
    </w:p>
    <w:p>
      <w:pPr>
        <w:pStyle w:val="Bibliography"/>
      </w:pPr>
      <w:r>
        <w:t xml:space="preserve">Navia Simon, D., &amp; Diaz Anadon, L. (2025). Power price stability and the insurance value of renewable technologies.</w:t>
      </w:r>
      <w:r>
        <w:t xml:space="preserve"> </w:t>
      </w:r>
      <w:r>
        <w:rPr>
          <w:i/>
          <w:iCs/>
        </w:rPr>
        <w:t xml:space="preserve">Nature Energy</w:t>
      </w:r>
      <w:r>
        <w:t xml:space="preserve">,</w:t>
      </w:r>
      <w:r>
        <w:t xml:space="preserve"> </w:t>
      </w:r>
      <w:r>
        <w:rPr>
          <w:i/>
          <w:iCs/>
        </w:rPr>
        <w:t xml:space="preserve">10</w:t>
      </w:r>
      <w:r>
        <w:t xml:space="preserve">(3), 329–341. https://doi.org/10.1038/s41560-025-01704-0</w:t>
      </w:r>
    </w:p>
    <w:p>
      <w:pPr>
        <w:pStyle w:val="Bibliography"/>
      </w:pPr>
      <w:r>
        <w:t xml:space="preserve">Newey, W. K., &amp; West, K. D. (1987). A simple, positive semi-definite, heteroskedasticity and autocorrelation consistent covariance matrix.</w:t>
      </w:r>
      <w:r>
        <w:t xml:space="preserve"> </w:t>
      </w:r>
      <w:r>
        <w:rPr>
          <w:i/>
          <w:iCs/>
        </w:rPr>
        <w:t xml:space="preserve">Econometrica</w:t>
      </w:r>
      <w:r>
        <w:t xml:space="preserve">,</w:t>
      </w:r>
      <w:r>
        <w:t xml:space="preserve"> </w:t>
      </w:r>
      <w:r>
        <w:rPr>
          <w:i/>
          <w:iCs/>
        </w:rPr>
        <w:t xml:space="preserve">55</w:t>
      </w:r>
      <w:r>
        <w:t xml:space="preserve">(3), 703–708. https://doi.org/10.2307/1913610</w:t>
      </w:r>
    </w:p>
    <w:p>
      <w:pPr>
        <w:pStyle w:val="Bibliography"/>
      </w:pPr>
      <w:r>
        <w:t xml:space="preserve">Oeltz, D., &amp; Pfingsten, T. (2025).</w:t>
      </w:r>
      <w:r>
        <w:t xml:space="preserve"> </w:t>
      </w:r>
      <w:r>
        <w:rPr>
          <w:i/>
          <w:iCs/>
        </w:rPr>
        <w:t xml:space="preserve">Rolling intrinsic for battery valuation in day-ahead and intraday markets</w:t>
      </w:r>
      <w:r>
        <w:t xml:space="preserve"> </w:t>
      </w:r>
      <w:r>
        <w:t xml:space="preserve">(arXiv:2510.01956). arXiv. https://doi.org/10.48550/arXiv.2510.01956</w:t>
      </w:r>
    </w:p>
    <w:p>
      <w:pPr>
        <w:pStyle w:val="Bibliography"/>
      </w:pPr>
      <w:r>
        <w:t xml:space="preserve">Ohashi, K., Wu, H., &amp; Yamamoto, Y. (2026).</w:t>
      </w:r>
      <w:r>
        <w:t xml:space="preserve"> </w:t>
      </w:r>
      <w:r>
        <w:rPr>
          <w:i/>
          <w:iCs/>
        </w:rPr>
        <w:t xml:space="preserve">Dynamic effects of supply and demand on electricity prices during the global energy crisis: Evidence from Japan</w:t>
      </w:r>
      <w:r>
        <w:t xml:space="preserve"> </w:t>
      </w:r>
      <w:r>
        <w:t xml:space="preserve">(HIAS Discussion Paper No. HIAS-E-161). Hitotsubashi Institute for Advanced Study, Hitotsubashi University. https://hdl.handle.net/10086/0002062012</w:t>
      </w:r>
    </w:p>
    <w:p>
      <w:pPr>
        <w:pStyle w:val="Bibliography"/>
      </w:pPr>
      <w:r>
        <w:t xml:space="preserve">Ohlendorf, N., &amp; Schill, W.-P. (2020). Frequency and duration of low-wind-power events in Germany.</w:t>
      </w:r>
      <w:r>
        <w:t xml:space="preserve"> </w:t>
      </w:r>
      <w:r>
        <w:rPr>
          <w:i/>
          <w:iCs/>
        </w:rPr>
        <w:t xml:space="preserve">Environmental Research Letters</w:t>
      </w:r>
      <w:r>
        <w:t xml:space="preserve">,</w:t>
      </w:r>
      <w:r>
        <w:t xml:space="preserve"> </w:t>
      </w:r>
      <w:r>
        <w:rPr>
          <w:i/>
          <w:iCs/>
        </w:rPr>
        <w:t xml:space="preserve">15</w:t>
      </w:r>
      <w:r>
        <w:t xml:space="preserve">(8), Article 084045. https://doi.org/10.1088/1748-9326/ab91e9</w:t>
      </w:r>
    </w:p>
    <w:p>
      <w:pPr>
        <w:pStyle w:val="Bibliography"/>
      </w:pPr>
      <w:r>
        <w:t xml:space="preserve">Paraschiv, F., Erni, D., &amp; Pietsch, R. (2014). The impact of renewable energies on EEX day-ahead electricity prices.</w:t>
      </w:r>
      <w:r>
        <w:t xml:space="preserve"> </w:t>
      </w:r>
      <w:r>
        <w:rPr>
          <w:i/>
          <w:iCs/>
        </w:rPr>
        <w:t xml:space="preserve">Energy Policy</w:t>
      </w:r>
      <w:r>
        <w:t xml:space="preserve">,</w:t>
      </w:r>
      <w:r>
        <w:t xml:space="preserve"> </w:t>
      </w:r>
      <w:r>
        <w:rPr>
          <w:i/>
          <w:iCs/>
        </w:rPr>
        <w:t xml:space="preserve">73</w:t>
      </w:r>
      <w:r>
        <w:t xml:space="preserve">, 196–210. https://doi.org/10.1016/j.enpol.2014.05.004</w:t>
      </w:r>
    </w:p>
    <w:p>
      <w:pPr>
        <w:pStyle w:val="Bibliography"/>
      </w:pPr>
      <w:r>
        <w:t xml:space="preserve">Patton, A., Politis, D. N., &amp; White, H. (2009). Correction to “Automatic block-length selection for the dependent bootstrap” by D. Politis and H. White.</w:t>
      </w:r>
      <w:r>
        <w:t xml:space="preserve"> </w:t>
      </w:r>
      <w:r>
        <w:rPr>
          <w:i/>
          <w:iCs/>
        </w:rPr>
        <w:t xml:space="preserve">Econometric Reviews</w:t>
      </w:r>
      <w:r>
        <w:t xml:space="preserve">,</w:t>
      </w:r>
      <w:r>
        <w:t xml:space="preserve"> </w:t>
      </w:r>
      <w:r>
        <w:rPr>
          <w:i/>
          <w:iCs/>
        </w:rPr>
        <w:t xml:space="preserve">28</w:t>
      </w:r>
      <w:r>
        <w:t xml:space="preserve">(4), 372–375. https://doi.org/10.1080/07474930802459016</w:t>
      </w:r>
    </w:p>
    <w:p>
      <w:pPr>
        <w:pStyle w:val="Bibliography"/>
      </w:pPr>
      <w:r>
        <w:t xml:space="preserve">Pindyck, R. S. (1999). The long-run evolution of energy prices.</w:t>
      </w:r>
      <w:r>
        <w:t xml:space="preserve"> </w:t>
      </w:r>
      <w:r>
        <w:rPr>
          <w:i/>
          <w:iCs/>
        </w:rPr>
        <w:t xml:space="preserve">The Energy Journal</w:t>
      </w:r>
      <w:r>
        <w:t xml:space="preserve">,</w:t>
      </w:r>
      <w:r>
        <w:t xml:space="preserve"> </w:t>
      </w:r>
      <w:r>
        <w:rPr>
          <w:i/>
          <w:iCs/>
        </w:rPr>
        <w:t xml:space="preserve">20</w:t>
      </w:r>
      <w:r>
        <w:t xml:space="preserve">(2), 1–27. https://doi.org/10.5547/ISSN0195-6574-EJ-Vol20-No2-1</w:t>
      </w:r>
    </w:p>
    <w:p>
      <w:pPr>
        <w:pStyle w:val="Bibliography"/>
      </w:pPr>
      <w:r>
        <w:t xml:space="preserve">Politis, D. N., &amp; Romano, J. P. (1992). A circular block-resampling procedure for stationary data. In R. LePage &amp; L. Billard (Eds.),</w:t>
      </w:r>
      <w:r>
        <w:t xml:space="preserve"> </w:t>
      </w:r>
      <w:r>
        <w:rPr>
          <w:i/>
          <w:iCs/>
        </w:rPr>
        <w:t xml:space="preserve">Exploring the limits of bootstrap</w:t>
      </w:r>
      <w:r>
        <w:t xml:space="preserve"> </w:t>
      </w:r>
      <w:r>
        <w:t xml:space="preserve">(pp. 263–270). Wiley.</w:t>
      </w:r>
    </w:p>
    <w:p>
      <w:pPr>
        <w:pStyle w:val="Bibliography"/>
      </w:pPr>
      <w:r>
        <w:t xml:space="preserve">Politis, D. N., &amp; Romano, J. P. (1994). The stationary bootstrap.</w:t>
      </w:r>
      <w:r>
        <w:t xml:space="preserve"> </w:t>
      </w:r>
      <w:r>
        <w:rPr>
          <w:i/>
          <w:iCs/>
        </w:rPr>
        <w:t xml:space="preserve">Journal of the American Statistical Association</w:t>
      </w:r>
      <w:r>
        <w:t xml:space="preserve">,</w:t>
      </w:r>
      <w:r>
        <w:t xml:space="preserve"> </w:t>
      </w:r>
      <w:r>
        <w:rPr>
          <w:i/>
          <w:iCs/>
        </w:rPr>
        <w:t xml:space="preserve">89</w:t>
      </w:r>
      <w:r>
        <w:t xml:space="preserve">(428), 1303–1313. https://doi.org/10.1080/01621459.1994.10476870</w:t>
      </w:r>
    </w:p>
    <w:p>
      <w:pPr>
        <w:pStyle w:val="Bibliography"/>
      </w:pPr>
      <w:r>
        <w:t xml:space="preserve">Politis, D. N., &amp; White, H. (2004). Automatic block-length selection for the dependent bootstrap.</w:t>
      </w:r>
      <w:r>
        <w:t xml:space="preserve"> </w:t>
      </w:r>
      <w:r>
        <w:rPr>
          <w:i/>
          <w:iCs/>
        </w:rPr>
        <w:t xml:space="preserve">Econometric Reviews</w:t>
      </w:r>
      <w:r>
        <w:t xml:space="preserve">,</w:t>
      </w:r>
      <w:r>
        <w:t xml:space="preserve"> </w:t>
      </w:r>
      <w:r>
        <w:rPr>
          <w:i/>
          <w:iCs/>
        </w:rPr>
        <w:t xml:space="preserve">23</w:t>
      </w:r>
      <w:r>
        <w:t xml:space="preserve">(1), 53–70. https://doi.org/10.1081/ETC-120028836</w:t>
      </w:r>
    </w:p>
    <w:p>
      <w:pPr>
        <w:pStyle w:val="Bibliography"/>
      </w:pPr>
      <w:r>
        <w:t xml:space="preserve">Portnoy, S., &amp; Koenker, R. (1997). The Gaussian hare and the Laplacian tortoise: Computability of squared-error versus absolute-error estimators.</w:t>
      </w:r>
      <w:r>
        <w:t xml:space="preserve"> </w:t>
      </w:r>
      <w:r>
        <w:rPr>
          <w:i/>
          <w:iCs/>
        </w:rPr>
        <w:t xml:space="preserve">Statistical Science</w:t>
      </w:r>
      <w:r>
        <w:t xml:space="preserve">,</w:t>
      </w:r>
      <w:r>
        <w:t xml:space="preserve"> </w:t>
      </w:r>
      <w:r>
        <w:rPr>
          <w:i/>
          <w:iCs/>
        </w:rPr>
        <w:t xml:space="preserve">12</w:t>
      </w:r>
      <w:r>
        <w:t xml:space="preserve">(4), 279–300. https://doi.org/10.1214/ss/1030037960</w:t>
      </w:r>
    </w:p>
    <w:p>
      <w:pPr>
        <w:pStyle w:val="Bibliography"/>
      </w:pPr>
      <w:r>
        <w:t xml:space="preserve">Powell, J. L. (1986). Censored regression quantiles.</w:t>
      </w:r>
      <w:r>
        <w:t xml:space="preserve"> </w:t>
      </w:r>
      <w:r>
        <w:rPr>
          <w:i/>
          <w:iCs/>
        </w:rPr>
        <w:t xml:space="preserve">Journal of Econometrics</w:t>
      </w:r>
      <w:r>
        <w:t xml:space="preserve">,</w:t>
      </w:r>
      <w:r>
        <w:t xml:space="preserve"> </w:t>
      </w:r>
      <w:r>
        <w:rPr>
          <w:i/>
          <w:iCs/>
        </w:rPr>
        <w:t xml:space="preserve">32</w:t>
      </w:r>
      <w:r>
        <w:t xml:space="preserve">(1), 143–155. https://doi.org/10.1016/0304-4076(86)90016-3</w:t>
      </w:r>
    </w:p>
    <w:p>
      <w:pPr>
        <w:pStyle w:val="Bibliography"/>
      </w:pPr>
      <w:r>
        <w:t xml:space="preserve">Rassi, S., &amp; Kanamura, T. (2023). Electricity price spike formation and LNG prices effect under gross bidding scheme in JEPX.</w:t>
      </w:r>
      <w:r>
        <w:t xml:space="preserve"> </w:t>
      </w:r>
      <w:r>
        <w:rPr>
          <w:i/>
          <w:iCs/>
        </w:rPr>
        <w:t xml:space="preserve">Energy Policy</w:t>
      </w:r>
      <w:r>
        <w:t xml:space="preserve">,</w:t>
      </w:r>
      <w:r>
        <w:t xml:space="preserve"> </w:t>
      </w:r>
      <w:r>
        <w:rPr>
          <w:i/>
          <w:iCs/>
        </w:rPr>
        <w:t xml:space="preserve">177</w:t>
      </w:r>
      <w:r>
        <w:t xml:space="preserve">, Article 113552. https://doi.org/10.1016/j.enpol.2023.113552</w:t>
      </w:r>
    </w:p>
    <w:p>
      <w:pPr>
        <w:pStyle w:val="Bibliography"/>
      </w:pPr>
      <w:r>
        <w:t xml:space="preserve">Raviv, E., Bouwman, K. E., &amp; van Dijk, D. (2015). Forecasting day-ahead electricity prices: Utilizing hourly prices.</w:t>
      </w:r>
      <w:r>
        <w:t xml:space="preserve"> </w:t>
      </w:r>
      <w:r>
        <w:rPr>
          <w:i/>
          <w:iCs/>
        </w:rPr>
        <w:t xml:space="preserve">Energy Economics</w:t>
      </w:r>
      <w:r>
        <w:t xml:space="preserve">,</w:t>
      </w:r>
      <w:r>
        <w:t xml:space="preserve"> </w:t>
      </w:r>
      <w:r>
        <w:rPr>
          <w:i/>
          <w:iCs/>
        </w:rPr>
        <w:t xml:space="preserve">50</w:t>
      </w:r>
      <w:r>
        <w:t xml:space="preserve">, 227–239. https://doi.org/10.1016/j.eneco.2015.05.014</w:t>
      </w:r>
    </w:p>
    <w:p>
      <w:pPr>
        <w:pStyle w:val="Bibliography"/>
      </w:pPr>
      <w:r>
        <w:t xml:space="preserve">Rho, S.-H., &amp; Vogelsang, T. J. (2019). Heteroskedasticity autocorrelation robust inference in time series regressions with missing data.</w:t>
      </w:r>
      <w:r>
        <w:t xml:space="preserve"> </w:t>
      </w:r>
      <w:r>
        <w:rPr>
          <w:i/>
          <w:iCs/>
        </w:rPr>
        <w:t xml:space="preserve">Econometric Theory</w:t>
      </w:r>
      <w:r>
        <w:t xml:space="preserve">,</w:t>
      </w:r>
      <w:r>
        <w:t xml:space="preserve"> </w:t>
      </w:r>
      <w:r>
        <w:rPr>
          <w:i/>
          <w:iCs/>
        </w:rPr>
        <w:t xml:space="preserve">35</w:t>
      </w:r>
      <w:r>
        <w:t xml:space="preserve">(3), 601–629. https://doi.org/10.1017/S0266466618000117</w:t>
      </w:r>
    </w:p>
    <w:p>
      <w:pPr>
        <w:pStyle w:val="Bibliography"/>
      </w:pPr>
      <w:r>
        <w:t xml:space="preserve">Rintamäki, T., Siddiqui, A. S., &amp; Salo, A. (2017). Does renewable energy generation decrease the volatility of electricity prices? An analysis of Denmark and Germany.</w:t>
      </w:r>
      <w:r>
        <w:t xml:space="preserve"> </w:t>
      </w:r>
      <w:r>
        <w:rPr>
          <w:i/>
          <w:iCs/>
        </w:rPr>
        <w:t xml:space="preserve">Energy Economics</w:t>
      </w:r>
      <w:r>
        <w:t xml:space="preserve">,</w:t>
      </w:r>
      <w:r>
        <w:t xml:space="preserve"> </w:t>
      </w:r>
      <w:r>
        <w:rPr>
          <w:i/>
          <w:iCs/>
        </w:rPr>
        <w:t xml:space="preserve">62</w:t>
      </w:r>
      <w:r>
        <w:t xml:space="preserve">, 270–282. https://doi.org/10.1016/j.eneco.2016.12.019</w:t>
      </w:r>
    </w:p>
    <w:p>
      <w:pPr>
        <w:pStyle w:val="Bibliography"/>
      </w:pPr>
      <w:r>
        <w:t xml:space="preserve">Sakaguchi, M., &amp; Fujii, H. (2021). The impact of variable renewable energy penetration on wholesale electricity prices in Japan between FY 2016 and 2019.</w:t>
      </w:r>
      <w:r>
        <w:t xml:space="preserve"> </w:t>
      </w:r>
      <w:r>
        <w:rPr>
          <w:i/>
          <w:iCs/>
        </w:rPr>
        <w:t xml:space="preserve">Frontiers in Sustainability</w:t>
      </w:r>
      <w:r>
        <w:t xml:space="preserve">,</w:t>
      </w:r>
      <w:r>
        <w:t xml:space="preserve"> </w:t>
      </w:r>
      <w:r>
        <w:rPr>
          <w:i/>
          <w:iCs/>
        </w:rPr>
        <w:t xml:space="preserve">2</w:t>
      </w:r>
      <w:r>
        <w:t xml:space="preserve">, Article 770045. https://doi.org/10.3389/frsus.2021.770045</w:t>
      </w:r>
    </w:p>
    <w:p>
      <w:pPr>
        <w:pStyle w:val="Bibliography"/>
      </w:pPr>
      <w:r>
        <w:t xml:space="preserve">Schmalensee, R. (2022). Competitive energy storage and the duck curve.</w:t>
      </w:r>
      <w:r>
        <w:t xml:space="preserve"> </w:t>
      </w:r>
      <w:r>
        <w:rPr>
          <w:i/>
          <w:iCs/>
        </w:rPr>
        <w:t xml:space="preserve">The Energy Journal</w:t>
      </w:r>
      <w:r>
        <w:t xml:space="preserve">,</w:t>
      </w:r>
      <w:r>
        <w:t xml:space="preserve"> </w:t>
      </w:r>
      <w:r>
        <w:rPr>
          <w:i/>
          <w:iCs/>
        </w:rPr>
        <w:t xml:space="preserve">43</w:t>
      </w:r>
      <w:r>
        <w:t xml:space="preserve">(2), 1–16. </w:t>
      </w:r>
      <w:r>
        <w:rPr>
          <w:rFonts w:hint="eastAsia"/>
        </w:rPr>
        <w:t xml:space="preserve">https://doi.org/10.5547/01956574.43.2.rsch（参照したのは</w:t>
      </w:r>
      <w:r>
        <w:t xml:space="preserve"> MIT CEEPR Working Paper </w:t>
      </w:r>
      <w:r>
        <w:rPr>
          <w:rFonts w:hint="eastAsia"/>
        </w:rPr>
        <w:t xml:space="preserve">2020-012）</w:t>
      </w:r>
    </w:p>
    <w:p>
      <w:pPr>
        <w:pStyle w:val="Bibliography"/>
      </w:pPr>
      <w:r>
        <w:t xml:space="preserve">Schöniger, F., &amp; Morawetz, U. B. (2022). What comes down must go up: Why fluctuating renewable energy does not necessarily increase electricity spot price variance in Europe.</w:t>
      </w:r>
      <w:r>
        <w:t xml:space="preserve"> </w:t>
      </w:r>
      <w:r>
        <w:rPr>
          <w:i/>
          <w:iCs/>
        </w:rPr>
        <w:t xml:space="preserve">Energy Economics</w:t>
      </w:r>
      <w:r>
        <w:t xml:space="preserve">,</w:t>
      </w:r>
      <w:r>
        <w:t xml:space="preserve"> </w:t>
      </w:r>
      <w:r>
        <w:rPr>
          <w:i/>
          <w:iCs/>
        </w:rPr>
        <w:t xml:space="preserve">111</w:t>
      </w:r>
      <w:r>
        <w:t xml:space="preserve">, Article 106069. https://doi.org/10.1016/j.eneco.2022.106069</w:t>
      </w:r>
    </w:p>
    <w:p>
      <w:pPr>
        <w:pStyle w:val="Bibliography"/>
      </w:pPr>
      <w:r>
        <w:t xml:space="preserve">Schwartz, E., &amp; Smith, J. E. (2000). Short-term variations and long-term dynamics in commodity prices.</w:t>
      </w:r>
      <w:r>
        <w:t xml:space="preserve"> </w:t>
      </w:r>
      <w:r>
        <w:rPr>
          <w:i/>
          <w:iCs/>
        </w:rPr>
        <w:t xml:space="preserve">Management Science</w:t>
      </w:r>
      <w:r>
        <w:t xml:space="preserve">,</w:t>
      </w:r>
      <w:r>
        <w:t xml:space="preserve"> </w:t>
      </w:r>
      <w:r>
        <w:rPr>
          <w:i/>
          <w:iCs/>
        </w:rPr>
        <w:t xml:space="preserve">46</w:t>
      </w:r>
      <w:r>
        <w:t xml:space="preserve">(7), 893–911. https://doi.org/10.1287/mnsc.46.7.893.12034</w:t>
      </w:r>
    </w:p>
    <w:p>
      <w:pPr>
        <w:pStyle w:val="Bibliography"/>
      </w:pPr>
      <w:r>
        <w:t xml:space="preserve">Sensfuß, F., Ragwitz, M., &amp; Genoese, M. (2008). The merit-order effect: A detailed analysis of the price effect of renewable electricity generation on spot market prices in Germany.</w:t>
      </w:r>
      <w:r>
        <w:t xml:space="preserve"> </w:t>
      </w:r>
      <w:r>
        <w:rPr>
          <w:i/>
          <w:iCs/>
        </w:rPr>
        <w:t xml:space="preserve">Energy Policy</w:t>
      </w:r>
      <w:r>
        <w:t xml:space="preserve">,</w:t>
      </w:r>
      <w:r>
        <w:t xml:space="preserve"> </w:t>
      </w:r>
      <w:r>
        <w:rPr>
          <w:i/>
          <w:iCs/>
        </w:rPr>
        <w:t xml:space="preserve">36</w:t>
      </w:r>
      <w:r>
        <w:t xml:space="preserve">(8), 3086–3094. https://doi.org/10.1016/j.enpol.2008.03.035</w:t>
      </w:r>
    </w:p>
    <w:p>
      <w:pPr>
        <w:pStyle w:val="Bibliography"/>
      </w:pPr>
      <w:r>
        <w:t xml:space="preserve">Shapley, L. S. (1953). A value for n-person games. In H. W. Kuhn &amp; A. W. Tucker (Eds.),</w:t>
      </w:r>
      <w:r>
        <w:t xml:space="preserve"> </w:t>
      </w:r>
      <w:r>
        <w:rPr>
          <w:i/>
          <w:iCs/>
        </w:rPr>
        <w:t xml:space="preserve">Contributions to the theory of games</w:t>
      </w:r>
      <w:r>
        <w:t xml:space="preserve"> </w:t>
      </w:r>
      <w:r>
        <w:t xml:space="preserve">(Vol. 2, pp. 307–317). Princeton University Press. https://doi.org/10.1515/9781400881970-018</w:t>
      </w:r>
    </w:p>
    <w:p>
      <w:pPr>
        <w:pStyle w:val="Bibliography"/>
      </w:pPr>
      <w:r>
        <w:t xml:space="preserve">Shen, D., Ilic, M., &amp; Parsons, J. (2026).</w:t>
      </w:r>
      <w:r>
        <w:t xml:space="preserve"> </w:t>
      </w:r>
      <w:r>
        <w:rPr>
          <w:i/>
          <w:iCs/>
        </w:rPr>
        <w:t xml:space="preserve">Peak-load pricing and investment cost recovery with duration-limited storage</w:t>
      </w:r>
      <w:r>
        <w:t xml:space="preserve"> </w:t>
      </w:r>
      <w:r>
        <w:t xml:space="preserve">(arXiv:2603.13678). arXiv. https://doi.org/10.48550/arXiv.2603.13678</w:t>
      </w:r>
    </w:p>
    <w:p>
      <w:pPr>
        <w:pStyle w:val="Bibliography"/>
      </w:pPr>
      <w:r>
        <w:t xml:space="preserve">Shin, K., &amp; Lee, J. (2024). Investment decision for long-term battery energy storage system using least squares Monte Carlo.</w:t>
      </w:r>
      <w:r>
        <w:t xml:space="preserve"> </w:t>
      </w:r>
      <w:r>
        <w:rPr>
          <w:i/>
          <w:iCs/>
        </w:rPr>
        <w:t xml:space="preserve">Energies</w:t>
      </w:r>
      <w:r>
        <w:t xml:space="preserve">,</w:t>
      </w:r>
      <w:r>
        <w:t xml:space="preserve"> </w:t>
      </w:r>
      <w:r>
        <w:rPr>
          <w:i/>
          <w:iCs/>
        </w:rPr>
        <w:t xml:space="preserve">17</w:t>
      </w:r>
      <w:r>
        <w:t xml:space="preserve">(9), Article 2019. https://doi.org/10.3390/en17092019</w:t>
      </w:r>
    </w:p>
    <w:p>
      <w:pPr>
        <w:pStyle w:val="Bibliography"/>
      </w:pPr>
      <w:r>
        <w:t xml:space="preserve">Shorrocks, A. F. (2013). Decomposition procedures for distributional analysis: A unified framework based on the Shapley value.</w:t>
      </w:r>
      <w:r>
        <w:t xml:space="preserve"> </w:t>
      </w:r>
      <w:r>
        <w:rPr>
          <w:i/>
          <w:iCs/>
        </w:rPr>
        <w:t xml:space="preserve">The Journal of Economic Inequality</w:t>
      </w:r>
      <w:r>
        <w:t xml:space="preserve">,</w:t>
      </w:r>
      <w:r>
        <w:t xml:space="preserve"> </w:t>
      </w:r>
      <w:r>
        <w:rPr>
          <w:i/>
          <w:iCs/>
        </w:rPr>
        <w:t xml:space="preserve">11</w:t>
      </w:r>
      <w:r>
        <w:t xml:space="preserve">(1), 99–126. https://doi.org/10.1007/s10888-011-9214-z</w:t>
      </w:r>
    </w:p>
    <w:p>
      <w:pPr>
        <w:pStyle w:val="Bibliography"/>
      </w:pPr>
      <w:r>
        <w:t xml:space="preserve">Sioshansi, R. (2010). Welfare impacts of electricity storage and the implications of ownership structure.</w:t>
      </w:r>
      <w:r>
        <w:t xml:space="preserve"> </w:t>
      </w:r>
      <w:r>
        <w:rPr>
          <w:i/>
          <w:iCs/>
        </w:rPr>
        <w:t xml:space="preserve">The Energy Journal</w:t>
      </w:r>
      <w:r>
        <w:t xml:space="preserve">,</w:t>
      </w:r>
      <w:r>
        <w:t xml:space="preserve"> </w:t>
      </w:r>
      <w:r>
        <w:rPr>
          <w:i/>
          <w:iCs/>
        </w:rPr>
        <w:t xml:space="preserve">31</w:t>
      </w:r>
      <w:r>
        <w:t xml:space="preserve">(2), 173–198. https://doi.org/10.5547/ISSN0195-6574-EJ-Vol31-No2-7</w:t>
      </w:r>
    </w:p>
    <w:p>
      <w:pPr>
        <w:pStyle w:val="Bibliography"/>
      </w:pPr>
      <w:r>
        <w:t xml:space="preserve">Sioshansi, R., Denholm, P., Jenkin, T., &amp; Weiss, J. (2009). Estimating the value of electricity storage in PJM: Arbitrage and some welfare effects.</w:t>
      </w:r>
      <w:r>
        <w:t xml:space="preserve"> </w:t>
      </w:r>
      <w:r>
        <w:rPr>
          <w:i/>
          <w:iCs/>
        </w:rPr>
        <w:t xml:space="preserve">Energy Economics</w:t>
      </w:r>
      <w:r>
        <w:t xml:space="preserve">,</w:t>
      </w:r>
      <w:r>
        <w:t xml:space="preserve"> </w:t>
      </w:r>
      <w:r>
        <w:rPr>
          <w:i/>
          <w:iCs/>
        </w:rPr>
        <w:t xml:space="preserve">31</w:t>
      </w:r>
      <w:r>
        <w:t xml:space="preserve">(2), 269–277. https://doi.org/10.1016/j.eneco.2008.10.005</w:t>
      </w:r>
    </w:p>
    <w:p>
      <w:pPr>
        <w:pStyle w:val="Bibliography"/>
      </w:pPr>
      <w:r>
        <w:t xml:space="preserve">St. Martin, C. M., Lundquist, J. K., &amp; Handschy, M. A. (2015). Variability of interconnected wind plants: Correlation length and its dependence on variability time scale.</w:t>
      </w:r>
      <w:r>
        <w:t xml:space="preserve"> </w:t>
      </w:r>
      <w:r>
        <w:rPr>
          <w:i/>
          <w:iCs/>
        </w:rPr>
        <w:t xml:space="preserve">Environmental Research Letters</w:t>
      </w:r>
      <w:r>
        <w:t xml:space="preserve">,</w:t>
      </w:r>
      <w:r>
        <w:t xml:space="preserve"> </w:t>
      </w:r>
      <w:r>
        <w:rPr>
          <w:i/>
          <w:iCs/>
        </w:rPr>
        <w:t xml:space="preserve">10</w:t>
      </w:r>
      <w:r>
        <w:t xml:space="preserve">(4), Article 044004. https://doi.org/10.1088/1748-9326/10/4/044004</w:t>
      </w:r>
    </w:p>
    <w:p>
      <w:pPr>
        <w:pStyle w:val="Bibliography"/>
      </w:pPr>
      <w:r>
        <w:t xml:space="preserve">Stoll, H. R. (1969). The relationship between put and call option prices.</w:t>
      </w:r>
      <w:r>
        <w:t xml:space="preserve"> </w:t>
      </w:r>
      <w:r>
        <w:rPr>
          <w:i/>
          <w:iCs/>
        </w:rPr>
        <w:t xml:space="preserve">The Journal of Finance</w:t>
      </w:r>
      <w:r>
        <w:t xml:space="preserve">,</w:t>
      </w:r>
      <w:r>
        <w:t xml:space="preserve"> </w:t>
      </w:r>
      <w:r>
        <w:rPr>
          <w:i/>
          <w:iCs/>
        </w:rPr>
        <w:t xml:space="preserve">24</w:t>
      </w:r>
      <w:r>
        <w:t xml:space="preserve">(5), 801–824. https://doi.org/10.1111/j.1540-6261.1969.tb01694.x</w:t>
      </w:r>
    </w:p>
    <w:p>
      <w:pPr>
        <w:pStyle w:val="Bibliography"/>
      </w:pPr>
      <w:r>
        <w:t xml:space="preserve">Sullivan, R., Timmermann, A., &amp; White, H. (1999). Data-snooping, technical trading rule performance, and the bootstrap.</w:t>
      </w:r>
      <w:r>
        <w:t xml:space="preserve"> </w:t>
      </w:r>
      <w:r>
        <w:rPr>
          <w:i/>
          <w:iCs/>
        </w:rPr>
        <w:t xml:space="preserve">The Journal of Finance</w:t>
      </w:r>
      <w:r>
        <w:t xml:space="preserve">,</w:t>
      </w:r>
      <w:r>
        <w:t xml:space="preserve"> </w:t>
      </w:r>
      <w:r>
        <w:rPr>
          <w:i/>
          <w:iCs/>
        </w:rPr>
        <w:t xml:space="preserve">54</w:t>
      </w:r>
      <w:r>
        <w:t xml:space="preserve">(5), 1647–1691. https://doi.org/10.1111/0022-1082.00163</w:t>
      </w:r>
    </w:p>
    <w:p>
      <w:pPr>
        <w:pStyle w:val="Bibliography"/>
      </w:pPr>
      <w:r>
        <w:t xml:space="preserve">Tselika, K. (2022). The impact of variable renewables on the distribution of hourly electricity prices and their variability: A panel approach.</w:t>
      </w:r>
      <w:r>
        <w:t xml:space="preserve"> </w:t>
      </w:r>
      <w:r>
        <w:rPr>
          <w:i/>
          <w:iCs/>
        </w:rPr>
        <w:t xml:space="preserve">Energy Economics</w:t>
      </w:r>
      <w:r>
        <w:t xml:space="preserve">,</w:t>
      </w:r>
      <w:r>
        <w:t xml:space="preserve"> </w:t>
      </w:r>
      <w:r>
        <w:rPr>
          <w:i/>
          <w:iCs/>
        </w:rPr>
        <w:t xml:space="preserve">113</w:t>
      </w:r>
      <w:r>
        <w:t xml:space="preserve">, Article 106194. https://doi.org/10.1016/j.eneco.2022.106194</w:t>
      </w:r>
    </w:p>
    <w:p>
      <w:pPr>
        <w:pStyle w:val="Bibliography"/>
      </w:pPr>
      <w:r>
        <w:t xml:space="preserve">Weeds, H. (2002). Strategic delay in a real options model of R&amp;D competition.</w:t>
      </w:r>
      <w:r>
        <w:t xml:space="preserve"> </w:t>
      </w:r>
      <w:r>
        <w:rPr>
          <w:i/>
          <w:iCs/>
        </w:rPr>
        <w:t xml:space="preserve">The Review of Economic Studies</w:t>
      </w:r>
      <w:r>
        <w:t xml:space="preserve">,</w:t>
      </w:r>
      <w:r>
        <w:t xml:space="preserve"> </w:t>
      </w:r>
      <w:r>
        <w:rPr>
          <w:i/>
          <w:iCs/>
        </w:rPr>
        <w:t xml:space="preserve">69</w:t>
      </w:r>
      <w:r>
        <w:t xml:space="preserve">(3), 729–747. https://doi.org/10.1111/1467-937X.t01-1-00029</w:t>
      </w:r>
    </w:p>
    <w:p>
      <w:pPr>
        <w:pStyle w:val="Bibliography"/>
      </w:pPr>
      <w:r>
        <w:t xml:space="preserve">Weitzman, M. L. (1974). Prices vs. quantities.</w:t>
      </w:r>
      <w:r>
        <w:t xml:space="preserve"> </w:t>
      </w:r>
      <w:r>
        <w:rPr>
          <w:i/>
          <w:iCs/>
        </w:rPr>
        <w:t xml:space="preserve">The Review of Economic Studies</w:t>
      </w:r>
      <w:r>
        <w:t xml:space="preserve">,</w:t>
      </w:r>
      <w:r>
        <w:t xml:space="preserve"> </w:t>
      </w:r>
      <w:r>
        <w:rPr>
          <w:i/>
          <w:iCs/>
        </w:rPr>
        <w:t xml:space="preserve">41</w:t>
      </w:r>
      <w:r>
        <w:t xml:space="preserve">(4), 477–491. https://doi.org/10.2307/2296698</w:t>
      </w:r>
    </w:p>
    <w:p>
      <w:pPr>
        <w:pStyle w:val="Bibliography"/>
      </w:pPr>
      <w:r>
        <w:t xml:space="preserve">Weron, R. (2014). Electricity price forecasting: A review of the state-of-the-art with a look into the future.</w:t>
      </w:r>
      <w:r>
        <w:t xml:space="preserve"> </w:t>
      </w:r>
      <w:r>
        <w:rPr>
          <w:i/>
          <w:iCs/>
        </w:rPr>
        <w:t xml:space="preserve">International Journal of Forecasting</w:t>
      </w:r>
      <w:r>
        <w:t xml:space="preserve">,</w:t>
      </w:r>
      <w:r>
        <w:t xml:space="preserve"> </w:t>
      </w:r>
      <w:r>
        <w:rPr>
          <w:i/>
          <w:iCs/>
        </w:rPr>
        <w:t xml:space="preserve">30</w:t>
      </w:r>
      <w:r>
        <w:t xml:space="preserve">(4), 1030–1081. https://doi.org/10.1016/j.ijforecast.2014.08.008</w:t>
      </w:r>
    </w:p>
    <w:p>
      <w:pPr>
        <w:pStyle w:val="Bibliography"/>
      </w:pPr>
      <w:r>
        <w:t xml:space="preserve">White, H. (2000). A reality check for data snooping.</w:t>
      </w:r>
      <w:r>
        <w:t xml:space="preserve"> </w:t>
      </w:r>
      <w:r>
        <w:rPr>
          <w:i/>
          <w:iCs/>
        </w:rPr>
        <w:t xml:space="preserve">Econometrica</w:t>
      </w:r>
      <w:r>
        <w:t xml:space="preserve">,</w:t>
      </w:r>
      <w:r>
        <w:t xml:space="preserve"> </w:t>
      </w:r>
      <w:r>
        <w:rPr>
          <w:i/>
          <w:iCs/>
        </w:rPr>
        <w:t xml:space="preserve">68</w:t>
      </w:r>
      <w:r>
        <w:t xml:space="preserve">(5), 1097–1126. https://doi.org/10.1111/1468-0262.00152</w:t>
      </w:r>
    </w:p>
    <w:p>
      <w:pPr>
        <w:pStyle w:val="Bibliography"/>
      </w:pPr>
      <w:r>
        <w:t xml:space="preserve">Willems, B., &amp; Morbee, J. (2010). Market completeness: How options affect hedging and investments in the electricity sector.</w:t>
      </w:r>
      <w:r>
        <w:t xml:space="preserve"> </w:t>
      </w:r>
      <w:r>
        <w:rPr>
          <w:i/>
          <w:iCs/>
        </w:rPr>
        <w:t xml:space="preserve">Energy Economics</w:t>
      </w:r>
      <w:r>
        <w:t xml:space="preserve">,</w:t>
      </w:r>
      <w:r>
        <w:t xml:space="preserve"> </w:t>
      </w:r>
      <w:r>
        <w:rPr>
          <w:i/>
          <w:iCs/>
        </w:rPr>
        <w:t xml:space="preserve">32</w:t>
      </w:r>
      <w:r>
        <w:t xml:space="preserve">(4), 786–795. https://doi.org/10.1016/j.eneco.2009.10.019</w:t>
      </w:r>
    </w:p>
    <w:p>
      <w:pPr>
        <w:pStyle w:val="Bibliography"/>
      </w:pPr>
      <w:r>
        <w:t xml:space="preserve">Woo, C. K., Horowitz, I., Moore, J., &amp; Pacheco, A. (2011). The impact of wind generation on the electricity spot-market price level and variance: The Texas experience.</w:t>
      </w:r>
      <w:r>
        <w:t xml:space="preserve"> </w:t>
      </w:r>
      <w:r>
        <w:rPr>
          <w:i/>
          <w:iCs/>
        </w:rPr>
        <w:t xml:space="preserve">Energy Policy</w:t>
      </w:r>
      <w:r>
        <w:t xml:space="preserve">,</w:t>
      </w:r>
      <w:r>
        <w:t xml:space="preserve"> </w:t>
      </w:r>
      <w:r>
        <w:rPr>
          <w:i/>
          <w:iCs/>
        </w:rPr>
        <w:t xml:space="preserve">39</w:t>
      </w:r>
      <w:r>
        <w:t xml:space="preserve">(7), 3939–3944. https://doi.org/10.1016/j.enpol.2011.03.084</w:t>
      </w:r>
    </w:p>
    <w:p>
      <w:pPr>
        <w:pStyle w:val="Bibliography"/>
      </w:pPr>
      <w:r>
        <w:t xml:space="preserve">Wozabal, D., Graf, C., &amp; Hirschmann, D. (2016). The effect of intermittent renewables on the electricity price variance.</w:t>
      </w:r>
      <w:r>
        <w:t xml:space="preserve"> </w:t>
      </w:r>
      <w:r>
        <w:rPr>
          <w:i/>
          <w:iCs/>
        </w:rPr>
        <w:t xml:space="preserve">OR Spectrum</w:t>
      </w:r>
      <w:r>
        <w:t xml:space="preserve">,</w:t>
      </w:r>
      <w:r>
        <w:t xml:space="preserve"> </w:t>
      </w:r>
      <w:r>
        <w:rPr>
          <w:i/>
          <w:iCs/>
        </w:rPr>
        <w:t xml:space="preserve">38</w:t>
      </w:r>
      <w:r>
        <w:t xml:space="preserve">(3), 687–709. https://doi.org/10.1007/s00291-015-0395-x</w:t>
      </w:r>
    </w:p>
    <w:p>
      <w:pPr>
        <w:pStyle w:val="Bibliography"/>
      </w:pPr>
      <w:r>
        <w:t xml:space="preserve">Würzburg, K., Labandeira, X., &amp; Linares, P. (2013). Renewable generation and electricity prices: Taking stock and new evidence for Germany and Austria.</w:t>
      </w:r>
      <w:r>
        <w:t xml:space="preserve"> </w:t>
      </w:r>
      <w:r>
        <w:rPr>
          <w:i/>
          <w:iCs/>
        </w:rPr>
        <w:t xml:space="preserve">Energy Economics</w:t>
      </w:r>
      <w:r>
        <w:t xml:space="preserve">,</w:t>
      </w:r>
      <w:r>
        <w:t xml:space="preserve"> </w:t>
      </w:r>
      <w:r>
        <w:rPr>
          <w:i/>
          <w:iCs/>
        </w:rPr>
        <w:t xml:space="preserve">40</w:t>
      </w:r>
      <w:r>
        <w:t xml:space="preserve">, S159–S171. https://doi.org/10.1016/j.eneco.2013.09.011</w:t>
      </w:r>
    </w:p>
    <w:p>
      <w:pPr>
        <w:pStyle w:val="Bibliography"/>
      </w:pPr>
      <w:r>
        <w:t xml:space="preserve">Zhao, D., Jafari, M., Botterud, A., &amp; Sakti, A. (2022). Strategic energy storage investments: A case study of the CAISO electricity market.</w:t>
      </w:r>
      <w:r>
        <w:t xml:space="preserve"> </w:t>
      </w:r>
      <w:r>
        <w:rPr>
          <w:i/>
          <w:iCs/>
        </w:rPr>
        <w:t xml:space="preserve">Applied Energy</w:t>
      </w:r>
      <w:r>
        <w:t xml:space="preserve">,</w:t>
      </w:r>
      <w:r>
        <w:t xml:space="preserve"> </w:t>
      </w:r>
      <w:r>
        <w:rPr>
          <w:i/>
          <w:iCs/>
        </w:rPr>
        <w:t xml:space="preserve">325</w:t>
      </w:r>
      <w:r>
        <w:t xml:space="preserve">, Article 119909. https://doi.org/10.1016/j.apenergy.2022.119909</w:t>
      </w:r>
    </w:p>
    <w:bookmarkStart w:id="303" w:name="参考資料データ"/>
    <w:p>
      <w:pPr>
        <w:pStyle w:val="Heading2"/>
      </w:pPr>
      <w:r>
        <w:rPr>
          <w:rFonts w:hint="eastAsia"/>
        </w:rPr>
        <w:t xml:space="preserve">参考資料・データ</w:t>
      </w:r>
    </w:p>
    <w:p>
      <w:pPr>
        <w:pStyle w:val="FirstParagraph"/>
      </w:pPr>
      <w:r>
        <w:rPr>
          <w:rFonts w:hint="eastAsia"/>
        </w:rPr>
        <w:t xml:space="preserve">政府・審議会・取引所・事業者の公表資料、報道とプレスリリース、および分析に用いたデータを、発行機関の五十音順に掲げ、海外の機関と報道はその後にアルファベット順で掲げる。同じ機関の資料は年の順に並べる。随時更新される公表データは年を（n.d.）とし、データの取得日を示す。</w:t>
      </w:r>
    </w:p>
    <w:p>
      <w:pPr>
        <w:pStyle w:val="Bibliography"/>
      </w:pPr>
      <w:r>
        <w:rPr>
          <w:rFonts w:hint="eastAsia"/>
        </w:rPr>
        <w:t xml:space="preserve">環境共創イニシアチブ［SII］（2024）「令和6年度</w:t>
      </w:r>
      <w:r>
        <w:t xml:space="preserve"> </w:t>
      </w:r>
      <w:r>
        <w:rPr>
          <w:rFonts w:hint="eastAsia"/>
        </w:rPr>
        <w:t xml:space="preserve">再生可能エネルギー導入拡大・系統用蓄電池等電力貯蔵システム導入支援事業費補助金」の公募要領（公募期間2024年8月30日〜10月31日）と「交付決定について」（2024年12月23日更新）.</w:t>
      </w:r>
      <w:r>
        <w:t xml:space="preserve"> </w:t>
      </w:r>
      <w:r>
        <w:rPr>
          <w:rFonts w:hint="eastAsia"/>
        </w:rPr>
        <w:t xml:space="preserve">https://sii.or.jp/chikudenchi06/uploads/R6k_ess_d_kouboyouryou.pdf、https://sii.or.jp/chikudenchi06/uploads/R6kess_d_koufukettei.pdf（2026年10月21日閲覧）</w:t>
      </w:r>
    </w:p>
    <w:p>
      <w:pPr>
        <w:pStyle w:val="Bibliography"/>
      </w:pPr>
      <w:r>
        <w:rPr>
          <w:rFonts w:hint="eastAsia"/>
        </w:rPr>
        <w:t xml:space="preserve">環境共創イニシアチブ［SII］（2025）「令和7年度</w:t>
      </w:r>
      <w:r>
        <w:t xml:space="preserve"> </w:t>
      </w:r>
      <w:r>
        <w:rPr>
          <w:rFonts w:hint="eastAsia"/>
        </w:rPr>
        <w:t xml:space="preserve">再生可能エネルギー導入拡大・系統用蓄電池等電力貯蔵システム導入支援事業費補助金」の公募要領（公募期間2025年8月29日〜10月24日）と「交付決定について」（2025年12月25日公表）.</w:t>
      </w:r>
      <w:r>
        <w:t xml:space="preserve"> </w:t>
      </w:r>
      <w:r>
        <w:rPr>
          <w:rFonts w:hint="eastAsia"/>
        </w:rPr>
        <w:t xml:space="preserve">https://sii.or.jp/chikudenchi07/uploads/R7kess_kouboyouryou.pdf、https://sii.or.jp/chikudenchi07/uploads/R7kess_koufukettei.pdf（2026年10月21日閲覧）</w:t>
      </w:r>
    </w:p>
    <w:p>
      <w:pPr>
        <w:pStyle w:val="Bibliography"/>
      </w:pPr>
      <w:r>
        <w:rPr>
          <w:rFonts w:hint="eastAsia"/>
        </w:rPr>
        <w:t xml:space="preserve">九州電力送配電（n.d.）「エリア需給実績」（九州エリア、2016年4月〜2026年7月。2024年2月までは60分値、2024年3月からは30分値）.</w:t>
      </w:r>
      <w:r>
        <w:t xml:space="preserve"> </w:t>
      </w:r>
      <w:r>
        <w:rPr>
          <w:rFonts w:hint="eastAsia"/>
        </w:rPr>
        <w:t xml:space="preserve">https://www.kyuden.co.jp/td_area_jukyu/jukyu.html（2026年7月26日取得）</w:t>
      </w:r>
    </w:p>
    <w:p>
      <w:pPr>
        <w:pStyle w:val="Bibliography"/>
      </w:pPr>
      <w:r>
        <w:rPr>
          <w:rFonts w:hint="eastAsia"/>
        </w:rPr>
        <w:t xml:space="preserve">工藤美香（2025）「総論：長期脱炭素電源オークションの有効性を問う（長期脱炭素電源オークションの課題</w:t>
      </w:r>
      <w:r>
        <w:t xml:space="preserve"> </w:t>
      </w:r>
      <w:r>
        <w:rPr>
          <w:rFonts w:hint="eastAsia"/>
        </w:rPr>
        <w:t xml:space="preserve">1）」自然エネルギー財団</w:t>
      </w:r>
      <w:r>
        <w:t xml:space="preserve"> </w:t>
      </w:r>
      <w:r>
        <w:rPr>
          <w:rFonts w:hint="eastAsia"/>
        </w:rPr>
        <w:t xml:space="preserve">連載コラム,</w:t>
      </w:r>
      <w:r>
        <w:t xml:space="preserve"> </w:t>
      </w:r>
      <w:r>
        <w:rPr>
          <w:rFonts w:hint="eastAsia"/>
        </w:rPr>
        <w:t xml:space="preserve">2025年7月16日.</w:t>
      </w:r>
      <w:r>
        <w:t xml:space="preserve"> </w:t>
      </w:r>
      <w:r>
        <w:rPr>
          <w:rFonts w:hint="eastAsia"/>
        </w:rPr>
        <w:t xml:space="preserve">https://www.renewable-ei.org/activities/column/20250716.php（2026年10月21日閲覧）</w:t>
      </w:r>
    </w:p>
    <w:p>
      <w:pPr>
        <w:pStyle w:val="Bibliography"/>
      </w:pPr>
      <w:r>
        <w:rPr>
          <w:rFonts w:hint="eastAsia"/>
        </w:rPr>
        <w:t xml:space="preserve">経済産業省（2024a）「系統用・再エネ併設蓄電システムのコスト面・収益面での課題整理について」（三菱総合研究所作成）定置用蓄電システム普及拡大検討会</w:t>
      </w:r>
      <w:r>
        <w:t xml:space="preserve"> </w:t>
      </w:r>
      <w:r>
        <w:rPr>
          <w:rFonts w:hint="eastAsia"/>
        </w:rPr>
        <w:t xml:space="preserve">2024年度第3回</w:t>
      </w:r>
      <w:r>
        <w:t xml:space="preserve"> </w:t>
      </w:r>
      <w:r>
        <w:rPr>
          <w:rFonts w:hint="eastAsia"/>
        </w:rPr>
        <w:t xml:space="preserve">資料3,</w:t>
      </w:r>
      <w:r>
        <w:t xml:space="preserve"> </w:t>
      </w:r>
      <w:r>
        <w:rPr>
          <w:rFonts w:hint="eastAsia"/>
        </w:rPr>
        <w:t xml:space="preserve">2024年8月29日.</w:t>
      </w:r>
      <w:r>
        <w:t xml:space="preserve"> </w:t>
      </w:r>
      <w:r>
        <w:rPr>
          <w:rFonts w:hint="eastAsia"/>
        </w:rPr>
        <w:t xml:space="preserve">https://www.meti.go.jp/shingikai/energy_environment/storage_system/pdf/2024_003_03.pdf（2026年10月21日閲覧）</w:t>
      </w:r>
    </w:p>
    <w:p>
      <w:pPr>
        <w:pStyle w:val="Bibliography"/>
      </w:pPr>
      <w:r>
        <w:rPr>
          <w:rFonts w:hint="eastAsia"/>
        </w:rPr>
        <w:t xml:space="preserve">経済産業省（2024b）「系統用蓄電システムの需給調整市場における収益性分析」（三菱総合研究所作成）定置用蓄電システム普及拡大検討会</w:t>
      </w:r>
      <w:r>
        <w:t xml:space="preserve"> </w:t>
      </w:r>
      <w:r>
        <w:rPr>
          <w:rFonts w:hint="eastAsia"/>
        </w:rPr>
        <w:t xml:space="preserve">2024年度第4回</w:t>
      </w:r>
      <w:r>
        <w:t xml:space="preserve"> </w:t>
      </w:r>
      <w:r>
        <w:rPr>
          <w:rFonts w:hint="eastAsia"/>
        </w:rPr>
        <w:t xml:space="preserve">資料3-1,</w:t>
      </w:r>
      <w:r>
        <w:t xml:space="preserve"> </w:t>
      </w:r>
      <w:r>
        <w:rPr>
          <w:rFonts w:hint="eastAsia"/>
        </w:rPr>
        <w:t xml:space="preserve">2024年11月11日.</w:t>
      </w:r>
      <w:r>
        <w:t xml:space="preserve"> </w:t>
      </w:r>
      <w:r>
        <w:rPr>
          <w:rFonts w:hint="eastAsia"/>
        </w:rPr>
        <w:t xml:space="preserve">https://www.meti.go.jp/shingikai/energy_environment/storage_system/pdf/2024_004_03_01.pdf（2026年10月21日閲覧）</w:t>
      </w:r>
    </w:p>
    <w:p>
      <w:pPr>
        <w:pStyle w:val="Bibliography"/>
      </w:pPr>
      <w:r>
        <w:rPr>
          <w:rFonts w:hint="eastAsia"/>
        </w:rPr>
        <w:t xml:space="preserve">経済産業省（2025）「2024年度</w:t>
      </w:r>
      <w:r>
        <w:t xml:space="preserve"> </w:t>
      </w:r>
      <w:r>
        <w:rPr>
          <w:rFonts w:hint="eastAsia"/>
        </w:rPr>
        <w:t xml:space="preserve">定置用蓄電システム普及拡大検討会の結果とりまとめ」2025年3月7日.</w:t>
      </w:r>
      <w:r>
        <w:t xml:space="preserve"> </w:t>
      </w:r>
      <w:r>
        <w:rPr>
          <w:rFonts w:hint="eastAsia"/>
        </w:rPr>
        <w:t xml:space="preserve">https://www.meti.go.jp/shingikai/energy_environment/storage_system/pdf/20250307_1.pdf（2026年7月28日取得）</w:t>
      </w:r>
    </w:p>
    <w:p>
      <w:pPr>
        <w:pStyle w:val="Bibliography"/>
      </w:pPr>
      <w:r>
        <w:rPr>
          <w:rFonts w:hint="eastAsia"/>
        </w:rPr>
        <w:t xml:space="preserve">経済産業省（2026）「需給調整市場ガイドライン」（2026年3月13日改定、3月14日受渡分から適用）.</w:t>
      </w:r>
      <w:r>
        <w:t xml:space="preserve"> </w:t>
      </w:r>
      <w:r>
        <w:rPr>
          <w:rFonts w:hint="eastAsia"/>
        </w:rPr>
        <w:t xml:space="preserve">https://www.egc.meti.go.jp/info/guideline/pdf/20260313001a.pdf（2026年10月22日閲覧）</w:t>
      </w:r>
    </w:p>
    <w:p>
      <w:pPr>
        <w:pStyle w:val="Bibliography"/>
      </w:pPr>
      <w:r>
        <w:rPr>
          <w:rFonts w:hint="eastAsia"/>
        </w:rPr>
        <w:t xml:space="preserve">財務省（n.d.）「法人課税に関する基本的な資料」（諸外国における法人実効税率の比較）.</w:t>
      </w:r>
      <w:r>
        <w:t xml:space="preserve"> </w:t>
      </w:r>
      <w:r>
        <w:rPr>
          <w:rFonts w:hint="eastAsia"/>
        </w:rPr>
        <w:t xml:space="preserve">https://www.mof.go.jp/tax_policy/summary/corporation/c01.htm（2026年10月21日閲覧）</w:t>
      </w:r>
    </w:p>
    <w:p>
      <w:pPr>
        <w:pStyle w:val="Bibliography"/>
      </w:pPr>
      <w:r>
        <w:rPr>
          <w:rFonts w:hint="eastAsia"/>
        </w:rPr>
        <w:t xml:space="preserve">資源エネルギー庁（n.d.）「固定価格買取制度</w:t>
      </w:r>
      <w:r>
        <w:t xml:space="preserve"> </w:t>
      </w:r>
      <w:r>
        <w:rPr>
          <w:rFonts w:hint="eastAsia"/>
        </w:rPr>
        <w:t xml:space="preserve">情報公表用ウェブサイト」（表B</w:t>
      </w:r>
      <w:r>
        <w:t xml:space="preserve"> </w:t>
      </w:r>
      <w:r>
        <w:rPr>
          <w:rFonts w:hint="eastAsia"/>
        </w:rPr>
        <w:t xml:space="preserve">市町村別導入容量、2014年6月〜2025年12月の四半期）.</w:t>
      </w:r>
      <w:r>
        <w:t xml:space="preserve"> </w:t>
      </w:r>
      <w:r>
        <w:rPr>
          <w:rFonts w:hint="eastAsia"/>
        </w:rPr>
        <w:t xml:space="preserve">https://www.fit-portal.go.jp/PublicInfoSummary（2026年7月28日取得）</w:t>
      </w:r>
    </w:p>
    <w:p>
      <w:pPr>
        <w:pStyle w:val="Bibliography"/>
      </w:pPr>
      <w:r>
        <w:rPr>
          <w:rFonts w:hint="eastAsia"/>
        </w:rPr>
        <w:t xml:space="preserve">資源エネルギー庁（2025a）「系統用蓄電池に関する諸課題について」総合資源エネルギー調査会</w:t>
      </w:r>
      <w:r>
        <w:t xml:space="preserve"> </w:t>
      </w:r>
      <w:r>
        <w:rPr>
          <w:rFonts w:hint="eastAsia"/>
        </w:rPr>
        <w:t xml:space="preserve">次世代電力系統ワーキンググループ</w:t>
      </w:r>
      <w:r>
        <w:t xml:space="preserve"> </w:t>
      </w:r>
      <w:r>
        <w:rPr>
          <w:rFonts w:hint="eastAsia"/>
        </w:rPr>
        <w:t xml:space="preserve">第1回</w:t>
      </w:r>
      <w:r>
        <w:t xml:space="preserve"> </w:t>
      </w:r>
      <w:r>
        <w:rPr>
          <w:rFonts w:hint="eastAsia"/>
        </w:rPr>
        <w:t xml:space="preserve">資料3,</w:t>
      </w:r>
      <w:r>
        <w:t xml:space="preserve"> </w:t>
      </w:r>
      <w:r>
        <w:rPr>
          <w:rFonts w:hint="eastAsia"/>
        </w:rPr>
        <w:t xml:space="preserve">2025年1月23日.</w:t>
      </w:r>
      <w:r>
        <w:t xml:space="preserve"> </w:t>
      </w:r>
      <w:r>
        <w:rPr>
          <w:rFonts w:hint="eastAsia"/>
        </w:rPr>
        <w:t xml:space="preserve">https://www.meti.go.jp/shingikai/enecho/denryoku_gas/saisei_kano/smart_power_grid_wg/pdf/001_03_00.pdf（2026年10月21日閲覧）</w:t>
      </w:r>
    </w:p>
    <w:p>
      <w:pPr>
        <w:pStyle w:val="Bibliography"/>
      </w:pPr>
      <w:r>
        <w:rPr>
          <w:rFonts w:hint="eastAsia"/>
        </w:rPr>
        <w:t xml:space="preserve">資源エネルギー庁（2025b）「発電等設備における系統アクセス手続きの規律強化について」総合資源エネルギー調査会</w:t>
      </w:r>
      <w:r>
        <w:t xml:space="preserve"> </w:t>
      </w:r>
      <w:r>
        <w:rPr>
          <w:rFonts w:hint="eastAsia"/>
        </w:rPr>
        <w:t xml:space="preserve">次世代電力系統ワーキンググループ</w:t>
      </w:r>
      <w:r>
        <w:t xml:space="preserve"> </w:t>
      </w:r>
      <w:r>
        <w:rPr>
          <w:rFonts w:hint="eastAsia"/>
        </w:rPr>
        <w:t xml:space="preserve">第6回</w:t>
      </w:r>
      <w:r>
        <w:t xml:space="preserve"> </w:t>
      </w:r>
      <w:r>
        <w:rPr>
          <w:rFonts w:hint="eastAsia"/>
        </w:rPr>
        <w:t xml:space="preserve">資料3,</w:t>
      </w:r>
      <w:r>
        <w:t xml:space="preserve"> </w:t>
      </w:r>
      <w:r>
        <w:rPr>
          <w:rFonts w:hint="eastAsia"/>
        </w:rPr>
        <w:t xml:space="preserve">2025年12月24日.</w:t>
      </w:r>
      <w:r>
        <w:t xml:space="preserve"> </w:t>
      </w:r>
      <w:r>
        <w:rPr>
          <w:rFonts w:hint="eastAsia"/>
        </w:rPr>
        <w:t xml:space="preserve">https://www.meti.go.jp/shingikai/enecho/denryoku_gas/saisei_kano/smart_power_grid_wg/pdf/006_03_00.pdf（2026年10月21日閲覧）</w:t>
      </w:r>
    </w:p>
    <w:p>
      <w:pPr>
        <w:pStyle w:val="Bibliography"/>
      </w:pPr>
      <w:r>
        <w:rPr>
          <w:rFonts w:hint="eastAsia"/>
        </w:rPr>
        <w:t xml:space="preserve">資源エネルギー庁（2025c）「系統用蓄電池の迅速な系統連系に向けて」総合資源エネルギー調査会</w:t>
      </w:r>
      <w:r>
        <w:t xml:space="preserve"> </w:t>
      </w:r>
      <w:r>
        <w:rPr>
          <w:rFonts w:hint="eastAsia"/>
        </w:rPr>
        <w:t xml:space="preserve">次世代電力系統ワーキンググループ</w:t>
      </w:r>
      <w:r>
        <w:t xml:space="preserve"> </w:t>
      </w:r>
      <w:r>
        <w:rPr>
          <w:rFonts w:hint="eastAsia"/>
        </w:rPr>
        <w:t xml:space="preserve">第2回</w:t>
      </w:r>
      <w:r>
        <w:t xml:space="preserve"> </w:t>
      </w:r>
      <w:r>
        <w:rPr>
          <w:rFonts w:hint="eastAsia"/>
        </w:rPr>
        <w:t xml:space="preserve">資料2,</w:t>
      </w:r>
      <w:r>
        <w:t xml:space="preserve"> </w:t>
      </w:r>
      <w:r>
        <w:rPr>
          <w:rFonts w:hint="eastAsia"/>
        </w:rPr>
        <w:t xml:space="preserve">2025年3月17日.</w:t>
      </w:r>
      <w:r>
        <w:t xml:space="preserve"> </w:t>
      </w:r>
      <w:r>
        <w:rPr>
          <w:rFonts w:hint="eastAsia"/>
        </w:rPr>
        <w:t xml:space="preserve">https://www.meti.go.jp/shingikai/enecho/denryoku_gas/saisei_kano/smart_power_grid_wg/pdf/002_02_00.pdf（2026年10月22日閲覧）</w:t>
      </w:r>
    </w:p>
    <w:p>
      <w:pPr>
        <w:pStyle w:val="Bibliography"/>
      </w:pPr>
      <w:r>
        <w:rPr>
          <w:rFonts w:hint="eastAsia"/>
        </w:rPr>
        <w:t xml:space="preserve">資源エネルギー庁（2026a）「再生可能エネルギー出力制御の長期見通し等について」総合資源エネルギー調査会</w:t>
      </w:r>
      <w:r>
        <w:t xml:space="preserve"> </w:t>
      </w:r>
      <w:r>
        <w:rPr>
          <w:rFonts w:hint="eastAsia"/>
        </w:rPr>
        <w:t xml:space="preserve">次世代電力系統ワーキンググループ</w:t>
      </w:r>
      <w:r>
        <w:t xml:space="preserve"> </w:t>
      </w:r>
      <w:r>
        <w:rPr>
          <w:rFonts w:hint="eastAsia"/>
        </w:rPr>
        <w:t xml:space="preserve">第12回</w:t>
      </w:r>
      <w:r>
        <w:t xml:space="preserve"> </w:t>
      </w:r>
      <w:r>
        <w:rPr>
          <w:rFonts w:hint="eastAsia"/>
        </w:rPr>
        <w:t xml:space="preserve">資料1-1,</w:t>
      </w:r>
      <w:r>
        <w:t xml:space="preserve"> </w:t>
      </w:r>
      <w:r>
        <w:rPr>
          <w:rFonts w:hint="eastAsia"/>
        </w:rPr>
        <w:t xml:space="preserve">2026年8月6日.</w:t>
      </w:r>
      <w:r>
        <w:t xml:space="preserve"> </w:t>
      </w:r>
      <w:r>
        <w:rPr>
          <w:rFonts w:hint="eastAsia"/>
        </w:rPr>
        <w:t xml:space="preserve">https://www.meti.go.jp/shingikai/enecho/denryoku_gas/saisei_kano/smart_power_grid_wg/pdf/012_01_01.pdf（2026年10月21日閲覧）</w:t>
      </w:r>
    </w:p>
    <w:p>
      <w:pPr>
        <w:pStyle w:val="Bibliography"/>
      </w:pPr>
      <w:r>
        <w:rPr>
          <w:rFonts w:hint="eastAsia"/>
        </w:rPr>
        <w:t xml:space="preserve">資源エネルギー庁（2026b）「系統用蓄電池をはじめとする発電等設備の迅速な系統連系に向けた対応について」総合資源エネルギー調査会</w:t>
      </w:r>
      <w:r>
        <w:t xml:space="preserve"> </w:t>
      </w:r>
      <w:r>
        <w:rPr>
          <w:rFonts w:hint="eastAsia"/>
        </w:rPr>
        <w:t xml:space="preserve">次世代電力系統ワーキンググループ</w:t>
      </w:r>
      <w:r>
        <w:t xml:space="preserve"> </w:t>
      </w:r>
      <w:r>
        <w:rPr>
          <w:rFonts w:hint="eastAsia"/>
        </w:rPr>
        <w:t xml:space="preserve">第7回</w:t>
      </w:r>
      <w:r>
        <w:t xml:space="preserve"> </w:t>
      </w:r>
      <w:r>
        <w:rPr>
          <w:rFonts w:hint="eastAsia"/>
        </w:rPr>
        <w:t xml:space="preserve">資料1-1,</w:t>
      </w:r>
      <w:r>
        <w:t xml:space="preserve"> </w:t>
      </w:r>
      <w:r>
        <w:rPr>
          <w:rFonts w:hint="eastAsia"/>
        </w:rPr>
        <w:t xml:space="preserve">2026年2月9日.</w:t>
      </w:r>
      <w:r>
        <w:t xml:space="preserve"> </w:t>
      </w:r>
      <w:r>
        <w:rPr>
          <w:rFonts w:hint="eastAsia"/>
        </w:rPr>
        <w:t xml:space="preserve">https://www.meti.go.jp/shingikai/enecho/denryoku_gas/saisei_kano/smart_power_grid_wg/pdf/007_01_01.pdf（2026年10月22日閲覧）</w:t>
      </w:r>
    </w:p>
    <w:p>
      <w:pPr>
        <w:pStyle w:val="Bibliography"/>
      </w:pPr>
      <w:r>
        <w:rPr>
          <w:rFonts w:hint="eastAsia"/>
        </w:rPr>
        <w:t xml:space="preserve">資源エネルギー庁（2026c）「系統用蓄電池をはじめとする発電等設備の迅速な系統連系に向けた対応について」総合資源エネルギー調査会</w:t>
      </w:r>
      <w:r>
        <w:t xml:space="preserve"> </w:t>
      </w:r>
      <w:r>
        <w:rPr>
          <w:rFonts w:hint="eastAsia"/>
        </w:rPr>
        <w:t xml:space="preserve">次世代電力系統ワーキンググループ</w:t>
      </w:r>
      <w:r>
        <w:t xml:space="preserve"> </w:t>
      </w:r>
      <w:r>
        <w:rPr>
          <w:rFonts w:hint="eastAsia"/>
        </w:rPr>
        <w:t xml:space="preserve">第9回</w:t>
      </w:r>
      <w:r>
        <w:t xml:space="preserve"> </w:t>
      </w:r>
      <w:r>
        <w:rPr>
          <w:rFonts w:hint="eastAsia"/>
        </w:rPr>
        <w:t xml:space="preserve">資料1,</w:t>
      </w:r>
      <w:r>
        <w:t xml:space="preserve"> </w:t>
      </w:r>
      <w:r>
        <w:rPr>
          <w:rFonts w:hint="eastAsia"/>
        </w:rPr>
        <w:t xml:space="preserve">2026年3月27日.</w:t>
      </w:r>
      <w:r>
        <w:t xml:space="preserve"> </w:t>
      </w:r>
      <w:r>
        <w:rPr>
          <w:rFonts w:hint="eastAsia"/>
        </w:rPr>
        <w:t xml:space="preserve">https://www.meti.go.jp/shingikai/enecho/denryoku_gas/saisei_kano/smart_power_grid_wg/pdf/009_01_00.pdf（2026年10月22日閲覧）</w:t>
      </w:r>
    </w:p>
    <w:p>
      <w:pPr>
        <w:pStyle w:val="Bibliography"/>
      </w:pPr>
      <w:r>
        <w:rPr>
          <w:rFonts w:hint="eastAsia"/>
        </w:rPr>
        <w:t xml:space="preserve">調達価格等算定委員会（2021）「令和3年度以降の調達価格等に関する意見（案）」（別紙を含む）第67回</w:t>
      </w:r>
      <w:r>
        <w:t xml:space="preserve"> </w:t>
      </w:r>
      <w:r>
        <w:rPr>
          <w:rFonts w:hint="eastAsia"/>
        </w:rPr>
        <w:t xml:space="preserve">配布資料,</w:t>
      </w:r>
      <w:r>
        <w:t xml:space="preserve"> </w:t>
      </w:r>
      <w:r>
        <w:rPr>
          <w:rFonts w:hint="eastAsia"/>
        </w:rPr>
        <w:t xml:space="preserve">2021年1月22日.</w:t>
      </w:r>
      <w:r>
        <w:t xml:space="preserve"> </w:t>
      </w:r>
      <w:r>
        <w:rPr>
          <w:rFonts w:hint="eastAsia"/>
        </w:rPr>
        <w:t xml:space="preserve">https://www.meti.go.jp/shingikai/santeii/（2026年7月28日取得）</w:t>
      </w:r>
    </w:p>
    <w:p>
      <w:pPr>
        <w:pStyle w:val="Bibliography"/>
      </w:pPr>
      <w:r>
        <w:rPr>
          <w:rFonts w:hint="eastAsia"/>
        </w:rPr>
        <w:t xml:space="preserve">調達価格等算定委員会（2022）「令和4年度以降の調達価格等に関する意見（案）」（別紙を含む）第75回</w:t>
      </w:r>
      <w:r>
        <w:t xml:space="preserve"> </w:t>
      </w:r>
      <w:r>
        <w:rPr>
          <w:rFonts w:hint="eastAsia"/>
        </w:rPr>
        <w:t xml:space="preserve">配布資料,</w:t>
      </w:r>
      <w:r>
        <w:t xml:space="preserve"> </w:t>
      </w:r>
      <w:r>
        <w:rPr>
          <w:rFonts w:hint="eastAsia"/>
        </w:rPr>
        <w:t xml:space="preserve">2022年1月28日.</w:t>
      </w:r>
      <w:r>
        <w:t xml:space="preserve"> </w:t>
      </w:r>
      <w:r>
        <w:rPr>
          <w:rFonts w:hint="eastAsia"/>
        </w:rPr>
        <w:t xml:space="preserve">https://www.meti.go.jp/shingikai/santeii/（2026年7月28日取得）</w:t>
      </w:r>
    </w:p>
    <w:p>
      <w:pPr>
        <w:pStyle w:val="Bibliography"/>
      </w:pPr>
      <w:r>
        <w:rPr>
          <w:rFonts w:hint="eastAsia"/>
        </w:rPr>
        <w:t xml:space="preserve">調達価格等算定委員会（2023）「令和5年度以降の調達価格等に関する意見（案）」（別紙を含む）第84回</w:t>
      </w:r>
      <w:r>
        <w:t xml:space="preserve"> </w:t>
      </w:r>
      <w:r>
        <w:rPr>
          <w:rFonts w:hint="eastAsia"/>
        </w:rPr>
        <w:t xml:space="preserve">配布資料,</w:t>
      </w:r>
      <w:r>
        <w:t xml:space="preserve"> </w:t>
      </w:r>
      <w:r>
        <w:rPr>
          <w:rFonts w:hint="eastAsia"/>
        </w:rPr>
        <w:t xml:space="preserve">2023年1月31日.</w:t>
      </w:r>
      <w:r>
        <w:t xml:space="preserve"> </w:t>
      </w:r>
      <w:r>
        <w:rPr>
          <w:rFonts w:hint="eastAsia"/>
        </w:rPr>
        <w:t xml:space="preserve">https://www.meti.go.jp/shingikai/santeii/（2026年7月28日取得）</w:t>
      </w:r>
    </w:p>
    <w:p>
      <w:pPr>
        <w:pStyle w:val="Bibliography"/>
      </w:pPr>
      <w:r>
        <w:rPr>
          <w:rFonts w:hint="eastAsia"/>
        </w:rPr>
        <w:t xml:space="preserve">調達価格等算定委員会（2024）「令和6年度以降の調達価格等に関する意見（案）」（別紙を含む）第93回</w:t>
      </w:r>
      <w:r>
        <w:t xml:space="preserve"> </w:t>
      </w:r>
      <w:r>
        <w:rPr>
          <w:rFonts w:hint="eastAsia"/>
        </w:rPr>
        <w:t xml:space="preserve">配布資料,</w:t>
      </w:r>
      <w:r>
        <w:t xml:space="preserve"> </w:t>
      </w:r>
      <w:r>
        <w:rPr>
          <w:rFonts w:hint="eastAsia"/>
        </w:rPr>
        <w:t xml:space="preserve">2024年1月29日.</w:t>
      </w:r>
      <w:r>
        <w:t xml:space="preserve"> </w:t>
      </w:r>
      <w:r>
        <w:rPr>
          <w:rFonts w:hint="eastAsia"/>
        </w:rPr>
        <w:t xml:space="preserve">https://www.meti.go.jp/shingikai/santeii/（2026年7月28日取得）</w:t>
      </w:r>
    </w:p>
    <w:p>
      <w:pPr>
        <w:pStyle w:val="Bibliography"/>
      </w:pPr>
      <w:r>
        <w:rPr>
          <w:rFonts w:hint="eastAsia"/>
        </w:rPr>
        <w:t xml:space="preserve">調達価格等算定委員会（2025）「令和7年度以降の調達価格等に関する意見（案）」（別紙を含む）第102回</w:t>
      </w:r>
      <w:r>
        <w:t xml:space="preserve"> </w:t>
      </w:r>
      <w:r>
        <w:rPr>
          <w:rFonts w:hint="eastAsia"/>
        </w:rPr>
        <w:t xml:space="preserve">配布資料,</w:t>
      </w:r>
      <w:r>
        <w:t xml:space="preserve"> </w:t>
      </w:r>
      <w:r>
        <w:rPr>
          <w:rFonts w:hint="eastAsia"/>
        </w:rPr>
        <w:t xml:space="preserve">2025年1月30日.</w:t>
      </w:r>
      <w:r>
        <w:t xml:space="preserve"> </w:t>
      </w:r>
      <w:r>
        <w:rPr>
          <w:rFonts w:hint="eastAsia"/>
        </w:rPr>
        <w:t xml:space="preserve">https://www.meti.go.jp/shingikai/santeii/（2026年7月28日取得）</w:t>
      </w:r>
    </w:p>
    <w:p>
      <w:pPr>
        <w:pStyle w:val="Bibliography"/>
      </w:pPr>
      <w:r>
        <w:rPr>
          <w:rFonts w:hint="eastAsia"/>
        </w:rPr>
        <w:t xml:space="preserve">調達価格等算定委員会（2026）「令和8年度以降の調達価格等に関する意見（案）」（別紙を含む）第114回</w:t>
      </w:r>
      <w:r>
        <w:t xml:space="preserve"> </w:t>
      </w:r>
      <w:r>
        <w:rPr>
          <w:rFonts w:hint="eastAsia"/>
        </w:rPr>
        <w:t xml:space="preserve">配布資料,</w:t>
      </w:r>
      <w:r>
        <w:t xml:space="preserve"> </w:t>
      </w:r>
      <w:r>
        <w:rPr>
          <w:rFonts w:hint="eastAsia"/>
        </w:rPr>
        <w:t xml:space="preserve">2026年2月2日.</w:t>
      </w:r>
      <w:r>
        <w:t xml:space="preserve"> </w:t>
      </w:r>
      <w:r>
        <w:rPr>
          <w:rFonts w:hint="eastAsia"/>
        </w:rPr>
        <w:t xml:space="preserve">https://www.meti.go.jp/shingikai/santeii/（2026年7月28日取得）</w:t>
      </w:r>
    </w:p>
    <w:p>
      <w:pPr>
        <w:pStyle w:val="Bibliography"/>
      </w:pPr>
      <w:r>
        <w:rPr>
          <w:rFonts w:hint="eastAsia"/>
        </w:rPr>
        <w:t xml:space="preserve">電力広域的運営推進機関［OCCTO］（n.d.）「容量市場メインオークション用調整係数」（対象実需給年度2024〜2029年度の各版）.</w:t>
      </w:r>
      <w:r>
        <w:t xml:space="preserve"> </w:t>
      </w:r>
      <w:r>
        <w:rPr>
          <w:rFonts w:hint="eastAsia"/>
        </w:rPr>
        <w:t xml:space="preserve">https://www.occto.or.jp/market-board/market/jitsujukyukanren/index.html（2026年7月28日取得）</w:t>
      </w:r>
    </w:p>
    <w:p>
      <w:pPr>
        <w:pStyle w:val="Bibliography"/>
      </w:pPr>
      <w:r>
        <w:rPr>
          <w:rFonts w:hint="eastAsia"/>
        </w:rPr>
        <w:t xml:space="preserve">電力広域的運営推進機関［OCCTO］（2023〜2025）「メインオークション需要曲線」（対象実需給年度2027〜2029年度の各版）.</w:t>
      </w:r>
      <w:r>
        <w:t xml:space="preserve"> </w:t>
      </w:r>
      <w:r>
        <w:rPr>
          <w:rFonts w:hint="eastAsia"/>
        </w:rPr>
        <w:t xml:space="preserve">https://www.occto.or.jp/market-board/market/jitsujukyukanren/index.html（2026年7月28日取得）</w:t>
      </w:r>
    </w:p>
    <w:p>
      <w:pPr>
        <w:pStyle w:val="Bibliography"/>
      </w:pPr>
      <w:r>
        <w:rPr>
          <w:rFonts w:hint="eastAsia"/>
        </w:rPr>
        <w:t xml:space="preserve">電力広域的運営推進機関［OCCTO］（2023〜2026）「容量市場メインオークション約定結果」（対象実需給年度2026〜2029年度。2023年2月22日、2024年1月24日、2025年1月29日、2026年1月23日公表）.</w:t>
      </w:r>
      <w:r>
        <w:t xml:space="preserve"> </w:t>
      </w:r>
      <w:r>
        <w:rPr>
          <w:rFonts w:hint="eastAsia"/>
        </w:rPr>
        <w:t xml:space="preserve">https://www.occto.or.jp/capacity-market/yoryoshijyo/main/data/（2026年10月21日閲覧）</w:t>
      </w:r>
    </w:p>
    <w:p>
      <w:pPr>
        <w:pStyle w:val="Bibliography"/>
      </w:pPr>
      <w:r>
        <w:rPr>
          <w:rFonts w:hint="eastAsia"/>
        </w:rPr>
        <w:t xml:space="preserve">電力広域的運営推進機関［OCCTO］（2024）「北海道本州間連系設備に係る広域系統整備計画」2021年5月19日策定・2024年2月21日変更.</w:t>
      </w:r>
      <w:r>
        <w:t xml:space="preserve"> </w:t>
      </w:r>
      <w:r>
        <w:rPr>
          <w:rFonts w:hint="eastAsia"/>
        </w:rPr>
        <w:t xml:space="preserve">https://www.occto.or.jp/assets/kouikikeitou/seibikeikaku/kitahon/files/hokkaidohonsyu_20240221.pdf（2026年10月22日閲覧）</w:t>
      </w:r>
    </w:p>
    <w:p>
      <w:pPr>
        <w:pStyle w:val="Bibliography"/>
      </w:pPr>
      <w:r>
        <w:rPr>
          <w:rFonts w:hint="eastAsia"/>
        </w:rPr>
        <w:t xml:space="preserve">電力広域的運営推進機関［OCCTO］（2024〜2026）「長期脱炭素電源オークション約定結果」本文・別紙（落札電源一覧）（応札年度2023〜2025年度。2024年4月26日、2025年4月28日、2026年5月13日公表）.</w:t>
      </w:r>
      <w:r>
        <w:t xml:space="preserve"> </w:t>
      </w:r>
      <w:r>
        <w:rPr>
          <w:rFonts w:hint="eastAsia"/>
        </w:rPr>
        <w:t xml:space="preserve">https://www.occto.or.jp/assets/market-board/market/oshirase/2024/files/240426_longauction_youryouyakujokekka_kouhyou_ousatsu2023.pdf、https://www.occto.or.jp/assets/market-board/market/oshirase/2025/files/250428_longauction_youryouyakujokekka_kouhyou_ousatsu2024.pdf、https://www.occto.or.jp/assets/various/capacity-market/jitsujukyukanren/2025_boshuyoukou_long/260513_longauction_youryouyakujokekka_kouhyou_ousatsu2025.pdf（2026年7月28日取得）</w:t>
      </w:r>
    </w:p>
    <w:p>
      <w:pPr>
        <w:pStyle w:val="Bibliography"/>
      </w:pPr>
      <w:r>
        <w:rPr>
          <w:rFonts w:hint="eastAsia"/>
        </w:rPr>
        <w:t xml:space="preserve">電力広域的運営推進機関［OCCTO］（2025a）「長期脱炭素電源オークション募集要綱・容量確保契約約款（応札年度：2025年度）」理事会資料,</w:t>
      </w:r>
      <w:r>
        <w:t xml:space="preserve"> </w:t>
      </w:r>
      <w:r>
        <w:rPr>
          <w:rFonts w:hint="eastAsia"/>
        </w:rPr>
        <w:t xml:space="preserve">2025年9月3日.</w:t>
      </w:r>
      <w:r>
        <w:t xml:space="preserve"> </w:t>
      </w:r>
      <w:r>
        <w:rPr>
          <w:rFonts w:hint="eastAsia"/>
        </w:rPr>
        <w:t xml:space="preserve">https://www.occto.or.jp/soukaihoka/rijikai/2025/files/rijikai_528_gian2.pdf（2026年10月21日閲覧）</w:t>
      </w:r>
    </w:p>
    <w:p>
      <w:pPr>
        <w:pStyle w:val="Bibliography"/>
      </w:pPr>
      <w:r>
        <w:rPr>
          <w:rFonts w:hint="eastAsia"/>
        </w:rPr>
        <w:t xml:space="preserve">電力広域的運営推進機関［OCCTO］（2025b）「『容量市場メインオークション募集要綱（対象実需給年度：2029年度）』及び『容量確保契約約款』の公表について」第523回理事会</w:t>
      </w:r>
      <w:r>
        <w:t xml:space="preserve"> </w:t>
      </w:r>
      <w:r>
        <w:rPr>
          <w:rFonts w:hint="eastAsia"/>
        </w:rPr>
        <w:t xml:space="preserve">第4号議案,</w:t>
      </w:r>
      <w:r>
        <w:t xml:space="preserve"> </w:t>
      </w:r>
      <w:r>
        <w:rPr>
          <w:rFonts w:hint="eastAsia"/>
        </w:rPr>
        <w:t xml:space="preserve">2025年7月30日.</w:t>
      </w:r>
      <w:r>
        <w:t xml:space="preserve"> </w:t>
      </w:r>
      <w:r>
        <w:rPr>
          <w:rFonts w:hint="eastAsia"/>
        </w:rPr>
        <w:t xml:space="preserve">https://www.occto.or.jp/soukaihoka/rijikai/2025/files/rijikai_523_gian4.pdf（2026年10月22日閲覧）</w:t>
      </w:r>
    </w:p>
    <w:p>
      <w:pPr>
        <w:pStyle w:val="Bibliography"/>
      </w:pPr>
      <w:r>
        <w:rPr>
          <w:rFonts w:hint="eastAsia"/>
        </w:rPr>
        <w:t xml:space="preserve">電力広域的運営推進機関［OCCTO］（2026a）「容量市場</w:t>
      </w:r>
      <w:r>
        <w:t xml:space="preserve"> </w:t>
      </w:r>
      <w:r>
        <w:rPr>
          <w:rFonts w:hint="eastAsia"/>
        </w:rPr>
        <w:t xml:space="preserve">長期脱炭素電源オークション募集要綱（応札年度：2026年度）」2026年9月2日.</w:t>
      </w:r>
      <w:r>
        <w:t xml:space="preserve"> </w:t>
      </w:r>
      <w:r>
        <w:rPr>
          <w:rFonts w:hint="eastAsia"/>
        </w:rPr>
        <w:t xml:space="preserve">https://www.occto.or.jp/assets/260902_boshuyoukou_long_2026.pdf（2026年10月21日閲覧）</w:t>
      </w:r>
    </w:p>
    <w:p>
      <w:pPr>
        <w:pStyle w:val="Bibliography"/>
      </w:pPr>
      <w:r>
        <w:rPr>
          <w:rFonts w:hint="eastAsia"/>
        </w:rPr>
        <w:t xml:space="preserve">電力広域的運営推進機関［OCCTO］（2026b）「北海道エリアにおける流通設備混雑による再生可能エネルギー発電設備（自然変動電源）の出力抑制に関する検証結果」（北海道電力ネットワーク。2025年11月分〔2026年1月7日公表〕、2026年5月分〔2026年7月29日公表〕、2026年6月分〔2026年8月26日公表〕の本体と別紙1〜3）.</w:t>
      </w:r>
      <w:r>
        <w:t xml:space="preserve"> </w:t>
      </w:r>
      <w:r>
        <w:rPr>
          <w:rFonts w:hint="eastAsia"/>
        </w:rPr>
        <w:t xml:space="preserve">https://www.occto.or.jp/news/oshirase_shutsuryokuyokusei_2025_260107_shutsuryokuyokusei2_hokkaido.html、https://www.occto.or.jp/news/oshirase_shutsuryokuyokusei_2026_260729_shutsuryokuyokusei2_hokkaido_1.html、https://www.occto.or.jp/news/oshirase_shutsuryokuyokusei_2026_260826_shutsuryokuyokusei2_hokkaido_1_1.html（2026年10月21日閲覧）</w:t>
      </w:r>
    </w:p>
    <w:p>
      <w:pPr>
        <w:pStyle w:val="Bibliography"/>
      </w:pPr>
      <w:r>
        <w:rPr>
          <w:rFonts w:hint="eastAsia"/>
        </w:rPr>
        <w:t xml:space="preserve">電力広域的運営推進機関［OCCTO］（2026c）「2026年度メインオークション需要曲線（対象実需給年度：2030年度）」2026年7月30日.</w:t>
      </w:r>
      <w:r>
        <w:t xml:space="preserve"> </w:t>
      </w:r>
      <w:r>
        <w:rPr>
          <w:rFonts w:hint="eastAsia"/>
        </w:rPr>
        <w:t xml:space="preserve">https://www.occto.or.jp/assets/market-board/market/jitsujukyukanren/260730_mainauction_jyuyoukyokusen_jitsujukyu2030.pdf（2026年10月21日閲覧）</w:t>
      </w:r>
    </w:p>
    <w:p>
      <w:pPr>
        <w:pStyle w:val="Bibliography"/>
      </w:pPr>
      <w:r>
        <w:rPr>
          <w:rFonts w:hint="eastAsia"/>
        </w:rPr>
        <w:t xml:space="preserve">電力広域的運営推進機関［OCCTO］（2026d）「需給調整市場に係る実態調査結果等について」第62回需給調整市場検討小委員会</w:t>
      </w:r>
      <w:r>
        <w:t xml:space="preserve"> </w:t>
      </w:r>
      <w:r>
        <w:rPr>
          <w:rFonts w:hint="eastAsia"/>
        </w:rPr>
        <w:t xml:space="preserve">資料2,</w:t>
      </w:r>
      <w:r>
        <w:t xml:space="preserve"> </w:t>
      </w:r>
      <w:r>
        <w:rPr>
          <w:rFonts w:hint="eastAsia"/>
        </w:rPr>
        <w:t xml:space="preserve">2026年7月31日.</w:t>
      </w:r>
      <w:r>
        <w:t xml:space="preserve"> </w:t>
      </w:r>
      <w:r>
        <w:rPr>
          <w:rFonts w:hint="eastAsia"/>
        </w:rPr>
        <w:t xml:space="preserve">https://www.occto.or.jp/assets/iinkai/jukyuchousei/62/jukyu_shijyo_62_02.pdf（2026年10月22日閲覧）</w:t>
      </w:r>
    </w:p>
    <w:p>
      <w:pPr>
        <w:pStyle w:val="Bibliography"/>
      </w:pPr>
      <w:r>
        <w:rPr>
          <w:rFonts w:hint="eastAsia"/>
        </w:rPr>
        <w:t xml:space="preserve">電力需給調整力取引所［EPRX］（2025）「2024年度の取引実績について」2025年6月19日.</w:t>
      </w:r>
      <w:r>
        <w:t xml:space="preserve"> </w:t>
      </w:r>
      <w:r>
        <w:rPr>
          <w:rFonts w:hint="eastAsia"/>
        </w:rPr>
        <w:t xml:space="preserve">https://www.eprx.or.jp/information/docs/summary_2024.pdf（2026年10月22日閲覧）</w:t>
      </w:r>
    </w:p>
    <w:p>
      <w:pPr>
        <w:pStyle w:val="Bibliography"/>
      </w:pPr>
      <w:r>
        <w:rPr>
          <w:rFonts w:hint="eastAsia"/>
        </w:rPr>
        <w:t xml:space="preserve">電力需給調整力取引所［EPRX］（2026a）「需給調整市場かいせつ資料」第2版,</w:t>
      </w:r>
      <w:r>
        <w:t xml:space="preserve"> </w:t>
      </w:r>
      <w:r>
        <w:rPr>
          <w:rFonts w:hint="eastAsia"/>
        </w:rPr>
        <w:t xml:space="preserve">2026年3月13日.</w:t>
      </w:r>
      <w:r>
        <w:t xml:space="preserve"> </w:t>
      </w:r>
      <w:r>
        <w:rPr>
          <w:rFonts w:hint="eastAsia"/>
        </w:rPr>
        <w:t xml:space="preserve">https://www.eprx.or.jp/outline/docs/kaisetsu.pdf（2026年10月22日閲覧）</w:t>
      </w:r>
    </w:p>
    <w:p>
      <w:pPr>
        <w:pStyle w:val="Bibliography"/>
      </w:pPr>
      <w:r>
        <w:rPr>
          <w:rFonts w:hint="eastAsia"/>
        </w:rPr>
        <w:t xml:space="preserve">電力需給調整力取引所［EPRX］（2026b）「2025年度の取引実績について」2026年6月18日.</w:t>
      </w:r>
      <w:r>
        <w:t xml:space="preserve"> </w:t>
      </w:r>
      <w:r>
        <w:rPr>
          <w:rFonts w:hint="eastAsia"/>
        </w:rPr>
        <w:t xml:space="preserve">https://www.eprx.or.jp/information/summary_2025.pdf（2026年10月22日閲覧）</w:t>
      </w:r>
    </w:p>
    <w:p>
      <w:pPr>
        <w:pStyle w:val="Bibliography"/>
      </w:pPr>
      <w:r>
        <w:rPr>
          <w:rFonts w:hint="eastAsia"/>
        </w:rPr>
        <w:t xml:space="preserve">東京商品取引所（2026）「電力先物に係る年度物取引の限月延長に伴う業務規程の一部改正について」2026年8月17日.</w:t>
      </w:r>
      <w:r>
        <w:t xml:space="preserve"> </w:t>
      </w:r>
      <w:r>
        <w:rPr>
          <w:rFonts w:hint="eastAsia"/>
        </w:rPr>
        <w:t xml:space="preserve">https://www.jpx.co.jp/rules-participants/rules/revise/t13vrt000001u7bi-att/gaiyo.pdf（2026年10月21日閲覧）</w:t>
      </w:r>
    </w:p>
    <w:p>
      <w:pPr>
        <w:pStyle w:val="Bibliography"/>
      </w:pPr>
      <w:r>
        <w:rPr>
          <w:rFonts w:hint="eastAsia"/>
        </w:rPr>
        <w:t xml:space="preserve">東京電力パワーグリッド（2026）「特別高圧・高圧</w:t>
      </w:r>
      <w:r>
        <w:t xml:space="preserve"> </w:t>
      </w:r>
      <w:r>
        <w:rPr>
          <w:rFonts w:hint="eastAsia"/>
        </w:rPr>
        <w:t xml:space="preserve">発電量調整供給契約申込に関する手続きについて」（2026年度版</w:t>
      </w:r>
      <w:r>
        <w:t xml:space="preserve"> </w:t>
      </w:r>
      <w:r>
        <w:rPr>
          <w:rFonts w:hint="eastAsia"/>
        </w:rPr>
        <w:t xml:space="preserve">説明会資料</w:t>
      </w:r>
      <w:r>
        <w:t xml:space="preserve"> </w:t>
      </w:r>
      <w:r>
        <w:rPr>
          <w:rFonts w:hint="eastAsia"/>
        </w:rPr>
        <w:t xml:space="preserve">資料5）2026年9月.</w:t>
      </w:r>
      <w:r>
        <w:t xml:space="preserve"> </w:t>
      </w:r>
      <w:r>
        <w:rPr>
          <w:rFonts w:hint="eastAsia"/>
        </w:rPr>
        <w:t xml:space="preserve">https://www.tepco.co.jp/pg/consignment/retailservice/pdf/20260817H_hatsudenmoushikomi.pdf（2026年10月21日閲覧）</w:t>
      </w:r>
    </w:p>
    <w:p>
      <w:pPr>
        <w:pStyle w:val="Bibliography"/>
      </w:pPr>
      <w:r>
        <w:rPr>
          <w:rFonts w:hint="eastAsia"/>
        </w:rPr>
        <w:t xml:space="preserve">同時市場の在り方等に関する検討会（2025）「第二次中間取りまとめ」2025年10月15日.</w:t>
      </w:r>
      <w:r>
        <w:t xml:space="preserve"> </w:t>
      </w:r>
      <w:r>
        <w:rPr>
          <w:rFonts w:hint="eastAsia"/>
        </w:rPr>
        <w:t xml:space="preserve">https://www.meti.go.jp/shingikai/energy_environment/doji_shijo_kento/pdf/20251015_1.pdf（2026年10月22日閲覧）</w:t>
      </w:r>
    </w:p>
    <w:p>
      <w:pPr>
        <w:pStyle w:val="Bibliography"/>
      </w:pPr>
      <w:r>
        <w:rPr>
          <w:rFonts w:hint="eastAsia"/>
        </w:rPr>
        <w:t xml:space="preserve">東北電力ネットワーク（n.d.）「エリア需給実績」（東北エリア、2016年4月〜2026年6月。2024年1月までは60分値、2024年2月からは30分値）.</w:t>
      </w:r>
      <w:r>
        <w:t xml:space="preserve"> </w:t>
      </w:r>
      <w:r>
        <w:rPr>
          <w:rFonts w:hint="eastAsia"/>
        </w:rPr>
        <w:t xml:space="preserve">https://setsuden.nw.tohoku-epco.co.jp/download.html（2026年7月27日取得）</w:t>
      </w:r>
    </w:p>
    <w:p>
      <w:pPr>
        <w:pStyle w:val="Bibliography"/>
      </w:pPr>
      <w:r>
        <w:rPr>
          <w:rFonts w:hint="eastAsia"/>
        </w:rPr>
        <w:t xml:space="preserve">豊田通商（2023）「北海道</w:t>
      </w:r>
      <w:r>
        <w:t xml:space="preserve"> </w:t>
      </w:r>
      <w:r>
        <w:rPr>
          <w:rFonts w:hint="eastAsia"/>
        </w:rPr>
        <w:t xml:space="preserve">道北地域における送電・蓄電事業の設備が竣工」2023年5月16日.</w:t>
      </w:r>
      <w:r>
        <w:t xml:space="preserve"> </w:t>
      </w:r>
      <w:r>
        <w:rPr>
          <w:rFonts w:hint="eastAsia"/>
        </w:rPr>
        <w:t xml:space="preserve">https://www.toyota-tsusho.com/press/detail/230516_006236.html（2026年10月22日閲覧）</w:t>
      </w:r>
    </w:p>
    <w:p>
      <w:pPr>
        <w:pStyle w:val="Bibliography"/>
      </w:pPr>
      <w:r>
        <w:rPr>
          <w:rFonts w:hint="eastAsia"/>
        </w:rPr>
        <w:t xml:space="preserve">日本卸電力取引所［JEPX］（n.d.）「スポット市場取引結果」（2016年4月1日〜2026年7月27日受渡分。30分48コマのシステムプライスとエリアプライス）.</w:t>
      </w:r>
      <w:r>
        <w:t xml:space="preserve"> </w:t>
      </w:r>
      <w:r>
        <w:rPr>
          <w:rFonts w:hint="eastAsia"/>
        </w:rPr>
        <w:t xml:space="preserve">https://www.jepx.jp/electricpower/market-data/spot/（2026年7月26日取得）</w:t>
      </w:r>
    </w:p>
    <w:p>
      <w:pPr>
        <w:pStyle w:val="Bibliography"/>
      </w:pPr>
      <w:r>
        <w:rPr>
          <w:rFonts w:hint="eastAsia"/>
        </w:rPr>
        <w:t xml:space="preserve">日本取引所グループ［JPX］（n.d.）「電力先物</w:t>
      </w:r>
      <w:r>
        <w:t xml:space="preserve"> </w:t>
      </w:r>
      <w:r>
        <w:rPr>
          <w:rFonts w:hint="eastAsia"/>
        </w:rPr>
        <w:t xml:space="preserve">制度概要（年度物取引）」.</w:t>
      </w:r>
      <w:r>
        <w:t xml:space="preserve"> </w:t>
      </w:r>
      <w:r>
        <w:rPr>
          <w:rFonts w:hint="eastAsia"/>
        </w:rPr>
        <w:t xml:space="preserve">https://www.jpx.co.jp/derivatives/products/energy/electricity-futures/04.html（2026年10月21日閲覧）</w:t>
      </w:r>
    </w:p>
    <w:p>
      <w:pPr>
        <w:pStyle w:val="Bibliography"/>
      </w:pPr>
      <w:r>
        <w:rPr>
          <w:rFonts w:hint="eastAsia"/>
        </w:rPr>
        <w:t xml:space="preserve">日本風力発電協会［JWPA］（2020〜2026）「風力発電の導入実績」（2019〜2025年末時点の各版。都道府県別の累積導入量のグラフ）.</w:t>
      </w:r>
      <w:r>
        <w:t xml:space="preserve"> </w:t>
      </w:r>
      <w:r>
        <w:rPr>
          <w:rFonts w:hint="eastAsia"/>
        </w:rPr>
        <w:t xml:space="preserve">https://jwpa.jp/information/（2026年7月28日取得）</w:t>
      </w:r>
    </w:p>
    <w:p>
      <w:pPr>
        <w:pStyle w:val="Bibliography"/>
      </w:pPr>
      <w:r>
        <w:rPr>
          <w:rFonts w:hint="eastAsia"/>
        </w:rPr>
        <w:t xml:space="preserve">北海道電力（n.d.）「泊発電所の概要」.</w:t>
      </w:r>
      <w:r>
        <w:t xml:space="preserve"> </w:t>
      </w:r>
      <w:r>
        <w:rPr>
          <w:rFonts w:hint="eastAsia"/>
        </w:rPr>
        <w:t xml:space="preserve">https://www.hepco.co.jp/energy/atomic/about/index.html（2026年10月22日閲覧）</w:t>
      </w:r>
    </w:p>
    <w:p>
      <w:pPr>
        <w:pStyle w:val="Bibliography"/>
      </w:pPr>
      <w:r>
        <w:rPr>
          <w:rFonts w:hint="eastAsia"/>
        </w:rPr>
        <w:t xml:space="preserve">北海道電力（2022）「奈井江発電所および砂川発電所の廃止について」2022年6月24日.</w:t>
      </w:r>
      <w:r>
        <w:t xml:space="preserve"> </w:t>
      </w:r>
      <w:r>
        <w:rPr>
          <w:rFonts w:hint="eastAsia"/>
        </w:rPr>
        <w:t xml:space="preserve">https://www.hepco.co.jp/info/2022/1251807_1920.html（2026年10月22日閲覧）</w:t>
      </w:r>
    </w:p>
    <w:p>
      <w:pPr>
        <w:pStyle w:val="Bibliography"/>
      </w:pPr>
      <w:r>
        <w:rPr>
          <w:rFonts w:hint="eastAsia"/>
        </w:rPr>
        <w:t xml:space="preserve">北海道電力（2026）「2026年9月18日</w:t>
      </w:r>
      <w:r>
        <w:t xml:space="preserve"> </w:t>
      </w:r>
      <w:r>
        <w:rPr>
          <w:rFonts w:hint="eastAsia"/>
        </w:rPr>
        <w:t xml:space="preserve">社長会見（東京）要旨について」（添付資料「安定供給と脱炭素の両立に向けた供給力確保の取り組み」を含む）.</w:t>
      </w:r>
      <w:r>
        <w:t xml:space="preserve"> </w:t>
      </w:r>
      <w:r>
        <w:rPr>
          <w:rFonts w:hint="eastAsia"/>
        </w:rPr>
        <w:t xml:space="preserve">https://www.hepco.co.jp/info/info2026/1253192_2074.html（2026年10月22日閲覧）</w:t>
      </w:r>
    </w:p>
    <w:p>
      <w:pPr>
        <w:pStyle w:val="Bibliography"/>
      </w:pPr>
      <w:r>
        <w:rPr>
          <w:rFonts w:hint="eastAsia"/>
        </w:rPr>
        <w:t xml:space="preserve">北海道電力ネットワーク（n.d.）「エリア需給実績」（北海道エリア、2016年4月〜2026年6月。2024年3月までは60分値、2024年4月からは30分値。出力制御量を含む）.</w:t>
      </w:r>
      <w:r>
        <w:t xml:space="preserve"> </w:t>
      </w:r>
      <w:r>
        <w:rPr>
          <w:rFonts w:hint="eastAsia"/>
        </w:rPr>
        <w:t xml:space="preserve">https://www.hepco.co.jp/network/con_service/public_document/supply_demand_results/index.html（2026年7月27日取得）</w:t>
      </w:r>
    </w:p>
    <w:p>
      <w:pPr>
        <w:pStyle w:val="Bibliography"/>
      </w:pPr>
      <w:r>
        <w:rPr>
          <w:rFonts w:hint="eastAsia"/>
        </w:rPr>
        <w:t xml:space="preserve">北海道電力ネットワーク（2023）「太陽光発電設備および風力発電設備を当社系統へ接続する際の出力変動緩和対策に関する技術要件の撤廃について」2023年4月17日.</w:t>
      </w:r>
      <w:r>
        <w:t xml:space="preserve"> </w:t>
      </w:r>
      <w:r>
        <w:rPr>
          <w:rFonts w:hint="eastAsia"/>
        </w:rPr>
        <w:t xml:space="preserve">https://www.hepco.co.jp/network/info/info2023/1252089_1969.html（2026年10月21日閲覧）</w:t>
      </w:r>
    </w:p>
    <w:p>
      <w:pPr>
        <w:pStyle w:val="Bibliography"/>
      </w:pPr>
      <w:r>
        <w:rPr>
          <w:rFonts w:hint="eastAsia"/>
        </w:rPr>
        <w:t xml:space="preserve">北海道電力ネットワーク（2026）「発電等設備の受付状況に関する情報・出力制御区分の内訳」（2024年12月末〜2026年8月末の月末累計。2026年8月末時点の版）.</w:t>
      </w:r>
      <w:r>
        <w:t xml:space="preserve"> </w:t>
      </w:r>
      <w:r>
        <w:rPr>
          <w:rFonts w:hint="eastAsia"/>
        </w:rPr>
        <w:t xml:space="preserve">https://www.hepco.co.jp/network/con_service/public_document/eq_status_oc_category/index.html（2026年10月22日取得）</w:t>
      </w:r>
    </w:p>
    <w:p>
      <w:pPr>
        <w:pStyle w:val="Bibliography"/>
      </w:pPr>
      <w:r>
        <w:t xml:space="preserve">ESS News. (2025, December 1).</w:t>
      </w:r>
      <w:r>
        <w:t xml:space="preserve"> </w:t>
      </w:r>
      <w:r>
        <w:rPr>
          <w:i/>
          <w:iCs/>
        </w:rPr>
        <w:t xml:space="preserve">Helios 104 MWh Tesla battery project achieves commercial operations in Japan</w:t>
      </w:r>
      <w:r>
        <w:t xml:space="preserve"> </w:t>
      </w:r>
      <w:r>
        <w:t xml:space="preserve">[News article by T. Rayner]. https://www.ess-news.com/2025/12/01/helios-104-mwh-tesla-battery-project-achieves-commercial-operations-in-japan/</w:t>
      </w:r>
    </w:p>
    <w:p>
      <w:pPr>
        <w:pStyle w:val="Bibliography"/>
      </w:pPr>
      <w:r>
        <w:t xml:space="preserve">European Energy Exchange [EEX]. (2026).</w:t>
      </w:r>
      <w:r>
        <w:t xml:space="preserve"> </w:t>
      </w:r>
      <w:r>
        <w:rPr>
          <w:i/>
          <w:iCs/>
        </w:rPr>
        <w:t xml:space="preserve">EEX Japan power overview</w:t>
      </w:r>
      <w:r>
        <w:t xml:space="preserve"> </w:t>
      </w:r>
      <w:r>
        <w:t xml:space="preserve">(May 2026) [Presentation slides]. https://www.eex.com/fileadmin/EEX/Downloads/Products/EEX_Japanese_Power/20260529_EEX_Japan_Power_Overview_EN.pdf</w:t>
      </w:r>
    </w:p>
    <w:p>
      <w:pPr>
        <w:pStyle w:val="Bibliography"/>
      </w:pPr>
      <w:r>
        <w:t xml:space="preserve">HD Renewable Energy. (2025, November 25).</w:t>
      </w:r>
      <w:r>
        <w:t xml:space="preserve"> </w:t>
      </w:r>
      <w:r>
        <w:rPr>
          <w:i/>
          <w:iCs/>
        </w:rPr>
        <w:t xml:space="preserve">HDRE Group launches first overseas 50MW Helios BESS in Japan, projected to generate JPY 2 billion in first-year trading revenue</w:t>
      </w:r>
      <w:r>
        <w:t xml:space="preserve"> </w:t>
      </w:r>
      <w:r>
        <w:t xml:space="preserve">[Press release]. </w:t>
      </w:r>
      <w:r>
        <w:rPr>
          <w:rFonts w:hint="eastAsia"/>
        </w:rPr>
        <w:t xml:space="preserve">共同通信PRワイヤー.</w:t>
      </w:r>
      <w:r>
        <w:t xml:space="preserve"> https://kyodonewsprwire.jp/release/202511259781</w:t>
      </w:r>
    </w:p>
    <w:p>
      <w:pPr>
        <w:pStyle w:val="Bibliography"/>
      </w:pPr>
      <w:r>
        <w:t xml:space="preserve">Modo Energy. (2026, February 3).</w:t>
      </w:r>
      <w:r>
        <w:t xml:space="preserve"> </w:t>
      </w:r>
      <w:r>
        <w:rPr>
          <w:i/>
          <w:iCs/>
        </w:rPr>
        <w:t xml:space="preserve">Why were ERCOT battery revenues so low in 2025?</w:t>
      </w:r>
      <w:r>
        <w:t xml:space="preserve"> </w:t>
      </w:r>
      <w:r>
        <w:t xml:space="preserve">[Research article by L. Hotz]. https://modoenergy.com/research/why-were-ercot-battery-revenues-so-low-in-2025-weather-energy-arbitrage-builodout</w:t>
      </w:r>
    </w:p>
    <w:p>
      <w:pPr>
        <w:pStyle w:val="Bibliography"/>
      </w:pPr>
      <w:r>
        <w:t xml:space="preserve">Rapidus. (n.d.).</w:t>
      </w:r>
      <w:r>
        <w:t xml:space="preserve"> </w:t>
      </w:r>
      <w:r>
        <w:rPr>
          <w:i/>
          <w:iCs/>
        </w:rPr>
        <w:t xml:space="preserve">Rapidus Corporation</w:t>
      </w:r>
      <w:r>
        <w:t xml:space="preserve"> </w:t>
      </w:r>
      <w:r>
        <w:t xml:space="preserve">[Corporate website]. </w:t>
      </w:r>
      <w:r>
        <w:rPr>
          <w:rFonts w:hint="eastAsia"/>
        </w:rPr>
        <w:t xml:space="preserve">https://www.rapidus.inc/（2026年10月22日閲覧）</w:t>
      </w:r>
    </w:p>
    <w:bookmarkEnd w:id="303"/>
    <w:bookmarkEnd w:id="304"/>
    <w:bookmarkStart w:id="305" w:name="付録"/>
    <w:p>
      <w:pPr>
        <w:pStyle w:val="Heading1"/>
        <w:pageBreakBefore/>
      </w:pPr>
      <w:r>
        <w:rPr>
          <w:rFonts w:hint="eastAsia"/>
        </w:rPr>
        <w:t xml:space="preserve">付録</w:t>
      </w:r>
    </w:p>
    <w:p>
      <w:pPr>
        <w:pStyle w:val="FirstParagraph"/>
      </w:pPr>
      <w:r>
        <w:rPr>
          <w:rFonts w:hint="eastAsia"/>
        </w:rPr>
        <w:t xml:space="preserve">付録は、本文の結論を支える資料を五つに分けて示す。付録A</w:t>
      </w:r>
      <w:r>
        <w:t xml:space="preserve"> </w:t>
      </w:r>
      <w:r>
        <w:rPr>
          <w:rFonts w:hint="eastAsia"/>
        </w:rPr>
        <w:t xml:space="preserve">はデータの出所と構築の手順、変数と区分の定義をまとめる。付録B</w:t>
      </w:r>
      <w:r>
        <w:t xml:space="preserve"> </w:t>
      </w:r>
      <w:r>
        <w:rPr>
          <w:rFonts w:hint="eastAsia"/>
        </w:rPr>
        <w:t xml:space="preserve">は、本文で結果だけを用いた導出と、推定・数値計算の手順を示す。付録C</w:t>
      </w:r>
      <w:r>
        <w:t xml:space="preserve"> </w:t>
      </w:r>
      <w:r>
        <w:rPr>
          <w:rFonts w:hint="eastAsia"/>
        </w:rPr>
        <w:t xml:space="preserve">は、本文の各章の頑健性の確認で要約した結果の詳細と、主要な前提・捨象の影響の詳細である。付録D</w:t>
      </w:r>
      <w:r>
        <w:t xml:space="preserve"> </w:t>
      </w:r>
      <w:r>
        <w:rPr>
          <w:rFonts w:hint="eastAsia"/>
        </w:rPr>
        <w:t xml:space="preserve">は、本文の表を補う追加の表である。付録E</w:t>
      </w:r>
      <w:r>
        <w:t xml:space="preserve"> </w:t>
      </w:r>
      <w:r>
        <w:rPr>
          <w:rFonts w:hint="eastAsia"/>
        </w:rPr>
        <w:t xml:space="preserve">は、データ・解析スクリプト・出力ファイルの対応とデータの処理上の注意をまとめた再現のための資料であり、ファイル名はこの付録にだけ記す。</w:t>
      </w:r>
    </w:p>
    <w:p>
      <w:pPr>
        <w:pStyle w:val="BodyText"/>
      </w:pPr>
      <w:r>
        <w:rPr>
          <w:rFonts w:hint="eastAsia"/>
        </w:rPr>
        <w:t xml:space="preserve">付録B〜D</w:t>
      </w:r>
      <w:r>
        <w:t xml:space="preserve"> </w:t>
      </w:r>
      <w:r>
        <w:rPr>
          <w:rFonts w:hint="eastAsia"/>
        </w:rPr>
        <w:t xml:space="preserve">の節は本文の章の順に並べ、節の見出しに対応する章を示した。付録の図・表・式の番号は付録ごとの通し番号（表A.1、表D.1、式(B.1)など）とする。記号・単位・区分は本文と同じ意味で用いる。</w:t>
      </w:r>
    </w:p>
    <w:bookmarkEnd w:id="305"/>
    <w:bookmarkStart w:id="316" w:name="付録a-データの構築と変数の定義"/>
    <w:p>
      <w:pPr>
        <w:pStyle w:val="Heading1"/>
      </w:pPr>
      <w:r>
        <w:rPr>
          <w:rFonts w:hint="eastAsia"/>
        </w:rPr>
        <w:t xml:space="preserve">付録A</w:t>
      </w:r>
      <w:r>
        <w:t xml:space="preserve">　</w:t>
      </w:r>
      <w:r>
        <w:rPr>
          <w:rFonts w:hint="eastAsia"/>
        </w:rPr>
        <w:t xml:space="preserve">データの構築と変数の定義</w:t>
      </w:r>
    </w:p>
    <w:p>
      <w:pPr>
        <w:pStyle w:val="FirstParagraph"/>
      </w:pPr>
      <w:r>
        <w:rPr>
          <w:rFonts w:hint="eastAsia"/>
        </w:rPr>
        <w:t xml:space="preserve">本付録は、第3章で概要を述べたデータについて、出所と期間（付録A.1）、時間パネルの構築（付録A.2）、欠測と地震の当日の扱い（付録A.3）、導入量の系列と設備利用率の計上時期（付録A.4）、外部情報との突合（付録A.5）、長期脱炭素電源オークションの落札蓄電池の所在エリアの推定（付録A.6）を示し、最後に本論文で用いる変数と区分の定義をまとめる（付録A.7）。処理後のファイルと作成するスクリプトは付録E</w:t>
      </w:r>
      <w:r>
        <w:t xml:space="preserve"> </w:t>
      </w:r>
      <w:r>
        <w:rPr>
          <w:rFonts w:hint="eastAsia"/>
        </w:rPr>
        <w:t xml:space="preserve">に示す。</w:t>
      </w:r>
    </w:p>
    <w:bookmarkStart w:id="306" w:name="a.1-データの出所"/>
    <w:p>
      <w:pPr>
        <w:pStyle w:val="Heading2"/>
      </w:pPr>
      <w:r>
        <w:t xml:space="preserve">A.1　</w:t>
      </w:r>
      <w:r>
        <w:rPr>
          <w:rFonts w:hint="eastAsia"/>
        </w:rPr>
        <w:t xml:space="preserve">データの出所</w:t>
      </w:r>
    </w:p>
    <w:p>
      <w:pPr>
        <w:pStyle w:val="FirstParagraph"/>
      </w:pPr>
      <w:r>
        <w:rPr>
          <w:rFonts w:hint="eastAsia"/>
        </w:rPr>
        <w:t xml:space="preserve">表A.1</w:t>
      </w:r>
      <w:r>
        <w:t xml:space="preserve"> </w:t>
      </w:r>
      <w:r>
        <w:rPr>
          <w:rFonts w:hint="eastAsia"/>
        </w:rPr>
        <w:t xml:space="preserve">は、本研究で用いたデータと資料について、提供機関、期間と粒度、取得日または閲覧日を示したものである。各資料の書誌は参考資料・データに示す。原データと処理後のファイルとの対応は付録E.1</w:t>
      </w:r>
      <w:r>
        <w:t xml:space="preserve"> </w:t>
      </w:r>
      <w:r>
        <w:rPr>
          <w:rFonts w:hint="eastAsia"/>
        </w:rPr>
        <w:t xml:space="preserve">に示す。</w:t>
      </w:r>
    </w:p>
    <w:p>
      <w:pPr>
        <w:pStyle w:val="TableCaption"/>
      </w:pPr>
      <w:r>
        <w:rPr>
          <w:rFonts w:hint="eastAsia"/>
        </w:rPr>
        <w:t xml:space="preserve">表A.1</w:t>
      </w:r>
      <w:r>
        <w:t xml:space="preserve">　</w:t>
      </w:r>
      <w:r>
        <w:rPr>
          <w:rFonts w:hint="eastAsia"/>
        </w:rPr>
        <w:t xml:space="preserve">データの出所と期間</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1　データの出所と期間"/>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区分</w:t>
            </w:r>
          </w:p>
        </w:tc>
        <w:tc>
          <w:tcPr>
            <w:tcBorders>
              <w:bottom w:val="single" w:sz="6" w:color="000000"/>
            </w:tcBorders>
          </w:tcPr>
          <w:p>
            <w:pPr>
              <w:pStyle w:val="Compact"/>
            </w:pPr>
            <w:r>
              <w:rPr>
                <w:rFonts w:hint="eastAsia"/>
                <w:sz w:val="18"/>
              </w:rPr>
              <w:t xml:space="preserve">提供機関・資料</w:t>
            </w:r>
          </w:p>
        </w:tc>
        <w:tc>
          <w:tcPr>
            <w:tcBorders>
              <w:bottom w:val="single" w:sz="6" w:color="000000"/>
            </w:tcBorders>
          </w:tcPr>
          <w:p>
            <w:pPr>
              <w:pStyle w:val="Compact"/>
            </w:pPr>
            <w:r>
              <w:rPr>
                <w:rFonts w:hint="eastAsia"/>
                <w:sz w:val="18"/>
              </w:rPr>
              <w:t xml:space="preserve">期間・粒度</w:t>
            </w:r>
          </w:p>
        </w:tc>
        <w:tc>
          <w:tcPr>
            <w:tcBorders>
              <w:bottom w:val="single" w:sz="6" w:color="000000"/>
            </w:tcBorders>
          </w:tcPr>
          <w:p>
            <w:pPr>
              <w:pStyle w:val="Compact"/>
            </w:pPr>
            <w:r>
              <w:rPr>
                <w:rFonts w:hint="eastAsia"/>
                <w:sz w:val="18"/>
              </w:rPr>
              <w:t xml:space="preserve">取得日・閲覧日</w:t>
            </w:r>
          </w:p>
        </w:tc>
      </w:tr>
      <w:tr>
        <w:tc>
          <w:tcPr/>
          <w:p>
            <w:pPr>
              <w:pStyle w:val="Compact"/>
            </w:pPr>
            <w:r>
              <w:rPr>
                <w:rFonts w:hint="eastAsia"/>
                <w:sz w:val="18"/>
              </w:rPr>
              <w:t xml:space="preserve">スポット市場の約定結果</w:t>
            </w:r>
          </w:p>
        </w:tc>
        <w:tc>
          <w:tcPr/>
          <w:p>
            <w:pPr>
              <w:pStyle w:val="Compact"/>
            </w:pPr>
            <w:r>
              <w:rPr>
                <w:rFonts w:hint="eastAsia"/>
                <w:sz w:val="18"/>
              </w:rPr>
              <w:t xml:space="preserve">日本卸電力取引所『スポット市場取引結果』</w:t>
            </w:r>
          </w:p>
        </w:tc>
        <w:tc>
          <w:tcPr/>
          <w:p>
            <w:pPr>
              <w:pStyle w:val="Compact"/>
            </w:pPr>
            <w:r>
              <w:rPr>
                <w:rFonts w:hint="eastAsia"/>
                <w:sz w:val="18"/>
              </w:rPr>
              <w:t xml:space="preserve">2016年4月1日〜2026年7月27日受渡分。30分48コマ、システムプライスと9エリアのエリアプライス</w:t>
            </w:r>
          </w:p>
        </w:tc>
        <w:tc>
          <w:tcPr/>
          <w:p>
            <w:pPr>
              <w:pStyle w:val="Compact"/>
            </w:pPr>
            <w:r>
              <w:rPr>
                <w:rFonts w:hint="eastAsia"/>
                <w:sz w:val="18"/>
              </w:rPr>
              <w:t xml:space="preserve">2026年7月26日</w:t>
            </w:r>
          </w:p>
        </w:tc>
      </w:tr>
      <w:tr>
        <w:tc>
          <w:tcPr/>
          <w:p>
            <w:pPr>
              <w:pStyle w:val="Compact"/>
            </w:pPr>
            <w:r>
              <w:rPr>
                <w:rFonts w:hint="eastAsia"/>
                <w:sz w:val="18"/>
              </w:rPr>
              <w:t xml:space="preserve">北海道エリアの需給実績</w:t>
            </w:r>
          </w:p>
        </w:tc>
        <w:tc>
          <w:tcPr/>
          <w:p>
            <w:pPr>
              <w:pStyle w:val="Compact"/>
            </w:pPr>
            <w:r>
              <w:rPr>
                <w:rFonts w:hint="eastAsia"/>
                <w:sz w:val="18"/>
              </w:rPr>
              <w:t xml:space="preserve">北海道電力ネットワーク『エリア需給実績』</w:t>
            </w:r>
          </w:p>
        </w:tc>
        <w:tc>
          <w:tcPr/>
          <w:p>
            <w:pPr>
              <w:pStyle w:val="Compact"/>
            </w:pPr>
            <w:r>
              <w:rPr>
                <w:rFonts w:hint="eastAsia"/>
                <w:sz w:val="18"/>
              </w:rPr>
              <w:t xml:space="preserve">2016年4月〜2026年6月。旧様式は60分値（MWh、2024年3月まで）、新様式は30分値（MW</w:t>
            </w:r>
            <w:r>
              <w:rPr>
                <w:sz w:val="18"/>
              </w:rPr>
              <w:t xml:space="preserve"> </w:t>
            </w:r>
            <w:r>
              <w:rPr>
                <w:rFonts w:hint="eastAsia"/>
                <w:sz w:val="18"/>
              </w:rPr>
              <w:t xml:space="preserve">平均、2024年4月から）。出力制御量を含む</w:t>
            </w:r>
          </w:p>
        </w:tc>
        <w:tc>
          <w:tcPr/>
          <w:p>
            <w:pPr>
              <w:pStyle w:val="Compact"/>
            </w:pPr>
            <w:r>
              <w:rPr>
                <w:rFonts w:hint="eastAsia"/>
                <w:sz w:val="18"/>
              </w:rPr>
              <w:t xml:space="preserve">2026年7月27日</w:t>
            </w:r>
          </w:p>
        </w:tc>
      </w:tr>
      <w:tr>
        <w:tc>
          <w:tcPr/>
          <w:p>
            <w:pPr>
              <w:pStyle w:val="Compact"/>
            </w:pPr>
            <w:r>
              <w:rPr>
                <w:rFonts w:hint="eastAsia"/>
                <w:sz w:val="18"/>
              </w:rPr>
              <w:t xml:space="preserve">東北エリアの需給実績</w:t>
            </w:r>
          </w:p>
        </w:tc>
        <w:tc>
          <w:tcPr/>
          <w:p>
            <w:pPr>
              <w:pStyle w:val="Compact"/>
            </w:pPr>
            <w:r>
              <w:rPr>
                <w:rFonts w:hint="eastAsia"/>
                <w:sz w:val="18"/>
              </w:rPr>
              <w:t xml:space="preserve">東北電力ネットワーク『エリア需給実績』</w:t>
            </w:r>
          </w:p>
        </w:tc>
        <w:tc>
          <w:tcPr/>
          <w:p>
            <w:pPr>
              <w:pStyle w:val="Compact"/>
            </w:pPr>
            <w:r>
              <w:rPr>
                <w:rFonts w:hint="eastAsia"/>
                <w:sz w:val="18"/>
              </w:rPr>
              <w:t xml:space="preserve">2016年4月〜2026年6月。旧様式は60分値（2024年1月まで）、新様式は30分値（2024年2月から）</w:t>
            </w:r>
          </w:p>
        </w:tc>
        <w:tc>
          <w:tcPr/>
          <w:p>
            <w:pPr>
              <w:pStyle w:val="Compact"/>
            </w:pPr>
            <w:r>
              <w:rPr>
                <w:rFonts w:hint="eastAsia"/>
                <w:sz w:val="18"/>
              </w:rPr>
              <w:t xml:space="preserve">2026年7月27日</w:t>
            </w:r>
          </w:p>
        </w:tc>
      </w:tr>
      <w:tr>
        <w:tc>
          <w:tcPr/>
          <w:p>
            <w:pPr>
              <w:pStyle w:val="Compact"/>
            </w:pPr>
            <w:r>
              <w:rPr>
                <w:rFonts w:hint="eastAsia"/>
                <w:sz w:val="18"/>
              </w:rPr>
              <w:t xml:space="preserve">九州エリアの需給実績</w:t>
            </w:r>
          </w:p>
        </w:tc>
        <w:tc>
          <w:tcPr/>
          <w:p>
            <w:pPr>
              <w:pStyle w:val="Compact"/>
            </w:pPr>
            <w:r>
              <w:rPr>
                <w:rFonts w:hint="eastAsia"/>
                <w:sz w:val="18"/>
              </w:rPr>
              <w:t xml:space="preserve">九州電力送配電『エリア需給実績』</w:t>
            </w:r>
          </w:p>
        </w:tc>
        <w:tc>
          <w:tcPr/>
          <w:p>
            <w:pPr>
              <w:pStyle w:val="Compact"/>
            </w:pPr>
            <w:r>
              <w:rPr>
                <w:rFonts w:hint="eastAsia"/>
                <w:sz w:val="18"/>
              </w:rPr>
              <w:t xml:space="preserve">2016年4月〜2026年7月。旧様式は60分値（2024年2月まで）、新様式は30分値（2024年3月から）</w:t>
            </w:r>
          </w:p>
        </w:tc>
        <w:tc>
          <w:tcPr/>
          <w:p>
            <w:pPr>
              <w:pStyle w:val="Compact"/>
            </w:pPr>
            <w:r>
              <w:rPr>
                <w:rFonts w:hint="eastAsia"/>
                <w:sz w:val="18"/>
              </w:rPr>
              <w:t xml:space="preserve">2026年7月26日</w:t>
            </w:r>
          </w:p>
        </w:tc>
      </w:tr>
      <w:tr>
        <w:tc>
          <w:tcPr/>
          <w:p>
            <w:pPr>
              <w:pStyle w:val="Compact"/>
            </w:pPr>
            <w:r>
              <w:rPr>
                <w:rFonts w:hint="eastAsia"/>
                <w:sz w:val="18"/>
              </w:rPr>
              <w:t xml:space="preserve">太陽光・風力の導入容量</w:t>
            </w:r>
          </w:p>
        </w:tc>
        <w:tc>
          <w:tcPr/>
          <w:p>
            <w:pPr>
              <w:pStyle w:val="Compact"/>
            </w:pPr>
            <w:r>
              <w:rPr>
                <w:rFonts w:hint="eastAsia"/>
                <w:sz w:val="18"/>
              </w:rPr>
              <w:t xml:space="preserve">資源エネルギー庁『固定価格買取制度</w:t>
            </w:r>
            <w:r>
              <w:rPr>
                <w:sz w:val="18"/>
              </w:rPr>
              <w:t xml:space="preserve"> </w:t>
            </w:r>
            <w:r>
              <w:rPr>
                <w:rFonts w:hint="eastAsia"/>
                <w:sz w:val="18"/>
              </w:rPr>
              <w:t xml:space="preserve">情報公表用ウェブサイト』の表B（市町村別導入容量）</w:t>
            </w:r>
          </w:p>
        </w:tc>
        <w:tc>
          <w:tcPr/>
          <w:p>
            <w:pPr>
              <w:pStyle w:val="Compact"/>
            </w:pPr>
            <w:r>
              <w:rPr>
                <w:rFonts w:hint="eastAsia"/>
                <w:sz w:val="18"/>
              </w:rPr>
              <w:t xml:space="preserve">2014年6月〜2025年12月の四半期、市町村別。FIT/FIP</w:t>
            </w:r>
            <w:r>
              <w:rPr>
                <w:sz w:val="18"/>
              </w:rPr>
              <w:t xml:space="preserve"> </w:t>
            </w:r>
            <w:r>
              <w:rPr>
                <w:rFonts w:hint="eastAsia"/>
                <w:sz w:val="18"/>
              </w:rPr>
              <w:t xml:space="preserve">の認定設備のみ</w:t>
            </w:r>
          </w:p>
        </w:tc>
        <w:tc>
          <w:tcPr/>
          <w:p>
            <w:pPr>
              <w:pStyle w:val="Compact"/>
            </w:pPr>
            <w:r>
              <w:rPr>
                <w:rFonts w:hint="eastAsia"/>
                <w:sz w:val="18"/>
              </w:rPr>
              <w:t xml:space="preserve">2026年7月28日</w:t>
            </w:r>
          </w:p>
        </w:tc>
      </w:tr>
      <w:tr>
        <w:tc>
          <w:tcPr/>
          <w:p>
            <w:pPr>
              <w:pStyle w:val="Compact"/>
            </w:pPr>
            <w:r>
              <w:rPr>
                <w:rFonts w:hint="eastAsia"/>
                <w:sz w:val="18"/>
              </w:rPr>
              <w:t xml:space="preserve">容量市場</w:t>
            </w:r>
          </w:p>
        </w:tc>
        <w:tc>
          <w:tcPr/>
          <w:p>
            <w:pPr>
              <w:pStyle w:val="Compact"/>
            </w:pPr>
            <w:r>
              <w:rPr>
                <w:rFonts w:hint="eastAsia"/>
                <w:sz w:val="18"/>
              </w:rPr>
              <w:t xml:space="preserve">電力広域的運営推進機関『メインオークション約定結果』（2026〜2029年度向け）、『需要曲線』（2027〜2029年度向け、2030年度向け）、『調整係数』（2024〜2029年度向け、11,826行）</w:t>
            </w:r>
          </w:p>
        </w:tc>
        <w:tc>
          <w:tcPr/>
          <w:p>
            <w:pPr>
              <w:pStyle w:val="Compact"/>
            </w:pPr>
            <w:r>
              <w:rPr>
                <w:rFonts w:hint="eastAsia"/>
                <w:sz w:val="18"/>
              </w:rPr>
              <w:t xml:space="preserve">エリア別・放電時間別の調整係数</w:t>
            </w:r>
            <w:r>
              <w:rPr>
                <w:sz w:val="18"/>
              </w:rPr>
              <w:t xml:space="preserve"> </w:t>
            </w:r>
            <m:oMath>
              <m:r>
                <m:t>κ</m:t>
              </m:r>
            </m:oMath>
            <w:r>
              <w:rPr>
                <w:sz w:val="18"/>
              </w:rPr>
              <w:t xml:space="preserve"> </w:t>
            </w:r>
            <w:r>
              <w:rPr>
                <w:rFonts w:hint="eastAsia"/>
                <w:sz w:val="18"/>
              </w:rPr>
              <w:t xml:space="preserve">を含む</w:t>
            </w:r>
          </w:p>
        </w:tc>
        <w:tc>
          <w:tcPr/>
          <w:p>
            <w:pPr>
              <w:pStyle w:val="Compact"/>
            </w:pPr>
            <w:r>
              <w:rPr>
                <w:rFonts w:hint="eastAsia"/>
                <w:sz w:val="18"/>
              </w:rPr>
              <w:t xml:space="preserve">需要曲線（2027〜2029年度向け）と調整係数は2026年7月28日。約定結果と2030年度向けの需要曲線は2026年10月21日閲覧</w:t>
            </w:r>
          </w:p>
        </w:tc>
      </w:tr>
      <w:tr>
        <w:tc>
          <w:tcPr/>
          <w:p>
            <w:pPr>
              <w:pStyle w:val="Compact"/>
            </w:pPr>
            <w:r>
              <w:rPr>
                <w:rFonts w:hint="eastAsia"/>
                <w:sz w:val="18"/>
              </w:rPr>
              <w:t xml:space="preserve">長期脱炭素電源オークション</w:t>
            </w:r>
          </w:p>
        </w:tc>
        <w:tc>
          <w:tcPr/>
          <w:p>
            <w:pPr>
              <w:pStyle w:val="Compact"/>
            </w:pPr>
            <w:r>
              <w:rPr>
                <w:rFonts w:hint="eastAsia"/>
                <w:sz w:val="18"/>
              </w:rPr>
              <w:t xml:space="preserve">電力広域的運営推進機関『約定結果』本文・別紙（落札電源一覧。第1〜3回＝応札年度2023〜2025）、『募集要綱』（応札年度2026）</w:t>
            </w:r>
          </w:p>
        </w:tc>
        <w:tc>
          <w:tcPr/>
          <w:p>
            <w:pPr>
              <w:pStyle w:val="Compact"/>
            </w:pPr>
            <w:r>
              <w:rPr>
                <w:rFonts w:hint="eastAsia"/>
                <w:sz w:val="18"/>
              </w:rPr>
              <w:t xml:space="preserve">蓄電池76案件の容量。所在エリアは付録A.6</w:t>
            </w:r>
            <w:r>
              <w:rPr>
                <w:sz w:val="18"/>
              </w:rPr>
              <w:t xml:space="preserve"> </w:t>
            </w:r>
            <w:r>
              <w:rPr>
                <w:rFonts w:hint="eastAsia"/>
                <w:sz w:val="18"/>
              </w:rPr>
              <w:t xml:space="preserve">の方法で推定</w:t>
            </w:r>
          </w:p>
        </w:tc>
        <w:tc>
          <w:tcPr/>
          <w:p>
            <w:pPr>
              <w:pStyle w:val="Compact"/>
            </w:pPr>
            <w:r>
              <w:rPr>
                <w:rFonts w:hint="eastAsia"/>
                <w:sz w:val="18"/>
              </w:rPr>
              <w:t xml:space="preserve">約定結果は2026年7月28日。募集要綱は2026年10月21日閲覧</w:t>
            </w:r>
          </w:p>
        </w:tc>
      </w:tr>
      <w:tr>
        <w:tc>
          <w:tcPr/>
          <w:p>
            <w:pPr>
              <w:pStyle w:val="Compact"/>
            </w:pPr>
            <w:r>
              <w:rPr>
                <w:rFonts w:hint="eastAsia"/>
                <w:sz w:val="18"/>
              </w:rPr>
              <w:t xml:space="preserve">蓄電池の資本費</w:t>
            </w:r>
          </w:p>
        </w:tc>
        <w:tc>
          <w:tcPr/>
          <w:p>
            <w:pPr>
              <w:pStyle w:val="Compact"/>
            </w:pPr>
            <w:r>
              <w:rPr>
                <w:rFonts w:hint="eastAsia"/>
                <w:sz w:val="18"/>
              </w:rPr>
              <w:t xml:space="preserve">経済産業省</w:t>
            </w:r>
            <w:r>
              <w:rPr>
                <w:sz w:val="18"/>
              </w:rPr>
              <w:t xml:space="preserve"> </w:t>
            </w:r>
            <w:r>
              <w:rPr>
                <w:rFonts w:hint="eastAsia"/>
                <w:sz w:val="18"/>
              </w:rPr>
              <w:t xml:space="preserve">定置用蓄電システム普及拡大検討会の資料</w:t>
            </w:r>
          </w:p>
        </w:tc>
        <w:tc>
          <w:tcPr/>
          <w:p>
            <w:pPr>
              <w:pStyle w:val="Compact"/>
            </w:pPr>
            <w:r>
              <w:rPr>
                <w:rFonts w:hint="eastAsia"/>
                <w:sz w:val="18"/>
              </w:rPr>
              <w:t xml:space="preserve">2022〜2024年度の系統用蓄電システムの実勢価格（規模別）、2024年度の費用の内訳、収益性評価の算定諸元（運転維持費、廃止措置費用、稼働年数）</w:t>
            </w:r>
          </w:p>
        </w:tc>
        <w:tc>
          <w:tcPr/>
          <w:p>
            <w:pPr>
              <w:pStyle w:val="Compact"/>
            </w:pPr>
            <w:r>
              <w:rPr>
                <w:rFonts w:hint="eastAsia"/>
                <w:sz w:val="18"/>
              </w:rPr>
              <w:t xml:space="preserve">2024年度の結果とりまとめは2026年7月28日。2024年度第3回・第4回の資料は2026年10月21日閲覧</w:t>
            </w:r>
          </w:p>
        </w:tc>
      </w:tr>
      <w:tr>
        <w:tc>
          <w:tcPr/>
          <w:p>
            <w:pPr>
              <w:pStyle w:val="Compact"/>
            </w:pPr>
            <w:r>
              <w:rPr>
                <w:rFonts w:hint="eastAsia"/>
                <w:sz w:val="18"/>
              </w:rPr>
              <w:t xml:space="preserve">再エネの費用の想定</w:t>
            </w:r>
          </w:p>
        </w:tc>
        <w:tc>
          <w:tcPr/>
          <w:p>
            <w:pPr>
              <w:pStyle w:val="Compact"/>
            </w:pPr>
            <w:r>
              <w:rPr>
                <w:rFonts w:hint="eastAsia"/>
                <w:sz w:val="18"/>
              </w:rPr>
              <w:t xml:space="preserve">調達価格等算定委員会『意見案』（令和3〜8年度向け。調達価格等算定委員会，2021，2022，2023，2024，2025，2026）</w:t>
            </w:r>
          </w:p>
        </w:tc>
        <w:tc>
          <w:tcPr/>
          <w:p>
            <w:pPr>
              <w:pStyle w:val="Compact"/>
            </w:pPr>
            <w:r>
              <w:rPr>
                <w:rFonts w:hint="eastAsia"/>
                <w:sz w:val="18"/>
              </w:rPr>
              <w:t xml:space="preserve">風力・太陽光の資本費などの想定</w:t>
            </w:r>
          </w:p>
        </w:tc>
        <w:tc>
          <w:tcPr/>
          <w:p>
            <w:pPr>
              <w:pStyle w:val="Compact"/>
            </w:pPr>
            <w:r>
              <w:rPr>
                <w:rFonts w:hint="eastAsia"/>
                <w:sz w:val="18"/>
              </w:rPr>
              <w:t xml:space="preserve">2026年7月28日</w:t>
            </w:r>
          </w:p>
        </w:tc>
      </w:tr>
      <w:tr>
        <w:tc>
          <w:tcPr/>
          <w:p>
            <w:pPr>
              <w:pStyle w:val="Compact"/>
            </w:pPr>
            <w:r>
              <w:rPr>
                <w:rFonts w:hint="eastAsia"/>
                <w:sz w:val="18"/>
              </w:rPr>
              <w:t xml:space="preserve">系統用蓄電池の接続状況</w:t>
            </w:r>
          </w:p>
        </w:tc>
        <w:tc>
          <w:tcPr/>
          <w:p>
            <w:pPr>
              <w:pStyle w:val="Compact"/>
            </w:pPr>
            <w:r>
              <w:rPr>
                <w:rFonts w:hint="eastAsia"/>
                <w:sz w:val="18"/>
              </w:rPr>
              <w:t xml:space="preserve">北海道電力ネットワーク『発電等設備の受付状況に関する情報・出力制御区分の内訳』（2026年8月末時点の版）、次世代電力系統ワーキンググループの資料（全国）</w:t>
            </w:r>
          </w:p>
        </w:tc>
        <w:tc>
          <w:tcPr/>
          <w:p>
            <w:pPr>
              <w:pStyle w:val="Compact"/>
            </w:pPr>
            <w:r>
              <w:rPr>
                <w:rFonts w:hint="eastAsia"/>
                <w:sz w:val="18"/>
              </w:rPr>
              <w:t xml:space="preserve">北海道は電源種別・手続きの段階別の月末の累計（2024年12月末〜2026年8月末、万kW）。本論文は2026年5月末の値（接続済み約20万kW、契約申込約234万kW、接続検討約823万kW）を用いる</w:t>
            </w:r>
          </w:p>
        </w:tc>
        <w:tc>
          <w:tcPr/>
          <w:p>
            <w:pPr>
              <w:pStyle w:val="Compact"/>
            </w:pPr>
            <w:r>
              <w:rPr>
                <w:rFonts w:hint="eastAsia"/>
                <w:sz w:val="18"/>
              </w:rPr>
              <w:t xml:space="preserve">北海道電力ネットワークの公表は2026年10月22日。ワーキンググループの資料は2026年10月21日閲覧</w:t>
            </w:r>
          </w:p>
        </w:tc>
      </w:tr>
      <w:tr>
        <w:tc>
          <w:tcPr/>
          <w:p>
            <w:pPr>
              <w:pStyle w:val="Compact"/>
            </w:pPr>
            <w:r>
              <w:rPr>
                <w:rFonts w:hint="eastAsia"/>
                <w:sz w:val="18"/>
              </w:rPr>
              <w:t xml:space="preserve">系統用蓄電池の補助</w:t>
            </w:r>
          </w:p>
        </w:tc>
        <w:tc>
          <w:tcPr/>
          <w:p>
            <w:pPr>
              <w:pStyle w:val="Compact"/>
            </w:pPr>
            <w:r>
              <w:rPr>
                <w:rFonts w:hint="eastAsia"/>
                <w:sz w:val="18"/>
              </w:rPr>
              <w:t xml:space="preserve">環境共創イニシアチブ『再生可能エネルギー導入拡大・系統用蓄電池等電力貯蔵システム導入支援事業』の公募要領と交付決定一覧（2024・2025年度）</w:t>
            </w:r>
          </w:p>
        </w:tc>
        <w:tc>
          <w:tcPr/>
          <w:p>
            <w:pPr>
              <w:pStyle w:val="Compact"/>
            </w:pPr>
            <w:r>
              <w:rPr>
                <w:rFonts w:hint="eastAsia"/>
                <w:sz w:val="18"/>
              </w:rPr>
              <w:t xml:space="preserve">補助率と上限額、北海道の12件の補助額</w:t>
            </w:r>
          </w:p>
        </w:tc>
        <w:tc>
          <w:tcPr/>
          <w:p>
            <w:pPr>
              <w:pStyle w:val="Compact"/>
            </w:pPr>
            <w:r>
              <w:rPr>
                <w:rFonts w:hint="eastAsia"/>
                <w:sz w:val="18"/>
              </w:rPr>
              <w:t xml:space="preserve">2026年10月21日閲覧</w:t>
            </w:r>
          </w:p>
        </w:tc>
      </w:tr>
      <w:tr>
        <w:tc>
          <w:tcPr/>
          <w:p>
            <w:pPr>
              <w:pStyle w:val="Compact"/>
            </w:pPr>
            <w:r>
              <w:rPr>
                <w:rFonts w:hint="eastAsia"/>
                <w:sz w:val="18"/>
              </w:rPr>
              <w:t xml:space="preserve">個別の蓄電池案件</w:t>
            </w:r>
          </w:p>
        </w:tc>
        <w:tc>
          <w:tcPr/>
          <w:p>
            <w:pPr>
              <w:pStyle w:val="Compact"/>
            </w:pPr>
            <w:r>
              <w:rPr>
                <w:rFonts w:hint="eastAsia"/>
                <w:sz w:val="18"/>
              </w:rPr>
              <w:t xml:space="preserve">事業者の発表と報道（札幌市の</w:t>
            </w:r>
            <w:r>
              <w:rPr>
                <w:sz w:val="18"/>
              </w:rPr>
              <w:t xml:space="preserve"> </w:t>
            </w:r>
            <w:r>
              <w:rPr>
                <w:rFonts w:hint="eastAsia"/>
                <w:sz w:val="18"/>
              </w:rPr>
              <w:t xml:space="preserve">Helios）</w:t>
            </w:r>
          </w:p>
        </w:tc>
        <w:tc>
          <w:tcPr/>
          <w:p>
            <w:pPr>
              <w:pStyle w:val="Compact"/>
            </w:pPr>
            <w:r>
              <w:rPr>
                <w:rFonts w:hint="eastAsia"/>
                <w:sz w:val="18"/>
              </w:rPr>
              <w:t xml:space="preserve">2025年12月の運転開始、容量、収入の見込み</w:t>
            </w:r>
          </w:p>
        </w:tc>
        <w:tc>
          <w:tcPr/>
          <w:p>
            <w:pPr>
              <w:pStyle w:val="Compact"/>
            </w:pPr>
            <w:r>
              <w:rPr>
                <w:sz w:val="18"/>
              </w:rPr>
              <w:t xml:space="preserve">—</w:t>
            </w:r>
          </w:p>
        </w:tc>
      </w:tr>
      <w:tr>
        <w:tc>
          <w:tcPr/>
          <w:p>
            <w:pPr>
              <w:pStyle w:val="Compact"/>
            </w:pPr>
            <w:r>
              <w:rPr>
                <w:rFonts w:hint="eastAsia"/>
                <w:sz w:val="18"/>
              </w:rPr>
              <w:t xml:space="preserve">税・先物・保証金の諸元</w:t>
            </w:r>
          </w:p>
        </w:tc>
        <w:tc>
          <w:tcPr/>
          <w:p>
            <w:pPr>
              <w:pStyle w:val="Compact"/>
            </w:pPr>
            <w:r>
              <w:rPr>
                <w:rFonts w:hint="eastAsia"/>
                <w:sz w:val="18"/>
              </w:rPr>
              <w:t xml:space="preserve">財務省（法人実効税率）、日本取引所グループ・東京商品取引所・EEX</w:t>
            </w:r>
            <w:r>
              <w:rPr>
                <w:sz w:val="18"/>
              </w:rPr>
              <w:t xml:space="preserve"> </w:t>
            </w:r>
            <w:r>
              <w:rPr>
                <w:rFonts w:hint="eastAsia"/>
                <w:sz w:val="18"/>
              </w:rPr>
              <w:t xml:space="preserve">の電力先物の商品概要（年度物の上場期間）、資源エネルギー庁・東京電力パワーグリッドの系統連系保証金の資料</w:t>
            </w:r>
          </w:p>
        </w:tc>
        <w:tc>
          <w:tcPr/>
          <w:p>
            <w:pPr>
              <w:pStyle w:val="Compact"/>
            </w:pPr>
            <w:r>
              <w:rPr>
                <w:rFonts w:hint="eastAsia"/>
                <w:sz w:val="18"/>
              </w:rPr>
              <w:t xml:space="preserve">2025〜2026年の公表</w:t>
            </w:r>
          </w:p>
        </w:tc>
        <w:tc>
          <w:tcPr/>
          <w:p>
            <w:pPr>
              <w:pStyle w:val="Compact"/>
            </w:pPr>
            <w:r>
              <w:rPr>
                <w:rFonts w:hint="eastAsia"/>
                <w:sz w:val="18"/>
              </w:rPr>
              <w:t xml:space="preserve">2026年10月21日閲覧（EEX</w:t>
            </w:r>
            <w:r>
              <w:rPr>
                <w:sz w:val="18"/>
              </w:rPr>
              <w:t xml:space="preserve"> </w:t>
            </w:r>
            <w:r>
              <w:rPr>
                <w:rFonts w:hint="eastAsia"/>
                <w:sz w:val="18"/>
              </w:rPr>
              <w:t xml:space="preserve">を除く）</w:t>
            </w:r>
          </w:p>
        </w:tc>
      </w:tr>
      <w:tr>
        <w:tc>
          <w:tcPr/>
          <w:p>
            <w:pPr>
              <w:pStyle w:val="Compact"/>
            </w:pPr>
            <w:r>
              <w:rPr>
                <w:rFonts w:hint="eastAsia"/>
                <w:sz w:val="18"/>
              </w:rPr>
              <w:t xml:space="preserve">突合に用いた外部の値</w:t>
            </w:r>
          </w:p>
        </w:tc>
        <w:tc>
          <w:tcPr/>
          <w:p>
            <w:pPr>
              <w:pStyle w:val="Compact"/>
            </w:pPr>
            <w:r>
              <w:rPr>
                <w:rFonts w:hint="eastAsia"/>
                <w:sz w:val="18"/>
              </w:rPr>
              <w:t xml:space="preserve">日本風力発電協会『風力発電の導入実績』（2019〜2025年末版。年末累計のグラフからの読み取り）、北海道電力ネットワーク『発電等設備の受付状況に関する情報・出力制御区分の内訳』の太陽光の接続済み容量</w:t>
            </w:r>
          </w:p>
        </w:tc>
        <w:tc>
          <w:tcPr/>
          <w:p>
            <w:pPr>
              <w:pStyle w:val="Compact"/>
            </w:pPr>
            <w:r>
              <w:rPr>
                <w:rFonts w:hint="eastAsia"/>
                <w:sz w:val="18"/>
              </w:rPr>
              <w:t xml:space="preserve">年末・年度末の値</w:t>
            </w:r>
          </w:p>
        </w:tc>
        <w:tc>
          <w:tcPr/>
          <w:p>
            <w:pPr>
              <w:pStyle w:val="Compact"/>
            </w:pPr>
            <w:r>
              <w:rPr>
                <w:rFonts w:hint="eastAsia"/>
                <w:sz w:val="18"/>
              </w:rPr>
              <w:t xml:space="preserve">日本風力発電協会は2026年7月28日、北海道電力ネットワークは2026年10月22日</w:t>
            </w:r>
          </w:p>
        </w:tc>
      </w:tr>
      <w:tr>
        <w:tc>
          <w:tcPr/>
          <w:p>
            <w:pPr>
              <w:pStyle w:val="Compact"/>
            </w:pPr>
            <w:r>
              <w:rPr>
                <w:rFonts w:hint="eastAsia"/>
                <w:sz w:val="18"/>
              </w:rPr>
              <w:t xml:space="preserve">ローカル系統の出力制御</w:t>
            </w:r>
          </w:p>
        </w:tc>
        <w:tc>
          <w:tcPr/>
          <w:p>
            <w:pPr>
              <w:pStyle w:val="Compact"/>
            </w:pPr>
            <w:r>
              <w:rPr>
                <w:rFonts w:hint="eastAsia"/>
                <w:sz w:val="18"/>
              </w:rPr>
              <w:t xml:space="preserve">電力広域的運営推進機関『流通設備混雑による再生可能エネルギー発電設備（自然変動電源）の出力抑制の検証結果』（北海道電力ネットワーク。2025年11月分・2026年5月分・2026年6月分の本体と別紙1〜3）</w:t>
            </w:r>
          </w:p>
        </w:tc>
        <w:tc>
          <w:tcPr/>
          <w:p>
            <w:pPr>
              <w:pStyle w:val="Compact"/>
            </w:pPr>
            <w:r>
              <w:rPr>
                <w:sz w:val="18"/>
              </w:rPr>
              <w:t xml:space="preserve">66kV </w:t>
            </w:r>
            <w:r>
              <w:rPr>
                <w:rFonts w:hint="eastAsia"/>
                <w:sz w:val="18"/>
              </w:rPr>
              <w:t xml:space="preserve">岩松線・富川線の日区分別の時間帯と最大抑制量</w:t>
            </w:r>
          </w:p>
        </w:tc>
        <w:tc>
          <w:tcPr/>
          <w:p>
            <w:pPr>
              <w:pStyle w:val="Compact"/>
            </w:pPr>
            <w:r>
              <w:rPr>
                <w:rFonts w:hint="eastAsia"/>
                <w:sz w:val="18"/>
              </w:rPr>
              <w:t xml:space="preserve">2026年10月21日閲覧</w:t>
            </w:r>
          </w:p>
        </w:tc>
      </w:tr>
    </w:tbl>
    <w:p>
      <w:pPr>
        <w:pStyle w:val="TableNote"/>
      </w:pPr>
      <w:r>
        <w:rPr>
          <w:rFonts w:hint="eastAsia"/>
        </w:rPr>
        <w:t xml:space="preserve">注）日付に「閲覧」と付したものは資料の閲覧日、それ以外はデータの取得日である。報道・プレスリリースと海外の機関の資料（表中の「—」と</w:t>
      </w:r>
      <w:r>
        <w:t xml:space="preserve"> </w:t>
      </w:r>
      <w:r>
        <w:rPr>
          <w:rFonts w:hint="eastAsia"/>
        </w:rPr>
        <w:t xml:space="preserve">EEX）は、発行日で版が定まるので取得日を記さず、発行日を参考資料・データに示した。北海道の系統用蓄電池の接続状況は、北海道電力ネットワークが毎月更新して公表する表のうち、系統用蓄電池の接続検討の受付、契約申込の受付（連系承諾済みを含む）、接続済みの各容量である。取得した版は2026年8月末時点のものであるが、2024年12月末以降の各月末の値を収めており、2026年5月末の値はこの版から読んだ。第3章で用いる2025年12月末の契約申込（176万kW）も、この版の値と一致する。同じ表では、併設の蓄電池は容量の大きい電源の種別に合算して計上されるので、系統用蓄電池の値には含まれない。</w:t>
      </w:r>
    </w:p>
    <w:p>
      <w:pPr>
        <w:pStyle w:val="TableNote"/>
      </w:pPr>
      <w:r>
        <w:rPr>
          <w:rFonts w:hint="eastAsia"/>
        </w:rPr>
        <w:t xml:space="preserve">出所）筆者作成。</w:t>
      </w:r>
    </w:p>
    <w:bookmarkEnd w:id="306"/>
    <w:bookmarkStart w:id="307" w:name="a.2-時間パネルの構築"/>
    <w:p>
      <w:pPr>
        <w:pStyle w:val="Heading2"/>
      </w:pPr>
      <w:r>
        <w:t xml:space="preserve">A.2　</w:t>
      </w:r>
      <w:r>
        <w:rPr>
          <w:rFonts w:hint="eastAsia"/>
        </w:rPr>
        <w:t xml:space="preserve">時間パネルの構築</w:t>
      </w:r>
    </w:p>
    <w:p>
      <w:pPr>
        <w:pStyle w:val="FirstParagraph"/>
      </w:pPr>
      <w:r>
        <w:rPr>
          <w:rFonts w:hint="eastAsia"/>
        </w:rPr>
        <w:t xml:space="preserve">需給実績の新様式への切り替えは、北海道が2024年4月、東北が2024年2月、九州が2024年3月である。時刻ラベルは、北海道と東北の新様式ではコマの開始時刻を、九州の新様式では終了時刻を指すので、すべて開始時刻に統一した。連系線の潮流は受電を正とする符号に統一し、九州の新様式は符号を反転した。旧様式のファイルには4行の前書きがあり、日付の列は前方に補完して読む。列の構成が変わったファイルにも対応できるよう、列は見出しの名前で対応づけた。30分値は2コマの平均をとって60分値に変換した（MW</w:t>
      </w:r>
      <w:r>
        <w:t xml:space="preserve"> </w:t>
      </w:r>
      <w:r>
        <w:rPr>
          <w:rFonts w:hint="eastAsia"/>
        </w:rPr>
        <w:t xml:space="preserve">平均の2コマの平均が、その時間の</w:t>
      </w:r>
      <w:r>
        <w:t xml:space="preserve"> MWh </w:t>
      </w:r>
      <w:r>
        <w:rPr>
          <w:rFonts w:hint="eastAsia"/>
        </w:rPr>
        <w:t xml:space="preserve">にあたる）。</w:t>
      </w:r>
    </w:p>
    <w:p>
      <w:pPr>
        <w:pStyle w:val="BodyText"/>
      </w:pPr>
      <w:r>
        <w:rPr>
          <w:rFonts w:hint="eastAsia"/>
        </w:rPr>
        <w:t xml:space="preserve">構築の後、需給の恒等式（電源の合計＋揚水＋連系線（受電を正）＋蓄電池＝需要）の残差を確かめた。残差の絶対値の最大は、北海道で12MW、東北で58MW、九州の旧様式で0である。九州の新様式（2024年3月以降）には平均約0.2GW（最大0.37GW）の系統的な残差が残る。新様式の「その他」の電源の列をパネルに取り込んでいないためであり、分析に使う需要・太陽光・風力・原子力の列には影響しない。北海道と東北のパネルは2016年4月1日から2026年6月30日までの各89,832時間、九州のパネルは2026年7月26日までの90,452時間で、いずれも欠落した時刻はない。</w:t>
      </w:r>
    </w:p>
    <w:bookmarkEnd w:id="307"/>
    <w:bookmarkStart w:id="308" w:name="a.3-欠測と地震の当日の扱い"/>
    <w:p>
      <w:pPr>
        <w:pStyle w:val="Heading2"/>
      </w:pPr>
      <w:r>
        <w:t xml:space="preserve">A.3　</w:t>
      </w:r>
      <w:r>
        <w:rPr>
          <w:rFonts w:hint="eastAsia"/>
        </w:rPr>
        <w:t xml:space="preserve">欠測と地震の当日の扱い</w:t>
      </w:r>
    </w:p>
    <w:p>
      <w:pPr>
        <w:pStyle w:val="FirstParagraph"/>
      </w:pPr>
      <w:r>
        <w:rPr>
          <w:rFonts w:hint="eastAsia"/>
        </w:rPr>
        <w:t xml:space="preserve">北海道のエリアプライスは、2018年9月7日から26日までの480時間が欠測している。北海道胆振東部地震（9月6日未明）によるブラックアウトの後の取引停止に対応する。9月6日受渡分の価格は地震の前日に約定しており、パネルに含まれる。九州のパネルでは、2019年3月12日から31日までの20日間（480時間）、需要と原子力・火力の発電量が欠測し、揚水と連系線の潮流も一部の時間で欠測している。太陽光・風力の発電量と価格は観測されている。日次の指標は24時間がそろう日だけで作り、欠けた時間を0として足さない。このため両エリアの日次標本は、FY2016〜25</w:t>
      </w:r>
      <w:r>
        <w:t xml:space="preserve"> </w:t>
      </w:r>
      <w:r>
        <w:rPr>
          <w:rFonts w:hint="eastAsia"/>
        </w:rPr>
        <w:t xml:space="preserve">の3,652日から20日ずつを除いた3,632日になる。</w:t>
      </w:r>
    </w:p>
    <w:p>
      <w:pPr>
        <w:pStyle w:val="BodyText"/>
      </w:pPr>
      <w:r>
        <w:rPr>
          <w:rFonts w:hint="eastAsia"/>
        </w:rPr>
        <w:t xml:space="preserve">地震の当日の2018年9月6日は標本に残している。この日の需要（15.2GWh/日）と太陽光（0）はブラックアウトの影響を受けた外れ値である。この日を除くと、北海道</w:t>
      </w:r>
      <w:r>
        <w:t xml:space="preserve"> FY2016〜25 </w:t>
      </w:r>
      <w:r>
        <w:rPr>
          <w:rFonts w:hint="eastAsia"/>
        </w:rPr>
        <w:t xml:space="preserve">の需要の最小は58.66GWh/日、太陽光の最小は0.06GWh/日になるが、平均と標準偏差はほとんど変わらない（需要の平均は83.36GWh/日から83.38GWh/日）。この日を除いて日次回帰を推定し直すと、表5.2</w:t>
      </w:r>
      <w:r>
        <w:t xml:space="preserve"> </w:t>
      </w:r>
      <w:r>
        <w:rPr>
          <w:rFonts w:hint="eastAsia"/>
        </w:rPr>
        <w:t xml:space="preserve">の係数（主仕様と年月固定効果の仕様の、日平均価格・TB4h・日内標準偏差）の変化は最大0.019である。10%・5%・1%の判定が変わるのは1本（年月固定効果の仕様の、風力・冬の日内標準偏差。等重み余弦（EWC）による</w:t>
      </w:r>
      <w:r>
        <w:t xml:space="preserve"> p </w:t>
      </w:r>
      <w:r>
        <w:rPr>
          <w:rFonts w:hint="eastAsia"/>
        </w:rPr>
        <w:t xml:space="preserve">値は0.052から0.049）だけである。</w:t>
      </w:r>
    </w:p>
    <w:bookmarkEnd w:id="308"/>
    <w:bookmarkStart w:id="312" w:name="a.4-導入量の系列と設備利用率の計上時期"/>
    <w:p>
      <w:pPr>
        <w:pStyle w:val="Heading2"/>
      </w:pPr>
      <w:r>
        <w:t xml:space="preserve">A.4　</w:t>
      </w:r>
      <w:r>
        <w:rPr>
          <w:rFonts w:hint="eastAsia"/>
        </w:rPr>
        <w:t xml:space="preserve">導入量の系列と設備利用率の計上時期</w:t>
      </w:r>
    </w:p>
    <w:p>
      <w:pPr>
        <w:pStyle w:val="FirstParagraph"/>
      </w:pPr>
      <w:r>
        <w:rPr>
          <w:rFonts w:hint="eastAsia"/>
        </w:rPr>
        <w:t xml:space="preserve">導入量は、表B</w:t>
      </w:r>
      <w:r>
        <w:t xml:space="preserve"> </w:t>
      </w:r>
      <w:r>
        <w:rPr>
          <w:rFonts w:hint="eastAsia"/>
        </w:rPr>
        <w:t xml:space="preserve">のうち新規認定分と移行認定分の表の合計を、都道府県別に集計したものである。太陽光は10kW</w:t>
      </w:r>
      <w:r>
        <w:t xml:space="preserve"> </w:t>
      </w:r>
      <w:r>
        <w:rPr>
          <w:rFonts w:hint="eastAsia"/>
        </w:rPr>
        <w:t xml:space="preserve">未満と10kW</w:t>
      </w:r>
      <w:r>
        <w:t xml:space="preserve"> </w:t>
      </w:r>
      <w:r>
        <w:rPr>
          <w:rFonts w:hint="eastAsia"/>
        </w:rPr>
        <w:t xml:space="preserve">以上、風力は20kW</w:t>
      </w:r>
      <w:r>
        <w:t xml:space="preserve"> </w:t>
      </w:r>
      <w:r>
        <w:rPr>
          <w:rFonts w:hint="eastAsia"/>
        </w:rPr>
        <w:t xml:space="preserve">未満と20kW</w:t>
      </w:r>
      <w:r>
        <w:t xml:space="preserve"> </w:t>
      </w:r>
      <w:r>
        <w:rPr>
          <w:rFonts w:hint="eastAsia"/>
        </w:rPr>
        <w:t xml:space="preserve">以上の合計である。2014年6月〜2025年12月の47四半期のうち44四半期分を用い、市町村別の表を欠く2016年9月・2019年6月・2021年3月の3四半期は線形補間した。2021年3月末については、都道府県別の表の北海道の値が、補間値と比べて風力で−0.1%、太陽光で+0.4%しか違わないことを確かめた。2025年12月より後は直近の値で延長した。</w:t>
      </w:r>
    </w:p>
    <w:p>
      <w:pPr>
        <w:pStyle w:val="BodyText"/>
      </w:pPr>
      <w:r>
        <w:rPr>
          <w:rFonts w:hint="eastAsia"/>
        </w:rPr>
        <w:t xml:space="preserve">北海道の風力の年度平均の</w:t>
      </w:r>
      <w:r>
        <w:t xml:space="preserve"> </w:t>
      </w:r>
      <w:r>
        <w:rPr>
          <w:rFonts w:hint="eastAsia"/>
        </w:rPr>
        <w:t xml:space="preserve">cf（制御前、時間平均）は、FY2016〜25</w:t>
      </w:r>
      <w:r>
        <w:t xml:space="preserve"> </w:t>
      </w:r>
      <w:r>
        <w:rPr>
          <w:rFonts w:hint="eastAsia"/>
        </w:rPr>
        <w:t xml:space="preserve">の順に26.2・29.0・27.0・27.9・27.0・26.7・26.5・30.4・25.9・25.0%であり、FY2023</w:t>
      </w:r>
      <w:r>
        <w:t xml:space="preserve"> </w:t>
      </w:r>
      <w:r>
        <w:rPr>
          <w:rFonts w:hint="eastAsia"/>
        </w:rPr>
        <w:t xml:space="preserve">だけが高い。表B</w:t>
      </w:r>
      <w:r>
        <w:t xml:space="preserve"> </w:t>
      </w:r>
      <w:r>
        <w:rPr>
          <w:rFonts w:hint="eastAsia"/>
        </w:rPr>
        <w:t xml:space="preserve">は認定設備を運転開始の時点で計上し、非</w:t>
      </w:r>
      <w:r>
        <w:t xml:space="preserve"> FIT </w:t>
      </w:r>
      <w:r>
        <w:rPr>
          <w:rFonts w:hint="eastAsia"/>
        </w:rPr>
        <w:t xml:space="preserve">の設備を含まないので、試運転中の発電などで出力が容量に先行する月がある。2023年12月には制御前の風力出力の最大（887MW、抑制0）が表B</w:t>
      </w:r>
      <w:r>
        <w:t xml:space="preserve"> </w:t>
      </w:r>
      <w:r>
        <w:rPr>
          <w:rFonts w:hint="eastAsia"/>
        </w:rPr>
        <w:t xml:space="preserve">の容量（86.4万kW）を上回り、時間単位の</w:t>
      </w:r>
      <w:r>
        <w:t xml:space="preserve"> cf </w:t>
      </w:r>
      <w:r>
        <w:rPr>
          <w:rFonts w:hint="eastAsia"/>
        </w:rPr>
        <w:t xml:space="preserve">が1を超える時間が4時間ある。2023年4月・11月・12月と2024年1月の月平均の</w:t>
      </w:r>
      <w:r>
        <w:t xml:space="preserve"> cf </w:t>
      </w:r>
      <w:r>
        <w:rPr>
          <w:rFonts w:hint="eastAsia"/>
        </w:rPr>
        <w:t xml:space="preserve">は、同じ月の他の年の中央値の1.2〜1.5倍である（図A.1）。</w:t>
      </w:r>
    </w:p>
    <w:p>
      <w:pPr>
        <w:pStyle w:val="BodyText"/>
      </w:pPr>
      <w:r>
        <w:rPr>
          <w:rFonts w:hint="eastAsia"/>
        </w:rPr>
        <w:t xml:space="preserve">この計上時期のずれに対して、3通りの補正を作った。主の補正は、容量の計上を次の四半期末の値に前倒しするもので（2023年4〜5月は82.9万kW、2023年11月〜2024年2月は126.5万kW）、FY2023</w:t>
      </w:r>
      <w:r>
        <w:t xml:space="preserve"> の cf </w:t>
      </w:r>
      <w:r>
        <w:rPr>
          <w:rFonts w:hint="eastAsia"/>
        </w:rPr>
        <w:t xml:space="preserve">は26.2%になる。代替の補正のうち、同じ月の他の年の</w:t>
      </w:r>
      <w:r>
        <w:t xml:space="preserve"> cf </w:t>
      </w:r>
      <w:r>
        <w:rPr>
          <w:rFonts w:hint="eastAsia"/>
        </w:rPr>
        <w:t xml:space="preserve">の中央値から容量を逆算する方法では27.0%、月内の最大出力から容量に下限を置く最小の補正では28.4%になる。真の運転中の容量は観測できないので、3通りの補正は幅を示すにとどまる。本研究は補正前の系列を用い、補正した系列による結果を感応度として示す（付録C.1.4・C.3.3・C.3.4・C.3.6・C.3.7・C.5.2、表10.1、表C.51）。補正すると、現行の風力導入量（FY2023〜25</w:t>
      </w:r>
      <w:r>
        <w:t xml:space="preserve"> </w:t>
      </w:r>
      <w:r>
        <w:rPr>
          <w:rFonts w:hint="eastAsia"/>
        </w:rPr>
        <w:t xml:space="preserve">の平均）は121万kW</w:t>
      </w:r>
      <w:r>
        <w:t xml:space="preserve"> </w:t>
      </w:r>
      <w:r>
        <w:rPr>
          <w:rFonts w:hint="eastAsia"/>
        </w:rPr>
        <w:t xml:space="preserve">から125万kW</w:t>
      </w:r>
      <w:r>
        <w:t xml:space="preserve"> </w:t>
      </w:r>
      <w:r>
        <w:rPr>
          <w:rFonts w:hint="eastAsia"/>
        </w:rPr>
        <w:t xml:space="preserve">になる。同じ倍率で比べた風力シナリオの完全予見粗利と限界参入者の収益</w:t>
      </w:r>
      <w:r>
        <w:t xml:space="preserve"> </w:t>
      </w:r>
      <m:oMath>
        <m:r>
          <m:t>π</m:t>
        </m:r>
        <m:r>
          <m:rPr>
            <m:sty m:val="p"/>
          </m:rPr>
          <m:t>(</m:t>
        </m:r>
        <m:r>
          <m:t>0</m:t>
        </m:r>
        <m:r>
          <m:rPr>
            <m:sty m:val="p"/>
          </m:rPr>
          <m:t>)</m:t>
        </m:r>
      </m:oMath>
      <w:r>
        <w:t xml:space="preserve"> </w:t>
      </w:r>
      <w:r>
        <w:rPr>
          <w:rFonts w:hint="eastAsia"/>
        </w:rPr>
        <w:t xml:space="preserve">の変化は1%未満であり、下限張り付き時間は風力3倍で数%減る。</w:t>
      </w:r>
    </w:p>
    <w:p>
      <w:pPr>
        <w:pStyle w:val="CaptionedFigure"/>
      </w:pPr>
      <w:r>
        <w:drawing>
          <wp:inline>
            <wp:extent cx="5399999" cy="6196721"/>
            <wp:effectExtent b="0" l="0" r="0" t="0"/>
            <wp:docPr descr="図A.1　北海道の風力の容量の計上時期と補正" title="" id="310" name="Picture"/>
            <a:graphic>
              <a:graphicData uri="http://schemas.openxmlformats.org/drawingml/2006/picture">
                <pic:pic>
                  <pic:nvPicPr>
                    <pic:cNvPr descr="../figures/hokkaido/cf_correction.png" id="311" name="Picture"/>
                    <pic:cNvPicPr>
                      <a:picLocks noChangeArrowheads="1" noChangeAspect="1"/>
                    </pic:cNvPicPr>
                  </pic:nvPicPr>
                  <pic:blipFill>
                    <a:blip r:embed="rId309"/>
                    <a:stretch>
                      <a:fillRect/>
                    </a:stretch>
                  </pic:blipFill>
                  <pic:spPr bwMode="auto">
                    <a:xfrm>
                      <a:off x="0" y="0"/>
                      <a:ext cx="5399999" cy="6196721"/>
                    </a:xfrm>
                    <a:prstGeom prst="rect">
                      <a:avLst/>
                    </a:prstGeom>
                    <a:noFill/>
                    <a:ln w="9525">
                      <a:noFill/>
                      <a:headEnd/>
                      <a:tailEnd/>
                    </a:ln>
                  </pic:spPr>
                </pic:pic>
              </a:graphicData>
            </a:graphic>
          </wp:inline>
        </w:drawing>
      </w:r>
    </w:p>
    <w:p>
      <w:pPr>
        <w:pStyle w:val="ImageCaption"/>
      </w:pPr>
      <w:r>
        <w:rPr>
          <w:rFonts w:hint="eastAsia"/>
        </w:rPr>
        <w:t xml:space="preserve">図A.1</w:t>
      </w:r>
      <w:r>
        <w:t xml:space="preserve">　</w:t>
      </w:r>
      <w:r>
        <w:rPr>
          <w:rFonts w:hint="eastAsia"/>
        </w:rPr>
        <w:t xml:space="preserve">北海道の風力の容量の計上時期と補正</w:t>
      </w:r>
    </w:p>
    <w:p>
      <w:pPr>
        <w:pStyle w:val="TableNote"/>
      </w:pPr>
      <w:r>
        <w:rPr>
          <w:rFonts w:hint="eastAsia"/>
        </w:rPr>
        <w:t xml:space="preserve">注）(a)</w:t>
      </w:r>
      <w:r>
        <w:t xml:space="preserve"> </w:t>
      </w:r>
      <w:r>
        <w:rPr>
          <w:rFonts w:hint="eastAsia"/>
        </w:rPr>
        <w:t xml:space="preserve">は風力の月平均の</w:t>
      </w:r>
      <w:r>
        <w:t xml:space="preserve"> </w:t>
      </w:r>
      <w:r>
        <w:rPr>
          <w:rFonts w:hint="eastAsia"/>
        </w:rPr>
        <w:t xml:space="preserve">cf（制御前出力÷容量）。「主（前倒し）」は容量の計上を次の四半期末の値に前倒しした補正、「代替1（実効容量）」は同じ月の他の年の中央値から容量を逆算した補正である。(b)</w:t>
      </w:r>
      <w:r>
        <w:t xml:space="preserve"> </w:t>
      </w:r>
      <w:r>
        <w:rPr>
          <w:rFonts w:hint="eastAsia"/>
        </w:rPr>
        <w:t xml:space="preserve">は表B</w:t>
      </w:r>
      <w:r>
        <w:t xml:space="preserve"> </w:t>
      </w:r>
      <w:r>
        <w:rPr>
          <w:rFonts w:hint="eastAsia"/>
        </w:rPr>
        <w:t xml:space="preserve">の容量（四半期末の値の月次補間）、各補正の容量、月内の最大時間出力（制御前）。「代替2（最大出力÷0.83）」は月内の最大出力から容量に下限を置く最小の補正で、0.83</w:t>
      </w:r>
      <w:r>
        <w:t xml:space="preserve"> </w:t>
      </w:r>
      <w:r>
        <w:rPr>
          <w:rFonts w:hint="eastAsia"/>
        </w:rPr>
        <w:t xml:space="preserve">は2023年3月〜2024年3月以外の全月のピークの</w:t>
      </w:r>
      <w:r>
        <w:t xml:space="preserve"> cf </w:t>
      </w:r>
      <w:r>
        <w:rPr>
          <w:rFonts w:hint="eastAsia"/>
        </w:rPr>
        <w:t xml:space="preserve">の最大値。網掛けは、同じ月の他の年の分布から除いた2023年3月〜2024年3月。</w:t>
      </w:r>
    </w:p>
    <w:p>
      <w:pPr>
        <w:pStyle w:val="TableNote"/>
      </w:pPr>
      <w:r>
        <w:rPr>
          <w:rFonts w:hint="eastAsia"/>
        </w:rPr>
        <w:t xml:space="preserve">出所）資源エネルギー庁『固定価格買取制度</w:t>
      </w:r>
      <w:r>
        <w:t xml:space="preserve"> </w:t>
      </w:r>
      <w:r>
        <w:rPr>
          <w:rFonts w:hint="eastAsia"/>
        </w:rPr>
        <w:t xml:space="preserve">情報公表用ウェブサイト』の表B、北海道電力ネットワーク『エリア需給実績』より筆者作成。</w:t>
      </w:r>
    </w:p>
    <w:bookmarkEnd w:id="312"/>
    <w:bookmarkStart w:id="313" w:name="a.5-外部情報との突合"/>
    <w:p>
      <w:pPr>
        <w:pStyle w:val="Heading2"/>
      </w:pPr>
      <w:r>
        <w:t xml:space="preserve">A.5　</w:t>
      </w:r>
      <w:r>
        <w:rPr>
          <w:rFonts w:hint="eastAsia"/>
        </w:rPr>
        <w:t xml:space="preserve">外部情報との突合</w:t>
      </w:r>
    </w:p>
    <w:p>
      <w:pPr>
        <w:pStyle w:val="FirstParagraph"/>
      </w:pPr>
      <w:r>
        <w:rPr>
          <w:rFonts w:hint="eastAsia"/>
        </w:rPr>
        <w:t xml:space="preserve">表B</w:t>
      </w:r>
      <w:r>
        <w:t xml:space="preserve"> </w:t>
      </w:r>
      <w:r>
        <w:rPr>
          <w:rFonts w:hint="eastAsia"/>
        </w:rPr>
        <w:t xml:space="preserve">の北海道の風力の導入量は、2016年末32.0万kW、2023年末86.4万kW、2024年末130.0万kW、2025年末141.3万kW</w:t>
      </w:r>
      <w:r>
        <w:t xml:space="preserve"> </w:t>
      </w:r>
      <w:r>
        <w:rPr>
          <w:rFonts w:hint="eastAsia"/>
        </w:rPr>
        <w:t xml:space="preserve">である。日本風力発電協会の年末導入量（36万kW、83万kW、128万kW、約128万kW。公表グラフからの読み取り）に対して、差は−11%、+4%、+2%、+10%である。日本風力発電協会は商用運転の設備を数え、表B</w:t>
      </w:r>
      <w:r>
        <w:t xml:space="preserve"> </w:t>
      </w:r>
      <w:r>
        <w:rPr>
          <w:rFonts w:hint="eastAsia"/>
        </w:rPr>
        <w:t xml:space="preserve">は認定設備を運転開始の時点で計上するので、差は計上の基準と時期の違いを反映していると考えられる（個別の案件では照合していない）。太陽光は2025年3月末に234.3万kW</w:t>
      </w:r>
      <w:r>
        <w:t xml:space="preserve"> </w:t>
      </w:r>
      <w:r>
        <w:rPr>
          <w:rFonts w:hint="eastAsia"/>
        </w:rPr>
        <w:t xml:space="preserve">で、北海道電力ネットワーク（2026）が公表する接続済みの容量（236万kW）との差は−0.7%である。</w:t>
      </w:r>
    </w:p>
    <w:bookmarkEnd w:id="313"/>
    <w:bookmarkStart w:id="314" w:name="a.6-長期脱炭素電源オークションの落札蓄電池の所在エリア"/>
    <w:p>
      <w:pPr>
        <w:pStyle w:val="Heading2"/>
      </w:pPr>
      <w:r>
        <w:t xml:space="preserve">A.6　</w:t>
      </w:r>
      <w:r>
        <w:rPr>
          <w:rFonts w:hint="eastAsia"/>
        </w:rPr>
        <w:t xml:space="preserve">長期脱炭素電源オークションの落札蓄電池の所在エリア</w:t>
      </w:r>
    </w:p>
    <w:p>
      <w:pPr>
        <w:pStyle w:val="FirstParagraph"/>
      </w:pPr>
      <w:r>
        <w:rPr>
          <w:rFonts w:hint="eastAsia"/>
        </w:rPr>
        <w:t xml:space="preserve">約定結果の別紙（落札電源一覧）は電源の名称と所在地を示すが、エリアの列をもたない。そこで、所在地の地名でエリアが決まる電源を固定し、地名のない電源（第1回1件、第2回15件、第3回13件）を9エリアに総当たりで割り当て、約定結果の本文にあるエリア別の落札容量（0.1万kW</w:t>
      </w:r>
      <w:r>
        <w:t xml:space="preserve"> </w:t>
      </w:r>
      <w:r>
        <w:rPr>
          <w:rFonts w:hint="eastAsia"/>
        </w:rPr>
        <w:t xml:space="preserve">単位、±0.05万kW）に一致する割当をすべて列挙した。同じ地名が複数の道県にある電源は所在地の表記で判定した。例えば第1回の森町睦実２蓄電所（56,351kW）は静岡県周智郡森町にあるので、中部エリアとした。一致する割当は、第1回が1通り、第2回が12通り、第3回が2通りである。別紙の合計は本文の全国の落札容量（976.6万kW、634.5万kW、729.9万kW）と、蓄電池の合計は本文の値（109.2万kW、137.0万kW、125.1万kW）と一致する。各電源のエリアの根拠は、別紙の地名で確定するもの、案件名に含まれるエリア名・県名によるもの、本文との照合のすべての解で一意に決まるもの、複数の候補が残るものの4段階に分けて記録した（付録E.4）。</w:t>
      </w:r>
    </w:p>
    <w:p>
      <w:pPr>
        <w:pStyle w:val="BodyText"/>
      </w:pPr>
      <w:r>
        <w:rPr>
          <w:rFonts w:hint="eastAsia"/>
        </w:rPr>
        <w:t xml:space="preserve">推定した北海道の落札蓄電池は674,249kW（約67.4万kW）である。内訳は第1回32.5万kW（唯一の解）、第2回20.9万kW（12通りの解のいずれでも同じ）、第3回14.0万kW（2通りの解で同じ）であり、このうち6時間級は23.3万kW</w:t>
      </w:r>
      <w:r>
        <w:t xml:space="preserve"> </w:t>
      </w:r>
      <w:r>
        <w:rPr>
          <w:rFonts w:hint="eastAsia"/>
        </w:rPr>
        <w:t xml:space="preserve">である。県名・市町村名で所在が決まる蓄電池を2件以上ほかのエリアへ動かす別解を許すと、第3回の北海道分は3.4万kW、合計は56.8万kW</w:t>
      </w:r>
      <w:r>
        <w:t xml:space="preserve"> </w:t>
      </w:r>
      <w:r>
        <w:rPr>
          <w:rFonts w:hint="eastAsia"/>
        </w:rPr>
        <w:t xml:space="preserve">になる（以下、第3回の別解）。</w:t>
      </w:r>
    </w:p>
    <w:p>
      <w:pPr>
        <w:pStyle w:val="BodyText"/>
      </w:pPr>
      <w:r>
        <w:rPr>
          <w:rFonts w:hint="eastAsia"/>
        </w:rPr>
        <w:t xml:space="preserve">これらの値は、外生の契約型容量</w:t>
      </w:r>
      <w:r>
        <w:t xml:space="preserve"> </w:t>
      </w:r>
      <m:oMath>
        <m:sSub>
          <m:e>
            <m:r>
              <m:t>K</m:t>
            </m:r>
          </m:e>
          <m:sub>
            <m:r>
              <m:rPr>
                <m:sty m:val="p"/>
              </m:rPr>
              <m:t>e</m:t>
            </m:r>
            <m:r>
              <m:rPr>
                <m:sty m:val="p"/>
              </m:rPr>
              <m:t>x</m:t>
            </m:r>
            <m:r>
              <m:rPr>
                <m:sty m:val="p"/>
              </m:rPr>
              <m:t>o</m:t>
            </m:r>
          </m:sub>
        </m:sSub>
      </m:oMath>
      <w:r>
        <w:t xml:space="preserve"> </w:t>
      </w:r>
      <w:r>
        <w:rPr>
          <w:rFonts w:hint="eastAsia"/>
        </w:rPr>
        <w:t xml:space="preserve">の感応度（7.6節・8.3.2項）に用いる。接続済みの約20万kW</w:t>
      </w:r>
      <w:r>
        <w:t xml:space="preserve"> </w:t>
      </w:r>
      <w:r>
        <w:rPr>
          <w:rFonts w:hint="eastAsia"/>
        </w:rPr>
        <w:t xml:space="preserve">に北海道の落札分を加えると87.4万kW</w:t>
      </w:r>
      <w:r>
        <w:t xml:space="preserve"> </w:t>
      </w:r>
      <w:r>
        <w:rPr>
          <w:rFonts w:hint="eastAsia"/>
        </w:rPr>
        <w:t xml:space="preserve">になり、第3回の別解では76.8万kW、6時間級の</w:t>
      </w:r>
      <w:r>
        <w:t xml:space="preserve"> kWh </w:t>
      </w:r>
      <w:r>
        <w:rPr>
          <w:rFonts w:hint="eastAsia"/>
        </w:rPr>
        <w:t xml:space="preserve">を4時間で割ると99.1万kW</w:t>
      </w:r>
      <w:r>
        <w:t xml:space="preserve"> </w:t>
      </w:r>
      <w:r>
        <w:rPr>
          <w:rFonts w:hint="eastAsia"/>
        </w:rPr>
        <w:t xml:space="preserve">になる。第8章の乖離の勘定では、LTDA</w:t>
      </w:r>
      <w:r>
        <w:t xml:space="preserve"> </w:t>
      </w:r>
      <w:r>
        <w:rPr>
          <w:rFonts w:hint="eastAsia"/>
        </w:rPr>
        <w:t xml:space="preserve">を落札容量（契約容量。期待容量以下）で数え、設備容量に換算した値を上限側として併記する（付録B.5.1）。</w:t>
      </w:r>
    </w:p>
    <w:bookmarkEnd w:id="314"/>
    <w:bookmarkStart w:id="315" w:name="a.7-変数と区分の定義"/>
    <w:p>
      <w:pPr>
        <w:pStyle w:val="Heading2"/>
      </w:pPr>
      <w:r>
        <w:t xml:space="preserve">A.7　</w:t>
      </w:r>
      <w:r>
        <w:rPr>
          <w:rFonts w:hint="eastAsia"/>
        </w:rPr>
        <w:t xml:space="preserve">変数と区分の定義</w:t>
      </w:r>
    </w:p>
    <w:p>
      <w:pPr>
        <w:pStyle w:val="FirstParagraph"/>
      </w:pPr>
      <w:r>
        <w:rPr>
          <w:rFonts w:hint="eastAsia"/>
        </w:rPr>
        <w:t xml:space="preserve">表A.2〜表A.9</w:t>
      </w:r>
      <w:r>
        <w:t xml:space="preserve"> </w:t>
      </w:r>
      <w:r>
        <w:rPr>
          <w:rFonts w:hint="eastAsia"/>
        </w:rPr>
        <w:t xml:space="preserve">は、本論文で用いる変数・区分・指標の定義を、本文で初めて用いる章の順にまとめたものである。定義の式がある項目にはその式番号を、手順の詳細がある項目には付録の節を示す。数値は本文の主の基準（実績整合ケース、割引率6%</w:t>
      </w:r>
      <w:r>
        <w:t xml:space="preserve"> </w:t>
      </w:r>
      <w:r>
        <w:rPr>
          <w:rFonts w:hint="eastAsia"/>
        </w:rPr>
        <w:t xml:space="preserve">など）による値である。</w:t>
      </w:r>
    </w:p>
    <w:p>
      <w:pPr>
        <w:pStyle w:val="TableCaption"/>
      </w:pPr>
      <w:r>
        <w:rPr>
          <w:rFonts w:hint="eastAsia"/>
        </w:rPr>
        <w:t xml:space="preserve">表A.2</w:t>
      </w:r>
      <w:r>
        <w:t xml:space="preserve">　</w:t>
      </w:r>
      <w:r>
        <w:rPr>
          <w:rFonts w:hint="eastAsia"/>
        </w:rPr>
        <w:t xml:space="preserve">データ・区分・価格指標の定義（第3〜5章）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2　データ・区分・価格指標の定義（第3〜5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年度（FY）</w:t>
            </w:r>
          </w:p>
        </w:tc>
        <w:tc>
          <w:tcPr/>
          <w:p>
            <w:pPr>
              <w:pStyle w:val="Compact"/>
            </w:pPr>
            <w:r>
              <w:rPr>
                <w:rFonts w:hint="eastAsia"/>
                <w:sz w:val="18"/>
              </w:rPr>
              <w:t xml:space="preserve">4月から翌年3月まで</w:t>
            </w:r>
          </w:p>
        </w:tc>
      </w:tr>
      <w:tr>
        <w:tc>
          <w:tcPr/>
          <w:p>
            <w:pPr>
              <w:pStyle w:val="Compact"/>
            </w:pPr>
            <w:r>
              <w:rPr>
                <w:rFonts w:hint="eastAsia"/>
                <w:sz w:val="18"/>
              </w:rPr>
              <w:t xml:space="preserve">季節（報告用）</w:t>
            </w:r>
          </w:p>
        </w:tc>
        <w:tc>
          <w:tcPr/>
          <w:p>
            <w:pPr>
              <w:pStyle w:val="Compact"/>
            </w:pPr>
            <w:r>
              <w:rPr>
                <w:rFonts w:hint="eastAsia"/>
                <w:sz w:val="18"/>
              </w:rPr>
              <w:t xml:space="preserve">夏は7〜9月、冬は12〜2月、不需要期は3〜6月と10〜11月</w:t>
            </w:r>
          </w:p>
        </w:tc>
      </w:tr>
      <w:tr>
        <w:tc>
          <w:tcPr/>
          <w:p>
            <w:pPr>
              <w:pStyle w:val="Compact"/>
            </w:pPr>
            <w:r>
              <w:rPr>
                <w:rFonts w:hint="eastAsia"/>
                <w:sz w:val="18"/>
              </w:rPr>
              <w:t xml:space="preserve">暦月の4季節</w:t>
            </w:r>
          </w:p>
        </w:tc>
        <w:tc>
          <w:tcPr/>
          <w:p>
            <w:pPr>
              <w:pStyle w:val="Compact"/>
            </w:pPr>
            <w:r>
              <w:rPr>
                <w:rFonts w:hint="eastAsia"/>
                <w:sz w:val="18"/>
              </w:rPr>
              <w:t xml:space="preserve">報告用の不需要期を、春（3〜6月）と秋（10〜11月）に分けた区分。夏と冬は報告用と同じ</w:t>
            </w:r>
          </w:p>
        </w:tc>
      </w:tr>
      <w:tr>
        <w:tc>
          <w:tcPr/>
          <w:p>
            <w:pPr>
              <w:pStyle w:val="Compact"/>
            </w:pPr>
            <w:r>
              <w:rPr>
                <w:rFonts w:hint="eastAsia"/>
                <w:sz w:val="18"/>
              </w:rPr>
              <w:t xml:space="preserve">季節（価格過程）</w:t>
            </w:r>
          </w:p>
        </w:tc>
        <w:tc>
          <w:tcPr/>
          <w:p>
            <w:pPr>
              <w:pStyle w:val="Compact"/>
            </w:pPr>
            <w:r>
              <w:rPr>
                <w:rFonts w:hint="eastAsia"/>
                <w:sz w:val="18"/>
              </w:rPr>
              <w:t xml:space="preserve">気象学的な4区分（12〜2月、3〜5月、6〜8月、9〜11月）。報告用の区分とは別に、第7章の価格過程の推定にだけ用いる</w:t>
            </w:r>
          </w:p>
        </w:tc>
      </w:tr>
      <w:tr>
        <w:tc>
          <w:tcPr/>
          <w:p>
            <w:pPr>
              <w:pStyle w:val="Compact"/>
            </w:pPr>
            <w:r>
              <w:rPr>
                <w:rFonts w:hint="eastAsia"/>
                <w:sz w:val="18"/>
              </w:rPr>
              <w:t xml:space="preserve">制御前出力</w:t>
            </w:r>
          </w:p>
        </w:tc>
        <w:tc>
          <w:tcPr/>
          <w:p>
            <w:pPr>
              <w:pStyle w:val="Compact"/>
            </w:pPr>
            <w:r>
              <w:rPr>
                <w:rFonts w:hint="eastAsia"/>
                <w:sz w:val="18"/>
              </w:rPr>
              <w:t xml:space="preserve">発電実績に出力制御量を足した出力</w:t>
            </w:r>
          </w:p>
        </w:tc>
      </w:tr>
      <w:tr>
        <w:tc>
          <w:tcPr/>
          <w:p>
            <w:pPr>
              <w:pStyle w:val="Compact"/>
            </w:pPr>
            <w:r>
              <w:rPr>
                <w:rFonts w:hint="eastAsia"/>
                <w:sz w:val="18"/>
              </w:rPr>
              <w:t xml:space="preserve">設備利用率（cf）</w:t>
            </w:r>
          </w:p>
        </w:tc>
        <w:tc>
          <w:tcPr/>
          <w:p>
            <w:pPr>
              <w:pStyle w:val="Compact"/>
            </w:pPr>
            <w:r>
              <w:rPr>
                <w:rFonts w:hint="eastAsia"/>
                <w:sz w:val="18"/>
              </w:rPr>
              <w:t xml:space="preserve">制御前出力を導入量で割った値。導入量は固定価格買取制度</w:t>
            </w:r>
            <w:r>
              <w:rPr>
                <w:sz w:val="18"/>
              </w:rPr>
              <w:t xml:space="preserve"> </w:t>
            </w:r>
            <w:r>
              <w:rPr>
                <w:rFonts w:hint="eastAsia"/>
                <w:sz w:val="18"/>
              </w:rPr>
              <w:t xml:space="preserve">情報公表用ウェブサイトの表B</w:t>
            </w:r>
            <w:r>
              <w:rPr>
                <w:sz w:val="18"/>
              </w:rPr>
              <w:t xml:space="preserve"> </w:t>
            </w:r>
            <w:r>
              <w:rPr>
                <w:rFonts w:hint="eastAsia"/>
                <w:sz w:val="18"/>
              </w:rPr>
              <w:t xml:space="preserve">の認定容量を月次に補間したもので、非</w:t>
            </w:r>
            <w:r>
              <w:rPr>
                <w:sz w:val="18"/>
              </w:rPr>
              <w:t xml:space="preserve"> FIT </w:t>
            </w:r>
            <w:r>
              <w:rPr>
                <w:rFonts w:hint="eastAsia"/>
                <w:sz w:val="18"/>
              </w:rPr>
              <w:t xml:space="preserve">の設備を含まない。計上時期を補正した系列は感応度にだけ用いる（付録A.4）</w:t>
            </w:r>
          </w:p>
        </w:tc>
      </w:tr>
      <w:tr>
        <w:tc>
          <w:tcPr/>
          <w:p>
            <w:pPr>
              <w:pStyle w:val="Compact"/>
            </w:pPr>
            <w:r>
              <w:rPr>
                <w:rFonts w:hint="eastAsia"/>
                <w:sz w:val="18"/>
              </w:rPr>
              <w:t xml:space="preserve">現行の風力導入量と風力の倍率</w:t>
            </w:r>
          </w:p>
        </w:tc>
        <w:tc>
          <w:tcPr/>
          <w:p>
            <w:pPr>
              <w:pStyle w:val="Compact"/>
            </w:pPr>
            <w:r>
              <w:rPr>
                <w:rFonts w:hint="eastAsia"/>
                <w:sz w:val="18"/>
              </w:rPr>
              <w:t xml:space="preserve">現行の風力導入量は、価格過程の推定期間（FY2023〜25）の北海道の風力の認定容量の平均121万kW（計上時期を補正すると125万kW）。風力のシナリオはこれに倍率（0.5〜3倍）を掛け、設備利用率の時間の動きを保ったまま出力を伸縮させる</w:t>
            </w:r>
          </w:p>
        </w:tc>
      </w:tr>
      <w:tr>
        <w:tc>
          <w:tcPr/>
          <w:p>
            <w:pPr>
              <w:pStyle w:val="Compact"/>
            </w:pPr>
            <w:r>
              <w:rPr>
                <w:rFonts w:hint="eastAsia"/>
                <w:sz w:val="18"/>
              </w:rPr>
              <w:t xml:space="preserve">純需要</w:t>
            </w:r>
          </w:p>
        </w:tc>
        <w:tc>
          <w:tcPr/>
          <w:p>
            <w:pPr>
              <w:pStyle w:val="Compact"/>
            </w:pPr>
            <w:r>
              <w:rPr>
                <w:rFonts w:hint="eastAsia"/>
                <w:sz w:val="18"/>
              </w:rPr>
              <w:t xml:space="preserve">需要から、制御前の太陽光、制御前の風力、原子力を引いた値</w:t>
            </w:r>
          </w:p>
        </w:tc>
      </w:tr>
      <w:tr>
        <w:tc>
          <w:tcPr/>
          <w:p>
            <w:pPr>
              <w:pStyle w:val="Compact"/>
            </w:pPr>
            <w:r>
              <w:rPr>
                <w:sz w:val="18"/>
              </w:rPr>
              <w:t xml:space="preserve">TB4h スプレッド</w:t>
            </w:r>
          </w:p>
        </w:tc>
        <w:tc>
          <w:tcPr/>
          <w:p>
            <w:pPr>
              <w:pStyle w:val="Compact"/>
            </w:pPr>
            <w:r>
              <w:rPr>
                <w:rFonts w:hint="eastAsia"/>
                <w:sz w:val="18"/>
              </w:rPr>
              <w:t xml:space="preserve">日内で価格の高い4時間の平均価格から、低い4時間の平均価格を引いた値（円/kWh）</w:t>
            </w:r>
          </w:p>
        </w:tc>
      </w:tr>
      <w:tr>
        <w:tc>
          <w:tcPr/>
          <w:p>
            <w:pPr>
              <w:pStyle w:val="Compact"/>
            </w:pPr>
            <w:r>
              <w:rPr>
                <w:rFonts w:hint="eastAsia"/>
                <w:sz w:val="18"/>
              </w:rPr>
              <w:t xml:space="preserve">上位4時間・下位4時間の平均価格</w:t>
            </w:r>
          </w:p>
        </w:tc>
        <w:tc>
          <w:tcPr/>
          <w:p>
            <w:pPr>
              <w:pStyle w:val="Compact"/>
            </w:pPr>
            <w:r>
              <w:rPr>
                <w:rFonts w:hint="eastAsia"/>
                <w:sz w:val="18"/>
              </w:rPr>
              <w:t xml:space="preserve">日内の最高・最安の4時間の平均価格（円/kWh）。効率調整後スプレッドは、0.85×上位4時間の平均価格−下位4時間の平均価格</w:t>
            </w:r>
          </w:p>
        </w:tc>
      </w:tr>
      <w:tr>
        <w:tc>
          <w:tcPr/>
          <w:p>
            <w:pPr>
              <w:pStyle w:val="Compact"/>
            </w:pPr>
            <w:r>
              <w:rPr>
                <w:rFonts w:hint="eastAsia"/>
                <w:sz w:val="18"/>
              </w:rPr>
              <w:t xml:space="preserve">下限価格</w:t>
            </w:r>
          </w:p>
        </w:tc>
        <w:tc>
          <w:tcPr/>
          <w:p>
            <w:pPr>
              <w:pStyle w:val="Compact"/>
            </w:pPr>
            <w:r>
              <w:rPr>
                <w:sz w:val="18"/>
              </w:rPr>
              <w:t xml:space="preserve">JEPX </w:t>
            </w:r>
            <w:r>
              <w:rPr>
                <w:rFonts w:hint="eastAsia"/>
                <w:sz w:val="18"/>
              </w:rPr>
              <w:t xml:space="preserve">スポットの約定価格の下限0.01円/kWh。約定価格を</w:t>
            </w:r>
            <w:r>
              <w:rPr>
                <w:sz w:val="18"/>
              </w:rPr>
              <w:t xml:space="preserve"> </w:t>
            </w:r>
            <m:oMath>
              <m:r>
                <m:rPr>
                  <m:sty m:val="p"/>
                </m:rPr>
                <m:t>max</m:t>
              </m:r>
              <m:r>
                <m:rPr>
                  <m:sty m:val="p"/>
                </m:rPr>
                <m:t>{</m:t>
              </m:r>
              <m:sSub>
                <m:e>
                  <m:acc>
                    <m:accPr>
                      <m:chr m:val="̃"/>
                    </m:accPr>
                    <m:e>
                      <m:r>
                        <m:t>p</m:t>
                      </m:r>
                    </m:e>
                  </m:acc>
                </m:e>
                <m:sub>
                  <m:r>
                    <m:t>t</m:t>
                  </m:r>
                </m:sub>
              </m:sSub>
              <m:r>
                <m:rPr>
                  <m:sty m:val="p"/>
                </m:rPr>
                <m:t>,</m:t>
              </m:r>
              <m:r>
                <m:t> </m:t>
              </m:r>
              <m:r>
                <m:t>0.01</m:t>
              </m:r>
              <m:r>
                <m:rPr>
                  <m:sty m:val="p"/>
                </m:rPr>
                <m:t>}</m:t>
              </m:r>
            </m:oMath>
            <w:r>
              <w:rPr>
                <w:rFonts w:hint="eastAsia"/>
                <w:sz w:val="18"/>
              </w:rPr>
              <w:t xml:space="preserve">（</w:t>
            </w:r>
            <m:oMath>
              <m:sSub>
                <m:e>
                  <m:acc>
                    <m:accPr>
                      <m:chr m:val="̃"/>
                    </m:accPr>
                    <m:e>
                      <m:r>
                        <m:t>p</m:t>
                      </m:r>
                    </m:e>
                  </m:acc>
                </m:e>
                <m:sub>
                  <m:r>
                    <m:t>t</m:t>
                  </m:r>
                </m:sub>
              </m:sSub>
            </m:oMath>
            <w:r>
              <w:rPr>
                <w:sz w:val="18"/>
              </w:rPr>
              <w:t xml:space="preserve"> </w:t>
            </w:r>
            <w:r>
              <w:rPr>
                <w:rFonts w:hint="eastAsia"/>
                <w:sz w:val="18"/>
              </w:rPr>
              <w:t xml:space="preserve">は潜在価格）と書けることを、下限での打ち切りという</w:t>
            </w:r>
          </w:p>
        </w:tc>
      </w:tr>
      <w:tr>
        <w:tc>
          <w:tcPr/>
          <w:p>
            <w:pPr>
              <w:pStyle w:val="Compact"/>
            </w:pPr>
            <w:r>
              <w:rPr>
                <w:rFonts w:hint="eastAsia"/>
                <w:sz w:val="18"/>
              </w:rPr>
              <w:t xml:space="preserve">下限張り付き</w:t>
            </w:r>
          </w:p>
        </w:tc>
        <w:tc>
          <w:tcPr/>
          <w:p>
            <w:pPr>
              <w:pStyle w:val="Compact"/>
            </w:pPr>
            <w:r>
              <w:rPr>
                <w:rFonts w:hint="eastAsia"/>
                <w:sz w:val="18"/>
              </w:rPr>
              <w:t xml:space="preserve">約定価格が下限価格に張り付いた（0.011円/kWh</w:t>
            </w:r>
            <w:r>
              <w:rPr>
                <w:sz w:val="18"/>
              </w:rPr>
              <w:t xml:space="preserve"> </w:t>
            </w:r>
            <w:r>
              <w:rPr>
                <w:rFonts w:hint="eastAsia"/>
                <w:sz w:val="18"/>
              </w:rPr>
              <w:t xml:space="preserve">以下の）30分コマまたは60分の時間。下限張り付き時間はその時間数</w:t>
            </w:r>
          </w:p>
        </w:tc>
      </w:tr>
      <w:tr>
        <w:tc>
          <w:tcPr/>
          <w:p>
            <w:pPr>
              <w:pStyle w:val="Compact"/>
            </w:pPr>
            <w:r>
              <w:rPr>
                <w:rFonts w:hint="eastAsia"/>
                <w:sz w:val="18"/>
              </w:rPr>
              <w:t xml:space="preserve">システムプライス比の高値・同価格・安値</w:t>
            </w:r>
          </w:p>
        </w:tc>
        <w:tc>
          <w:tcPr/>
          <w:p>
            <w:pPr>
              <w:pStyle w:val="Compact"/>
            </w:pPr>
            <w:r>
              <w:rPr>
                <w:rFonts w:hint="eastAsia"/>
                <w:sz w:val="18"/>
              </w:rPr>
              <w:t xml:space="preserve">北海道エリアプライスとシステムプライスの差が+0.01円/kWh</w:t>
            </w:r>
            <w:r>
              <w:rPr>
                <w:sz w:val="18"/>
              </w:rPr>
              <w:t xml:space="preserve"> </w:t>
            </w:r>
            <w:r>
              <w:rPr>
                <w:rFonts w:hint="eastAsia"/>
                <w:sz w:val="18"/>
              </w:rPr>
              <w:t xml:space="preserve">を超えるコマを高値、−0.01円/kWh</w:t>
            </w:r>
            <w:r>
              <w:rPr>
                <w:sz w:val="18"/>
              </w:rPr>
              <w:t xml:space="preserve"> </w:t>
            </w:r>
            <w:r>
              <w:rPr>
                <w:rFonts w:hint="eastAsia"/>
                <w:sz w:val="18"/>
              </w:rPr>
              <w:t xml:space="preserve">未満のコマを安値、±0.01円/kWh</w:t>
            </w:r>
            <w:r>
              <w:rPr>
                <w:sz w:val="18"/>
              </w:rPr>
              <w:t xml:space="preserve"> </w:t>
            </w:r>
            <w:r>
              <w:rPr>
                <w:rFonts w:hint="eastAsia"/>
                <w:sz w:val="18"/>
              </w:rPr>
              <w:t xml:space="preserve">以内のコマを同価格とする。システムプライスは全国の連系線の制約のない価格であり、本州の価格ではない。価格過程の分断混合仕様のレジームもこの定義による</w:t>
            </w:r>
          </w:p>
        </w:tc>
      </w:tr>
      <w:tr>
        <w:tc>
          <w:tcPr/>
          <w:p>
            <w:pPr>
              <w:pStyle w:val="Compact"/>
            </w:pPr>
            <w:r>
              <w:rPr>
                <w:rFonts w:hint="eastAsia"/>
                <w:sz w:val="18"/>
              </w:rPr>
              <w:t xml:space="preserve">北本連系線の分断</w:t>
            </w:r>
          </w:p>
        </w:tc>
        <w:tc>
          <w:tcPr/>
          <w:p>
            <w:pPr>
              <w:pStyle w:val="Compact"/>
            </w:pPr>
            <w:r>
              <w:rPr>
                <w:rFonts w:hint="eastAsia"/>
                <w:sz w:val="18"/>
              </w:rPr>
              <w:t xml:space="preserve">北海道と東北のエリアプライスの差が±0.01円/kWh</w:t>
            </w:r>
            <w:r>
              <w:rPr>
                <w:sz w:val="18"/>
              </w:rPr>
              <w:t xml:space="preserve"> </w:t>
            </w:r>
            <w:r>
              <w:rPr>
                <w:rFonts w:hint="eastAsia"/>
                <w:sz w:val="18"/>
              </w:rPr>
              <w:t xml:space="preserve">を超えるコマ。北海道＞東北と北海道＜東北に分ける。システムプライス比の高値・安値のうち北海道と東北が同じ価格のまま生じるものは、東北東京間の連系線や東西の周波数変換設備での分断（東日本側）による</w:t>
            </w:r>
          </w:p>
        </w:tc>
      </w:tr>
      <w:tr>
        <w:tc>
          <w:tcPr/>
          <w:p>
            <w:pPr>
              <w:pStyle w:val="Compact"/>
            </w:pPr>
            <w:r>
              <w:rPr>
                <w:rFonts w:hint="eastAsia"/>
                <w:sz w:val="18"/>
              </w:rPr>
              <w:t xml:space="preserve">帯域分解</w:t>
            </w:r>
          </w:p>
        </w:tc>
        <w:tc>
          <w:tcPr/>
          <w:p>
            <w:pPr>
              <w:pStyle w:val="Compact"/>
            </w:pPr>
            <w:r>
              <w:rPr>
                <w:rFonts w:hint="eastAsia"/>
                <w:sz w:val="18"/>
              </w:rPr>
              <w:t xml:space="preserve">移動平均のカスケード（式(5.1)）。6時間未満、6〜24時間、1〜7日、7日超の4成分で、成分は直交しない。主に設備利用率の系列に当てる（発電量の系列では導入量の趨勢が7日超の帯域に入る）</w:t>
            </w:r>
          </w:p>
        </w:tc>
      </w:tr>
    </w:tbl>
    <w:p>
      <w:pPr>
        <w:pStyle w:val="TableNote"/>
      </w:pPr>
      <w:r>
        <w:rPr>
          <w:rFonts w:hint="eastAsia"/>
        </w:rPr>
        <w:t xml:space="preserve">出所）筆者作成。</w:t>
      </w:r>
    </w:p>
    <w:p>
      <w:pPr>
        <w:pStyle w:val="TableCaption"/>
      </w:pPr>
      <w:r>
        <w:rPr>
          <w:rFonts w:hint="eastAsia"/>
        </w:rPr>
        <w:t xml:space="preserve">表A.3</w:t>
      </w:r>
      <w:r>
        <w:t xml:space="preserve">　</w:t>
      </w:r>
      <w:r>
        <w:rPr>
          <w:rFonts w:hint="eastAsia"/>
        </w:rPr>
        <w:t xml:space="preserve">推論と価格カーブの分解の定義（第5章）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3　推論と価格カーブの分解の定義（第5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sz w:val="18"/>
              </w:rPr>
              <w:t xml:space="preserve">EWC </w:t>
            </w:r>
            <w:r>
              <w:rPr>
                <w:rFonts w:hint="eastAsia"/>
                <w:sz w:val="18"/>
              </w:rPr>
              <w:t xml:space="preserve">検定</w:t>
            </w:r>
          </w:p>
        </w:tc>
        <w:tc>
          <w:tcPr/>
          <w:p>
            <w:pPr>
              <w:pStyle w:val="Compact"/>
            </w:pPr>
            <w:r>
              <w:rPr>
                <w:sz w:val="18"/>
              </w:rPr>
              <w:t xml:space="preserve">Lazarus et </w:t>
            </w:r>
            <w:r>
              <w:rPr>
                <w:rFonts w:hint="eastAsia"/>
                <w:sz w:val="18"/>
              </w:rPr>
              <w:t xml:space="preserve">al.（2018）の等重み余弦推定量による検定。係数の影響関数を暦日の第II種離散余弦</w:t>
            </w:r>
            <w:r>
              <w:rPr>
                <w:sz w:val="18"/>
              </w:rPr>
              <w:t xml:space="preserve"> </w:t>
            </w:r>
            <m:oMath>
              <m:r>
                <m:t>ν</m:t>
              </m:r>
              <m:r>
                <m:rPr>
                  <m:sty m:val="p"/>
                </m:rPr>
                <m:t>=</m:t>
              </m:r>
              <m:r>
                <m:rPr>
                  <m:sty m:val="p"/>
                </m:rPr>
                <m:t>⌊</m:t>
              </m:r>
              <m:r>
                <m:t>0.4</m:t>
              </m:r>
              <m:sSup>
                <m:e>
                  <m:r>
                    <m:t>T</m:t>
                  </m:r>
                </m:e>
                <m:sup>
                  <m:r>
                    <m:t>2</m:t>
                  </m:r>
                  <m:r>
                    <m:rPr>
                      <m:sty m:val="p"/>
                    </m:rPr>
                    <m:t>/</m:t>
                  </m:r>
                  <m:r>
                    <m:t>3</m:t>
                  </m:r>
                </m:sup>
              </m:sSup>
              <m:r>
                <m:rPr>
                  <m:sty m:val="p"/>
                </m:rPr>
                <m:t>⌋</m:t>
              </m:r>
            </m:oMath>
            <w:r>
              <w:rPr>
                <w:sz w:val="18"/>
              </w:rPr>
              <w:t xml:space="preserve"> </w:t>
            </w:r>
            <w:r>
              <w:rPr>
                <w:rFonts w:hint="eastAsia"/>
                <w:sz w:val="18"/>
              </w:rPr>
              <w:t xml:space="preserve">本（FY2016〜25</w:t>
            </w:r>
            <w:r>
              <w:rPr>
                <w:sz w:val="18"/>
              </w:rPr>
              <w:t xml:space="preserve"> で94、FY2023〜25 </w:t>
            </w:r>
            <w:r>
              <w:rPr>
                <w:rFonts w:hint="eastAsia"/>
                <w:sz w:val="18"/>
              </w:rPr>
              <w:t xml:space="preserve">で42）に射影して分散を求め、自由度</w:t>
            </w:r>
            <w:r>
              <w:rPr>
                <w:sz w:val="18"/>
              </w:rPr>
              <w:t xml:space="preserve"> </w:t>
            </w:r>
            <m:oMath>
              <m:r>
                <m:t>ν</m:t>
              </m:r>
            </m:oMath>
            <w:r>
              <w:rPr>
                <w:sz w:val="18"/>
              </w:rPr>
              <w:t xml:space="preserve"> </w:t>
            </w:r>
            <w:r>
              <w:rPr>
                <w:sz w:val="18"/>
              </w:rPr>
              <w:t xml:space="preserve">の t </w:t>
            </w:r>
            <w:r>
              <w:rPr>
                <w:rFonts w:hint="eastAsia"/>
                <w:sz w:val="18"/>
              </w:rPr>
              <w:t xml:space="preserve">分布で検定する。欠測日は影響関数を0とおく。時刻をまたぐ同時検定は、多式の</w:t>
            </w:r>
            <w:r>
              <w:rPr>
                <w:sz w:val="18"/>
              </w:rPr>
              <w:t xml:space="preserve"> EWC </w:t>
            </w:r>
            <w:r>
              <w:rPr>
                <w:rFonts w:hint="eastAsia"/>
                <w:sz w:val="18"/>
              </w:rPr>
              <w:t xml:space="preserve">共分散による</w:t>
            </w:r>
            <w:r>
              <w:rPr>
                <w:sz w:val="18"/>
              </w:rPr>
              <w:t xml:space="preserve"> Wald </w:t>
            </w:r>
            <w:r>
              <w:rPr>
                <w:rFonts w:hint="eastAsia"/>
                <w:sz w:val="18"/>
              </w:rPr>
              <w:t xml:space="preserve">統計量に</w:t>
            </w:r>
            <w:r>
              <w:rPr>
                <w:sz w:val="18"/>
              </w:rPr>
              <w:t xml:space="preserve"> F </w:t>
            </w:r>
            <w:r>
              <w:rPr>
                <w:rFonts w:hint="eastAsia"/>
                <w:sz w:val="18"/>
              </w:rPr>
              <w:t xml:space="preserve">補正を当てる（付録B.2.1）</w:t>
            </w:r>
          </w:p>
        </w:tc>
      </w:tr>
      <w:tr>
        <w:tc>
          <w:tcPr/>
          <w:p>
            <w:pPr>
              <w:pStyle w:val="Compact"/>
            </w:pPr>
            <w:r>
              <w:rPr>
                <w:rFonts w:hint="eastAsia"/>
                <w:sz w:val="18"/>
              </w:rPr>
              <w:t xml:space="preserve">補正</w:t>
            </w:r>
            <w:r>
              <w:rPr>
                <w:sz w:val="18"/>
              </w:rPr>
              <w:t xml:space="preserve"> p </w:t>
            </w:r>
            <w:r>
              <w:rPr>
                <w:rFonts w:hint="eastAsia"/>
                <w:sz w:val="18"/>
              </w:rPr>
              <w:t xml:space="preserve">値と</w:t>
            </w:r>
            <w:r>
              <w:rPr>
                <w:sz w:val="18"/>
              </w:rPr>
              <w:t xml:space="preserve"> †</w:t>
            </w:r>
          </w:p>
        </w:tc>
        <w:tc>
          <w:tcPr/>
          <w:p>
            <w:pPr>
              <w:pStyle w:val="Compact"/>
            </w:pPr>
            <w:r>
              <w:rPr>
                <w:rFonts w:hint="eastAsia"/>
                <w:sz w:val="18"/>
              </w:rPr>
              <w:t xml:space="preserve">補正</w:t>
            </w:r>
            <w:r>
              <w:rPr>
                <w:sz w:val="18"/>
              </w:rPr>
              <w:t xml:space="preserve"> p </w:t>
            </w:r>
            <w:r>
              <w:rPr>
                <w:rFonts w:hint="eastAsia"/>
                <w:sz w:val="18"/>
              </w:rPr>
              <w:t xml:space="preserve">値は、設計に合わせたふるいブートストラップ（1,999回）で求めた</w:t>
            </w:r>
            <w:r>
              <w:rPr>
                <w:sz w:val="18"/>
              </w:rPr>
              <w:t xml:space="preserve"> EWC の p </w:t>
            </w:r>
            <w:r>
              <w:rPr>
                <w:rFonts w:hint="eastAsia"/>
                <w:sz w:val="18"/>
              </w:rPr>
              <w:t xml:space="preserve">値。†</w:t>
            </w:r>
            <w:r>
              <w:rPr>
                <w:sz w:val="18"/>
              </w:rPr>
              <w:t xml:space="preserve"> </w:t>
            </w:r>
            <w:r>
              <w:rPr>
                <w:rFonts w:hint="eastAsia"/>
                <w:sz w:val="18"/>
              </w:rPr>
              <w:t xml:space="preserve">は、補正</w:t>
            </w:r>
            <w:r>
              <w:rPr>
                <w:sz w:val="18"/>
              </w:rPr>
              <w:t xml:space="preserve"> p </w:t>
            </w:r>
            <w:r>
              <w:rPr>
                <w:rFonts w:hint="eastAsia"/>
                <w:sz w:val="18"/>
              </w:rPr>
              <w:t xml:space="preserve">値で有意性の星が1段以上少なくなる係数。価格のラグを含む仕様では補正</w:t>
            </w:r>
            <w:r>
              <w:rPr>
                <w:sz w:val="18"/>
              </w:rPr>
              <w:t xml:space="preserve"> p </w:t>
            </w:r>
            <w:r>
              <w:rPr>
                <w:rFonts w:hint="eastAsia"/>
                <w:sz w:val="18"/>
              </w:rPr>
              <w:t xml:space="preserve">値を求めない（付録B.2.2）</w:t>
            </w:r>
          </w:p>
        </w:tc>
      </w:tr>
      <w:tr>
        <w:tc>
          <w:tcPr/>
          <w:p>
            <w:pPr>
              <w:pStyle w:val="Compact"/>
            </w:pPr>
            <w:r>
              <w:rPr>
                <w:rFonts w:hint="eastAsia"/>
                <w:sz w:val="18"/>
              </w:rPr>
              <w:t xml:space="preserve">年月固定効果の仕様</w:t>
            </w:r>
          </w:p>
        </w:tc>
        <w:tc>
          <w:tcPr/>
          <w:p>
            <w:pPr>
              <w:pStyle w:val="Compact"/>
            </w:pPr>
            <w:r>
              <w:rPr>
                <w:rFonts w:hint="eastAsia"/>
                <w:sz w:val="18"/>
              </w:rPr>
              <w:t xml:space="preserve">年度・季節の固定効果を年月固定効果（120セル）に置き換え、曜日と祝日を加えた仕様。同じ月の中の日々の気象の違いだけで係数を識別する</w:t>
            </w:r>
          </w:p>
        </w:tc>
      </w:tr>
      <w:tr>
        <w:tc>
          <w:tcPr/>
          <w:p>
            <w:pPr>
              <w:pStyle w:val="Compact"/>
            </w:pPr>
            <w:r>
              <w:rPr>
                <w:rFonts w:hint="eastAsia"/>
                <w:sz w:val="18"/>
              </w:rPr>
              <w:t xml:space="preserve">効果の上限</w:t>
            </w:r>
          </w:p>
        </w:tc>
        <w:tc>
          <w:tcPr/>
          <w:p>
            <w:pPr>
              <w:pStyle w:val="Compact"/>
            </w:pPr>
            <w:r>
              <w:rPr>
                <w:rFonts w:hint="eastAsia"/>
                <w:sz w:val="18"/>
              </w:rPr>
              <w:t xml:space="preserve">有意でない係数について、EWC</w:t>
            </w:r>
            <w:r>
              <w:rPr>
                <w:sz w:val="18"/>
              </w:rPr>
              <w:t xml:space="preserve"> </w:t>
            </w:r>
            <w:r>
              <w:rPr>
                <w:rFonts w:hint="eastAsia"/>
                <w:sz w:val="18"/>
              </w:rPr>
              <w:t xml:space="preserve">の95%区間の上限を年度内の日次発電量1標準偏差あたりの円/kWh</w:t>
            </w:r>
            <w:r>
              <w:rPr>
                <w:sz w:val="18"/>
              </w:rPr>
              <w:t xml:space="preserve"> </w:t>
            </w:r>
            <w:r>
              <w:rPr>
                <w:rFonts w:hint="eastAsia"/>
                <w:sz w:val="18"/>
              </w:rPr>
              <w:t xml:space="preserve">に直し、季節平均の</w:t>
            </w:r>
            <w:r>
              <w:rPr>
                <w:sz w:val="18"/>
              </w:rPr>
              <w:t xml:space="preserve"> TB4h </w:t>
            </w:r>
            <w:r>
              <w:rPr>
                <w:rFonts w:hint="eastAsia"/>
                <w:sz w:val="18"/>
              </w:rPr>
              <w:t xml:space="preserve">に対する比で示したもの。ブートストラップ‐t</w:t>
            </w:r>
            <w:r>
              <w:rPr>
                <w:sz w:val="18"/>
              </w:rPr>
              <w:t xml:space="preserve"> </w:t>
            </w:r>
            <w:r>
              <w:rPr>
                <w:rFonts w:hint="eastAsia"/>
                <w:sz w:val="18"/>
              </w:rPr>
              <w:t xml:space="preserve">区間による上限を併記する（付録B.2.3）</w:t>
            </w:r>
          </w:p>
        </w:tc>
      </w:tr>
      <w:tr>
        <w:tc>
          <w:tcPr/>
          <w:p>
            <w:pPr>
              <w:pStyle w:val="Compact"/>
            </w:pPr>
            <w:r>
              <w:rPr>
                <w:rFonts w:hint="eastAsia"/>
                <w:sz w:val="18"/>
              </w:rPr>
              <w:t xml:space="preserve">係数の比</w:t>
            </w:r>
            <w:r>
              <w:rPr>
                <w:sz w:val="18"/>
              </w:rPr>
              <w:t xml:space="preserve"> </w:t>
            </w:r>
            <m:oMath>
              <m:r>
                <m:t>ρ</m:t>
              </m:r>
            </m:oMath>
            <w:r>
              <w:rPr>
                <w:sz w:val="18"/>
              </w:rPr>
              <w:t xml:space="preserve"> </w:t>
            </w:r>
            <w:r>
              <w:rPr>
                <w:rFonts w:hint="eastAsia"/>
                <w:sz w:val="18"/>
              </w:rPr>
              <w:t xml:space="preserve">の95%集合</w:t>
            </w:r>
          </w:p>
        </w:tc>
        <w:tc>
          <w:tcPr/>
          <w:p>
            <w:pPr>
              <w:pStyle w:val="Compact"/>
            </w:pPr>
            <w:r>
              <w:rPr>
                <w:rFonts w:hint="eastAsia"/>
                <w:sz w:val="18"/>
              </w:rPr>
              <w:t xml:space="preserve">冬の上位4時間と下位4時間の係数の比</w:t>
            </w:r>
            <w:r>
              <w:rPr>
                <w:sz w:val="18"/>
              </w:rPr>
              <w:t xml:space="preserve"> </w:t>
            </w:r>
            <m:oMath>
              <m:r>
                <m:t>ρ</m:t>
              </m:r>
            </m:oMath>
            <w:r>
              <w:rPr>
                <w:sz w:val="18"/>
              </w:rPr>
              <w:t xml:space="preserve"> </w:t>
            </w:r>
            <w:r>
              <w:rPr>
                <w:sz w:val="18"/>
              </w:rPr>
              <w:t xml:space="preserve">について、</w:t>
            </w:r>
            <m:oMath>
              <m:sSub>
                <m:e>
                  <m:r>
                    <m:t>y</m:t>
                  </m:r>
                </m:e>
                <m:sub>
                  <m:r>
                    <m:t>d</m:t>
                  </m:r>
                </m:sub>
              </m:sSub>
              <m:r>
                <m:rPr>
                  <m:sty m:val="p"/>
                </m:rPr>
                <m:t>=</m:t>
              </m:r>
              <m:sSub>
                <m:e>
                  <m:r>
                    <m:rPr>
                      <m:sty m:val="p"/>
                    </m:rPr>
                    <m:t>T</m:t>
                  </m:r>
                  <m:r>
                    <m:rPr>
                      <m:sty m:val="p"/>
                    </m:rPr>
                    <m:t>o</m:t>
                  </m:r>
                  <m:r>
                    <m:rPr>
                      <m:sty m:val="p"/>
                    </m:rPr>
                    <m:t>p</m:t>
                  </m:r>
                </m:e>
                <m:sub>
                  <m:r>
                    <m:t>d</m:t>
                  </m:r>
                </m:sub>
              </m:sSub>
              <m:r>
                <m:rPr>
                  <m:sty m:val="p"/>
                </m:rPr>
                <m:t>−</m:t>
              </m:r>
              <m:r>
                <m:t>ρ</m:t>
              </m:r>
              <m:r>
                <m:t> </m:t>
              </m:r>
              <m:sSub>
                <m:e>
                  <m:r>
                    <m:rPr>
                      <m:sty m:val="p"/>
                    </m:rPr>
                    <m:t>B</m:t>
                  </m:r>
                  <m:r>
                    <m:rPr>
                      <m:sty m:val="p"/>
                    </m:rPr>
                    <m:t>o</m:t>
                  </m:r>
                  <m:r>
                    <m:rPr>
                      <m:sty m:val="p"/>
                    </m:rPr>
                    <m:t>t</m:t>
                  </m:r>
                </m:e>
                <m:sub>
                  <m:r>
                    <m:t>d</m:t>
                  </m:r>
                </m:sub>
              </m:sSub>
            </m:oMath>
            <w:r>
              <w:rPr>
                <w:sz w:val="18"/>
              </w:rPr>
              <w:t xml:space="preserve"> </w:t>
            </w:r>
            <w:r>
              <w:rPr>
                <w:sz w:val="18"/>
              </w:rPr>
              <w:t xml:space="preserve">の EWC </w:t>
            </w:r>
            <w:r>
              <w:rPr>
                <w:rFonts w:hint="eastAsia"/>
                <w:sz w:val="18"/>
              </w:rPr>
              <w:t xml:space="preserve">検定を</w:t>
            </w:r>
            <w:r>
              <w:rPr>
                <w:sz w:val="18"/>
              </w:rPr>
              <w:t xml:space="preserve"> </w:t>
            </w:r>
            <m:oMath>
              <m:r>
                <m:t>ρ</m:t>
              </m:r>
            </m:oMath>
            <w:r>
              <w:rPr>
                <w:sz w:val="18"/>
              </w:rPr>
              <w:t xml:space="preserve"> </w:t>
            </w:r>
            <w:r>
              <w:rPr>
                <w:rFonts w:hint="eastAsia"/>
                <w:sz w:val="18"/>
              </w:rPr>
              <w:t xml:space="preserve">の格子の上で反転して求めた集合（Fieller</w:t>
            </w:r>
            <w:r>
              <w:rPr>
                <w:sz w:val="18"/>
              </w:rPr>
              <w:t xml:space="preserve"> </w:t>
            </w:r>
            <w:r>
              <w:rPr>
                <w:rFonts w:hint="eastAsia"/>
                <w:sz w:val="18"/>
              </w:rPr>
              <w:t xml:space="preserve">型）。平行移動は</w:t>
            </w:r>
            <w:r>
              <w:rPr>
                <w:sz w:val="18"/>
              </w:rPr>
              <w:t xml:space="preserve"> </w:t>
            </w:r>
            <m:oMath>
              <m:r>
                <m:t>ρ</m:t>
              </m:r>
              <m:r>
                <m:rPr>
                  <m:sty m:val="p"/>
                </m:rPr>
                <m:t>=</m:t>
              </m:r>
              <m:r>
                <m:t>1</m:t>
              </m:r>
            </m:oMath>
            <w:r>
              <w:rPr>
                <w:rFonts w:hint="eastAsia"/>
                <w:sz w:val="18"/>
              </w:rPr>
              <w:t xml:space="preserve">、比例的な引下げは</w:t>
            </w:r>
            <w:r>
              <w:rPr>
                <w:sz w:val="18"/>
              </w:rPr>
              <w:t xml:space="preserve"> </w:t>
            </w:r>
            <m:oMath>
              <m:r>
                <m:t>ρ</m:t>
              </m:r>
              <m:r>
                <m:rPr>
                  <m:sty m:val="p"/>
                </m:rPr>
                <m:t>=</m:t>
              </m:r>
              <m:sSub>
                <m:e>
                  <m:r>
                    <m:t>ρ</m:t>
                  </m:r>
                </m:e>
                <m:sub>
                  <m:r>
                    <m:t>0</m:t>
                  </m:r>
                </m:sub>
              </m:sSub>
            </m:oMath>
            <w:r>
              <w:rPr>
                <w:rFonts w:hint="eastAsia"/>
                <w:sz w:val="18"/>
              </w:rPr>
              <w:t xml:space="preserve">（上位・下位4時間の平均価格の比）にあたる（付録B.2.3）</w:t>
            </w:r>
          </w:p>
        </w:tc>
      </w:tr>
      <w:tr>
        <w:tc>
          <w:tcPr/>
          <w:p>
            <w:pPr>
              <w:pStyle w:val="Compact"/>
            </w:pPr>
            <w:r>
              <w:rPr>
                <w:rFonts w:hint="eastAsia"/>
                <w:sz w:val="18"/>
              </w:rPr>
              <w:t xml:space="preserve">分位点回帰の仕様</w:t>
            </w:r>
          </w:p>
        </w:tc>
        <w:tc>
          <w:tcPr/>
          <w:p>
            <w:pPr>
              <w:pStyle w:val="Compact"/>
            </w:pPr>
            <w:r>
              <w:rPr>
                <w:rFonts w:hint="eastAsia"/>
                <w:sz w:val="18"/>
              </w:rPr>
              <w:t xml:space="preserve">統制付きの仕様（主）は、制御前の風力・太陽光・需要に、季節×時刻・月・年度の固定効果と曜日・祝日を加えたもの。統制なしの仕様は、Sakaguchi</w:t>
            </w:r>
            <w:r>
              <w:rPr>
                <w:sz w:val="18"/>
              </w:rPr>
              <w:t xml:space="preserve"> and </w:t>
            </w:r>
            <w:r>
              <w:rPr>
                <w:rFonts w:hint="eastAsia"/>
                <w:sz w:val="18"/>
              </w:rPr>
              <w:t xml:space="preserve">Fujii（2021）型の発電実績と定数だけのもの。相対価格は価格を年度平均価格で割った値。区間は日単位の14日移動ブロック・ブートストラップ（499回）のパーセンタイル区間。メリットオーダー効果が減衰したと判定するのは、価格と相対価格の両方で</w:t>
            </w:r>
            <w:r>
              <w:rPr>
                <w:sz w:val="18"/>
              </w:rPr>
              <w:t xml:space="preserve"> τ=0.9 </w:t>
            </w:r>
            <w:r>
              <w:rPr>
                <w:rFonts w:hint="eastAsia"/>
                <w:sz w:val="18"/>
              </w:rPr>
              <w:t xml:space="preserve">の期間差の区間が0を含まず、効果が弱まる向きにある場合に限る（付録B.2.4）</w:t>
            </w:r>
          </w:p>
        </w:tc>
      </w:tr>
      <w:tr>
        <w:tc>
          <w:tcPr/>
          <w:p>
            <w:pPr>
              <w:pStyle w:val="Compact"/>
            </w:pPr>
            <w:r>
              <w:rPr>
                <w:rFonts w:hint="eastAsia"/>
                <w:sz w:val="18"/>
              </w:rPr>
              <w:t xml:space="preserve">主成分の負荷</w:t>
            </w:r>
            <w:r>
              <w:rPr>
                <w:sz w:val="18"/>
              </w:rPr>
              <w:t xml:space="preserve"> </w:t>
            </w:r>
            <m:oMath>
              <m:sSub>
                <m:e>
                  <m:r>
                    <m:t>v</m:t>
                  </m:r>
                </m:e>
                <m:sub>
                  <m:r>
                    <m:t>k</m:t>
                  </m:r>
                </m:sub>
              </m:sSub>
            </m:oMath>
            <w:r>
              <w:rPr>
                <w:sz w:val="18"/>
              </w:rPr>
              <w:t xml:space="preserve"> </w:t>
            </w:r>
            <w:r>
              <w:rPr>
                <w:rFonts w:hint="eastAsia"/>
                <w:sz w:val="18"/>
              </w:rPr>
              <w:t xml:space="preserve">と因子スコア</w:t>
            </w:r>
            <w:r>
              <w:rPr>
                <w:sz w:val="18"/>
              </w:rPr>
              <w:t xml:space="preserve"> </w:t>
            </w:r>
            <m:oMath>
              <m:sSub>
                <m:e>
                  <m:r>
                    <m:t>f</m:t>
                  </m:r>
                </m:e>
                <m:sub>
                  <m:r>
                    <m:t>k</m:t>
                  </m:r>
                  <m:r>
                    <m:rPr>
                      <m:sty m:val="p"/>
                    </m:rPr>
                    <m:t>,</m:t>
                  </m:r>
                  <m:r>
                    <m:t>d</m:t>
                  </m:r>
                </m:sub>
              </m:sSub>
            </m:oMath>
          </w:p>
        </w:tc>
        <w:tc>
          <w:tcPr/>
          <w:p>
            <w:pPr>
              <w:pStyle w:val="Compact"/>
            </w:pPr>
            <w:r>
              <w:rPr>
                <w:rFonts w:hint="eastAsia"/>
                <w:sz w:val="18"/>
              </w:rPr>
              <w:t xml:space="preserve">日</w:t>
            </w:r>
            <w:r>
              <w:rPr>
                <w:sz w:val="18"/>
              </w:rPr>
              <w:t xml:space="preserve"> </w:t>
            </w:r>
            <m:oMath>
              <m:r>
                <m:t>d</m:t>
              </m:r>
            </m:oMath>
            <w:r>
              <w:rPr>
                <w:sz w:val="18"/>
              </w:rPr>
              <w:t xml:space="preserve"> </w:t>
            </w:r>
            <w:r>
              <w:rPr>
                <w:rFonts w:hint="eastAsia"/>
                <w:sz w:val="18"/>
              </w:rPr>
              <w:t xml:space="preserve">の24時間の価格ベクトルから年度×季節×時刻の平均を除いた偏差について、共分散行列の固有ベクトルを負荷とし、因子スコアを式(5.3)で定める。符号の向きは付録B.2.6</w:t>
            </w:r>
            <w:r>
              <w:rPr>
                <w:sz w:val="18"/>
              </w:rPr>
              <w:t xml:space="preserve"> </w:t>
            </w:r>
            <w:r>
              <w:rPr>
                <w:rFonts w:hint="eastAsia"/>
                <w:sz w:val="18"/>
              </w:rPr>
              <w:t xml:space="preserve">による。第1主成分は加法的な因子であり、乗法的な価格水準係数</w:t>
            </w:r>
            <w:r>
              <w:rPr>
                <w:sz w:val="18"/>
              </w:rPr>
              <w:t xml:space="preserve"> </w:t>
            </w:r>
            <m:oMath>
              <m:r>
                <m:t>θ</m:t>
              </m:r>
            </m:oMath>
            <w:r>
              <w:rPr>
                <w:sz w:val="18"/>
              </w:rPr>
              <w:t xml:space="preserve"> </w:t>
            </w:r>
            <w:r>
              <w:rPr>
                <w:rFonts w:hint="eastAsia"/>
                <w:sz w:val="18"/>
              </w:rPr>
              <w:t xml:space="preserve">とは別物である</w:t>
            </w:r>
          </w:p>
        </w:tc>
      </w:tr>
      <w:tr>
        <w:tc>
          <w:tcPr/>
          <w:p>
            <w:pPr>
              <w:pStyle w:val="Compact"/>
            </w:pPr>
            <w:r>
              <w:rPr>
                <w:rFonts w:hint="eastAsia"/>
                <w:sz w:val="18"/>
              </w:rPr>
              <w:t xml:space="preserve">時刻別係数ベクトル</w:t>
            </w:r>
            <w:r>
              <w:rPr>
                <w:sz w:val="18"/>
              </w:rPr>
              <w:t xml:space="preserve"> </w:t>
            </w:r>
            <m:oMath>
              <m:r>
                <m:t>b</m:t>
              </m:r>
            </m:oMath>
          </w:p>
        </w:tc>
        <w:tc>
          <w:tcPr/>
          <w:p>
            <w:pPr>
              <w:pStyle w:val="Compact"/>
            </w:pPr>
            <w:r>
              <w:rPr>
                <w:rFonts w:hint="eastAsia"/>
                <w:sz w:val="18"/>
              </w:rPr>
              <w:t xml:space="preserve">式(5.2)と同じ右辺で24時刻の価格を別々に回帰した発電量の係数。平行シフトは</w:t>
            </w:r>
            <w:r>
              <w:rPr>
                <w:sz w:val="18"/>
              </w:rPr>
              <w:t xml:space="preserve"> </w:t>
            </w:r>
            <m:oMath>
              <m:sSub>
                <m:e>
                  <m:r>
                    <m:t>b</m:t>
                  </m:r>
                </m:e>
                <m:sub>
                  <m:r>
                    <m:t>0</m:t>
                  </m:r>
                </m:sub>
              </m:sSub>
              <m:r>
                <m:rPr>
                  <m:sty m:val="p"/>
                </m:rPr>
                <m:t>=</m:t>
              </m:r>
              <m:r>
                <m:rPr>
                  <m:sty m:val="p"/>
                </m:rPr>
                <m:t>⋯</m:t>
              </m:r>
              <m:r>
                <m:rPr>
                  <m:sty m:val="p"/>
                </m:rPr>
                <m:t>=</m:t>
              </m:r>
              <m:sSub>
                <m:e>
                  <m:r>
                    <m:t>b</m:t>
                  </m:r>
                </m:e>
                <m:sub>
                  <m:r>
                    <m:t>23</m:t>
                  </m:r>
                </m:sub>
              </m:sSub>
            </m:oMath>
            <w:r>
              <w:rPr>
                <w:rFonts w:hint="eastAsia"/>
                <w:sz w:val="18"/>
              </w:rPr>
              <w:t xml:space="preserve">、比例シフトは</w:t>
            </w:r>
            <w:r>
              <w:rPr>
                <w:sz w:val="18"/>
              </w:rPr>
              <w:t xml:space="preserve"> </w:t>
            </w:r>
            <m:oMath>
              <m:r>
                <m:t>b</m:t>
              </m:r>
              <m:r>
                <m:rPr>
                  <m:sty m:val="p"/>
                </m:rPr>
                <m:t>=</m:t>
              </m:r>
              <m:r>
                <m:t>𝜍</m:t>
              </m:r>
              <m:r>
                <m:t> </m:t>
              </m:r>
              <m:sSup>
                <m:e>
                  <m:acc>
                    <m:accPr>
                      <m:chr m:val="‾"/>
                    </m:accPr>
                    <m:e>
                      <m:r>
                        <m:t>p</m:t>
                      </m:r>
                    </m:e>
                  </m:acc>
                </m:e>
                <m:sup>
                  <m:r>
                    <m:rPr>
                      <m:sty m:val="p"/>
                    </m:rPr>
                    <m:t>(</m:t>
                  </m:r>
                  <m:r>
                    <m:t>s</m:t>
                  </m:r>
                  <m:r>
                    <m:rPr>
                      <m:sty m:val="p"/>
                    </m:rPr>
                    <m:t>)</m:t>
                  </m:r>
                </m:sup>
              </m:sSup>
            </m:oMath>
            <w:r>
              <w:rPr>
                <w:rFonts w:hint="eastAsia"/>
                <w:sz w:val="18"/>
              </w:rPr>
              <w:t xml:space="preserve">（</w:t>
            </w:r>
            <m:oMath>
              <m:sSup>
                <m:e>
                  <m:acc>
                    <m:accPr>
                      <m:chr m:val="‾"/>
                    </m:accPr>
                    <m:e>
                      <m:r>
                        <m:t>p</m:t>
                      </m:r>
                    </m:e>
                  </m:acc>
                </m:e>
                <m:sup>
                  <m:r>
                    <m:rPr>
                      <m:sty m:val="p"/>
                    </m:rPr>
                    <m:t>(</m:t>
                  </m:r>
                  <m:r>
                    <m:t>s</m:t>
                  </m:r>
                  <m:r>
                    <m:rPr>
                      <m:sty m:val="p"/>
                    </m:rPr>
                    <m:t>)</m:t>
                  </m:r>
                </m:sup>
              </m:sSup>
            </m:oMath>
            <w:r>
              <w:rPr>
                <w:sz w:val="18"/>
              </w:rPr>
              <w:t xml:space="preserve"> </w:t>
            </w:r>
            <w:r>
              <w:rPr>
                <w:rFonts w:hint="eastAsia"/>
                <w:sz w:val="18"/>
              </w:rPr>
              <w:t xml:space="preserve">は季節</w:t>
            </w:r>
            <w:r>
              <w:rPr>
                <w:sz w:val="18"/>
              </w:rPr>
              <w:t xml:space="preserve"> </w:t>
            </w:r>
            <m:oMath>
              <m:r>
                <m:t>s</m:t>
              </m:r>
            </m:oMath>
            <w:r>
              <w:rPr>
                <w:sz w:val="18"/>
              </w:rPr>
              <w:t xml:space="preserve"> </w:t>
            </w:r>
            <w:r>
              <w:rPr>
                <w:rFonts w:hint="eastAsia"/>
                <w:sz w:val="18"/>
              </w:rPr>
              <w:t xml:space="preserve">の平均価格プロファイル、</w:t>
            </w:r>
            <m:oMath>
              <m:r>
                <m:t>𝜍</m:t>
              </m:r>
            </m:oMath>
            <w:r>
              <w:rPr>
                <w:sz w:val="18"/>
              </w:rPr>
              <w:t xml:space="preserve"> </w:t>
            </w:r>
            <w:r>
              <w:rPr>
                <w:rFonts w:hint="eastAsia"/>
                <w:sz w:val="18"/>
              </w:rPr>
              <w:t xml:space="preserve">は比例の係数）</w:t>
            </w:r>
          </w:p>
        </w:tc>
      </w:tr>
      <w:tr>
        <w:tc>
          <w:tcPr/>
          <w:p>
            <w:pPr>
              <w:pStyle w:val="Compact"/>
            </w:pPr>
            <w:r>
              <w:rPr>
                <w:sz w:val="18"/>
              </w:rPr>
              <w:t xml:space="preserve">コントラスト</w:t>
            </w:r>
          </w:p>
        </w:tc>
        <w:tc>
          <w:tcPr/>
          <w:p>
            <w:pPr>
              <w:pStyle w:val="Compact"/>
            </w:pPr>
            <w:r>
              <w:rPr>
                <w:rFonts w:hint="eastAsia"/>
                <w:sz w:val="18"/>
              </w:rPr>
              <w:t xml:space="preserve">時刻別係数の、夕方（17〜19時）と昼（11〜13時）の差、および夕方と夜（0〜5時）の差</w:t>
            </w:r>
          </w:p>
        </w:tc>
      </w:tr>
      <w:tr>
        <w:tc>
          <w:tcPr/>
          <w:p>
            <w:pPr>
              <w:pStyle w:val="Compact"/>
            </w:pPr>
            <w:r>
              <w:rPr>
                <w:rFonts w:hint="eastAsia"/>
                <w:sz w:val="18"/>
              </w:rPr>
              <w:t xml:space="preserve">因子エクスポージャー</w:t>
            </w:r>
          </w:p>
        </w:tc>
        <w:tc>
          <w:tcPr/>
          <w:p>
            <w:pPr>
              <w:pStyle w:val="Compact"/>
            </w:pPr>
            <w:r>
              <w:rPr>
                <w:rFonts w:hint="eastAsia"/>
                <w:sz w:val="18"/>
              </w:rPr>
              <w:t xml:space="preserve">日次の完全予見粗利を、式(5.2)の右辺と第1〜第5主成分のスコアに回帰した係数（式(B.15)）。債券のファクター・デュレーションの類比にあたる</w:t>
            </w:r>
          </w:p>
        </w:tc>
      </w:tr>
    </w:tbl>
    <w:p>
      <w:pPr>
        <w:pStyle w:val="TableNote"/>
      </w:pPr>
      <w:r>
        <w:rPr>
          <w:rFonts w:hint="eastAsia"/>
        </w:rPr>
        <w:t xml:space="preserve">出所）筆者作成。</w:t>
      </w:r>
    </w:p>
    <w:p>
      <w:pPr>
        <w:pStyle w:val="TableCaption"/>
      </w:pPr>
      <w:r>
        <w:rPr>
          <w:rFonts w:hint="eastAsia"/>
        </w:rPr>
        <w:t xml:space="preserve">表A.4</w:t>
      </w:r>
      <w:r>
        <w:t xml:space="preserve">　</w:t>
      </w:r>
      <w:r>
        <w:rPr>
          <w:rFonts w:hint="eastAsia"/>
        </w:rPr>
        <w:t xml:space="preserve">集中立地の反実仮想の定義（第5章）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4　集中立地の反実仮想の定義（第5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日内分散比</w:t>
            </w:r>
          </w:p>
        </w:tc>
        <w:tc>
          <w:tcPr/>
          <w:p>
            <w:pPr>
              <w:pStyle w:val="Compact"/>
            </w:pPr>
            <w:r>
              <w:rPr>
                <w:rFonts w:hint="eastAsia"/>
                <w:sz w:val="18"/>
              </w:rPr>
              <w:t xml:space="preserve">合成系列で実現した日内の2帯域（6時間未満、6〜24時間）の分散の和の、実フリートに対する比。校正値は式(B.11)による</w:t>
            </w:r>
          </w:p>
        </w:tc>
      </w:tr>
      <w:tr>
        <w:tc>
          <w:tcPr/>
          <w:p>
            <w:pPr>
              <w:pStyle w:val="Compact"/>
            </w:pPr>
            <w:r>
              <w:rPr>
                <w:rFonts w:hint="eastAsia"/>
                <w:sz w:val="18"/>
              </w:rPr>
              <w:t xml:space="preserve">相関距離</w:t>
            </w:r>
            <w:r>
              <w:rPr>
                <w:sz w:val="18"/>
              </w:rPr>
              <w:t xml:space="preserve"> </w:t>
            </w:r>
            <m:oMath>
              <m:sSub>
                <m:e>
                  <m:r>
                    <m:t>ℓ</m:t>
                  </m:r>
                </m:e>
                <m:sub>
                  <m:r>
                    <m:t>6</m:t>
                  </m:r>
                </m:sub>
              </m:sSub>
            </m:oMath>
            <w:r>
              <w:rPr>
                <w:sz w:val="18"/>
              </w:rPr>
              <w:t xml:space="preserve">・</w:t>
            </w:r>
            <m:oMath>
              <m:sSub>
                <m:e>
                  <m:r>
                    <m:t>ℓ</m:t>
                  </m:r>
                </m:e>
                <m:sub>
                  <m:r>
                    <m:t>24</m:t>
                  </m:r>
                </m:sub>
              </m:sSub>
            </m:oMath>
          </w:p>
        </w:tc>
        <w:tc>
          <w:tcPr/>
          <w:p>
            <w:pPr>
              <w:pStyle w:val="Compact"/>
            </w:pPr>
            <w:r>
              <w:rPr>
                <w:sz w:val="18"/>
              </w:rPr>
              <w:t xml:space="preserve">St. Martin et </w:t>
            </w:r>
            <w:r>
              <w:rPr>
                <w:rFonts w:hint="eastAsia"/>
                <w:sz w:val="18"/>
              </w:rPr>
              <w:t xml:space="preserve">al.（2015）の相関距離を、窓幅6時間・24時間に対数内挿した値（付録B.2.5）</w:t>
            </w:r>
          </w:p>
        </w:tc>
      </w:tr>
      <w:tr>
        <w:tc>
          <w:tcPr/>
          <w:p>
            <w:pPr>
              <w:pStyle w:val="Compact"/>
            </w:pPr>
            <w:r>
              <w:rPr>
                <w:rFonts w:hint="eastAsia"/>
                <w:sz w:val="18"/>
              </w:rPr>
              <w:t xml:space="preserve">ロジット空間での増幅</w:t>
            </w:r>
          </w:p>
        </w:tc>
        <w:tc>
          <w:tcPr/>
          <w:p>
            <w:pPr>
              <w:pStyle w:val="Compact"/>
            </w:pPr>
            <w:r>
              <w:rPr>
                <w:rFonts w:hint="eastAsia"/>
                <w:sz w:val="18"/>
              </w:rPr>
              <w:t xml:space="preserve">日内の2帯域の確率的な変動（季節×時刻の平均で表す系統的な日周を除いた部分）を設備利用率のロジット空間で増幅し、各日のロジットの平行移動で日次エネルギーを保存する作り方。増幅率は、実現した日内分散比が校正値に一致するよう求める。加法で振幅を伸ばして0と設備容量で打ち切る作り方は、比較にだけ用いる</w:t>
            </w:r>
          </w:p>
        </w:tc>
      </w:tr>
      <w:tr>
        <w:tc>
          <w:tcPr/>
          <w:p>
            <w:pPr>
              <w:pStyle w:val="Compact"/>
            </w:pPr>
            <w:r>
              <w:rPr>
                <w:rFonts w:hint="eastAsia"/>
                <w:sz w:val="18"/>
              </w:rPr>
              <w:t xml:space="preserve">日周の付与</w:t>
            </w:r>
          </w:p>
        </w:tc>
        <w:tc>
          <w:tcPr/>
          <w:p>
            <w:pPr>
              <w:pStyle w:val="Compact"/>
            </w:pPr>
            <w:r>
              <w:rPr>
                <w:rFonts w:hint="eastAsia"/>
                <w:sz w:val="18"/>
              </w:rPr>
              <w:t xml:space="preserve">実フリートの出力</w:t>
            </w:r>
            <w:r>
              <w:rPr>
                <w:sz w:val="18"/>
              </w:rPr>
              <w:t xml:space="preserve"> </w:t>
            </w:r>
            <m:oMath>
              <m:sSub>
                <m:e>
                  <m:r>
                    <m:t>x</m:t>
                  </m:r>
                </m:e>
                <m:sub>
                  <m:r>
                    <m:t>h</m:t>
                  </m:r>
                </m:sub>
              </m:sSub>
            </m:oMath>
            <w:r>
              <w:rPr>
                <w:sz w:val="18"/>
              </w:rPr>
              <w:t xml:space="preserve"> </w:t>
            </w:r>
            <w:r>
              <w:rPr>
                <w:sz w:val="18"/>
              </w:rPr>
              <w:t xml:space="preserve">に</w:t>
            </w:r>
            <w:r>
              <w:rPr>
                <w:sz w:val="18"/>
              </w:rPr>
              <w:t xml:space="preserve"> </w:t>
            </w:r>
            <m:oMath>
              <m:sSub>
                <m:e>
                  <m:r>
                    <m:t>x</m:t>
                  </m:r>
                </m:e>
                <m:sub>
                  <m:r>
                    <m:t>h</m:t>
                  </m:r>
                </m:sub>
              </m:sSub>
              <m:r>
                <m:rPr>
                  <m:sty m:val="p"/>
                </m:rPr>
                <m:t>{</m:t>
              </m:r>
              <m:r>
                <m:t>1</m:t>
              </m:r>
              <m:r>
                <m:rPr>
                  <m:sty m:val="p"/>
                </m:rPr>
                <m:t>+</m:t>
              </m:r>
              <m:r>
                <m:t>ζ</m:t>
              </m:r>
              <m:r>
                <m:rPr>
                  <m:sty m:val="p"/>
                </m:rPr>
                <m:t>cos</m:t>
              </m:r>
              <m:r>
                <m:rPr>
                  <m:sty m:val="p"/>
                </m:rPr>
                <m:t>(</m:t>
              </m:r>
              <m:r>
                <m:t>2</m:t>
              </m:r>
              <m:r>
                <m:t>π</m:t>
              </m:r>
              <m:r>
                <m:rPr>
                  <m:sty m:val="p"/>
                </m:rPr>
                <m:t>(</m:t>
              </m:r>
              <m:r>
                <m:t>h</m:t>
              </m:r>
              <m:r>
                <m:rPr>
                  <m:sty m:val="p"/>
                </m:rPr>
                <m:t>−</m:t>
              </m:r>
              <m:sSub>
                <m:e>
                  <m:r>
                    <m:t>h</m:t>
                  </m:r>
                </m:e>
                <m:sub>
                  <m:r>
                    <m:t>0</m:t>
                  </m:r>
                </m:sub>
              </m:sSub>
              <m:r>
                <m:rPr>
                  <m:sty m:val="p"/>
                </m:rPr>
                <m:t>)</m:t>
              </m:r>
              <m:r>
                <m:rPr>
                  <m:sty m:val="p"/>
                </m:rPr>
                <m:t>/</m:t>
              </m:r>
              <m:r>
                <m:t>24</m:t>
              </m:r>
              <m:r>
                <m:rPr>
                  <m:sty m:val="p"/>
                </m:rPr>
                <m:t>)</m:t>
              </m:r>
              <m:r>
                <m:rPr>
                  <m:sty m:val="p"/>
                </m:rPr>
                <m:t>}</m:t>
              </m:r>
            </m:oMath>
            <w:r>
              <w:rPr>
                <w:sz w:val="18"/>
              </w:rPr>
              <w:t xml:space="preserve"> </w:t>
            </w:r>
            <w:r>
              <w:rPr>
                <w:rFonts w:hint="eastAsia"/>
                <w:sz w:val="18"/>
              </w:rPr>
              <w:t xml:space="preserve">の日周（振幅</w:t>
            </w:r>
            <w:r>
              <w:rPr>
                <w:sz w:val="18"/>
              </w:rPr>
              <w:t xml:space="preserve"> </w:t>
            </w:r>
            <m:oMath>
              <m:r>
                <m:t>ζ</m:t>
              </m:r>
            </m:oMath>
            <w:r>
              <w:rPr>
                <w:rFonts w:hint="eastAsia"/>
                <w:sz w:val="18"/>
              </w:rPr>
              <w:t xml:space="preserve">、ピーク時刻</w:t>
            </w:r>
            <w:r>
              <w:rPr>
                <w:sz w:val="18"/>
              </w:rPr>
              <w:t xml:space="preserve"> </w:t>
            </w:r>
            <m:oMath>
              <m:sSub>
                <m:e>
                  <m:r>
                    <m:t>h</m:t>
                  </m:r>
                </m:e>
                <m:sub>
                  <m:r>
                    <m:t>0</m:t>
                  </m:r>
                </m:sub>
              </m:sSub>
            </m:oMath>
            <w:r>
              <w:rPr>
                <w:rFonts w:hint="eastAsia"/>
                <w:sz w:val="18"/>
              </w:rPr>
              <w:t xml:space="preserve">）を付与した系列。日周振幅は、時刻別の平均出力の（最大−最小）÷平均で、実フリートは0.17</w:t>
            </w:r>
          </w:p>
        </w:tc>
      </w:tr>
      <w:tr>
        <w:tc>
          <w:tcPr/>
          <w:p>
            <w:pPr>
              <w:pStyle w:val="Compact"/>
            </w:pPr>
            <w:r>
              <w:rPr>
                <w:rFonts w:hint="eastAsia"/>
                <w:sz w:val="18"/>
              </w:rPr>
              <w:t xml:space="preserve">感応度比による補正</w:t>
            </w:r>
          </w:p>
        </w:tc>
        <w:tc>
          <w:tcPr/>
          <w:p>
            <w:pPr>
              <w:pStyle w:val="Compact"/>
            </w:pPr>
            <w:r>
              <w:rPr>
                <w:rFonts w:hint="eastAsia"/>
                <w:sz w:val="18"/>
              </w:rPr>
              <w:t xml:space="preserve">風力の日内変動（日内帯域の日次標準偏差）に対する</w:t>
            </w:r>
            <w:r>
              <w:rPr>
                <w:sz w:val="18"/>
              </w:rPr>
              <w:t xml:space="preserve"> TB4h </w:t>
            </w:r>
            <w:r>
              <w:rPr>
                <w:rFonts w:hint="eastAsia"/>
                <w:sz w:val="18"/>
              </w:rPr>
              <w:t xml:space="preserve">の感応度の、実績とモデルの比。モデルの夏の完全予見粗利の増分にこの比を掛けた値を参考値とする</w:t>
            </w:r>
          </w:p>
        </w:tc>
      </w:tr>
    </w:tbl>
    <w:p>
      <w:pPr>
        <w:pStyle w:val="TableNote"/>
      </w:pPr>
      <w:r>
        <w:rPr>
          <w:rFonts w:hint="eastAsia"/>
        </w:rPr>
        <w:t xml:space="preserve">出所）筆者作成。</w:t>
      </w:r>
    </w:p>
    <w:p>
      <w:pPr>
        <w:pStyle w:val="TableCaption"/>
      </w:pPr>
      <w:r>
        <w:rPr>
          <w:rFonts w:hint="eastAsia"/>
        </w:rPr>
        <w:t xml:space="preserve">表A.5</w:t>
      </w:r>
      <w:r>
        <w:t xml:space="preserve">　</w:t>
      </w:r>
      <w:r>
        <w:rPr>
          <w:rFonts w:hint="eastAsia"/>
        </w:rPr>
        <w:t xml:space="preserve">蓄電池の価値とオプションとしての分解の定義（第4・6章）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5　蓄電池の価値とオプションとしての分解の定義（第4・6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完全予見粗利</w:t>
            </w:r>
            <w:r>
              <w:rPr>
                <w:sz w:val="18"/>
              </w:rPr>
              <w:t xml:space="preserve"> </w:t>
            </w:r>
            <m:oMath>
              <m:sSub>
                <m:e>
                  <m:r>
                    <m:t>π</m:t>
                  </m:r>
                </m:e>
                <m:sub>
                  <m:r>
                    <m:rPr>
                      <m:sty m:val="p"/>
                    </m:rPr>
                    <m:t>P</m:t>
                  </m:r>
                  <m:r>
                    <m:rPr>
                      <m:sty m:val="p"/>
                    </m:rPr>
                    <m:t>F</m:t>
                  </m:r>
                </m:sub>
              </m:sSub>
            </m:oMath>
          </w:p>
        </w:tc>
        <w:tc>
          <w:tcPr/>
          <w:p>
            <w:pPr>
              <w:pStyle w:val="Compact"/>
            </w:pPr>
            <w:r>
              <w:rPr>
                <w:rFonts w:hint="eastAsia"/>
                <w:sz w:val="18"/>
              </w:rPr>
              <w:t xml:space="preserve">式(4.2)。4時間（出力1MW・容量4MWh）・往復効率0.85（放電側にまとめて適用）・1日1サイクル・日をまたぐ持ち越しなし・価格テイカーの蓄電池が、当日の実現価格を知って最安4時間に充電、最高4時間に放電し、粗利が負の日は休止したときの年間の粗利（円/kW-年）。前日スポット市場・1日1サイクルの下での上界にあたる</w:t>
            </w:r>
          </w:p>
        </w:tc>
      </w:tr>
      <w:tr>
        <w:tc>
          <w:tcPr/>
          <w:p>
            <w:pPr>
              <w:pStyle w:val="Compact"/>
            </w:pPr>
            <w:r>
              <w:rPr>
                <w:rFonts w:hint="eastAsia"/>
                <w:sz w:val="18"/>
              </w:rPr>
              <w:t xml:space="preserve">日次の粗利</w:t>
            </w:r>
            <w:r>
              <w:rPr>
                <w:sz w:val="18"/>
              </w:rPr>
              <w:t xml:space="preserve"> </w:t>
            </w:r>
            <m:oMath>
              <m:sSub>
                <m:e>
                  <m:r>
                    <m:t>X</m:t>
                  </m:r>
                </m:e>
                <m:sub>
                  <m:r>
                    <m:t>t</m:t>
                  </m:r>
                </m:sub>
              </m:sSub>
              <m:r>
                <m:rPr>
                  <m:sty m:val="p"/>
                </m:rPr>
                <m:t>(</m:t>
              </m:r>
              <m:r>
                <m:t>D</m:t>
              </m:r>
              <m:r>
                <m:rPr>
                  <m:sty m:val="p"/>
                </m:rPr>
                <m:t>,</m:t>
              </m:r>
              <m:r>
                <m:t>C</m:t>
              </m:r>
              <m:r>
                <m:rPr>
                  <m:sty m:val="p"/>
                </m:rPr>
                <m:t>)</m:t>
              </m:r>
            </m:oMath>
          </w:p>
        </w:tc>
        <w:tc>
          <w:tcPr/>
          <w:p>
            <w:pPr>
              <w:pStyle w:val="Compact"/>
            </w:pPr>
            <w:r>
              <w:rPr>
                <w:rFonts w:hint="eastAsia"/>
                <w:sz w:val="18"/>
              </w:rPr>
              <w:t xml:space="preserve">式(4.1)。稼働する日には、4（0.85×上位4時間の平均価格−下位4時間の平均価格）＝3.4·TB4h−0.6·下位4時間の平均価格が成り立つ（式(B.4)）</w:t>
            </w:r>
          </w:p>
        </w:tc>
      </w:tr>
      <w:tr>
        <w:tc>
          <w:tcPr/>
          <w:p>
            <w:pPr>
              <w:pStyle w:val="Compact"/>
            </w:pPr>
            <w:r>
              <w:rPr>
                <w:rFonts w:hint="eastAsia"/>
                <w:sz w:val="18"/>
              </w:rPr>
              <w:t xml:space="preserve">放電脚・充電脚</w:t>
            </w:r>
          </w:p>
        </w:tc>
        <w:tc>
          <w:tcPr/>
          <w:p>
            <w:pPr>
              <w:pStyle w:val="Compact"/>
            </w:pPr>
            <w:r>
              <w:rPr>
                <w:rFonts w:hint="eastAsia"/>
                <w:sz w:val="18"/>
              </w:rPr>
              <w:t xml:space="preserve">式(6.1)の恒等式</w:t>
            </w:r>
            <w:r>
              <w:rPr>
                <w:sz w:val="18"/>
              </w:rPr>
              <w:t xml:space="preserve"> </w:t>
            </w:r>
            <m:oMath>
              <m:r>
                <m:t>4</m:t>
              </m:r>
              <m:r>
                <m:rPr>
                  <m:sty m:val="p"/>
                </m:rPr>
                <m:t>(</m:t>
              </m:r>
              <m:r>
                <m:t>0.85</m:t>
              </m:r>
              <m:r>
                <m:t>T</m:t>
              </m:r>
              <m:r>
                <m:rPr>
                  <m:sty m:val="p"/>
                </m:rPr>
                <m:t>−</m:t>
              </m:r>
              <m:r>
                <m:t>B</m:t>
              </m:r>
              <m:r>
                <m:rPr>
                  <m:sty m:val="p"/>
                </m:rPr>
                <m:t>)</m:t>
              </m:r>
              <m:r>
                <m:rPr>
                  <m:sty m:val="p"/>
                </m:rPr>
                <m:t>=</m:t>
              </m:r>
              <m:r>
                <m:t>3.4</m:t>
              </m:r>
              <m:r>
                <m:rPr>
                  <m:sty m:val="p"/>
                </m:rPr>
                <m:t>(</m:t>
              </m:r>
              <m:r>
                <m:t>T</m:t>
              </m:r>
              <m:r>
                <m:rPr>
                  <m:sty m:val="p"/>
                </m:rPr>
                <m:t>−</m:t>
              </m:r>
              <m:r>
                <m:t>m</m:t>
              </m:r>
              <m:r>
                <m:rPr>
                  <m:sty m:val="p"/>
                </m:rPr>
                <m:t>)</m:t>
              </m:r>
              <m:r>
                <m:rPr>
                  <m:sty m:val="p"/>
                </m:rPr>
                <m:t>+</m:t>
              </m:r>
              <m:r>
                <m:t>4</m:t>
              </m:r>
              <m:r>
                <m:rPr>
                  <m:sty m:val="p"/>
                </m:rPr>
                <m:t>(</m:t>
              </m:r>
              <m:r>
                <m:t>m</m:t>
              </m:r>
              <m:r>
                <m:rPr>
                  <m:sty m:val="p"/>
                </m:rPr>
                <m:t>−</m:t>
              </m:r>
              <m:r>
                <m:t>B</m:t>
              </m:r>
              <m:r>
                <m:rPr>
                  <m:sty m:val="p"/>
                </m:rPr>
                <m:t>)</m:t>
              </m:r>
              <m:r>
                <m:rPr>
                  <m:sty m:val="p"/>
                </m:rPr>
                <m:t>−</m:t>
              </m:r>
              <m:r>
                <m:t>0.6</m:t>
              </m:r>
              <m:r>
                <m:t>m</m:t>
              </m:r>
            </m:oMath>
            <w:r>
              <w:rPr>
                <w:rFonts w:hint="eastAsia"/>
                <w:sz w:val="18"/>
              </w:rPr>
              <w:t xml:space="preserve">（</w:t>
            </w:r>
            <m:oMath>
              <m:r>
                <m:t>T</m:t>
              </m:r>
            </m:oMath>
            <w:r>
              <w:rPr>
                <w:sz w:val="18"/>
              </w:rPr>
              <w:t xml:space="preserve">・</w:t>
            </w:r>
            <m:oMath>
              <m:r>
                <m:t>B</m:t>
              </m:r>
            </m:oMath>
            <w:r>
              <w:rPr>
                <w:sz w:val="18"/>
              </w:rPr>
              <w:t xml:space="preserve"> </w:t>
            </w:r>
            <w:r>
              <w:rPr>
                <w:rFonts w:hint="eastAsia"/>
                <w:sz w:val="18"/>
              </w:rPr>
              <w:t xml:space="preserve">は上位・下位4時間の平均価格、</w:t>
            </w:r>
            <m:oMath>
              <m:r>
                <m:t>m</m:t>
              </m:r>
            </m:oMath>
            <w:r>
              <w:rPr>
                <w:sz w:val="18"/>
              </w:rPr>
              <w:t xml:space="preserve"> </w:t>
            </w:r>
            <w:r>
              <w:rPr>
                <w:rFonts w:hint="eastAsia"/>
                <w:sz w:val="18"/>
              </w:rPr>
              <w:t xml:space="preserve">は日平均価格）の第1項（上位4時間のプレミアム）と第2項（下位4時間のディスカウント）。第3項は往復損失の水準項。放電脚の比率は</w:t>
            </w:r>
            <w:r>
              <w:rPr>
                <w:sz w:val="18"/>
              </w:rPr>
              <w:t xml:space="preserve"> </w:t>
            </w:r>
            <m:oMath>
              <m:r>
                <m:rPr>
                  <m:sty m:val="p"/>
                </m:rPr>
                <m:t>(</m:t>
              </m:r>
              <m:r>
                <m:t>T</m:t>
              </m:r>
              <m:r>
                <m:rPr>
                  <m:sty m:val="p"/>
                </m:rPr>
                <m:t>−</m:t>
              </m:r>
              <m:r>
                <m:t>m</m:t>
              </m:r>
              <m:r>
                <m:rPr>
                  <m:sty m:val="p"/>
                </m:rPr>
                <m:t>)</m:t>
              </m:r>
              <m:r>
                <m:rPr>
                  <m:sty m:val="p"/>
                </m:rPr>
                <m:t>/</m:t>
              </m:r>
              <m:r>
                <m:rPr>
                  <m:sty m:val="p"/>
                </m:rPr>
                <m:t>(</m:t>
              </m:r>
              <m:r>
                <m:t>T</m:t>
              </m:r>
              <m:r>
                <m:rPr>
                  <m:sty m:val="p"/>
                </m:rPr>
                <m:t>−</m:t>
              </m:r>
              <m:r>
                <m:t>B</m:t>
              </m:r>
              <m:r>
                <m:rPr>
                  <m:sty m:val="p"/>
                </m:rPr>
                <m:t>)</m:t>
              </m:r>
            </m:oMath>
          </w:p>
        </w:tc>
      </w:tr>
      <w:tr>
        <w:tc>
          <w:tcPr/>
          <w:p>
            <w:pPr>
              <w:pStyle w:val="Compact"/>
            </w:pPr>
            <w:r>
              <w:rPr>
                <w:rFonts w:hint="eastAsia"/>
                <w:sz w:val="18"/>
              </w:rPr>
              <w:t xml:space="preserve">実行可能戦略</w:t>
            </w:r>
          </w:p>
        </w:tc>
        <w:tc>
          <w:tcPr/>
          <w:p>
            <w:pPr>
              <w:pStyle w:val="Compact"/>
            </w:pPr>
            <w:r>
              <w:rPr>
                <w:rFonts w:hint="eastAsia"/>
                <w:sz w:val="18"/>
              </w:rPr>
              <w:t xml:space="preserve">先読みのない取引戦略。戦略</w:t>
            </w:r>
            <w:r>
              <w:rPr>
                <w:sz w:val="18"/>
              </w:rPr>
              <w:t xml:space="preserve"> a </w:t>
            </w:r>
            <w:r>
              <w:rPr>
                <w:rFonts w:hint="eastAsia"/>
                <w:sz w:val="18"/>
              </w:rPr>
              <w:t xml:space="preserve">は前日の実現価格の順位、a2</w:t>
            </w:r>
            <w:r>
              <w:rPr>
                <w:sz w:val="18"/>
              </w:rPr>
              <w:t xml:space="preserve"> </w:t>
            </w:r>
            <w:r>
              <w:rPr>
                <w:rFonts w:hint="eastAsia"/>
                <w:sz w:val="18"/>
              </w:rPr>
              <w:t xml:space="preserve">は同じ曜日区分の直近日の実現価格の順位、b</w:t>
            </w:r>
            <w:r>
              <w:rPr>
                <w:sz w:val="18"/>
              </w:rPr>
              <w:t xml:space="preserve"> は D−2 </w:t>
            </w:r>
            <w:r>
              <w:rPr>
                <w:rFonts w:hint="eastAsia"/>
                <w:sz w:val="18"/>
              </w:rPr>
              <w:t xml:space="preserve">までの実績による需要（曜日区分別の28日平均）と太陽光（7日平均）の予測から作る残余需要の順位、b′</w:t>
            </w:r>
            <w:r>
              <w:rPr>
                <w:sz w:val="18"/>
              </w:rPr>
              <w:t xml:space="preserve"> は b </w:t>
            </w:r>
            <w:r>
              <w:rPr>
                <w:rFonts w:hint="eastAsia"/>
                <w:sz w:val="18"/>
              </w:rPr>
              <w:t xml:space="preserve">の残余需要から風力の直近7日（D−8〜D−2）の平均を控除した信号の順位、c</w:t>
            </w:r>
            <w:r>
              <w:rPr>
                <w:sz w:val="18"/>
              </w:rPr>
              <w:t xml:space="preserve"> </w:t>
            </w:r>
            <w:r>
              <w:rPr>
                <w:rFonts w:hint="eastAsia"/>
                <w:sz w:val="18"/>
              </w:rPr>
              <w:t xml:space="preserve">は過去28日・同じ曜日区分の平均価格カーブの順位（気候値。窓を前日に固定する本源的方策）を使う。DL1・DL3・DL5</w:t>
            </w:r>
            <w:r>
              <w:rPr>
                <w:sz w:val="18"/>
              </w:rPr>
              <w:t xml:space="preserve"> </w:t>
            </w:r>
            <w:r>
              <w:rPr>
                <w:rFonts w:hint="eastAsia"/>
                <w:sz w:val="18"/>
              </w:rPr>
              <w:t xml:space="preserve">は、気候値からの偏差を1・3・5個の主成分に縮約し、因子ごとの</w:t>
            </w:r>
            <w:r>
              <w:rPr>
                <w:sz w:val="18"/>
              </w:rPr>
              <w:t xml:space="preserve"> AR(1) </w:t>
            </w:r>
            <w:r>
              <w:rPr>
                <w:rFonts w:hint="eastAsia"/>
                <w:sz w:val="18"/>
              </w:rPr>
              <w:t xml:space="preserve">で当日に持ち越す動的因子予測（式(B.13)）、AR</w:t>
            </w:r>
            <w:r>
              <w:rPr>
                <w:sz w:val="18"/>
              </w:rPr>
              <w:t xml:space="preserve"> </w:t>
            </w:r>
            <w:r>
              <w:rPr>
                <w:rFonts w:hint="eastAsia"/>
                <w:sz w:val="18"/>
              </w:rPr>
              <w:t xml:space="preserve">は時刻別の</w:t>
            </w:r>
            <w:r>
              <w:rPr>
                <w:sz w:val="18"/>
              </w:rPr>
              <w:t xml:space="preserve"> AR(1) </w:t>
            </w:r>
            <w:r>
              <w:rPr>
                <w:rFonts w:hint="eastAsia"/>
                <w:sz w:val="18"/>
              </w:rPr>
              <w:t xml:space="preserve">による予測である（付録B.3.1、B.3.6）</w:t>
            </w:r>
          </w:p>
        </w:tc>
      </w:tr>
      <w:tr>
        <w:tc>
          <w:tcPr/>
          <w:p>
            <w:pPr>
              <w:pStyle w:val="Compact"/>
            </w:pPr>
            <w:r>
              <w:rPr>
                <w:rFonts w:hint="eastAsia"/>
                <w:sz w:val="18"/>
              </w:rPr>
              <w:t xml:space="preserve">実現率（capture</w:t>
            </w:r>
            <w:r>
              <w:rPr>
                <w:sz w:val="18"/>
              </w:rPr>
              <w:t xml:space="preserve"> </w:t>
            </w:r>
            <w:r>
              <w:rPr>
                <w:rFonts w:hint="eastAsia"/>
                <w:sz w:val="18"/>
              </w:rPr>
              <w:t xml:space="preserve">rate）</w:t>
            </w:r>
          </w:p>
        </w:tc>
        <w:tc>
          <w:tcPr/>
          <w:p>
            <w:pPr>
              <w:pStyle w:val="Compact"/>
            </w:pPr>
            <w:r>
              <w:rPr>
                <w:rFonts w:hint="eastAsia"/>
                <w:sz w:val="18"/>
              </w:rPr>
              <w:t xml:space="preserve">実行可能戦略の実現粗利を完全予見粗利で割った比率。戦略</w:t>
            </w:r>
            <w:r>
              <w:rPr>
                <w:sz w:val="18"/>
              </w:rPr>
              <w:t xml:space="preserve"> c は FY2023〜25 </w:t>
            </w:r>
            <w:r>
              <w:rPr>
                <w:rFonts w:hint="eastAsia"/>
                <w:sz w:val="18"/>
              </w:rPr>
              <w:t xml:space="preserve">の実績価格で81.7%（8,427円/kW-年）、第7章のモデル価格の上では0.92。均衡分析では、実績で測った実現率をモデルの完全予見粗利に掛けない（取り逃しを二重に差し引くことになるため）</w:t>
            </w:r>
          </w:p>
        </w:tc>
      </w:tr>
      <w:tr>
        <w:tc>
          <w:tcPr/>
          <w:p>
            <w:pPr>
              <w:pStyle w:val="Compact"/>
            </w:pPr>
            <w:r>
              <w:rPr>
                <w:rFonts w:hint="eastAsia"/>
                <w:sz w:val="18"/>
              </w:rPr>
              <w:t xml:space="preserve">層</w:t>
            </w:r>
            <w:r>
              <w:rPr>
                <w:sz w:val="18"/>
              </w:rPr>
              <w:t xml:space="preserve"> (I)・(II)・(III)</w:t>
            </w:r>
          </w:p>
        </w:tc>
        <w:tc>
          <w:tcPr/>
          <w:p>
            <w:pPr>
              <w:pStyle w:val="Compact"/>
            </w:pPr>
            <w:r>
              <w:rPr>
                <w:rFonts w:hint="eastAsia"/>
                <w:sz w:val="18"/>
              </w:rPr>
              <w:t xml:space="preserve">式(6.2)。戦略</w:t>
            </w:r>
            <w:r>
              <w:rPr>
                <w:sz w:val="18"/>
              </w:rPr>
              <w:t xml:space="preserve"> c </w:t>
            </w:r>
            <w:r>
              <w:rPr>
                <w:rFonts w:hint="eastAsia"/>
                <w:sz w:val="18"/>
              </w:rPr>
              <w:t xml:space="preserve">の窓</w:t>
            </w:r>
            <w:r>
              <w:rPr>
                <w:sz w:val="18"/>
              </w:rPr>
              <w:t xml:space="preserve"> </w:t>
            </w:r>
            <m:oMath>
              <m:r>
                <m:rPr>
                  <m:sty m:val="p"/>
                </m:rPr>
                <m:t>(</m:t>
              </m:r>
              <m:sSub>
                <m:e>
                  <m:r>
                    <m:t>D</m:t>
                  </m:r>
                </m:e>
                <m:sub>
                  <m:r>
                    <m:t>c</m:t>
                  </m:r>
                </m:sub>
              </m:sSub>
              <m:r>
                <m:rPr>
                  <m:sty m:val="p"/>
                </m:rPr>
                <m:t>,</m:t>
              </m:r>
              <m:sSub>
                <m:e>
                  <m:r>
                    <m:t>C</m:t>
                  </m:r>
                </m:e>
                <m:sub>
                  <m:r>
                    <m:t>c</m:t>
                  </m:r>
                </m:sub>
              </m:sSub>
              <m:r>
                <m:rPr>
                  <m:sty m:val="p"/>
                </m:rPr>
                <m:t>)</m:t>
              </m:r>
            </m:oMath>
            <w:r>
              <w:rPr>
                <w:sz w:val="18"/>
              </w:rPr>
              <w:t xml:space="preserve"> </w:t>
            </w:r>
            <w:r>
              <w:rPr>
                <w:rFonts w:hint="eastAsia"/>
                <w:sz w:val="18"/>
              </w:rPr>
              <w:t xml:space="preserve">を基準とする完全予見粗利の分解。(I)</w:t>
            </w:r>
            <w:r>
              <w:rPr>
                <w:sz w:val="18"/>
              </w:rPr>
              <w:t xml:space="preserve"> </w:t>
            </w:r>
            <w:r>
              <w:rPr>
                <w:rFonts w:hint="eastAsia"/>
                <w:sz w:val="18"/>
              </w:rPr>
              <w:t xml:space="preserve">は本源的方策の価値</w:t>
            </w:r>
            <w:r>
              <w:rPr>
                <w:sz w:val="18"/>
              </w:rPr>
              <w:t xml:space="preserve"> </w:t>
            </w:r>
            <m:oMath>
              <m:nary>
                <m:naryPr>
                  <m:chr m:val="∑"/>
                  <m:limLoc m:val="undOvr"/>
                  <m:subHide m:val="off"/>
                  <m:supHide m:val="on"/>
                </m:naryPr>
                <m:sub>
                  <m:r>
                    <m:t>t</m:t>
                  </m:r>
                </m:sub>
                <m:sup>
                  <m:r>
                    <m:t>​</m:t>
                  </m:r>
                </m:sup>
                <m:e>
                  <m:sSub>
                    <m:e>
                      <m:r>
                        <m:t>X</m:t>
                      </m:r>
                    </m:e>
                    <m:sub>
                      <m:r>
                        <m:t>t</m:t>
                      </m:r>
                    </m:sub>
                  </m:sSub>
                </m:e>
              </m:nary>
              <m:r>
                <m:rPr>
                  <m:sty m:val="p"/>
                </m:rPr>
                <m:t>(</m:t>
              </m:r>
              <m:sSub>
                <m:e>
                  <m:r>
                    <m:t>D</m:t>
                  </m:r>
                </m:e>
                <m:sub>
                  <m:r>
                    <m:t>c</m:t>
                  </m:r>
                </m:sub>
              </m:sSub>
              <m:r>
                <m:rPr>
                  <m:sty m:val="p"/>
                </m:rPr>
                <m:t>,</m:t>
              </m:r>
              <m:sSub>
                <m:e>
                  <m:r>
                    <m:t>C</m:t>
                  </m:r>
                </m:e>
                <m:sub>
                  <m:r>
                    <m:t>c</m:t>
                  </m:r>
                </m:sub>
              </m:sSub>
              <m:r>
                <m:rPr>
                  <m:sty m:val="p"/>
                </m:rPr>
                <m:t>)</m:t>
              </m:r>
            </m:oMath>
            <w:r>
              <w:rPr>
                <w:sz w:val="18"/>
              </w:rPr>
              <w:t xml:space="preserve">、(II) </w:t>
            </w:r>
            <w:r>
              <w:rPr>
                <w:rFonts w:hint="eastAsia"/>
                <w:sz w:val="18"/>
              </w:rPr>
              <w:t xml:space="preserve">は休止の価値</w:t>
            </w:r>
            <w:r>
              <w:rPr>
                <w:sz w:val="18"/>
              </w:rPr>
              <w:t xml:space="preserve"> </w:t>
            </w:r>
            <m:oMath>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r>
                <m:rPr>
                  <m:sty m:val="p"/>
                </m:rPr>
                <m:t>−</m:t>
              </m:r>
            </m:oMath>
            <w:r>
              <w:rPr>
                <w:sz w:val="18"/>
              </w:rPr>
              <w:t xml:space="preserve">(I)、(III) </w:t>
            </w:r>
            <w:r>
              <w:rPr>
                <w:rFonts w:hint="eastAsia"/>
                <w:sz w:val="18"/>
              </w:rPr>
              <w:t xml:space="preserve">は窓の選び直しの価値（完全予見粗利</w:t>
            </w:r>
            <w:r>
              <w:rPr>
                <w:sz w:val="18"/>
              </w:rPr>
              <w:t xml:space="preserve"> </w:t>
            </w:r>
            <m:oMath>
              <m:r>
                <m:rPr>
                  <m:sty m:val="p"/>
                </m:rPr>
                <m:t>−</m:t>
              </m:r>
              <m:nary>
                <m:naryPr>
                  <m:chr m:val="∑"/>
                  <m:limLoc m:val="undOvr"/>
                  <m:subHide m:val="off"/>
                  <m:supHide m:val="on"/>
                </m:naryPr>
                <m:sub>
                  <m:r>
                    <m:t>t</m:t>
                  </m:r>
                </m:sub>
                <m:sup>
                  <m:r>
                    <m:t>​</m:t>
                  </m:r>
                </m:sup>
                <m:e>
                  <m:r>
                    <m:rPr>
                      <m:sty m:val="p"/>
                    </m:rPr>
                    <m:t>max</m:t>
                  </m:r>
                </m:e>
              </m:nary>
              <m:r>
                <m:rPr>
                  <m:sty m:val="p"/>
                </m:rPr>
                <m:t>{</m:t>
              </m:r>
              <m:sSub>
                <m:e>
                  <m:r>
                    <m:t>X</m:t>
                  </m:r>
                </m:e>
                <m:sub>
                  <m:r>
                    <m:t>t</m:t>
                  </m:r>
                </m:sub>
              </m:sSub>
              <m:r>
                <m:rPr>
                  <m:sty m:val="p"/>
                </m:rPr>
                <m:t>(</m:t>
              </m:r>
              <m:sSub>
                <m:e>
                  <m:r>
                    <m:t>D</m:t>
                  </m:r>
                </m:e>
                <m:sub>
                  <m:r>
                    <m:t>c</m:t>
                  </m:r>
                </m:sub>
              </m:sSub>
              <m:r>
                <m:rPr>
                  <m:sty m:val="p"/>
                </m:rPr>
                <m:t>,</m:t>
              </m:r>
              <m:sSub>
                <m:e>
                  <m:r>
                    <m:t>C</m:t>
                  </m:r>
                </m:e>
                <m:sub>
                  <m:r>
                    <m:t>c</m:t>
                  </m:r>
                </m:sub>
              </m:sSub>
              <m:r>
                <m:rPr>
                  <m:sty m:val="p"/>
                </m:rPr>
                <m:t>)</m:t>
              </m:r>
              <m:r>
                <m:rPr>
                  <m:sty m:val="p"/>
                </m:rPr>
                <m:t>,</m:t>
              </m:r>
              <m:r>
                <m:t>0</m:t>
              </m:r>
              <m:r>
                <m:rPr>
                  <m:sty m:val="p"/>
                </m:rPr>
                <m:t>}</m:t>
              </m:r>
            </m:oMath>
            <w:r>
              <w:rPr>
                <w:rFonts w:hint="eastAsia"/>
                <w:sz w:val="18"/>
              </w:rPr>
              <w:t xml:space="preserve">）。(I)＋(II)＋(III)</w:t>
            </w:r>
            <w:r>
              <w:rPr>
                <w:sz w:val="18"/>
              </w:rPr>
              <w:t xml:space="preserve"> </w:t>
            </w:r>
            <w:r>
              <w:rPr>
                <w:rFonts w:hint="eastAsia"/>
                <w:sz w:val="18"/>
              </w:rPr>
              <w:t xml:space="preserve">は完全予見粗利に等しく、(I)</w:t>
            </w:r>
            <w:r>
              <w:rPr>
                <w:sz w:val="18"/>
              </w:rPr>
              <w:t xml:space="preserve"> </w:t>
            </w:r>
            <w:r>
              <w:rPr>
                <w:rFonts w:hint="eastAsia"/>
                <w:sz w:val="18"/>
              </w:rPr>
              <w:t xml:space="preserve">を完全予見粗利で割ると戦略</w:t>
            </w:r>
            <w:r>
              <w:rPr>
                <w:sz w:val="18"/>
              </w:rPr>
              <w:t xml:space="preserve"> c </w:t>
            </w:r>
            <w:r>
              <w:rPr>
                <w:rFonts w:hint="eastAsia"/>
                <w:sz w:val="18"/>
              </w:rPr>
              <w:t xml:space="preserve">の実現率になる。(II)＋(III)</w:t>
            </w:r>
            <w:r>
              <w:rPr>
                <w:sz w:val="18"/>
              </w:rPr>
              <w:t xml:space="preserve"> </w:t>
            </w:r>
            <w:r>
              <w:rPr>
                <w:rFonts w:hint="eastAsia"/>
                <w:sz w:val="18"/>
              </w:rPr>
              <w:t xml:space="preserve">は固定窓に対する完全情報の価値で、時間前市場でスポットと同じ価格で組み替えられるとした場合の上限</w:t>
            </w:r>
          </w:p>
        </w:tc>
      </w:tr>
      <w:tr>
        <w:tc>
          <w:tcPr/>
          <w:p>
            <w:pPr>
              <w:pStyle w:val="Compact"/>
            </w:pPr>
            <w:r>
              <w:rPr>
                <w:sz w:val="18"/>
              </w:rPr>
              <w:t xml:space="preserve">DM </w:t>
            </w:r>
            <w:r>
              <w:rPr>
                <w:rFonts w:hint="eastAsia"/>
                <w:sz w:val="18"/>
              </w:rPr>
              <w:t xml:space="preserve">統計量</w:t>
            </w:r>
          </w:p>
        </w:tc>
        <w:tc>
          <w:tcPr/>
          <w:p>
            <w:pPr>
              <w:pStyle w:val="Compact"/>
            </w:pPr>
            <w:r>
              <w:rPr>
                <w:rFonts w:hint="eastAsia"/>
                <w:sz w:val="18"/>
              </w:rPr>
              <w:t xml:space="preserve">2戦略の日次粗利の差を損失差とする</w:t>
            </w:r>
            <w:r>
              <w:rPr>
                <w:sz w:val="18"/>
              </w:rPr>
              <w:t xml:space="preserve"> Diebold–Mariano </w:t>
            </w:r>
            <w:r>
              <w:rPr>
                <w:rFonts w:hint="eastAsia"/>
                <w:sz w:val="18"/>
              </w:rPr>
              <w:t xml:space="preserve">統計量。長期分散は</w:t>
            </w:r>
            <w:r>
              <w:rPr>
                <w:sz w:val="18"/>
              </w:rPr>
              <w:t xml:space="preserve"> </w:t>
            </w:r>
            <w:r>
              <w:rPr>
                <w:rFonts w:hint="eastAsia"/>
                <w:sz w:val="18"/>
              </w:rPr>
              <w:t xml:space="preserve">Newey–West（ラグ7日）で推定し、Harvey</w:t>
            </w:r>
            <w:r>
              <w:rPr>
                <w:sz w:val="18"/>
              </w:rPr>
              <w:t xml:space="preserve"> et </w:t>
            </w:r>
            <w:r>
              <w:rPr>
                <w:rFonts w:hint="eastAsia"/>
                <w:sz w:val="18"/>
              </w:rPr>
              <w:t xml:space="preserve">al.（1997）の小標本補正を付す（付録B.3.5）</w:t>
            </w:r>
          </w:p>
        </w:tc>
      </w:tr>
      <w:tr>
        <w:tc>
          <w:tcPr/>
          <w:p>
            <w:pPr>
              <w:pStyle w:val="Compact"/>
            </w:pPr>
            <w:r>
              <w:rPr>
                <w:sz w:val="18"/>
              </w:rPr>
              <w:t xml:space="preserve">SPA </w:t>
            </w:r>
            <w:r>
              <w:rPr>
                <w:rFonts w:hint="eastAsia"/>
                <w:sz w:val="18"/>
              </w:rPr>
              <w:t xml:space="preserve">検定・Reality</w:t>
            </w:r>
            <w:r>
              <w:rPr>
                <w:sz w:val="18"/>
              </w:rPr>
              <w:t xml:space="preserve"> Check</w:t>
            </w:r>
          </w:p>
        </w:tc>
        <w:tc>
          <w:tcPr/>
          <w:p>
            <w:pPr>
              <w:pStyle w:val="Compact"/>
            </w:pPr>
            <w:r>
              <w:rPr>
                <w:rFonts w:hint="eastAsia"/>
                <w:sz w:val="18"/>
              </w:rPr>
              <w:t xml:space="preserve">基準以外の候補のうち最善のものも基準を上回らない、という帰無仮説の検定（Hansen,</w:t>
            </w:r>
            <w:r>
              <w:rPr>
                <w:sz w:val="18"/>
              </w:rPr>
              <w:t xml:space="preserve"> 2005; White, </w:t>
            </w:r>
            <w:r>
              <w:rPr>
                <w:rFonts w:hint="eastAsia"/>
                <w:sz w:val="18"/>
              </w:rPr>
              <w:t xml:space="preserve">2000）。定常ブートストラップ（平均ブロック長20日、10,000回）による（付録B.3.5）</w:t>
            </w:r>
          </w:p>
        </w:tc>
      </w:tr>
      <w:tr>
        <w:tc>
          <w:tcPr/>
          <w:p>
            <w:pPr>
              <w:pStyle w:val="Compact"/>
            </w:pPr>
            <w:r>
              <w:rPr>
                <w:sz w:val="18"/>
              </w:rPr>
              <w:t xml:space="preserve">duration </w:t>
            </w:r>
            <w:r>
              <w:rPr>
                <w:rFonts w:hint="eastAsia"/>
                <w:sz w:val="18"/>
              </w:rPr>
              <w:t xml:space="preserve">別の価値と</w:t>
            </w:r>
            <w:r>
              <w:rPr>
                <w:sz w:val="18"/>
              </w:rPr>
              <w:t xml:space="preserve"> </w:t>
            </w:r>
            <m:oMath>
              <m:sSup>
                <m:e>
                  <m:r>
                    <m:t>θ</m:t>
                  </m:r>
                </m:e>
                <m:sup>
                  <m:r>
                    <m:rPr>
                      <m:sty m:val="p"/>
                    </m:rPr>
                    <m:t>*</m:t>
                  </m:r>
                </m:sup>
              </m:sSup>
              <m:r>
                <m:rPr>
                  <m:sty m:val="p"/>
                </m:rPr>
                <m:t>(</m:t>
              </m:r>
              <m:r>
                <m:t>h</m:t>
              </m:r>
              <m:r>
                <m:rPr>
                  <m:sty m:val="p"/>
                </m:rPr>
                <m:t>)</m:t>
              </m:r>
            </m:oMath>
          </w:p>
        </w:tc>
        <w:tc>
          <w:tcPr/>
          <w:p>
            <w:pPr>
              <w:pStyle w:val="Compact"/>
            </w:pPr>
            <w:r>
              <w:rPr>
                <w:rFonts w:hint="eastAsia"/>
                <w:sz w:val="18"/>
              </w:rPr>
              <w:t xml:space="preserve">充放電時間</w:t>
            </w:r>
            <w:r>
              <w:rPr>
                <w:sz w:val="18"/>
              </w:rPr>
              <w:t xml:space="preserve"> </w:t>
            </w:r>
            <m:oMath>
              <m:r>
                <m:t>h</m:t>
              </m:r>
            </m:oMath>
            <w:r>
              <w:rPr>
                <w:sz w:val="18"/>
              </w:rPr>
              <w:t xml:space="preserve">=2〜8 </w:t>
            </w:r>
            <w:r>
              <w:rPr>
                <w:rFonts w:hint="eastAsia"/>
                <w:sz w:val="18"/>
              </w:rPr>
              <w:t xml:space="preserve">の完全予見粗利と、窓を</w:t>
            </w:r>
            <w:r>
              <w:rPr>
                <w:sz w:val="18"/>
              </w:rPr>
              <w:t xml:space="preserve"> </w:t>
            </w:r>
            <m:oMath>
              <m:r>
                <m:t>h</m:t>
              </m:r>
            </m:oMath>
            <w:r>
              <w:rPr>
                <w:sz w:val="18"/>
              </w:rPr>
              <w:t xml:space="preserve"> </w:t>
            </w:r>
            <w:r>
              <w:rPr>
                <w:rFonts w:hint="eastAsia"/>
                <w:sz w:val="18"/>
              </w:rPr>
              <w:t xml:space="preserve">時間にした戦略</w:t>
            </w:r>
            <w:r>
              <w:rPr>
                <w:sz w:val="18"/>
              </w:rPr>
              <w:t xml:space="preserve"> c </w:t>
            </w:r>
            <w:r>
              <w:rPr>
                <w:rFonts w:hint="eastAsia"/>
                <w:sz w:val="18"/>
              </w:rPr>
              <w:t xml:space="preserve">の実現粗利。資本費を</w:t>
            </w:r>
            <w:r>
              <w:rPr>
                <w:sz w:val="18"/>
              </w:rPr>
              <w:t xml:space="preserve"> kWh </w:t>
            </w:r>
            <w:r>
              <w:rPr>
                <w:rFonts w:hint="eastAsia"/>
                <w:sz w:val="18"/>
              </w:rPr>
              <w:t xml:space="preserve">に比例する部分と</w:t>
            </w:r>
            <w:r>
              <w:rPr>
                <w:sz w:val="18"/>
              </w:rPr>
              <w:t xml:space="preserve"> kW </w:t>
            </w:r>
            <w:r>
              <w:rPr>
                <w:rFonts w:hint="eastAsia"/>
                <w:sz w:val="18"/>
              </w:rPr>
              <w:t xml:space="preserve">に比例する部分（主は24.3%、0〜40%</w:t>
            </w:r>
            <w:r>
              <w:rPr>
                <w:sz w:val="18"/>
              </w:rPr>
              <w:t xml:space="preserve"> </w:t>
            </w:r>
            <w:r>
              <w:rPr>
                <w:rFonts w:hint="eastAsia"/>
                <w:sz w:val="18"/>
              </w:rPr>
              <w:t xml:space="preserve">を感応度）に分け、容量収入を2029年度向けの北海道の調整係数</w:t>
            </w:r>
            <w:r>
              <w:rPr>
                <w:sz w:val="18"/>
              </w:rPr>
              <w:t xml:space="preserve"> </w:t>
            </w:r>
            <m:oMath>
              <m:r>
                <m:t>κ</m:t>
              </m:r>
              <m:r>
                <m:rPr>
                  <m:sty m:val="p"/>
                </m:rPr>
                <m:t>(</m:t>
              </m:r>
              <m:r>
                <m:t>h</m:t>
              </m:r>
              <m:r>
                <m:rPr>
                  <m:sty m:val="p"/>
                </m:rPr>
                <m:t>)</m:t>
              </m:r>
            </m:oMath>
            <w:r>
              <w:rPr>
                <w:rFonts w:hint="eastAsia"/>
                <w:sz w:val="18"/>
              </w:rPr>
              <w:t xml:space="preserve">（3時間未満は0）で按分して、</w:t>
            </w:r>
            <m:oMath>
              <m:r>
                <m:t>h</m:t>
              </m:r>
            </m:oMath>
            <w:r>
              <w:rPr>
                <w:sz w:val="18"/>
              </w:rPr>
              <w:t xml:space="preserve"> </w:t>
            </w:r>
            <w:r>
              <w:rPr>
                <w:rFonts w:hint="eastAsia"/>
                <w:sz w:val="18"/>
              </w:rPr>
              <w:t xml:space="preserve">別の参入閾値を求める（付録B.3.8）</w:t>
            </w:r>
          </w:p>
        </w:tc>
      </w:tr>
    </w:tbl>
    <w:p>
      <w:pPr>
        <w:pStyle w:val="TableNote"/>
      </w:pPr>
      <w:r>
        <w:rPr>
          <w:rFonts w:hint="eastAsia"/>
        </w:rPr>
        <w:t xml:space="preserve">出所）筆者作成。</w:t>
      </w:r>
    </w:p>
    <w:p>
      <w:pPr>
        <w:pStyle w:val="TableCaption"/>
      </w:pPr>
      <w:r>
        <w:rPr>
          <w:rFonts w:hint="eastAsia"/>
        </w:rPr>
        <w:t xml:space="preserve">表A.6</w:t>
      </w:r>
      <w:r>
        <w:t xml:space="preserve">　</w:t>
      </w:r>
      <w:r>
        <w:rPr>
          <w:rFonts w:hint="eastAsia"/>
        </w:rPr>
        <w:t xml:space="preserve">価格過程と均衡分析の定義（第7・9章）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6　価格過程と均衡分析の定義（第7・9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価格水準係数</w:t>
            </w:r>
            <w:r>
              <w:rPr>
                <w:sz w:val="18"/>
              </w:rPr>
              <w:t xml:space="preserve"> </w:t>
            </w:r>
            <m:oMath>
              <m:sSub>
                <m:e>
                  <m:r>
                    <m:t>θ</m:t>
                  </m:r>
                </m:e>
                <m:sub>
                  <m:r>
                    <m:rPr>
                      <m:sty m:val="p"/>
                    </m:rPr>
                    <m:t>F</m:t>
                  </m:r>
                  <m:r>
                    <m:rPr>
                      <m:sty m:val="p"/>
                    </m:rPr>
                    <m:t>Y</m:t>
                  </m:r>
                </m:sub>
              </m:sSub>
            </m:oMath>
            <w:r>
              <w:rPr>
                <w:sz w:val="18"/>
              </w:rPr>
              <w:t xml:space="preserve">・</w:t>
            </w:r>
            <m:oMath>
              <m:sSub>
                <m:e>
                  <m:r>
                    <m:t>θ</m:t>
                  </m:r>
                </m:e>
                <m:sub>
                  <m:r>
                    <m:t>m</m:t>
                  </m:r>
                </m:sub>
              </m:sSub>
            </m:oMath>
          </w:p>
        </w:tc>
        <w:tc>
          <w:tcPr/>
          <w:p>
            <w:pPr>
              <w:pStyle w:val="Compact"/>
            </w:pPr>
            <w:r>
              <w:rPr>
                <w:rFonts w:hint="eastAsia"/>
                <w:sz w:val="18"/>
              </w:rPr>
              <w:t xml:space="preserve">式(4.3)の年度別のスケール（FY2023〜25</w:t>
            </w:r>
            <w:r>
              <w:rPr>
                <w:sz w:val="18"/>
              </w:rPr>
              <w:t xml:space="preserve"> </w:t>
            </w:r>
            <w:r>
              <w:rPr>
                <w:rFonts w:hint="eastAsia"/>
                <w:sz w:val="18"/>
              </w:rPr>
              <w:t xml:space="preserve">の時間加重平均を1とする）。下限価格より上の部分を同じ比率で伸縮させる乗法的な水準の因子で、月次の</w:t>
            </w:r>
            <w:r>
              <w:rPr>
                <w:sz w:val="18"/>
              </w:rPr>
              <w:t xml:space="preserve"> </w:t>
            </w:r>
            <m:oMath>
              <m:sSub>
                <m:e>
                  <m:r>
                    <m:t>θ</m:t>
                  </m:r>
                </m:e>
                <m:sub>
                  <m:r>
                    <m:t>m</m:t>
                  </m:r>
                </m:sub>
              </m:sSub>
            </m:oMath>
            <w:r>
              <w:rPr>
                <w:sz w:val="18"/>
              </w:rPr>
              <w:t xml:space="preserve"> </w:t>
            </w:r>
            <w:r>
              <w:rPr>
                <w:rFonts w:hint="eastAsia"/>
                <w:sz w:val="18"/>
              </w:rPr>
              <w:t xml:space="preserve">も求める（付録B.4.1）</w:t>
            </w:r>
          </w:p>
        </w:tc>
      </w:tr>
      <w:tr>
        <w:tc>
          <w:tcPr/>
          <w:p>
            <w:pPr>
              <w:pStyle w:val="Compact"/>
            </w:pPr>
            <w:r>
              <w:rPr>
                <w:rFonts w:hint="eastAsia"/>
                <w:sz w:val="18"/>
              </w:rPr>
              <w:t xml:space="preserve">仕様A・仕様A′・分断混合仕様</w:t>
            </w:r>
          </w:p>
        </w:tc>
        <w:tc>
          <w:tcPr/>
          <w:p>
            <w:pPr>
              <w:pStyle w:val="Compact"/>
            </w:pPr>
            <w:r>
              <w:rPr>
                <w:rFonts w:hint="eastAsia"/>
                <w:sz w:val="18"/>
              </w:rPr>
              <w:t xml:space="preserve">仕様A</w:t>
            </w:r>
            <w:r>
              <w:rPr>
                <w:sz w:val="18"/>
              </w:rPr>
              <w:t xml:space="preserve"> </w:t>
            </w:r>
            <w:r>
              <w:rPr>
                <w:rFonts w:hint="eastAsia"/>
                <w:sz w:val="18"/>
              </w:rPr>
              <w:t xml:space="preserve">は、純需要の供給曲線</w:t>
            </w:r>
            <w:r>
              <w:rPr>
                <w:sz w:val="18"/>
              </w:rPr>
              <w:t xml:space="preserve"> </w:t>
            </w:r>
            <m:oMath>
              <m:r>
                <m:t>g</m:t>
              </m:r>
            </m:oMath>
            <w:r>
              <w:rPr>
                <w:sz w:val="18"/>
              </w:rPr>
              <w:t xml:space="preserve"> </w:t>
            </w:r>
            <w:r>
              <w:rPr>
                <w:rFonts w:hint="eastAsia"/>
                <w:sz w:val="18"/>
              </w:rPr>
              <w:t xml:space="preserve">と時刻別プレミアム</w:t>
            </w:r>
            <w:r>
              <w:rPr>
                <w:sz w:val="18"/>
              </w:rPr>
              <w:t xml:space="preserve"> </w:t>
            </w:r>
            <m:oMath>
              <m:r>
                <m:t>μ</m:t>
              </m:r>
            </m:oMath>
            <w:r>
              <w:rPr>
                <w:rFonts w:hint="eastAsia"/>
                <w:sz w:val="18"/>
              </w:rPr>
              <w:t xml:space="preserve">（季節×時刻）からなる単一曲線の仕様。仕様A′</w:t>
            </w:r>
            <w:r>
              <w:rPr>
                <w:sz w:val="18"/>
              </w:rPr>
              <w:t xml:space="preserve"> は</w:t>
            </w:r>
            <w:r>
              <w:rPr>
                <w:sz w:val="18"/>
              </w:rPr>
              <w:t xml:space="preserve"> </w:t>
            </w:r>
            <m:oMath>
              <m:r>
                <m:t>μ</m:t>
              </m:r>
            </m:oMath>
            <w:r>
              <w:rPr>
                <w:sz w:val="18"/>
              </w:rPr>
              <w:t xml:space="preserve"> </w:t>
            </w:r>
            <w:r>
              <w:rPr>
                <w:rFonts w:hint="eastAsia"/>
                <w:sz w:val="18"/>
              </w:rPr>
              <w:t xml:space="preserve">を（季節、時刻、日次の制御前の風力発電量の三分位）に依存させた修正版であり、風力への条件付き応答と実績との差が標本内で有意でなくなる組合せとして選んだ（風力への応答はなお実績の約2倍）。三分位の境界は季節ごとに</w:t>
            </w:r>
            <w:r>
              <w:rPr>
                <w:sz w:val="18"/>
              </w:rPr>
              <w:t xml:space="preserve"> FY2023〜25 </w:t>
            </w:r>
            <w:r>
              <w:rPr>
                <w:rFonts w:hint="eastAsia"/>
                <w:sz w:val="18"/>
              </w:rPr>
              <w:t xml:space="preserve">で定め、風力の反実仮想では最上位の三分位より先へ外挿しない。分断混合仕様は、システムプライス比の安値・同価格・高値の3レジームを純需要の多項ロジットで混合する仕様（付録B.4.1）</w:t>
            </w:r>
          </w:p>
        </w:tc>
      </w:tr>
      <w:tr>
        <w:tc>
          <w:tcPr/>
          <w:p>
            <w:pPr>
              <w:pStyle w:val="Compact"/>
            </w:pPr>
            <w:r>
              <w:rPr>
                <w:rFonts w:hint="eastAsia"/>
                <w:sz w:val="18"/>
              </w:rPr>
              <w:t xml:space="preserve">推定範囲外と両端の扱い</w:t>
            </w:r>
          </w:p>
        </w:tc>
        <w:tc>
          <w:tcPr/>
          <w:p>
            <w:pPr>
              <w:pStyle w:val="Compact"/>
            </w:pPr>
            <w:r>
              <w:rPr>
                <w:rFonts w:hint="eastAsia"/>
                <w:sz w:val="18"/>
              </w:rPr>
              <w:t xml:space="preserve">推定範囲外は、各季節の</w:t>
            </w:r>
            <w:r>
              <w:rPr>
                <w:sz w:val="18"/>
              </w:rPr>
              <w:t xml:space="preserve"> </w:t>
            </w:r>
            <m:oMath>
              <m:r>
                <m:t>g</m:t>
              </m:r>
            </m:oMath>
            <w:r>
              <w:rPr>
                <w:sz w:val="18"/>
              </w:rPr>
              <w:t xml:space="preserve"> </w:t>
            </w:r>
            <w:r>
              <w:rPr>
                <w:rFonts w:hint="eastAsia"/>
                <w:sz w:val="18"/>
              </w:rPr>
              <w:t xml:space="preserve">の最下位ビンの中心より低い純需要。仕様A</w:t>
            </w:r>
            <w:r>
              <w:rPr>
                <w:sz w:val="18"/>
              </w:rPr>
              <w:t xml:space="preserve"> </w:t>
            </w:r>
            <w:r>
              <w:rPr>
                <w:rFonts w:hint="eastAsia"/>
                <w:sz w:val="18"/>
              </w:rPr>
              <w:t xml:space="preserve">はこの範囲の価格を0.01円とする（段差。主）。感応度として、最下位の打ち切られていない8ビンの傾きで線形外挿し、下限0.01円を残す場合（線形外挿・下限あり）と外す場合（下限なし）を計算する。上端（最上位ビンの中心より高い純需要）は価格を一定とし、線形外挿を感応度とする</w:t>
            </w:r>
          </w:p>
        </w:tc>
      </w:tr>
      <w:tr>
        <w:tc>
          <w:tcPr/>
          <w:p>
            <w:pPr>
              <w:pStyle w:val="Compact"/>
            </w:pPr>
            <w:r>
              <w:rPr>
                <w:rFonts w:hint="eastAsia"/>
                <w:sz w:val="18"/>
              </w:rPr>
              <w:t xml:space="preserve">ベースロードの一律減</w:t>
            </w:r>
          </w:p>
        </w:tc>
        <w:tc>
          <w:tcPr/>
          <w:p>
            <w:pPr>
              <w:pStyle w:val="Compact"/>
            </w:pPr>
            <w:r>
              <w:rPr>
                <w:rFonts w:hint="eastAsia"/>
                <w:sz w:val="18"/>
              </w:rPr>
              <w:t xml:space="preserve">原子力の再稼働を、純需要からの一律の差し引きで表す。泊3号は91.2万kW×稼働率90%＝821MW、泊2基相当は泊3号の2基分の1,642MW、泊1〜3号の全基は207万kW×90%＝1,863MW。泊＋風力2倍は泊3号と風力2倍の組合せ</w:t>
            </w:r>
          </w:p>
        </w:tc>
      </w:tr>
      <w:tr>
        <w:tc>
          <w:tcPr/>
          <w:p>
            <w:pPr>
              <w:pStyle w:val="Compact"/>
            </w:pPr>
            <w:r>
              <w:rPr>
                <w:rFonts w:hint="eastAsia"/>
                <w:sz w:val="18"/>
              </w:rPr>
              <w:t xml:space="preserve">条件付き応答の検証</w:t>
            </w:r>
          </w:p>
        </w:tc>
        <w:tc>
          <w:tcPr/>
          <w:p>
            <w:pPr>
              <w:pStyle w:val="Compact"/>
            </w:pPr>
            <w:r>
              <w:rPr>
                <w:sz w:val="18"/>
              </w:rPr>
              <w:t xml:space="preserve">FY2023〜25 </w:t>
            </w:r>
            <w:r>
              <w:rPr>
                <w:rFonts w:hint="eastAsia"/>
                <w:sz w:val="18"/>
              </w:rPr>
              <w:t xml:space="preserve">の1,096日について、実績価格とモデル価格の日次の指標（日平均価格、上位4時間・下位4時間の平均価格、TB4h、完全予見粗利）に式(5.2)の主仕様と年月固定効果の仕様を当て、差（モデル−実績）を同じ右辺に回帰して差そのものを検定する。推論は</w:t>
            </w:r>
            <w:r>
              <w:rPr>
                <w:sz w:val="18"/>
              </w:rPr>
              <w:t xml:space="preserve"> </w:t>
            </w:r>
            <w:r>
              <w:rPr>
                <w:rFonts w:hint="eastAsia"/>
                <w:sz w:val="18"/>
              </w:rPr>
              <w:t xml:space="preserve">EWC（</w:t>
            </w:r>
            <m:oMath>
              <m:r>
                <m:t>ν</m:t>
              </m:r>
              <m:r>
                <m:rPr>
                  <m:sty m:val="p"/>
                </m:rPr>
                <m:t>=</m:t>
              </m:r>
              <m:r>
                <m:t>42</m:t>
              </m:r>
            </m:oMath>
            <w:r>
              <w:rPr>
                <w:rFonts w:hint="eastAsia"/>
                <w:sz w:val="18"/>
              </w:rPr>
              <w:t xml:space="preserve">）で、風力の3季節の族に</w:t>
            </w:r>
            <w:r>
              <w:rPr>
                <w:sz w:val="18"/>
              </w:rPr>
              <w:t xml:space="preserve"> </w:t>
            </w:r>
            <w:r>
              <w:rPr>
                <w:rFonts w:hint="eastAsia"/>
                <w:sz w:val="18"/>
              </w:rPr>
              <w:t xml:space="preserve">Holm（1979）の補正を当てる。両仕様で全季節・全指標の差の</w:t>
            </w:r>
            <w:r>
              <w:rPr>
                <w:sz w:val="18"/>
              </w:rPr>
              <w:t xml:space="preserve"> p </w:t>
            </w:r>
            <w:r>
              <w:rPr>
                <w:rFonts w:hint="eastAsia"/>
                <w:sz w:val="18"/>
              </w:rPr>
              <w:t xml:space="preserve">が0.10を上回ることを基準とする（付録B.4.1）</w:t>
            </w:r>
          </w:p>
        </w:tc>
      </w:tr>
      <w:tr>
        <w:tc>
          <w:tcPr/>
          <w:p>
            <w:pPr>
              <w:pStyle w:val="Compact"/>
            </w:pPr>
            <w:r>
              <w:rPr>
                <w:rFonts w:hint="eastAsia"/>
                <w:sz w:val="18"/>
              </w:rPr>
              <w:t xml:space="preserve">実績整合ケース</w:t>
            </w:r>
          </w:p>
        </w:tc>
        <w:tc>
          <w:tcPr/>
          <w:p>
            <w:pPr>
              <w:pStyle w:val="Compact"/>
            </w:pPr>
            <w:r>
              <w:rPr>
                <w:rFonts w:hint="eastAsia"/>
                <w:sz w:val="18"/>
              </w:rPr>
              <w:t xml:space="preserve">式(4.4)。モデル価格の上で戦略</w:t>
            </w:r>
            <w:r>
              <w:rPr>
                <w:sz w:val="18"/>
              </w:rPr>
              <w:t xml:space="preserve"> c </w:t>
            </w:r>
            <w:r>
              <w:rPr>
                <w:rFonts w:hint="eastAsia"/>
                <w:sz w:val="18"/>
              </w:rPr>
              <w:t xml:space="preserve">を実際に動かして得る粗利</w:t>
            </w:r>
            <w:r>
              <w:rPr>
                <w:sz w:val="18"/>
              </w:rP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rPr>
                <w:sz w:val="18"/>
              </w:rPr>
              <w:t xml:space="preserve"> </w:t>
            </w:r>
            <w:r>
              <w:rPr>
                <w:rFonts w:hint="eastAsia"/>
                <w:sz w:val="18"/>
              </w:rPr>
              <w:t xml:space="preserve">に校正係数</w:t>
            </w:r>
            <w:r>
              <w:rPr>
                <w:sz w:val="18"/>
              </w:rPr>
              <w:t xml:space="preserve"> </w:t>
            </w:r>
            <m:oMath>
              <m:r>
                <m:t>λ</m:t>
              </m:r>
            </m:oMath>
            <w:r>
              <w:rPr>
                <w:sz w:val="18"/>
              </w:rPr>
              <w:t xml:space="preserve"> </w:t>
            </w:r>
            <w:r>
              <w:rPr>
                <w:rFonts w:hint="eastAsia"/>
                <w:sz w:val="18"/>
              </w:rPr>
              <w:t xml:space="preserve">を掛け、充電従量負担を控除した</w:t>
            </w:r>
            <w:r>
              <w:rPr>
                <w:sz w:val="18"/>
              </w:rPr>
              <w:t xml:space="preserve"> </w:t>
            </w:r>
            <m:oMath>
              <m:r>
                <m:t>π</m:t>
              </m:r>
              <m:r>
                <m:rPr>
                  <m:sty m:val="p"/>
                </m:rPr>
                <m:t>(</m:t>
              </m:r>
              <m:r>
                <m:t>K</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rPr>
                  <m:sty m:val="p"/>
                </m:rPr>
                <m:t>−</m:t>
              </m:r>
              <m:sSub>
                <m:e>
                  <m:r>
                    <m:t>w</m:t>
                  </m:r>
                </m:e>
                <m:sub>
                  <m:r>
                    <m:rPr>
                      <m:sty m:val="p"/>
                    </m:rPr>
                    <m:t>c</m:t>
                  </m:r>
                  <m:r>
                    <m:rPr>
                      <m:sty m:val="p"/>
                    </m:rPr>
                    <m:t>h</m:t>
                  </m:r>
                  <m:r>
                    <m:rPr>
                      <m:sty m:val="p"/>
                    </m:rPr>
                    <m:t>g</m:t>
                  </m:r>
                </m:sub>
              </m:sSub>
            </m:oMath>
            <w:r>
              <w:rPr>
                <w:sz w:val="18"/>
              </w:rPr>
              <w:t xml:space="preserve">。</w:t>
            </w:r>
            <m:oMath>
              <m:r>
                <m:t>K</m:t>
              </m:r>
              <m:r>
                <m:rPr>
                  <m:sty m:val="p"/>
                </m:rPr>
                <m:t>=</m:t>
              </m:r>
              <m:r>
                <m:t>0</m:t>
              </m:r>
            </m:oMath>
            <w:r>
              <w:rPr>
                <w:sz w:val="18"/>
              </w:rPr>
              <w:t xml:space="preserve">・</w:t>
            </w:r>
            <m:oMath>
              <m:r>
                <m:t>θ</m:t>
              </m:r>
              <m:r>
                <m:rPr>
                  <m:sty m:val="p"/>
                </m:rPr>
                <m:t>=</m:t>
              </m:r>
              <m:r>
                <m:t>1</m:t>
              </m:r>
            </m:oMath>
            <w:r>
              <w:rPr>
                <w:sz w:val="18"/>
              </w:rPr>
              <w:t xml:space="preserve"> </w:t>
            </w:r>
            <w:r>
              <w:rPr>
                <w:rFonts w:hint="eastAsia"/>
                <w:sz w:val="18"/>
              </w:rPr>
              <w:t xml:space="preserve">で実績の戦略</w:t>
            </w:r>
            <w:r>
              <w:rPr>
                <w:sz w:val="18"/>
              </w:rPr>
              <w:t xml:space="preserve"> </w:t>
            </w:r>
            <w:r>
              <w:rPr>
                <w:rFonts w:hint="eastAsia"/>
                <w:sz w:val="18"/>
              </w:rPr>
              <w:t xml:space="preserve">c（8,427円/kW-年）に一致し、</w:t>
            </w:r>
            <m:oMath>
              <m:r>
                <m:t>π</m:t>
              </m:r>
              <m:r>
                <m:rPr>
                  <m:sty m:val="p"/>
                </m:rPr>
                <m:t>(</m:t>
              </m:r>
              <m:r>
                <m:t>0</m:t>
              </m:r>
              <m:r>
                <m:rPr>
                  <m:sty m:val="p"/>
                </m:rPr>
                <m:t>)</m:t>
              </m:r>
              <m:r>
                <m:rPr>
                  <m:sty m:val="p"/>
                </m:rPr>
                <m:t>=</m:t>
              </m:r>
              <m:r>
                <m:t>6</m:t>
              </m:r>
              <m:r>
                <m:rPr>
                  <m:sty m:val="p"/>
                </m:rPr>
                <m:t>,</m:t>
              </m:r>
              <m:r>
                <m:t>675</m:t>
              </m:r>
            </m:oMath>
            <w:r>
              <w:rPr>
                <w:sz w:val="18"/>
              </w:rPr>
              <w:t xml:space="preserve"> </w:t>
            </w:r>
            <w:r>
              <w:rPr>
                <w:rFonts w:hint="eastAsia"/>
                <w:sz w:val="18"/>
              </w:rPr>
              <w:t xml:space="preserve">円/kW-年。均衡分析（第7〜9章）の主の基準</w:t>
            </w:r>
          </w:p>
        </w:tc>
      </w:tr>
      <w:tr>
        <w:tc>
          <w:tcPr/>
          <w:p>
            <w:pPr>
              <w:pStyle w:val="Compact"/>
            </w:pPr>
            <w:r>
              <w:rPr>
                <w:rFonts w:hint="eastAsia"/>
                <w:sz w:val="18"/>
              </w:rPr>
              <w:t xml:space="preserve">校正係数</w:t>
            </w:r>
            <w:r>
              <w:rPr>
                <w:sz w:val="18"/>
              </w:rPr>
              <w:t xml:space="preserve"> </w:t>
            </w:r>
            <m:oMath>
              <m:r>
                <m:t>λ</m:t>
              </m:r>
            </m:oMath>
          </w:p>
        </w:tc>
        <w:tc>
          <w:tcPr/>
          <w:p>
            <w:pPr>
              <w:pStyle w:val="Compact"/>
            </w:pPr>
            <w:r>
              <w:rPr>
                <w:rFonts w:hint="eastAsia"/>
                <w:sz w:val="18"/>
              </w:rPr>
              <w:t xml:space="preserve">実績の戦略</w:t>
            </w:r>
            <w:r>
              <w:rPr>
                <w:sz w:val="18"/>
              </w:rPr>
              <w:t xml:space="preserve"> c </w:t>
            </w:r>
            <w:r>
              <w:rPr>
                <w:rFonts w:hint="eastAsia"/>
                <w:sz w:val="18"/>
              </w:rPr>
              <w:t xml:space="preserve">の粗利を、モデル価格の上の戦略</w:t>
            </w:r>
            <w:r>
              <w:rPr>
                <w:sz w:val="18"/>
              </w:rPr>
              <w:t xml:space="preserve"> c </w:t>
            </w:r>
            <w:r>
              <w:rPr>
                <w:rFonts w:hint="eastAsia"/>
                <w:sz w:val="18"/>
              </w:rPr>
              <w:t xml:space="preserve">の粗利で割った比（</w:t>
            </w:r>
            <m:oMath>
              <m:r>
                <m:t>K</m:t>
              </m:r>
              <m:r>
                <m:rPr>
                  <m:sty m:val="p"/>
                </m:rPr>
                <m:t>=</m:t>
              </m:r>
              <m:r>
                <m:t>0</m:t>
              </m:r>
            </m:oMath>
            <w:r>
              <w:rPr>
                <w:sz w:val="18"/>
              </w:rPr>
              <w:t xml:space="preserve">・</w:t>
            </w:r>
            <m:oMath>
              <m:r>
                <m:t>θ</m:t>
              </m:r>
              <m:r>
                <m:rPr>
                  <m:sty m:val="p"/>
                </m:rPr>
                <m:t>=</m:t>
              </m:r>
              <m:r>
                <m:t>1</m:t>
              </m:r>
            </m:oMath>
            <w:r>
              <w:rPr>
                <w:sz w:val="18"/>
              </w:rPr>
              <w:t xml:space="preserve">、FY2023〜25 </w:t>
            </w:r>
            <w:r>
              <w:rPr>
                <w:rFonts w:hint="eastAsia"/>
                <w:sz w:val="18"/>
              </w:rPr>
              <w:t xml:space="preserve">の標本内）。水準係数付きの仕様A</w:t>
            </w:r>
            <w:r>
              <w:rPr>
                <w:sz w:val="18"/>
              </w:rPr>
              <w:t xml:space="preserve"> </w:t>
            </w:r>
            <w:r>
              <w:rPr>
                <w:rFonts w:hint="eastAsia"/>
                <w:sz w:val="18"/>
              </w:rPr>
              <w:t xml:space="preserve">で1.108（8,427÷7,602。95%区間1.03〜1.19）、水準固定の仕様A</w:t>
            </w:r>
            <w:r>
              <w:rPr>
                <w:sz w:val="18"/>
              </w:rPr>
              <w:t xml:space="preserve"> </w:t>
            </w:r>
            <w:r>
              <w:rPr>
                <w:rFonts w:hint="eastAsia"/>
                <w:sz w:val="18"/>
              </w:rPr>
              <w:t xml:space="preserve">で1.103、仕様A′</w:t>
            </w:r>
            <w:r>
              <w:rPr>
                <w:sz w:val="18"/>
              </w:rPr>
              <w:t xml:space="preserve"> </w:t>
            </w:r>
            <w:r>
              <w:rPr>
                <w:rFonts w:hint="eastAsia"/>
                <w:sz w:val="18"/>
              </w:rPr>
              <w:t xml:space="preserve">で1.0015、下端を線形外挿した仕様A</w:t>
            </w:r>
            <w:r>
              <w:rPr>
                <w:sz w:val="18"/>
              </w:rPr>
              <w:t xml:space="preserve"> </w:t>
            </w:r>
            <w:r>
              <w:rPr>
                <w:rFonts w:hint="eastAsia"/>
                <w:sz w:val="18"/>
              </w:rPr>
              <w:t xml:space="preserve">で1.114、分断混合仕様で1.233。各仕様の現状・</w:t>
            </w:r>
            <m:oMath>
              <m:r>
                <m:t>K</m:t>
              </m:r>
              <m:r>
                <m:rPr>
                  <m:sty m:val="p"/>
                </m:rPr>
                <m:t>=</m:t>
              </m:r>
              <m:r>
                <m:t>0</m:t>
              </m:r>
            </m:oMath>
            <w:r>
              <w:rPr>
                <w:sz w:val="18"/>
              </w:rPr>
              <w:t xml:space="preserve"> </w:t>
            </w:r>
            <w:r>
              <w:rPr>
                <w:rFonts w:hint="eastAsia"/>
                <w:sz w:val="18"/>
              </w:rPr>
              <w:t xml:space="preserve">で求め、</w:t>
            </w:r>
            <m:oMath>
              <m:r>
                <m:t>K</m:t>
              </m:r>
              <m:r>
                <m:rPr>
                  <m:sty m:val="p"/>
                </m:rPr>
                <m:t>&gt;</m:t>
              </m:r>
              <m:r>
                <m:t>0</m:t>
              </m:r>
            </m:oMath>
            <w:r>
              <w:rPr>
                <w:sz w:val="18"/>
              </w:rPr>
              <w:t xml:space="preserve"> </w:t>
            </w:r>
            <w:r>
              <w:rPr>
                <w:rFonts w:hint="eastAsia"/>
                <w:sz w:val="18"/>
              </w:rPr>
              <w:t xml:space="preserve">と他のシナリオでも一定とする（付録B.4.3）</w:t>
            </w:r>
          </w:p>
        </w:tc>
      </w:tr>
      <w:tr>
        <w:tc>
          <w:tcPr/>
          <w:p>
            <w:pPr>
              <w:pStyle w:val="Compact"/>
            </w:pPr>
            <w:r>
              <w:rPr>
                <w:rFonts w:hint="eastAsia"/>
                <w:sz w:val="18"/>
              </w:rPr>
              <w:t xml:space="preserve">モデル直値</w:t>
            </w:r>
          </w:p>
        </w:tc>
        <w:tc>
          <w:tcPr/>
          <w:p>
            <w:pPr>
              <w:pStyle w:val="Compact"/>
            </w:pPr>
            <m:oMath>
              <m:r>
                <m:t>λ</m:t>
              </m:r>
              <m:r>
                <m:rPr>
                  <m:sty m:val="p"/>
                </m:rPr>
                <m:t>=</m:t>
              </m:r>
              <m:r>
                <m:t>1</m:t>
              </m:r>
            </m:oMath>
            <w:r>
              <w:rPr>
                <w:sz w:val="18"/>
              </w:rPr>
              <w:t xml:space="preserve"> </w:t>
            </w:r>
            <w:r>
              <w:rPr>
                <w:sz w:val="18"/>
              </w:rPr>
              <w:t xml:space="preserve">とした</w:t>
            </w:r>
            <w:r>
              <w:rPr>
                <w:sz w:val="18"/>
              </w:rP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rPr>
                  <m:sty m:val="p"/>
                </m:rPr>
                <m:t>−</m:t>
              </m:r>
              <m:sSub>
                <m:e>
                  <m:r>
                    <m:t>w</m:t>
                  </m:r>
                </m:e>
                <m:sub>
                  <m:r>
                    <m:rPr>
                      <m:sty m:val="p"/>
                    </m:rPr>
                    <m:t>c</m:t>
                  </m:r>
                  <m:r>
                    <m:rPr>
                      <m:sty m:val="p"/>
                    </m:rPr>
                    <m:t>h</m:t>
                  </m:r>
                  <m:r>
                    <m:rPr>
                      <m:sty m:val="p"/>
                    </m:rPr>
                    <m:t>g</m:t>
                  </m:r>
                </m:sub>
              </m:sSub>
            </m:oMath>
            <w:r>
              <w:rPr>
                <w:rFonts w:hint="eastAsia"/>
                <w:sz w:val="18"/>
              </w:rPr>
              <w:t xml:space="preserve">（水準係数付きの仕様A</w:t>
            </w:r>
            <w:r>
              <w:rPr>
                <w:sz w:val="18"/>
              </w:rPr>
              <w:t xml:space="preserve"> で、</w:t>
            </w:r>
            <m:oMath>
              <m:r>
                <m:t>K</m:t>
              </m:r>
              <m:r>
                <m:rPr>
                  <m:sty m:val="p"/>
                </m:rPr>
                <m:t>=</m:t>
              </m:r>
              <m:r>
                <m:t>0</m:t>
              </m:r>
            </m:oMath>
            <w:r>
              <w:rPr>
                <w:sz w:val="18"/>
              </w:rPr>
              <w:t xml:space="preserve"> </w:t>
            </w:r>
            <w:r>
              <w:rPr>
                <w:rFonts w:hint="eastAsia"/>
                <w:sz w:val="18"/>
              </w:rPr>
              <w:t xml:space="preserve">に5,850円/kW-年）。参考として併記する</w:t>
            </w:r>
          </w:p>
        </w:tc>
      </w:tr>
      <w:tr>
        <w:tc>
          <w:tcPr/>
          <w:p>
            <w:pPr>
              <w:pStyle w:val="Compact"/>
            </w:pPr>
            <w:r>
              <w:rPr>
                <w:rFonts w:hint="eastAsia"/>
                <w:sz w:val="18"/>
              </w:rPr>
              <w:t xml:space="preserve">実現率×モデルの完全予見粗利</w:t>
            </w:r>
          </w:p>
        </w:tc>
        <w:tc>
          <w:tcPr/>
          <w:p>
            <w:pPr>
              <w:pStyle w:val="Compact"/>
            </w:pPr>
            <w:r>
              <w:rPr>
                <w:rFonts w:hint="eastAsia"/>
                <w:sz w:val="18"/>
              </w:rPr>
              <w:t xml:space="preserve">実績で測った実現率（0.81）をモデルの完全予見粗利に掛けた粗収益（</w:t>
            </w:r>
            <m:oMath>
              <m:r>
                <m:t>K</m:t>
              </m:r>
              <m:r>
                <m:rPr>
                  <m:sty m:val="p"/>
                </m:rPr>
                <m:t>=</m:t>
              </m:r>
              <m:r>
                <m:t>0</m:t>
              </m:r>
            </m:oMath>
            <w:r>
              <w:rPr>
                <w:sz w:val="18"/>
              </w:rPr>
              <w:t xml:space="preserve"> </w:t>
            </w:r>
            <w:r>
              <w:rPr>
                <w:rFonts w:hint="eastAsia"/>
                <w:sz w:val="18"/>
              </w:rPr>
              <w:t xml:space="preserve">に6,695円/kW-年、充電従量負担を控除して4,943円/kW-年）。取り逃しを二重に差し引くので、収益の基準の比較にだけ用いる（付録C.2.7）</w:t>
            </w:r>
          </w:p>
        </w:tc>
      </w:tr>
      <w:tr>
        <w:tc>
          <w:tcPr/>
          <w:p>
            <w:pPr>
              <w:pStyle w:val="Compact"/>
            </w:pPr>
            <w:r>
              <w:rPr>
                <w:rFonts w:hint="eastAsia"/>
                <w:sz w:val="18"/>
              </w:rPr>
              <w:t xml:space="preserve">増分貪欲ディスパッチとフリートの配分</w:t>
            </w:r>
          </w:p>
        </w:tc>
        <w:tc>
          <w:tcPr/>
          <w:p>
            <w:pPr>
              <w:pStyle w:val="Compact"/>
            </w:pPr>
            <w:r>
              <w:rPr>
                <w:rFonts w:hint="eastAsia"/>
                <w:sz w:val="18"/>
              </w:rPr>
              <w:t xml:space="preserve">規模</w:t>
            </w:r>
            <w:r>
              <w:rPr>
                <w:sz w:val="18"/>
              </w:rPr>
              <w:t xml:space="preserve"> </w:t>
            </w:r>
            <m:oMath>
              <m:r>
                <m:t>K</m:t>
              </m:r>
            </m:oMath>
            <w:r>
              <w:rPr>
                <w:sz w:val="18"/>
              </w:rPr>
              <w:t xml:space="preserve"> </w:t>
            </w:r>
            <w:r>
              <w:rPr>
                <w:rFonts w:hint="eastAsia"/>
                <w:sz w:val="18"/>
              </w:rPr>
              <w:t xml:space="preserve">のフリートを1万kW</w:t>
            </w:r>
            <w:r>
              <w:rPr>
                <w:sz w:val="18"/>
              </w:rPr>
              <w:t xml:space="preserve"> </w:t>
            </w:r>
            <w:r>
              <w:rPr>
                <w:rFonts w:hint="eastAsia"/>
                <w:sz w:val="18"/>
              </w:rPr>
              <w:t xml:space="preserve">刻みで逐次投入し、各増分がその時点の価格で最安4時間に充電、最高4時間に放電して（粗利が正の日だけ）純需要と価格を更新する。主はフリートを完全予見で配分し、感応度としてフリートも戦略</w:t>
            </w:r>
            <w:r>
              <w:rPr>
                <w:sz w:val="18"/>
              </w:rPr>
              <w:t xml:space="preserve"> c </w:t>
            </w:r>
            <w:r>
              <w:rPr>
                <w:rFonts w:hint="eastAsia"/>
                <w:sz w:val="18"/>
              </w:rPr>
              <w:t xml:space="preserve">の窓で動く場合と、両者が半々の場合を示す（付録B.4.3）</w:t>
            </w:r>
          </w:p>
        </w:tc>
      </w:tr>
      <w:tr>
        <w:tc>
          <w:tcPr/>
          <w:p>
            <w:pPr>
              <w:pStyle w:val="Compact"/>
            </w:pPr>
            <w:r>
              <w:rPr>
                <w:rFonts w:hint="eastAsia"/>
                <w:sz w:val="18"/>
              </w:rPr>
              <w:t xml:space="preserve">外生の契約型容量</w:t>
            </w:r>
            <w:r>
              <w:rPr>
                <w:sz w:val="18"/>
              </w:rPr>
              <w:t xml:space="preserve"> </w:t>
            </w:r>
            <m:oMath>
              <m:sSub>
                <m:e>
                  <m:r>
                    <m:t>K</m:t>
                  </m:r>
                </m:e>
                <m:sub>
                  <m:r>
                    <m:rPr>
                      <m:sty m:val="p"/>
                    </m:rPr>
                    <m:t>e</m:t>
                  </m:r>
                  <m:r>
                    <m:rPr>
                      <m:sty m:val="p"/>
                    </m:rPr>
                    <m:t>x</m:t>
                  </m:r>
                  <m:r>
                    <m:rPr>
                      <m:sty m:val="p"/>
                    </m:rPr>
                    <m:t>o</m:t>
                  </m:r>
                </m:sub>
              </m:sSub>
            </m:oMath>
          </w:p>
        </w:tc>
        <w:tc>
          <w:tcPr/>
          <w:p>
            <w:pPr>
              <w:pStyle w:val="Compact"/>
            </w:pPr>
            <w:r>
              <w:rPr>
                <w:rFonts w:hint="eastAsia"/>
                <w:sz w:val="18"/>
              </w:rPr>
              <w:t xml:space="preserve">LTDA・補助金による契約型の容量を、価格テイカーとして同じ増分貪欲で動く外生の容量として置いたもの。主は0。感応度は接続済みの約20万kW、第3回の別解による76.8万kW、接続済みに</w:t>
            </w:r>
            <w:r>
              <w:rPr>
                <w:sz w:val="18"/>
              </w:rPr>
              <w:t xml:space="preserve"> LTDA </w:t>
            </w:r>
            <w:r>
              <w:rPr>
                <w:rFonts w:hint="eastAsia"/>
                <w:sz w:val="18"/>
              </w:rPr>
              <w:t xml:space="preserve">の北海道分約67.4万kW</w:t>
            </w:r>
            <w:r>
              <w:rPr>
                <w:sz w:val="18"/>
              </w:rPr>
              <w:t xml:space="preserve"> </w:t>
            </w:r>
            <w:r>
              <w:rPr>
                <w:rFonts w:hint="eastAsia"/>
                <w:sz w:val="18"/>
              </w:rPr>
              <w:t xml:space="preserve">を加えた87.4万kW（6時間級を4時間に換算すると99.1万kW）。推定期間の価格に既設の蓄電池の影響が入っているので、二重計上を含む（付録A.6、B.4.4）</w:t>
            </w:r>
          </w:p>
        </w:tc>
      </w:tr>
      <w:tr>
        <w:tc>
          <w:tcPr/>
          <w:p>
            <w:pPr>
              <w:pStyle w:val="Compact"/>
            </w:pPr>
            <w:r>
              <w:rPr>
                <w:rFonts w:hint="eastAsia"/>
                <w:sz w:val="18"/>
              </w:rPr>
              <w:t xml:space="preserve">実効容量収入</w:t>
            </w:r>
            <w:r>
              <w:rPr>
                <w:sz w:val="18"/>
              </w:rPr>
              <w:t xml:space="preserve"> </w:t>
            </w:r>
            <m:oMath>
              <m:r>
                <m:t>κ</m:t>
              </m:r>
              <m:sSub>
                <m:e>
                  <m:r>
                    <m:t>P</m:t>
                  </m:r>
                </m:e>
                <m:sub>
                  <m:r>
                    <m:rPr>
                      <m:sty m:val="p"/>
                    </m:rPr>
                    <m:t>c</m:t>
                  </m:r>
                  <m:r>
                    <m:rPr>
                      <m:sty m:val="p"/>
                    </m:rPr>
                    <m:t>a</m:t>
                  </m:r>
                  <m:r>
                    <m:rPr>
                      <m:sty m:val="p"/>
                    </m:rPr>
                    <m:t>p</m:t>
                  </m:r>
                </m:sub>
              </m:sSub>
            </m:oMath>
          </w:p>
        </w:tc>
        <w:tc>
          <w:tcPr/>
          <w:p>
            <w:pPr>
              <w:pStyle w:val="Compact"/>
            </w:pPr>
            <w:r>
              <w:rPr>
                <w:rFonts w:hint="eastAsia"/>
                <w:sz w:val="18"/>
              </w:rPr>
              <w:t xml:space="preserve">容量市場の約定価格に調整係数</w:t>
            </w:r>
            <w:r>
              <w:rPr>
                <w:sz w:val="18"/>
              </w:rPr>
              <w:t xml:space="preserve"> </w:t>
            </w:r>
            <m:oMath>
              <m:r>
                <m:t>κ</m:t>
              </m:r>
            </m:oMath>
            <w:r>
              <w:rPr>
                <w:sz w:val="18"/>
              </w:rPr>
              <w:t xml:space="preserve"> </w:t>
            </w:r>
            <w:r>
              <w:rPr>
                <w:rFonts w:hint="eastAsia"/>
                <w:sz w:val="18"/>
              </w:rPr>
              <w:t xml:space="preserve">を掛けた値。主は2029年度向けの北海道の14,972円/kW×0.836＝12,517円/kW-年（損益分岐の式では1.25万円に丸める）。感応度として、FY2030</w:t>
            </w:r>
            <w:r>
              <w:rPr>
                <w:sz w:val="18"/>
              </w:rPr>
              <w:t xml:space="preserve"> </w:t>
            </w:r>
            <w:r>
              <w:rPr>
                <w:rFonts w:hint="eastAsia"/>
                <w:sz w:val="18"/>
              </w:rPr>
              <w:t xml:space="preserve">以降を2030年度向けの指標価格（Net</w:t>
            </w:r>
            <w:r>
              <w:rPr>
                <w:sz w:val="18"/>
              </w:rPr>
              <w:t xml:space="preserve"> CONE </w:t>
            </w:r>
            <w:r>
              <w:rPr>
                <w:rFonts w:hint="eastAsia"/>
                <w:sz w:val="18"/>
              </w:rPr>
              <w:t xml:space="preserve">20,911円/kW）による1.75万円、上限近傍の2.5万円、上限価格（1.5×Net</w:t>
            </w:r>
            <w:r>
              <w:rPr>
                <w:sz w:val="18"/>
              </w:rPr>
              <w:t xml:space="preserve"> </w:t>
            </w:r>
            <w:r>
              <w:rPr>
                <w:rFonts w:hint="eastAsia"/>
                <w:sz w:val="18"/>
              </w:rPr>
              <w:t xml:space="preserve">CONE）による2.62万円とする年度ごとの列を置く</w:t>
            </w:r>
          </w:p>
        </w:tc>
      </w:tr>
      <w:tr>
        <w:tc>
          <w:tcPr/>
          <w:p>
            <w:pPr>
              <w:pStyle w:val="Compact"/>
            </w:pPr>
            <w:r>
              <w:rPr>
                <w:rFonts w:hint="eastAsia"/>
                <w:sz w:val="18"/>
              </w:rPr>
              <w:t xml:space="preserve">容量市場価格の</w:t>
            </w:r>
            <w:r>
              <w:rPr>
                <w:sz w:val="18"/>
              </w:rPr>
              <w:t xml:space="preserve"> </w:t>
            </w:r>
            <m:oMath>
              <m:r>
                <m:t>K</m:t>
              </m:r>
            </m:oMath>
            <w:r>
              <w:rPr>
                <w:sz w:val="18"/>
              </w:rPr>
              <w:t xml:space="preserve"> </w:t>
            </w:r>
            <w:r>
              <w:rPr>
                <w:rFonts w:hint="eastAsia"/>
                <w:sz w:val="18"/>
              </w:rPr>
              <w:t xml:space="preserve">依存</w:t>
            </w:r>
          </w:p>
        </w:tc>
        <w:tc>
          <w:tcPr/>
          <w:p>
            <w:pPr>
              <w:pStyle w:val="Compact"/>
            </w:pPr>
            <w:r>
              <w:rPr>
                <w:rFonts w:hint="eastAsia"/>
                <w:sz w:val="18"/>
              </w:rPr>
              <w:t xml:space="preserve">2029年度向けの数量に2030年度向けの価格を当てた4点の折れ線の需要曲線の上の移動として、北海道ブロック按分と全国連系の二つの境界で与える。現在点を起点の実効容量収入に置き、接続済み容量とマーチャントだけを入れる（LTDA</w:t>
            </w:r>
            <w:r>
              <w:rPr>
                <w:sz w:val="18"/>
              </w:rPr>
              <w:t xml:space="preserve"> </w:t>
            </w:r>
            <w:r>
              <w:rPr>
                <w:rFonts w:hint="eastAsia"/>
                <w:sz w:val="18"/>
              </w:rPr>
              <w:t xml:space="preserve">の電源は容量市場に参加しない）（付録B.4.4）</w:t>
            </w:r>
          </w:p>
        </w:tc>
      </w:tr>
      <w:tr>
        <w:tc>
          <w:tcPr/>
          <w:p>
            <w:pPr>
              <w:pStyle w:val="Compact"/>
            </w:pPr>
            <w:r>
              <w:rPr>
                <w:rFonts w:hint="eastAsia"/>
                <w:sz w:val="18"/>
              </w:rPr>
              <w:t xml:space="preserve">負の価格の段差モデル</w:t>
            </w:r>
          </w:p>
        </w:tc>
        <w:tc>
          <w:tcPr/>
          <w:p>
            <w:pPr>
              <w:pStyle w:val="Compact"/>
            </w:pPr>
            <w:r>
              <w:rPr>
                <w:rFonts w:hint="eastAsia"/>
                <w:sz w:val="18"/>
              </w:rPr>
              <w:t xml:space="preserve">モデル価格が下限価格に張り付く時間だけ、価格を</w:t>
            </w:r>
            <w:r>
              <w:rPr>
                <w:sz w:val="18"/>
              </w:rPr>
              <w:t xml:space="preserve"> </w:t>
            </w:r>
            <m:oMath>
              <m:r>
                <m:rPr>
                  <m:sty m:val="p"/>
                </m:rPr>
                <m:t>−</m:t>
              </m:r>
              <m:r>
                <m:t>δ</m:t>
              </m:r>
            </m:oMath>
            <w:r>
              <w:rPr>
                <w:sz w:val="18"/>
              </w:rPr>
              <w:t xml:space="preserve"> </w:t>
            </w:r>
            <w:r>
              <w:rPr>
                <w:rFonts w:hint="eastAsia"/>
                <w:sz w:val="18"/>
              </w:rPr>
              <w:t xml:space="preserve">円/kWh（</w:t>
            </w:r>
            <m:oMath>
              <m:r>
                <m:t>δ</m:t>
              </m:r>
            </m:oMath>
            <w:r>
              <w:rPr>
                <w:rFonts w:hint="eastAsia"/>
                <w:sz w:val="18"/>
              </w:rPr>
              <w:t xml:space="preserve">=0・5・10）に置く反実仮想（式(9.1)）。</w:t>
            </w:r>
            <m:oMath>
              <m:r>
                <m:rPr>
                  <m:sty m:val="p"/>
                </m:rPr>
                <m:t>−</m:t>
              </m:r>
              <m:r>
                <m:t>δ</m:t>
              </m:r>
            </m:oMath>
            <w:r>
              <w:rPr>
                <w:sz w:val="18"/>
              </w:rPr>
              <w:t xml:space="preserve"> </w:t>
            </w:r>
            <w:r>
              <w:rPr>
                <w:sz w:val="18"/>
              </w:rPr>
              <w:t xml:space="preserve">は</w:t>
            </w:r>
            <w:r>
              <w:rPr>
                <w:sz w:val="18"/>
              </w:rPr>
              <w:t xml:space="preserve"> </w:t>
            </w:r>
            <m:oMath>
              <m:r>
                <m:t>θ</m:t>
              </m:r>
            </m:oMath>
            <w:r>
              <w:rPr>
                <w:sz w:val="18"/>
              </w:rPr>
              <w:t xml:space="preserve"> </w:t>
            </w:r>
            <w:r>
              <w:rPr>
                <w:rFonts w:hint="eastAsia"/>
                <w:sz w:val="18"/>
              </w:rPr>
              <w:t xml:space="preserve">で伸縮させない（付録B.6）</w:t>
            </w:r>
          </w:p>
        </w:tc>
      </w:tr>
    </w:tbl>
    <w:p>
      <w:pPr>
        <w:pStyle w:val="TableNote"/>
      </w:pPr>
      <w:r>
        <w:rPr>
          <w:rFonts w:hint="eastAsia"/>
        </w:rPr>
        <w:t xml:space="preserve">出所）筆者作成。</w:t>
      </w:r>
    </w:p>
    <w:p>
      <w:pPr>
        <w:pStyle w:val="TableCaption"/>
      </w:pPr>
      <w:r>
        <w:rPr>
          <w:rFonts w:hint="eastAsia"/>
        </w:rPr>
        <w:t xml:space="preserve">表A.7</w:t>
      </w:r>
      <w:r>
        <w:t xml:space="preserve">　</w:t>
      </w:r>
      <w:r>
        <w:rPr>
          <w:rFonts w:hint="eastAsia"/>
        </w:rPr>
        <w:t xml:space="preserve">価格水準の不確実性と参入閾値の定義（第7章）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7　価格水準の不確実性と参入閾値の定義（第7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恒久成分</w:t>
            </w:r>
            <w:r>
              <w:rPr>
                <w:sz w:val="18"/>
              </w:rPr>
              <w:t xml:space="preserve"> </w:t>
            </w:r>
            <m:oMath>
              <m:r>
                <m:t>ξ</m:t>
              </m:r>
            </m:oMath>
            <w:r>
              <w:rPr>
                <w:rFonts w:hint="eastAsia"/>
                <w:sz w:val="18"/>
              </w:rPr>
              <w:t xml:space="preserve">・一時成分</w:t>
            </w:r>
            <w:r>
              <w:rPr>
                <w:sz w:val="18"/>
              </w:rPr>
              <w:t xml:space="preserve"> </w:t>
            </w:r>
            <m:oMath>
              <m:r>
                <m:t>χ</m:t>
              </m:r>
            </m:oMath>
          </w:p>
        </w:tc>
        <w:tc>
          <w:tcPr/>
          <w:p>
            <w:pPr>
              <w:pStyle w:val="Compact"/>
            </w:pPr>
            <w:r>
              <w:rPr>
                <w:rFonts w:hint="eastAsia"/>
                <w:sz w:val="18"/>
              </w:rPr>
              <w:t xml:space="preserve">価格水準の代理（月平均システムプライスを</w:t>
            </w:r>
            <w:r>
              <w:rPr>
                <w:sz w:val="18"/>
              </w:rPr>
              <w:t xml:space="preserve"> FY2023〜25 </w:t>
            </w:r>
            <w:r>
              <w:rPr>
                <w:rFonts w:hint="eastAsia"/>
                <w:sz w:val="18"/>
              </w:rPr>
              <w:t xml:space="preserve">の同月平均で割った値、2016年4月〜2026年6月）の対数を、ランダムウォークの</w:t>
            </w:r>
            <w:r>
              <w:rPr>
                <w:sz w:val="18"/>
              </w:rPr>
              <w:t xml:space="preserve"> </w:t>
            </w:r>
            <m:oMath>
              <m:r>
                <m:t>ξ</m:t>
              </m:r>
            </m:oMath>
            <w:r>
              <w:rPr>
                <w:sz w:val="18"/>
              </w:rPr>
              <w:t xml:space="preserve"> </w:t>
            </w:r>
            <w:r>
              <w:rPr>
                <w:sz w:val="18"/>
              </w:rPr>
              <w:t xml:space="preserve">と AR(1) の</w:t>
            </w:r>
            <w:r>
              <w:rPr>
                <w:sz w:val="18"/>
              </w:rPr>
              <w:t xml:space="preserve"> </w:t>
            </w:r>
            <m:oMath>
              <m:r>
                <m:t>χ</m:t>
              </m:r>
            </m:oMath>
            <w:r>
              <w:rPr>
                <w:sz w:val="18"/>
              </w:rPr>
              <w:t xml:space="preserve"> </w:t>
            </w:r>
            <w:r>
              <w:rPr>
                <w:rFonts w:hint="eastAsia"/>
                <w:sz w:val="18"/>
              </w:rPr>
              <w:t xml:space="preserve">の和で表す2因子分解（カルマンフィルタによる最尤推定）。</w:t>
            </w:r>
            <m:oMath>
              <m:sSub>
                <m:e>
                  <m:r>
                    <m:t>σ</m:t>
                  </m:r>
                </m:e>
                <m:sub>
                  <m:r>
                    <m:t>ξ</m:t>
                  </m:r>
                </m:sub>
              </m:sSub>
            </m:oMath>
            <w:r>
              <w:rPr>
                <w:sz w:val="18"/>
              </w:rPr>
              <w:t xml:space="preserve"> </w:t>
            </w:r>
            <w:r>
              <w:rPr>
                <w:rFonts w:hint="eastAsia"/>
                <w:sz w:val="18"/>
              </w:rPr>
              <w:t xml:space="preserve">は恒久成分の年率のボラティリティ。2026年6月の恒久成分の推定値は1.22（付録B.4.5）</w:t>
            </w:r>
          </w:p>
        </w:tc>
      </w:tr>
      <w:tr>
        <w:tc>
          <w:tcPr/>
          <w:p>
            <w:pPr>
              <w:pStyle w:val="Compact"/>
            </w:pPr>
            <m:oMath>
              <m:r>
                <m:t>a</m:t>
              </m:r>
            </m:oMath>
            <w:r>
              <w:rPr>
                <w:sz w:val="18"/>
              </w:rPr>
              <w:t xml:space="preserve">・</w:t>
            </w:r>
            <m:oMath>
              <m:r>
                <m:t>F</m:t>
              </m:r>
            </m:oMath>
          </w:p>
        </w:tc>
        <w:tc>
          <w:tcPr/>
          <w:p>
            <w:pPr>
              <w:pStyle w:val="Compact"/>
            </w:pPr>
            <w:r>
              <w:rPr>
                <w:rFonts w:hint="eastAsia"/>
                <w:sz w:val="18"/>
              </w:rPr>
              <w:t xml:space="preserve">年間キャッシュフローを式(7.2)の形に書いたときの係数。</w:t>
            </w:r>
            <m:oMath>
              <m:r>
                <m:t>a</m:t>
              </m:r>
            </m:oMath>
            <w:r>
              <w:rPr>
                <w:sz w:val="18"/>
              </w:rPr>
              <w:t xml:space="preserve"> </w:t>
            </w:r>
            <w:r>
              <w:rPr>
                <w:sz w:val="18"/>
              </w:rPr>
              <w:t xml:space="preserve">は</w:t>
            </w:r>
            <w:r>
              <w:rPr>
                <w:sz w:val="18"/>
              </w:rPr>
              <w:t xml:space="preserve"> </w:t>
            </w:r>
            <m:oMath>
              <m:r>
                <m:t>K</m:t>
              </m:r>
              <m:r>
                <m:rPr>
                  <m:sty m:val="p"/>
                </m:rPr>
                <m:t>=</m:t>
              </m:r>
              <m:r>
                <m:t>0</m:t>
              </m:r>
            </m:oMath>
            <w:r>
              <w:rPr>
                <w:sz w:val="18"/>
              </w:rPr>
              <w:t xml:space="preserve">・</w:t>
            </w:r>
            <m:oMath>
              <m:r>
                <m:t>θ</m:t>
              </m:r>
              <m:r>
                <m:rPr>
                  <m:sty m:val="p"/>
                </m:rPr>
                <m:t>=</m:t>
              </m:r>
              <m:r>
                <m:t>1</m:t>
              </m:r>
            </m:oMath>
            <w:r>
              <w:rPr>
                <w:sz w:val="18"/>
              </w:rPr>
              <w:t xml:space="preserve"> </w:t>
            </w:r>
            <w:r>
              <w:rPr>
                <w:rFonts w:hint="eastAsia"/>
                <w:sz w:val="18"/>
              </w:rPr>
              <w:t xml:space="preserve">の限界参入者の粗収益で、実績整合ケースの</w:t>
            </w:r>
            <w:r>
              <w:rPr>
                <w:sz w:val="18"/>
              </w:rPr>
              <w:t xml:space="preserve"> </w:t>
            </w:r>
            <m:oMath>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oMath>
            <w:r>
              <w:rPr>
                <w:rFonts w:hint="eastAsia"/>
                <w:sz w:val="18"/>
              </w:rPr>
              <w:t xml:space="preserve">＝1.1085×7,602＝8,427円/kW-年（モデル直値は7,602円）。</w:t>
            </w:r>
            <m:oMath>
              <m:r>
                <m:t>F</m:t>
              </m:r>
            </m:oMath>
            <w:r>
              <w:rPr>
                <w:sz w:val="18"/>
              </w:rPr>
              <w:t xml:space="preserve"> </w:t>
            </w:r>
            <w:r>
              <w:rPr>
                <w:rFonts w:hint="eastAsia"/>
                <w:sz w:val="18"/>
              </w:rPr>
              <w:t xml:space="preserve">は運転維持・廃止0.53万円＋託送等の固定費0.69万円＋充電従量負担1,752円−実効容量収入1.25万円＝1,452円/kW-年</w:t>
            </w:r>
          </w:p>
        </w:tc>
      </w:tr>
      <w:tr>
        <w:tc>
          <w:tcPr/>
          <w:p>
            <w:pPr>
              <w:pStyle w:val="Compact"/>
            </w:pPr>
            <w:r>
              <w:rPr>
                <w:rFonts w:hint="eastAsia"/>
                <w:sz w:val="18"/>
              </w:rPr>
              <w:t xml:space="preserve">静学の損益分岐</w:t>
            </w:r>
            <w:r>
              <w:rPr>
                <w:sz w:val="18"/>
              </w:rPr>
              <w:t xml:space="preserve"> </w:t>
            </w:r>
            <m:oMath>
              <m:sSup>
                <m:e>
                  <m:r>
                    <m:t>θ</m:t>
                  </m:r>
                </m:e>
                <m:sup>
                  <m:r>
                    <m:rPr>
                      <m:sty m:val="p"/>
                    </m:rPr>
                    <m:t>*</m:t>
                  </m:r>
                </m:sup>
              </m:sSup>
            </m:oMath>
          </w:p>
        </w:tc>
        <w:tc>
          <w:tcPr/>
          <w:p>
            <w:pPr>
              <w:pStyle w:val="Compact"/>
            </w:pPr>
            <w:r>
              <w:rPr>
                <w:rFonts w:hint="eastAsia"/>
                <w:sz w:val="18"/>
              </w:rPr>
              <w:t xml:space="preserve">式(4.8)、すなわち</w:t>
            </w:r>
            <w:r>
              <w:rPr>
                <w:sz w:val="18"/>
              </w:rPr>
              <w:t xml:space="preserve"> </w:t>
            </w:r>
            <m:oMath>
              <m:r>
                <m:rPr>
                  <m:sty m:val="p"/>
                </m:rPr>
                <m:t>(</m:t>
              </m:r>
              <m:r>
                <m:t>I</m:t>
              </m:r>
              <m:r>
                <m:rPr>
                  <m:sty m:val="p"/>
                </m:rPr>
                <m:t>⋅</m:t>
              </m:r>
              <m:r>
                <m:rPr>
                  <m:sty m:val="p"/>
                </m:rPr>
                <m:t>C</m:t>
              </m:r>
              <m:r>
                <m:rPr>
                  <m:sty m:val="p"/>
                </m:rPr>
                <m:t>R</m:t>
              </m:r>
              <m:r>
                <m:rPr>
                  <m:sty m:val="p"/>
                </m:rPr>
                <m:t>F</m:t>
              </m:r>
              <m:r>
                <m:rPr>
                  <m:sty m:val="p"/>
                </m:rPr>
                <m:t>+</m:t>
              </m:r>
              <m:r>
                <m:t>F</m:t>
              </m:r>
              <m:r>
                <m:rPr>
                  <m:sty m:val="p"/>
                </m:rPr>
                <m:t>)</m:t>
              </m:r>
              <m:r>
                <m:rPr>
                  <m:sty m:val="p"/>
                </m:rPr>
                <m:t>/</m:t>
              </m:r>
              <m:r>
                <m:t>a</m:t>
              </m:r>
            </m:oMath>
            <w:r>
              <w:rPr>
                <w:rFonts w:hint="eastAsia"/>
                <w:sz w:val="18"/>
              </w:rPr>
              <w:t xml:space="preserve">（式(B.7)）。価格水準が一定のまま20年続くと置いて、</w:t>
            </w:r>
            <m:oMath>
              <m:r>
                <m:t>K</m:t>
              </m:r>
              <m:r>
                <m:rPr>
                  <m:sty m:val="p"/>
                </m:rPr>
                <m:t>=</m:t>
              </m:r>
              <m:r>
                <m:t>0</m:t>
              </m:r>
            </m:oMath>
            <w:r>
              <w:rPr>
                <w:sz w:val="18"/>
              </w:rPr>
              <w:t xml:space="preserve"> </w:t>
            </w:r>
            <w:r>
              <w:rPr>
                <w:sz w:val="18"/>
              </w:rPr>
              <w:t xml:space="preserve">で NPV </w:t>
            </w:r>
            <w:r>
              <w:rPr>
                <w:rFonts w:hint="eastAsia"/>
                <w:sz w:val="18"/>
              </w:rPr>
              <w:t xml:space="preserve">を0にする価格水準係数。WACC</w:t>
            </w:r>
            <w:r>
              <w:rPr>
                <w:sz w:val="18"/>
              </w:rPr>
              <w:t xml:space="preserve"> 6% </w:t>
            </w:r>
            <w:r>
              <w:rPr>
                <w:rFonts w:hint="eastAsia"/>
                <w:sz w:val="18"/>
              </w:rPr>
              <w:t xml:space="preserve">で2.99（</w:t>
            </w:r>
            <m:oMath>
              <m:r>
                <m:t>λ</m:t>
              </m:r>
            </m:oMath>
            <w:r>
              <w:rPr>
                <w:sz w:val="18"/>
              </w:rPr>
              <w:t xml:space="preserve"> </w:t>
            </w:r>
            <w:r>
              <w:rPr>
                <w:rFonts w:hint="eastAsia"/>
                <w:sz w:val="18"/>
              </w:rPr>
              <w:t xml:space="preserve">の95%区間で2.78〜3.21、モデル直値3.31）、第7章の標準ケース（</w:t>
            </w:r>
            <m:oMath>
              <m:sSub>
                <m:e>
                  <m:r>
                    <m:t>c</m:t>
                  </m:r>
                </m:e>
                <m:sub>
                  <m:r>
                    <m:rPr>
                      <m:sty m:val="p"/>
                    </m:rPr>
                    <m:t>r</m:t>
                  </m:r>
                  <m:r>
                    <m:rPr>
                      <m:sty m:val="p"/>
                    </m:rPr>
                    <m:t>e</m:t>
                  </m:r>
                  <m:r>
                    <m:rPr>
                      <m:sty m:val="p"/>
                    </m:rPr>
                    <m:t>q</m:t>
                  </m:r>
                </m:sub>
              </m:sSub>
              <m:r>
                <m:rPr>
                  <m:sty m:val="p"/>
                </m:rPr>
                <m:t>=</m:t>
              </m:r>
              <m:r>
                <m:t>3.45</m:t>
              </m:r>
            </m:oMath>
            <w:r>
              <w:rPr>
                <w:sz w:val="18"/>
              </w:rPr>
              <w:t xml:space="preserve"> </w:t>
            </w:r>
            <w:r>
              <w:rPr>
                <w:rFonts w:hint="eastAsia"/>
                <w:sz w:val="18"/>
              </w:rPr>
              <w:t xml:space="preserve">万円）で2.82</w:t>
            </w:r>
          </w:p>
        </w:tc>
      </w:tr>
      <w:tr>
        <w:tc>
          <w:tcPr/>
          <w:p>
            <w:pPr>
              <w:pStyle w:val="Compact"/>
            </w:pPr>
            <w:r>
              <w:rPr>
                <w:rFonts w:hint="eastAsia"/>
                <w:sz w:val="18"/>
              </w:rPr>
              <w:t xml:space="preserve">損益分岐の直接解</w:t>
            </w:r>
          </w:p>
        </w:tc>
        <w:tc>
          <w:tcPr/>
          <w:p>
            <w:pPr>
              <w:pStyle w:val="Compact"/>
            </w:pPr>
            <w:r>
              <w:rPr>
                <w:rFonts w:hint="eastAsia"/>
                <w:sz w:val="18"/>
              </w:rPr>
              <w:t xml:space="preserve">収益が</w:t>
            </w:r>
            <w:r>
              <w:rPr>
                <w:sz w:val="18"/>
              </w:rPr>
              <w:t xml:space="preserve"> </w:t>
            </w:r>
            <m:oMath>
              <m:r>
                <m:t>θ</m:t>
              </m:r>
            </m:oMath>
            <w:r>
              <w:rPr>
                <w:sz w:val="18"/>
              </w:rPr>
              <w:t xml:space="preserve"> </w:t>
            </w:r>
            <w:r>
              <w:rPr>
                <w:rFonts w:hint="eastAsia"/>
                <w:sz w:val="18"/>
              </w:rPr>
              <w:t xml:space="preserve">に比例しない場合（負の価格の段差モデル）に、各</w:t>
            </w:r>
            <w:r>
              <w:rPr>
                <w:sz w:val="18"/>
              </w:rPr>
              <w:t xml:space="preserve"> </w:t>
            </w:r>
            <m:oMath>
              <m:r>
                <m:t>θ</m:t>
              </m:r>
            </m:oMath>
            <w:r>
              <w:rPr>
                <w:sz w:val="18"/>
              </w:rPr>
              <w:t xml:space="preserve"> </w:t>
            </w:r>
            <w:r>
              <w:rPr>
                <w:rFonts w:hint="eastAsia"/>
                <w:sz w:val="18"/>
              </w:rPr>
              <w:t xml:space="preserve">で戦略</w:t>
            </w:r>
            <w:r>
              <w:rPr>
                <w:sz w:val="18"/>
              </w:rPr>
              <w:t xml:space="preserve"> c </w:t>
            </w:r>
            <w:r>
              <w:rPr>
                <w:rFonts w:hint="eastAsia"/>
                <w:sz w:val="18"/>
              </w:rPr>
              <w:t xml:space="preserve">を計算し直した粗収益について、式(9.2)を</w:t>
            </w:r>
            <w:r>
              <w:rPr>
                <w:sz w:val="18"/>
              </w:rPr>
              <w:t xml:space="preserve"> </w:t>
            </w:r>
            <m:oMath>
              <m:r>
                <m:t>θ</m:t>
              </m:r>
            </m:oMath>
            <w:r>
              <w:rPr>
                <w:sz w:val="18"/>
              </w:rPr>
              <w:t xml:space="preserve"> </w:t>
            </w:r>
            <w:r>
              <w:rPr>
                <w:rFonts w:hint="eastAsia"/>
                <w:sz w:val="18"/>
              </w:rPr>
              <w:t xml:space="preserve">について解いた値（付録B.6.1）</w:t>
            </w:r>
          </w:p>
        </w:tc>
      </w:tr>
      <w:tr>
        <w:tc>
          <w:tcPr/>
          <w:p>
            <w:pPr>
              <w:pStyle w:val="Compact"/>
            </w:pPr>
            <w:r>
              <w:rPr>
                <w:rFonts w:hint="eastAsia"/>
                <w:sz w:val="18"/>
              </w:rPr>
              <w:t xml:space="preserve">単独企業の閾値</w:t>
            </w:r>
            <w:r>
              <w:rPr>
                <w:sz w:val="18"/>
              </w:rPr>
              <w:t xml:space="preserve"> </w:t>
            </w:r>
            <m:oMath>
              <m:acc>
                <m:accPr>
                  <m:chr m:val="‾"/>
                </m:accPr>
                <m:e>
                  <m:r>
                    <m:t>θ</m:t>
                  </m:r>
                </m:e>
              </m:acc>
            </m:oMath>
          </w:p>
        </w:tc>
        <w:tc>
          <w:tcPr/>
          <w:p>
            <w:pPr>
              <w:pStyle w:val="Compact"/>
            </w:pPr>
            <w:r>
              <w:rPr>
                <w:rFonts w:hint="eastAsia"/>
                <w:sz w:val="18"/>
              </w:rPr>
              <w:t xml:space="preserve">排他的な参入権を持つ単独企業の最適行使閾値。他社の参入を無視し、自分の待機の価値は考慮する</w:t>
            </w:r>
          </w:p>
        </w:tc>
      </w:tr>
      <w:tr>
        <w:tc>
          <w:tcPr/>
          <w:p>
            <w:pPr>
              <w:pStyle w:val="Compact"/>
            </w:pPr>
            <w:r>
              <w:rPr>
                <w:rFonts w:hint="eastAsia"/>
                <w:sz w:val="18"/>
              </w:rPr>
              <w:t xml:space="preserve">競争均衡の閾値</w:t>
            </w:r>
            <w:r>
              <w:rPr>
                <w:sz w:val="18"/>
              </w:rPr>
              <w:t xml:space="preserve"> </w:t>
            </w:r>
            <m:oMath>
              <m:sSub>
                <m:e>
                  <m:r>
                    <m:t>θ</m:t>
                  </m:r>
                </m:e>
                <m:sub>
                  <m:r>
                    <m:t>c</m:t>
                  </m:r>
                </m:sub>
              </m:sSub>
            </m:oMath>
          </w:p>
        </w:tc>
        <w:tc>
          <w:tcPr/>
          <w:p>
            <w:pPr>
              <w:pStyle w:val="Compact"/>
            </w:pPr>
            <w:r>
              <w:rPr>
                <w:rFonts w:hint="eastAsia"/>
                <w:sz w:val="18"/>
              </w:rPr>
              <w:t xml:space="preserve">閾値で参入した者の</w:t>
            </w:r>
            <w:r>
              <w:rPr>
                <w:sz w:val="18"/>
              </w:rPr>
              <w:t xml:space="preserve"> NPV </w:t>
            </w:r>
            <w:r>
              <w:rPr>
                <w:rFonts w:hint="eastAsia"/>
                <w:sz w:val="18"/>
              </w:rPr>
              <w:t xml:space="preserve">を、その後に他社が同じ規則で参入して収入が閾値に押さえられる（上側の反射壁）ことを織り込んで計算し、それが0になる閾値</w:t>
            </w:r>
          </w:p>
        </w:tc>
      </w:tr>
      <w:tr>
        <w:tc>
          <w:tcPr/>
          <w:p>
            <w:pPr>
              <w:pStyle w:val="Compact"/>
            </w:pPr>
            <w:r>
              <w:rPr>
                <w:rFonts w:hint="eastAsia"/>
                <w:sz w:val="18"/>
              </w:rPr>
              <w:t xml:space="preserve">資本費の低下率</w:t>
            </w:r>
            <w:r>
              <w:rPr>
                <w:sz w:val="18"/>
              </w:rPr>
              <w:t xml:space="preserve"> </w:t>
            </w:r>
            <m:oMath>
              <m:sSub>
                <m:e>
                  <m:r>
                    <m:t>g</m:t>
                  </m:r>
                </m:e>
                <m:sub>
                  <m:r>
                    <m:t>I</m:t>
                  </m:r>
                </m:sub>
              </m:sSub>
            </m:oMath>
          </w:p>
        </w:tc>
        <w:tc>
          <w:tcPr/>
          <w:p>
            <w:pPr>
              <w:pStyle w:val="Compact"/>
            </w:pPr>
            <w:r>
              <w:rPr>
                <w:rFonts w:hint="eastAsia"/>
                <w:sz w:val="18"/>
              </w:rPr>
              <w:t xml:space="preserve">蓄電池の資本費の年率の低下（0〜8%）。揚水並みの2.3万円/kWh</w:t>
            </w:r>
            <w:r>
              <w:rPr>
                <w:sz w:val="18"/>
              </w:rPr>
              <w:t xml:space="preserve"> </w:t>
            </w:r>
            <w:r>
              <w:rPr>
                <w:rFonts w:hint="eastAsia"/>
                <w:sz w:val="18"/>
              </w:rPr>
              <w:t xml:space="preserve">で止まるとする</w:t>
            </w:r>
          </w:p>
        </w:tc>
      </w:tr>
      <w:tr>
        <w:tc>
          <w:tcPr/>
          <w:p>
            <w:pPr>
              <w:pStyle w:val="Compact"/>
            </w:pPr>
            <w:r>
              <w:rPr>
                <w:rFonts w:hint="eastAsia"/>
                <w:sz w:val="18"/>
              </w:rPr>
              <w:t xml:space="preserve">期待成長</w:t>
            </w:r>
            <w:r>
              <w:rPr>
                <w:sz w:val="18"/>
              </w:rPr>
              <w:t xml:space="preserve"> </w:t>
            </w:r>
            <m:oMath>
              <m:r>
                <m:t>α</m:t>
              </m:r>
            </m:oMath>
          </w:p>
        </w:tc>
        <w:tc>
          <w:tcPr/>
          <w:p>
            <w:pPr>
              <w:pStyle w:val="Compact"/>
            </w:pPr>
            <w:r>
              <w:rPr>
                <w:rFonts w:hint="eastAsia"/>
                <w:sz w:val="18"/>
              </w:rPr>
              <w:t xml:space="preserve">価格水準の恒久成分の期待成長率。主は0（マルチンゲール）、感応度は年2%と、2因子モデルどおり対数のドリフトを0とする</w:t>
            </w:r>
            <w:r>
              <w:rPr>
                <w:sz w:val="18"/>
              </w:rPr>
              <w:t xml:space="preserve"> </w:t>
            </w:r>
            <m:oMath>
              <m:r>
                <m:rPr>
                  <m:sty m:val="p"/>
                </m:rPr>
                <m:t>exp</m:t>
              </m:r>
              <m:r>
                <m:rPr>
                  <m:sty m:val="p"/>
                </m:rPr>
                <m:t>(</m:t>
              </m:r>
              <m:sSup>
                <m:e>
                  <m:r>
                    <m:t>σ</m:t>
                  </m:r>
                </m:e>
                <m:sup>
                  <m:r>
                    <m:t>2</m:t>
                  </m:r>
                </m:sup>
              </m:sSup>
              <m:r>
                <m:rPr>
                  <m:sty m:val="p"/>
                </m:rPr>
                <m:t>/</m:t>
              </m:r>
              <m:r>
                <m:t>2</m:t>
              </m:r>
              <m:r>
                <m:rPr>
                  <m:sty m:val="p"/>
                </m:rPr>
                <m:t>)</m:t>
              </m:r>
              <m:r>
                <m:rPr>
                  <m:sty m:val="p"/>
                </m:rPr>
                <m:t>−</m:t>
              </m:r>
              <m:r>
                <m:t>1</m:t>
              </m:r>
            </m:oMath>
          </w:p>
        </w:tc>
      </w:tr>
      <w:tr>
        <w:tc>
          <w:tcPr/>
          <w:p>
            <w:pPr>
              <w:pStyle w:val="Compact"/>
            </w:pPr>
            <w:r>
              <w:rPr>
                <w:rFonts w:hint="eastAsia"/>
                <w:sz w:val="18"/>
              </w:rPr>
              <w:t xml:space="preserve">参入が開く確率</w:t>
            </w:r>
          </w:p>
        </w:tc>
        <w:tc>
          <w:tcPr/>
          <w:p>
            <w:pPr>
              <w:pStyle w:val="Compact"/>
            </w:pPr>
            <w:r>
              <w:rPr>
                <w:rFonts w:hint="eastAsia"/>
                <w:sz w:val="18"/>
              </w:rPr>
              <w:t xml:space="preserve">恒久成分の推定値1.22を出発点に</w:t>
            </w:r>
            <w:r>
              <w:rPr>
                <w:sz w:val="18"/>
              </w:rPr>
              <w:t xml:space="preserve"> </w:t>
            </w:r>
            <m:oMath>
              <m:r>
                <m:t>θ</m:t>
              </m:r>
            </m:oMath>
            <w:r>
              <w:rPr>
                <w:sz w:val="18"/>
              </w:rPr>
              <w:t xml:space="preserve"> </w:t>
            </w:r>
            <w:r>
              <w:rPr>
                <w:rFonts w:hint="eastAsia"/>
                <w:sz w:val="18"/>
              </w:rPr>
              <w:t xml:space="preserve">を年次のマルチンゲールとして動かしたとき、各年度までに</w:t>
            </w:r>
            <w:r>
              <w:rPr>
                <w:sz w:val="18"/>
              </w:rPr>
              <w:t xml:space="preserve"> </w:t>
            </w:r>
            <m:oMath>
              <m:r>
                <m:t>θ</m:t>
              </m:r>
            </m:oMath>
            <w:r>
              <w:rPr>
                <w:sz w:val="18"/>
              </w:rPr>
              <w:t xml:space="preserve"> </w:t>
            </w:r>
            <w:r>
              <w:rPr>
                <w:rFonts w:hint="eastAsia"/>
                <w:sz w:val="18"/>
              </w:rPr>
              <w:t xml:space="preserve">が閾値を上回る確率</w:t>
            </w:r>
          </w:p>
        </w:tc>
      </w:tr>
      <w:tr>
        <w:tc>
          <w:tcPr/>
          <w:p>
            <w:pPr>
              <w:pStyle w:val="Compact"/>
            </w:pPr>
            <w:r>
              <w:rPr>
                <w:rFonts w:hint="eastAsia"/>
                <w:sz w:val="18"/>
              </w:rPr>
              <w:t xml:space="preserve">補助の扱い</w:t>
            </w:r>
          </w:p>
        </w:tc>
        <w:tc>
          <w:tcPr/>
          <w:p>
            <w:pPr>
              <w:pStyle w:val="Compact"/>
            </w:pPr>
            <w:r>
              <w:rPr>
                <w:sz w:val="18"/>
              </w:rPr>
              <w:t xml:space="preserve">SII </w:t>
            </w:r>
            <w:r>
              <w:rPr>
                <w:rFonts w:hint="eastAsia"/>
                <w:sz w:val="18"/>
              </w:rPr>
              <w:t xml:space="preserve">の補助率（上限なしの1/2、1/3、上限の効く実効29.4%）に応じて、投資額と資本費の下限を（1−補助率）倍にする。競争均衡は、後続の参入者も補助を受けると置いた近似</w:t>
            </w:r>
          </w:p>
        </w:tc>
      </w:tr>
      <w:tr>
        <w:tc>
          <w:tcPr/>
          <w:p>
            <w:pPr>
              <w:pStyle w:val="Compact"/>
            </w:pPr>
            <w:r>
              <w:rPr>
                <w:rFonts w:hint="eastAsia"/>
                <w:sz w:val="18"/>
              </w:rPr>
              <w:t xml:space="preserve">接続枠の待機価値</w:t>
            </w:r>
            <w:r>
              <w:rPr>
                <w:sz w:val="18"/>
              </w:rPr>
              <w:t xml:space="preserve"> </w:t>
            </w:r>
            <m:oMath>
              <m:sSub>
                <m:e>
                  <m:r>
                    <m:t>W</m:t>
                  </m:r>
                </m:e>
                <m:sub>
                  <m:r>
                    <m:t>0</m:t>
                  </m:r>
                </m:sub>
              </m:sSub>
            </m:oMath>
          </w:p>
        </w:tc>
        <w:tc>
          <w:tcPr/>
          <w:p>
            <w:pPr>
              <w:pStyle w:val="Compact"/>
            </w:pPr>
            <w:r>
              <w:rPr>
                <w:rFonts w:hint="eastAsia"/>
                <w:sz w:val="18"/>
              </w:rPr>
              <w:t xml:space="preserve">マーチャント収入（スポット裁定と容量収入）だけで評価した、排他的な接続枠（契約申込）の待機価値。単独企業の動的計画法で、期限つき（3・5・10年。本文は5年）と期限なし（80年で打ち切り）について求める。他社の参入を無視した上限</w:t>
            </w:r>
          </w:p>
        </w:tc>
      </w:tr>
    </w:tbl>
    <w:p>
      <w:pPr>
        <w:pStyle w:val="TableNote"/>
      </w:pPr>
      <w:r>
        <w:rPr>
          <w:rFonts w:hint="eastAsia"/>
        </w:rPr>
        <w:t xml:space="preserve">出所）筆者作成。</w:t>
      </w:r>
    </w:p>
    <w:p>
      <w:pPr>
        <w:pStyle w:val="TableCaption"/>
      </w:pPr>
      <w:r>
        <w:rPr>
          <w:rFonts w:hint="eastAsia"/>
        </w:rPr>
        <w:t xml:space="preserve">表A.8</w:t>
      </w:r>
      <w:r>
        <w:t xml:space="preserve">　</w:t>
      </w:r>
      <w:r>
        <w:rPr>
          <w:rFonts w:hint="eastAsia"/>
        </w:rPr>
        <w:t xml:space="preserve">費用・資本コスト・収益リスクの定義（第4・8章）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8　費用・資本コスト・収益リスクの定義（第4・8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m:oMath>
              <m:sSub>
                <m:e>
                  <m:r>
                    <m:t>c</m:t>
                  </m:r>
                </m:e>
                <m:sub>
                  <m:r>
                    <m:rPr>
                      <m:sty m:val="p"/>
                    </m:rPr>
                    <m:t>r</m:t>
                  </m:r>
                  <m:r>
                    <m:rPr>
                      <m:sty m:val="p"/>
                    </m:rPr>
                    <m:t>e</m:t>
                  </m:r>
                  <m:r>
                    <m:rPr>
                      <m:sty m:val="p"/>
                    </m:rPr>
                    <m:t>q</m:t>
                  </m:r>
                </m:sub>
              </m:sSub>
            </m:oMath>
            <w:r>
              <w:rPr>
                <w:sz w:val="18"/>
              </w:rPr>
              <w:t xml:space="preserve">・</w:t>
            </w:r>
            <m:oMath>
              <m:r>
                <m:rPr>
                  <m:sty m:val="p"/>
                </m:rPr>
                <m:t>C</m:t>
              </m:r>
              <m:r>
                <m:rPr>
                  <m:sty m:val="p"/>
                </m:rPr>
                <m:t>R</m:t>
              </m:r>
              <m:r>
                <m:rPr>
                  <m:sty m:val="p"/>
                </m:rPr>
                <m:t>F</m:t>
              </m:r>
            </m:oMath>
            <w:r>
              <w:rPr>
                <w:sz w:val="18"/>
              </w:rPr>
              <w:t xml:space="preserve">・</w:t>
            </w:r>
            <m:oMath>
              <m:sSub>
                <m:e>
                  <m:r>
                    <m:t>c</m:t>
                  </m:r>
                </m:e>
                <m:sub>
                  <m:r>
                    <m:rPr>
                      <m:sty m:val="p"/>
                    </m:rPr>
                    <m:t>f</m:t>
                  </m:r>
                  <m:r>
                    <m:rPr>
                      <m:sty m:val="p"/>
                    </m:rPr>
                    <m:t>i</m:t>
                  </m:r>
                  <m:r>
                    <m:rPr>
                      <m:sty m:val="p"/>
                    </m:rPr>
                    <m:t>x</m:t>
                  </m:r>
                </m:sub>
              </m:sSub>
            </m:oMath>
          </w:p>
        </w:tc>
        <w:tc>
          <w:tcPr/>
          <w:p>
            <w:pPr>
              <w:pStyle w:val="Compact"/>
            </w:pPr>
            <w:r>
              <w:rPr>
                <w:rFonts w:hint="eastAsia"/>
                <w:sz w:val="18"/>
              </w:rPr>
              <w:t xml:space="preserve">式(4.6)。</w:t>
            </w:r>
            <m:oMath>
              <m:r>
                <m:t>I</m:t>
              </m:r>
            </m:oMath>
            <w:r>
              <w:rPr>
                <w:rFonts w:hint="eastAsia"/>
                <w:sz w:val="18"/>
              </w:rPr>
              <w:t xml:space="preserve">＝6.8万円/kWh×4＝27.2万円/kW、</w:t>
            </w:r>
            <m:oMath>
              <m:sSub>
                <m:e>
                  <m:r>
                    <m:t>c</m:t>
                  </m:r>
                </m:e>
                <m:sub>
                  <m:r>
                    <m:rPr>
                      <m:sty m:val="p"/>
                    </m:rPr>
                    <m:t>f</m:t>
                  </m:r>
                  <m:r>
                    <m:rPr>
                      <m:sty m:val="p"/>
                    </m:rPr>
                    <m:t>i</m:t>
                  </m:r>
                  <m:r>
                    <m:rPr>
                      <m:sty m:val="p"/>
                    </m:rPr>
                    <m:t>x</m:t>
                  </m:r>
                </m:sub>
              </m:sSub>
            </m:oMath>
            <w:r>
              <w:rPr>
                <w:rFonts w:hint="eastAsia"/>
                <w:sz w:val="18"/>
              </w:rPr>
              <w:t xml:space="preserve">＝運転維持・廃止0.53万円＋託送等の固定費0.69万円＝1.22万円/kW-年。WACC</w:t>
            </w:r>
            <w:r>
              <w:rPr>
                <w:sz w:val="18"/>
              </w:rPr>
              <w:t xml:space="preserve"> 6% で</w:t>
            </w:r>
            <w:r>
              <w:rPr>
                <w:sz w:val="18"/>
              </w:rPr>
              <w:t xml:space="preserve"> </w:t>
            </w:r>
            <m:oMath>
              <m:sSub>
                <m:e>
                  <m:r>
                    <m:t>c</m:t>
                  </m:r>
                </m:e>
                <m:sub>
                  <m:r>
                    <m:rPr>
                      <m:sty m:val="p"/>
                    </m:rPr>
                    <m:t>r</m:t>
                  </m:r>
                  <m:r>
                    <m:rPr>
                      <m:sty m:val="p"/>
                    </m:rPr>
                    <m:t>e</m:t>
                  </m:r>
                  <m:r>
                    <m:rPr>
                      <m:sty m:val="p"/>
                    </m:rPr>
                    <m:t>q</m:t>
                  </m:r>
                </m:sub>
              </m:sSub>
            </m:oMath>
            <w:r>
              <w:rPr>
                <w:rFonts w:hint="eastAsia"/>
                <w:sz w:val="18"/>
              </w:rPr>
              <w:t xml:space="preserve">＝3.59万円/kW-年</w:t>
            </w:r>
          </w:p>
        </w:tc>
      </w:tr>
      <w:tr>
        <w:tc>
          <w:tcPr/>
          <w:p>
            <w:pPr>
              <w:pStyle w:val="Compact"/>
            </w:pPr>
            <w:r>
              <w:rPr>
                <w:rFonts w:hint="eastAsia"/>
                <w:sz w:val="18"/>
              </w:rPr>
              <w:t xml:space="preserve">充電従量負担</w:t>
            </w:r>
            <w:r>
              <w:rPr>
                <w:sz w:val="18"/>
              </w:rPr>
              <w:t xml:space="preserve"> </w:t>
            </w:r>
            <m:oMath>
              <m:sSub>
                <m:e>
                  <m:r>
                    <m:t>w</m:t>
                  </m:r>
                </m:e>
                <m:sub>
                  <m:r>
                    <m:rPr>
                      <m:sty m:val="p"/>
                    </m:rPr>
                    <m:t>c</m:t>
                  </m:r>
                  <m:r>
                    <m:rPr>
                      <m:sty m:val="p"/>
                    </m:rPr>
                    <m:t>h</m:t>
                  </m:r>
                  <m:r>
                    <m:rPr>
                      <m:sty m:val="p"/>
                    </m:rPr>
                    <m:t>g</m:t>
                  </m:r>
                </m:sub>
              </m:sSub>
            </m:oMath>
          </w:p>
        </w:tc>
        <w:tc>
          <w:tcPr/>
          <w:p>
            <w:pPr>
              <w:pStyle w:val="Compact"/>
            </w:pPr>
            <w:r>
              <w:rPr>
                <w:rFonts w:hint="eastAsia"/>
                <w:sz w:val="18"/>
              </w:rPr>
              <w:t xml:space="preserve">1.2円/kWh×4時間×365日＝1,752円/kW-年</w:t>
            </w:r>
          </w:p>
        </w:tc>
      </w:tr>
      <w:tr>
        <w:tc>
          <w:tcPr/>
          <w:p>
            <w:pPr>
              <w:pStyle w:val="Compact"/>
            </w:pPr>
            <w:r>
              <w:rPr>
                <w:rFonts w:hint="eastAsia"/>
                <w:sz w:val="18"/>
              </w:rPr>
              <w:t xml:space="preserve">事業</w:t>
            </w:r>
            <w:r>
              <w:rPr>
                <w:sz w:val="18"/>
              </w:rPr>
              <w:t xml:space="preserve"> IRR</w:t>
            </w:r>
          </w:p>
        </w:tc>
        <w:tc>
          <w:tcPr/>
          <w:p>
            <w:pPr>
              <w:pStyle w:val="Compact"/>
            </w:pPr>
            <w:r>
              <w:rPr>
                <w:rFonts w:hint="eastAsia"/>
                <w:sz w:val="18"/>
              </w:rPr>
              <w:t xml:space="preserve">無レバレッジ・税前・20年で、毎年の期末に同額のキャッシュフローが生じるとしたときの内部収益率。物価上昇を織り込まないので実質と読む。容量収入の経路を置く場合は、年度別のキャッシュフローの</w:t>
            </w:r>
            <w:r>
              <w:rPr>
                <w:sz w:val="18"/>
              </w:rPr>
              <w:t xml:space="preserve"> IRR</w:t>
            </w:r>
          </w:p>
        </w:tc>
      </w:tr>
      <w:tr>
        <w:tc>
          <w:tcPr/>
          <w:p>
            <w:pPr>
              <w:pStyle w:val="Compact"/>
            </w:pPr>
            <w:r>
              <w:rPr>
                <w:rFonts w:hint="eastAsia"/>
                <w:sz w:val="18"/>
              </w:rPr>
              <w:t xml:space="preserve">資産の資本コスト</w:t>
            </w:r>
            <w:r>
              <w:rPr>
                <w:sz w:val="18"/>
              </w:rPr>
              <w:t xml:space="preserve"> </w:t>
            </w:r>
            <m:oMath>
              <m:sSub>
                <m:e>
                  <m:r>
                    <m:t>r</m:t>
                  </m:r>
                </m:e>
                <m:sub>
                  <m:r>
                    <m:t>A</m:t>
                  </m:r>
                </m:sub>
              </m:sSub>
            </m:oMath>
          </w:p>
        </w:tc>
        <w:tc>
          <w:tcPr/>
          <w:p>
            <w:pPr>
              <w:pStyle w:val="Compact"/>
            </w:pPr>
            <w:r>
              <w:rPr>
                <w:rFonts w:hint="eastAsia"/>
                <w:sz w:val="18"/>
              </w:rPr>
              <w:t xml:space="preserve">事業資産のリスクに見合う割引率。摩擦と税がなければ加重平均資本コストに等しい。契約型の</w:t>
            </w:r>
            <w:r>
              <w:rPr>
                <w:sz w:val="18"/>
              </w:rPr>
              <w:t xml:space="preserve"> </w:t>
            </w:r>
            <m:oMath>
              <m:sSub>
                <m:e>
                  <m:r>
                    <m:t>r</m:t>
                  </m:r>
                </m:e>
                <m:sub>
                  <m:r>
                    <m:t>C</m:t>
                  </m:r>
                </m:sub>
              </m:sSub>
            </m:oMath>
            <w:r>
              <w:rPr>
                <w:sz w:val="18"/>
              </w:rPr>
              <w:t xml:space="preserve"> </w:t>
            </w:r>
            <w:r>
              <w:rPr>
                <w:rFonts w:hint="eastAsia"/>
                <w:sz w:val="18"/>
              </w:rPr>
              <w:t xml:space="preserve">は4〜6%（APV</w:t>
            </w:r>
            <w:r>
              <w:rPr>
                <w:sz w:val="18"/>
              </w:rPr>
              <w:t xml:space="preserve"> </w:t>
            </w:r>
            <w:r>
              <w:rPr>
                <w:rFonts w:hint="eastAsia"/>
                <w:sz w:val="18"/>
              </w:rPr>
              <w:t xml:space="preserve">では5%）、マーチャントの</w:t>
            </w:r>
            <w:r>
              <w:rPr>
                <w:sz w:val="18"/>
              </w:rPr>
              <w:t xml:space="preserve"> </w:t>
            </w:r>
            <m:oMath>
              <m:sSubSup>
                <m:e>
                  <m:r>
                    <m:t>r</m:t>
                  </m:r>
                </m:e>
                <m:sub>
                  <m:r>
                    <m:t>A</m:t>
                  </m:r>
                </m:sub>
                <m:sup>
                  <m:r>
                    <m:t>M</m:t>
                  </m:r>
                </m:sup>
              </m:sSubSup>
            </m:oMath>
            <w:r>
              <w:rPr>
                <w:sz w:val="18"/>
              </w:rPr>
              <w:t xml:space="preserve"> </w:t>
            </w:r>
            <w:r>
              <w:rPr>
                <w:rFonts w:hint="eastAsia"/>
                <w:sz w:val="18"/>
              </w:rPr>
              <w:t xml:space="preserve">は8〜9%（APV</w:t>
            </w:r>
            <w:r>
              <w:rPr>
                <w:sz w:val="18"/>
              </w:rPr>
              <w:t xml:space="preserve"> では9%、8% </w:t>
            </w:r>
            <w:r>
              <w:rPr>
                <w:rFonts w:hint="eastAsia"/>
                <w:sz w:val="18"/>
              </w:rPr>
              <w:t xml:space="preserve">の値を併記）（付録B.5.3）</w:t>
            </w:r>
          </w:p>
        </w:tc>
      </w:tr>
      <w:tr>
        <w:tc>
          <w:tcPr/>
          <w:p>
            <w:pPr>
              <w:pStyle w:val="Compact"/>
            </w:pPr>
            <w:r>
              <w:rPr>
                <w:rFonts w:hint="eastAsia"/>
                <w:sz w:val="18"/>
              </w:rPr>
              <w:t xml:space="preserve">調整現在価値（APV）</w:t>
            </w:r>
          </w:p>
        </w:tc>
        <w:tc>
          <w:tcPr/>
          <w:p>
            <w:pPr>
              <w:pStyle w:val="Compact"/>
            </w:pPr>
            <w:r>
              <w:rPr>
                <w:rFonts w:hint="eastAsia"/>
                <w:sz w:val="18"/>
              </w:rPr>
              <w:t xml:space="preserve">借入のないマーチャント事業の</w:t>
            </w:r>
            <w:r>
              <w:rPr>
                <w:sz w:val="18"/>
              </w:rPr>
              <w:t xml:space="preserve"> </w:t>
            </w:r>
            <w:r>
              <w:rPr>
                <w:rFonts w:hint="eastAsia"/>
                <w:sz w:val="18"/>
              </w:rPr>
              <w:t xml:space="preserve">NPV（</w:t>
            </w:r>
            <m:oMath>
              <m:sSubSup>
                <m:e>
                  <m:r>
                    <m:t>r</m:t>
                  </m:r>
                </m:e>
                <m:sub>
                  <m:r>
                    <m:t>A</m:t>
                  </m:r>
                </m:sub>
                <m:sup>
                  <m:r>
                    <m:t>M</m:t>
                  </m:r>
                </m:sup>
              </m:sSubSup>
            </m:oMath>
            <w:r>
              <w:rPr>
                <w:sz w:val="18"/>
              </w:rPr>
              <w:t xml:space="preserve"> </w:t>
            </w:r>
            <w:r>
              <w:rPr>
                <w:rFonts w:hint="eastAsia"/>
                <w:sz w:val="18"/>
              </w:rPr>
              <w:t xml:space="preserve">で割引）を基礎とし、容量市場・補助金・LTDA</w:t>
            </w:r>
            <w:r>
              <w:rPr>
                <w:sz w:val="18"/>
              </w:rPr>
              <w:t xml:space="preserve"> </w:t>
            </w:r>
            <w:r>
              <w:rPr>
                <w:rFonts w:hint="eastAsia"/>
                <w:sz w:val="18"/>
              </w:rPr>
              <w:t xml:space="preserve">の各成分の現在価値を足したもの。負債の節税効果は別に示す</w:t>
            </w:r>
          </w:p>
        </w:tc>
      </w:tr>
      <w:tr>
        <w:tc>
          <w:tcPr/>
          <w:p>
            <w:pPr>
              <w:pStyle w:val="Compact"/>
            </w:pPr>
            <w:r>
              <w:rPr>
                <w:sz w:val="18"/>
              </w:rPr>
              <w:t xml:space="preserve">APV </w:t>
            </w:r>
            <w:r>
              <w:rPr>
                <w:rFonts w:hint="eastAsia"/>
                <w:sz w:val="18"/>
              </w:rPr>
              <w:t xml:space="preserve">が0となる割引率</w:t>
            </w:r>
          </w:p>
        </w:tc>
        <w:tc>
          <w:tcPr/>
          <w:p>
            <w:pPr>
              <w:pStyle w:val="Compact"/>
            </w:pPr>
            <w:r>
              <w:rPr>
                <w:rFonts w:hint="eastAsia"/>
                <w:sz w:val="18"/>
              </w:rPr>
              <w:t xml:space="preserve">補助後の投資額と、スポット・容量の収入から固定費を引いたキャッシュフローの</w:t>
            </w:r>
            <w:r>
              <w:rPr>
                <w:sz w:val="18"/>
              </w:rPr>
              <w:t xml:space="preserve"> </w:t>
            </w:r>
            <w:r>
              <w:rPr>
                <w:rFonts w:hint="eastAsia"/>
                <w:sz w:val="18"/>
              </w:rPr>
              <w:t xml:space="preserve">IRR。これより低い割引率で評価すれば</w:t>
            </w:r>
            <w:r>
              <w:rPr>
                <w:sz w:val="18"/>
              </w:rPr>
              <w:t xml:space="preserve"> APV </w:t>
            </w:r>
            <w:r>
              <w:rPr>
                <w:rFonts w:hint="eastAsia"/>
                <w:sz w:val="18"/>
              </w:rPr>
              <w:t xml:space="preserve">は正になる</w:t>
            </w:r>
          </w:p>
        </w:tc>
      </w:tr>
      <w:tr>
        <w:tc>
          <w:tcPr/>
          <w:p>
            <w:pPr>
              <w:pStyle w:val="Compact"/>
            </w:pPr>
            <w:r>
              <w:rPr>
                <w:rFonts w:hint="eastAsia"/>
                <w:sz w:val="18"/>
              </w:rPr>
              <w:t xml:space="preserve">期待値の移転・リスク移転</w:t>
            </w:r>
          </w:p>
        </w:tc>
        <w:tc>
          <w:tcPr/>
          <w:p>
            <w:pPr>
              <w:pStyle w:val="Compact"/>
            </w:pPr>
            <w:r>
              <w:rPr>
                <w:sz w:val="18"/>
              </w:rPr>
              <w:t xml:space="preserve">LTDA </w:t>
            </w:r>
            <w:r>
              <w:rPr>
                <w:rFonts w:hint="eastAsia"/>
                <w:sz w:val="18"/>
              </w:rPr>
              <w:t xml:space="preserve">をレベニュースワップとみたときの価値の2成分（式(8.1)）。期待値の移転は固定収入が手放す収入の期待値を上回る分（</w:t>
            </w:r>
            <m:oMath>
              <m:sSub>
                <m:e>
                  <m:r>
                    <m:t>r</m:t>
                  </m:r>
                </m:e>
                <m:sub>
                  <m:r>
                    <m:t>C</m:t>
                  </m:r>
                </m:sub>
              </m:sSub>
            </m:oMath>
            <w:r>
              <w:rPr>
                <w:sz w:val="18"/>
              </w:rPr>
              <w:t xml:space="preserve"> </w:t>
            </w:r>
            <w:r>
              <w:rPr>
                <w:rFonts w:hint="eastAsia"/>
                <w:sz w:val="18"/>
              </w:rPr>
              <w:t xml:space="preserve">で評価）、リスク移転は手放す収入を</w:t>
            </w:r>
            <w:r>
              <w:rPr>
                <w:sz w:val="18"/>
              </w:rPr>
              <w:t xml:space="preserve"> </w:t>
            </w:r>
            <m:oMath>
              <m:sSub>
                <m:e>
                  <m:r>
                    <m:t>r</m:t>
                  </m:r>
                </m:e>
                <m:sub>
                  <m:r>
                    <m:t>C</m:t>
                  </m:r>
                </m:sub>
              </m:sSub>
            </m:oMath>
            <w:r>
              <w:rPr>
                <w:sz w:val="18"/>
              </w:rPr>
              <w:t xml:space="preserve"> </w:t>
            </w:r>
            <w:r>
              <w:rPr>
                <w:sz w:val="18"/>
              </w:rPr>
              <w:t xml:space="preserve">と</w:t>
            </w:r>
            <w:r>
              <w:rPr>
                <w:sz w:val="18"/>
              </w:rPr>
              <w:t xml:space="preserve"> </w:t>
            </w:r>
            <m:oMath>
              <m:sSubSup>
                <m:e>
                  <m:r>
                    <m:t>r</m:t>
                  </m:r>
                </m:e>
                <m:sub>
                  <m:r>
                    <m:t>A</m:t>
                  </m:r>
                </m:sub>
                <m:sup>
                  <m:r>
                    <m:t>M</m:t>
                  </m:r>
                </m:sup>
              </m:sSubSup>
            </m:oMath>
            <w:r>
              <w:rPr>
                <w:sz w:val="18"/>
              </w:rPr>
              <w:t xml:space="preserve"> </w:t>
            </w:r>
            <w:r>
              <w:rPr>
                <w:rFonts w:hint="eastAsia"/>
                <w:sz w:val="18"/>
              </w:rPr>
              <w:t xml:space="preserve">で割り引いた現在価値の差</w:t>
            </w:r>
          </w:p>
        </w:tc>
      </w:tr>
      <w:tr>
        <w:tc>
          <w:tcPr/>
          <w:p>
            <w:pPr>
              <w:pStyle w:val="Compact"/>
            </w:pPr>
            <w:r>
              <w:rPr>
                <w:rFonts w:hint="eastAsia"/>
                <w:sz w:val="18"/>
              </w:rPr>
              <w:t xml:space="preserve">確実性等価のリスク調整</w:t>
            </w:r>
          </w:p>
        </w:tc>
        <w:tc>
          <w:tcPr/>
          <w:p>
            <w:pPr>
              <w:pStyle w:val="Compact"/>
            </w:pPr>
            <m:oMath>
              <m:r>
                <m:rPr>
                  <m:sty m:val="p"/>
                </m:rPr>
                <m:t>log</m:t>
              </m:r>
              <m:r>
                <m:t>θ</m:t>
              </m:r>
            </m:oMath>
            <w:r>
              <w:rPr>
                <w:sz w:val="18"/>
              </w:rPr>
              <w:t xml:space="preserve"> </w:t>
            </w:r>
            <w:r>
              <w:rPr>
                <w:rFonts w:hint="eastAsia"/>
                <w:sz w:val="18"/>
              </w:rPr>
              <w:t xml:space="preserve">を持続性</w:t>
            </w:r>
            <w:r>
              <w:rPr>
                <w:sz w:val="18"/>
              </w:rPr>
              <w:t xml:space="preserve"> </w:t>
            </w:r>
            <m:oMath>
              <m:r>
                <m:t>ϕ</m:t>
              </m:r>
            </m:oMath>
            <w:r>
              <w:rPr>
                <w:sz w:val="18"/>
              </w:rPr>
              <w:t xml:space="preserve"> </w:t>
            </w:r>
            <w:r>
              <w:rPr>
                <w:rFonts w:hint="eastAsia"/>
                <w:sz w:val="18"/>
              </w:rPr>
              <w:t xml:space="preserve">の定常</w:t>
            </w:r>
            <w:r>
              <w:rPr>
                <w:sz w:val="18"/>
              </w:rPr>
              <w:t xml:space="preserve"> </w:t>
            </w:r>
            <w:r>
              <w:rPr>
                <w:rFonts w:hint="eastAsia"/>
                <w:sz w:val="18"/>
              </w:rPr>
              <w:t xml:space="preserve">AR(1)（</w:t>
            </w:r>
            <m:oMath>
              <m:r>
                <m:t>ϕ</m:t>
              </m:r>
            </m:oMath>
            <w:r>
              <w:rPr>
                <w:rFonts w:hint="eastAsia"/>
                <w:sz w:val="18"/>
              </w:rPr>
              <w:t xml:space="preserve">=0〜0.9）または恒久成分のランダムウォーク（</w:t>
            </w:r>
            <m:oMath>
              <m:r>
                <m:t>ϕ</m:t>
              </m:r>
              <m:r>
                <m:rPr>
                  <m:sty m:val="p"/>
                </m:rPr>
                <m:t>=</m:t>
              </m:r>
              <m:r>
                <m:t>1</m:t>
              </m:r>
            </m:oMath>
            <w:r>
              <w:rPr>
                <w:sz w:val="18"/>
              </w:rPr>
              <w:t xml:space="preserve">、</w:t>
            </w:r>
            <m:oMath>
              <m:sSub>
                <m:e>
                  <m:r>
                    <m:t>σ</m:t>
                  </m:r>
                </m:e>
                <m:sub>
                  <m:r>
                    <m:t>ξ</m:t>
                  </m:r>
                </m:sub>
              </m:sSub>
            </m:oMath>
            <w:r>
              <w:rPr>
                <w:rFonts w:hint="eastAsia"/>
                <w:sz w:val="18"/>
              </w:rPr>
              <w:t xml:space="preserve">=0.10〜0.30）とし、各年の価値の更新の標準偏差にリスクの価格</w:t>
            </w:r>
            <w:r>
              <w:rPr>
                <w:sz w:val="18"/>
              </w:rPr>
              <w:t xml:space="preserve"> </w:t>
            </w:r>
            <m:oMath>
              <m:r>
                <m:rPr>
                  <m:sty m:val="p"/>
                </m:rPr>
                <m:t>Λ</m:t>
              </m:r>
            </m:oMath>
            <w:r>
              <w:rPr>
                <w:rFonts w:hint="eastAsia"/>
                <w:sz w:val="18"/>
              </w:rPr>
              <w:t xml:space="preserve">（シャープ・レシオ0.2〜0.4×市場収益率との相関0.3〜1）を掛けた額を、期ごとに6%</w:t>
            </w:r>
            <w:r>
              <w:rPr>
                <w:sz w:val="18"/>
              </w:rPr>
              <w:t xml:space="preserve"> </w:t>
            </w:r>
            <w:r>
              <w:rPr>
                <w:rFonts w:hint="eastAsia"/>
                <w:sz w:val="18"/>
              </w:rPr>
              <w:t xml:space="preserve">で割り引いて積み上げたもの（付録B.5.4）</w:t>
            </w:r>
          </w:p>
        </w:tc>
      </w:tr>
      <w:tr>
        <w:tc>
          <w:tcPr/>
          <w:p>
            <w:pPr>
              <w:pStyle w:val="Compact"/>
            </w:pPr>
            <w:r>
              <w:rPr>
                <w:rFonts w:hint="eastAsia"/>
                <w:sz w:val="18"/>
              </w:rPr>
              <w:t xml:space="preserve">年間市場収入</w:t>
            </w:r>
            <w:r>
              <w:rPr>
                <w:sz w:val="18"/>
              </w:rPr>
              <w:t xml:space="preserve"> </w:t>
            </w:r>
            <m:oMath>
              <m:r>
                <m:t>R</m:t>
              </m:r>
            </m:oMath>
          </w:p>
        </w:tc>
        <w:tc>
          <w:tcPr/>
          <w:p>
            <w:pPr>
              <w:pStyle w:val="Compact"/>
            </w:pPr>
            <w:r>
              <w:rPr>
                <w:rFonts w:hint="eastAsia"/>
                <w:sz w:val="18"/>
              </w:rPr>
              <w:t xml:space="preserve">式(8.2)。</w:t>
            </w:r>
            <m:oMath>
              <m:r>
                <m:t>a</m:t>
              </m:r>
              <m:r>
                <m:rPr>
                  <m:sty m:val="p"/>
                </m:rPr>
                <m:t>(</m:t>
              </m:r>
              <m:r>
                <m:t>K</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rPr>
                <w:sz w:val="18"/>
              </w:rPr>
              <w:t xml:space="preserve"> </w:t>
            </w:r>
            <w:r>
              <w:rPr>
                <w:rFonts w:hint="eastAsia"/>
                <w:sz w:val="18"/>
              </w:rPr>
              <w:t xml:space="preserve">は実績整合ケースの限界参入者の粗収益（</w:t>
            </w:r>
            <m:oMath>
              <m:r>
                <m:t>θ</m:t>
              </m:r>
              <m:r>
                <m:rPr>
                  <m:sty m:val="p"/>
                </m:rPr>
                <m:t>=</m:t>
              </m:r>
              <m:r>
                <m:t>1</m:t>
              </m:r>
            </m:oMath>
            <w:r>
              <w:rPr>
                <w:rFonts w:hint="eastAsia"/>
                <w:sz w:val="18"/>
              </w:rPr>
              <w:t xml:space="preserve">）。因子は価格水準</w:t>
            </w:r>
            <w:r>
              <w:rPr>
                <w:sz w:val="18"/>
              </w:rPr>
              <w:t xml:space="preserve"> </w:t>
            </w:r>
            <m:oMath>
              <m:r>
                <m:t>θ</m:t>
              </m:r>
            </m:oMath>
            <w:r>
              <w:rPr>
                <w:rFonts w:hint="eastAsia"/>
                <w:sz w:val="18"/>
              </w:rPr>
              <w:t xml:space="preserve">、他者の参入</w:t>
            </w:r>
            <w:r>
              <w:rPr>
                <w:sz w:val="18"/>
              </w:rPr>
              <w:t xml:space="preserve"> </w:t>
            </w:r>
            <m:oMath>
              <m:r>
                <m:t>K</m:t>
              </m:r>
            </m:oMath>
            <w:r>
              <w:rPr>
                <w:rFonts w:hint="eastAsia"/>
                <w:sz w:val="18"/>
              </w:rPr>
              <w:t xml:space="preserve">（主は20〜87.4万kW</w:t>
            </w:r>
            <w:r>
              <w:rPr>
                <w:sz w:val="18"/>
              </w:rPr>
              <w:t xml:space="preserve"> </w:t>
            </w:r>
            <w:r>
              <w:rPr>
                <w:rFonts w:hint="eastAsia"/>
                <w:sz w:val="18"/>
              </w:rPr>
              <w:t xml:space="preserve">の一様分布）、容量価格の約定水準</w:t>
            </w:r>
            <w:r>
              <w:rPr>
                <w:sz w:val="18"/>
              </w:rPr>
              <w:t xml:space="preserve"> </w:t>
            </w:r>
            <m:oMath>
              <m:r>
                <m:t>L</m:t>
              </m:r>
            </m:oMath>
            <w:r>
              <w:rPr>
                <w:rFonts w:hint="eastAsia"/>
                <w:sz w:val="18"/>
              </w:rPr>
              <w:t xml:space="preserve">、年度単位の形状</w:t>
            </w:r>
            <w:r>
              <w:rPr>
                <w:sz w:val="18"/>
              </w:rPr>
              <w:t xml:space="preserve"> </w:t>
            </w:r>
            <m:oMath>
              <m:r>
                <m:t>S</m:t>
              </m:r>
            </m:oMath>
            <w:r>
              <w:rPr>
                <w:rFonts w:hint="eastAsia"/>
                <w:sz w:val="18"/>
              </w:rPr>
              <w:t xml:space="preserve">、日々の天候</w:t>
            </w:r>
            <w:r>
              <w:rPr>
                <w:sz w:val="18"/>
              </w:rPr>
              <w:t xml:space="preserve"> </w:t>
            </w:r>
            <m:oMath>
              <m:r>
                <m:t>ω</m:t>
              </m:r>
            </m:oMath>
            <w:r>
              <w:rPr>
                <w:rFonts w:hint="eastAsia"/>
                <w:sz w:val="18"/>
              </w:rPr>
              <w:t xml:space="preserve">（付録B.5.5）</w:t>
            </w:r>
          </w:p>
        </w:tc>
      </w:tr>
      <w:tr>
        <w:tc>
          <w:tcPr/>
          <w:p>
            <w:pPr>
              <w:pStyle w:val="Compact"/>
            </w:pPr>
            <w:r>
              <w:rPr>
                <w:sz w:val="18"/>
              </w:rPr>
              <w:t xml:space="preserve">5% CFaR・5% ES</w:t>
            </w:r>
          </w:p>
        </w:tc>
        <w:tc>
          <w:tcPr/>
          <w:p>
            <w:pPr>
              <w:pStyle w:val="Compact"/>
            </w:pPr>
            <w:r>
              <w:rPr>
                <w:sz w:val="18"/>
              </w:rPr>
              <w:t xml:space="preserve">CFaR は</w:t>
            </w:r>
            <w:r>
              <w:rPr>
                <w:sz w:val="18"/>
              </w:rPr>
              <w:t xml:space="preserve"> </w:t>
            </w:r>
            <m:oMath>
              <m:r>
                <m:t>R</m:t>
              </m:r>
            </m:oMath>
            <w:r>
              <w:rPr>
                <w:sz w:val="18"/>
              </w:rPr>
              <w:t xml:space="preserve"> </w:t>
            </w:r>
            <w:r>
              <w:rPr>
                <w:rFonts w:hint="eastAsia"/>
                <w:sz w:val="18"/>
              </w:rPr>
              <w:t xml:space="preserve">の期待値と5%分位点の差、ES</w:t>
            </w:r>
            <w:r>
              <w:rPr>
                <w:sz w:val="18"/>
              </w:rPr>
              <w:t xml:space="preserve"> </w:t>
            </w:r>
            <w:r>
              <w:rPr>
                <w:rFonts w:hint="eastAsia"/>
                <w:sz w:val="18"/>
              </w:rPr>
              <w:t xml:space="preserve">は期待値と、5%分位点以下の条件付き期待値の差</w:t>
            </w:r>
          </w:p>
        </w:tc>
      </w:tr>
      <w:tr>
        <w:tc>
          <w:tcPr/>
          <w:p>
            <w:pPr>
              <w:pStyle w:val="Compact"/>
            </w:pPr>
            <w:r>
              <w:rPr>
                <w:sz w:val="18"/>
              </w:rPr>
              <w:t xml:space="preserve">Shapley </w:t>
            </w:r>
            <w:r>
              <w:rPr>
                <w:rFonts w:hint="eastAsia"/>
                <w:sz w:val="18"/>
              </w:rPr>
              <w:t xml:space="preserve">配分</w:t>
            </w:r>
          </w:p>
        </w:tc>
        <w:tc>
          <w:tcPr/>
          <w:p>
            <w:pPr>
              <w:pStyle w:val="Compact"/>
            </w:pPr>
            <w:r>
              <w:rPr>
                <w:rFonts w:hint="eastAsia"/>
                <w:sz w:val="18"/>
              </w:rPr>
              <w:t xml:space="preserve">5因子を同時に動かしたときの5%</w:t>
            </w:r>
            <w:r>
              <w:rPr>
                <w:sz w:val="18"/>
              </w:rPr>
              <w:t xml:space="preserve"> CFaR </w:t>
            </w:r>
            <w:r>
              <w:rPr>
                <w:rFonts w:hint="eastAsia"/>
                <w:sz w:val="18"/>
              </w:rPr>
              <w:t xml:space="preserve">を、全32通りの因子の部分集合の</w:t>
            </w:r>
            <w:r>
              <w:rPr>
                <w:sz w:val="18"/>
              </w:rPr>
              <w:t xml:space="preserve"> </w:t>
            </w:r>
            <w:r>
              <w:rPr>
                <w:rFonts w:hint="eastAsia"/>
                <w:sz w:val="18"/>
              </w:rPr>
              <w:t xml:space="preserve">CFaR（含めない因子は基準値に固定）から、各因子に配分したもの</w:t>
            </w:r>
          </w:p>
        </w:tc>
      </w:tr>
      <w:tr>
        <w:tc>
          <w:tcPr/>
          <w:p>
            <w:pPr>
              <w:pStyle w:val="Compact"/>
            </w:pPr>
            <w:r>
              <w:rPr>
                <w:rFonts w:hint="eastAsia"/>
                <w:sz w:val="18"/>
              </w:rPr>
              <w:t xml:space="preserve">ヘッジ有効性（HE）</w:t>
            </w:r>
          </w:p>
        </w:tc>
        <w:tc>
          <w:tcPr/>
          <w:p>
            <w:pPr>
              <w:pStyle w:val="Compact"/>
            </w:pPr>
            <w:r>
              <w:rPr>
                <w:rFonts w:hint="eastAsia"/>
                <w:sz w:val="18"/>
              </w:rPr>
              <w:t xml:space="preserve">式(8.3)。</w:t>
            </w:r>
            <m:oMath>
              <m:r>
                <m:t>G</m:t>
              </m:r>
            </m:oMath>
            <w:r>
              <w:rPr>
                <w:sz w:val="18"/>
              </w:rPr>
              <w:t xml:space="preserve"> </w:t>
            </w:r>
            <w:r>
              <w:rPr>
                <w:rFonts w:hint="eastAsia"/>
                <w:sz w:val="18"/>
              </w:rPr>
              <w:t xml:space="preserve">は北海道の月間の完全予見粗利、</w:t>
            </w:r>
            <m:oMath>
              <m:sSup>
                <m:e>
                  <m:r>
                    <m:t>P</m:t>
                  </m:r>
                </m:e>
                <m:sup>
                  <m:r>
                    <m:rPr>
                      <m:sty m:val="p"/>
                    </m:rPr>
                    <m:t>f</m:t>
                  </m:r>
                  <m:r>
                    <m:rPr>
                      <m:sty m:val="p"/>
                    </m:rPr>
                    <m:t>u</m:t>
                  </m:r>
                  <m:r>
                    <m:rPr>
                      <m:sty m:val="p"/>
                    </m:rPr>
                    <m:t>t</m:t>
                  </m:r>
                </m:sup>
              </m:sSup>
            </m:oMath>
            <w:r>
              <w:rPr>
                <w:sz w:val="18"/>
              </w:rPr>
              <w:t xml:space="preserve"> </w:t>
            </w:r>
            <w:r>
              <w:rPr>
                <w:rFonts w:hint="eastAsia"/>
                <w:sz w:val="18"/>
              </w:rPr>
              <w:t xml:space="preserve">は東京エリアの月平均価格（ベースと、平日8〜20時・祝日を除くピーク）。季節（暦月の平均）は標本の中で除く（付録B.5.6）</w:t>
            </w:r>
          </w:p>
        </w:tc>
      </w:tr>
    </w:tbl>
    <w:p>
      <w:pPr>
        <w:pStyle w:val="TableNote"/>
      </w:pPr>
      <w:r>
        <w:rPr>
          <w:rFonts w:hint="eastAsia"/>
        </w:rPr>
        <w:t xml:space="preserve">出所）筆者作成。</w:t>
      </w:r>
    </w:p>
    <w:p>
      <w:pPr>
        <w:pStyle w:val="TableCaption"/>
      </w:pPr>
      <w:r>
        <w:rPr>
          <w:rFonts w:hint="eastAsia"/>
        </w:rPr>
        <w:t xml:space="preserve">表A.9</w:t>
      </w:r>
      <w:r>
        <w:t xml:space="preserve">　</w:t>
      </w:r>
      <w:r>
        <w:rPr>
          <w:rFonts w:hint="eastAsia"/>
        </w:rPr>
        <w:t xml:space="preserve">乖離の勘定と併設蓄電池の定義（第8章）</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A.9　乖離の勘定と併設蓄電池の定義（第8章）"/>
      </w:tblPr>
      <w:tblGrid>
        <w:gridCol w:w="3960"/>
        <w:gridCol w:w="3960"/>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pPr>
            <w:r>
              <w:rPr>
                <w:rFonts w:hint="eastAsia"/>
                <w:sz w:val="18"/>
              </w:rPr>
              <w:t xml:space="preserve">定義</w:t>
            </w:r>
          </w:p>
        </w:tc>
      </w:tr>
      <w:tr>
        <w:tc>
          <w:tcPr/>
          <w:p>
            <w:pPr>
              <w:pStyle w:val="Compact"/>
            </w:pPr>
            <w:r>
              <w:rPr>
                <w:rFonts w:hint="eastAsia"/>
                <w:sz w:val="18"/>
              </w:rPr>
              <w:t xml:space="preserve">乖離の</w:t>
            </w:r>
            <w:r>
              <w:rPr>
                <w:sz w:val="18"/>
              </w:rPr>
              <w:t xml:space="preserve"> kW </w:t>
            </w:r>
            <w:r>
              <w:rPr>
                <w:rFonts w:hint="eastAsia"/>
                <w:sz w:val="18"/>
              </w:rPr>
              <w:t xml:space="preserve">勘定</w:t>
            </w:r>
          </w:p>
        </w:tc>
        <w:tc>
          <w:tcPr/>
          <w:p>
            <w:pPr>
              <w:pStyle w:val="Compact"/>
            </w:pPr>
            <w:r>
              <w:rPr>
                <w:rFonts w:hint="eastAsia"/>
                <w:sz w:val="18"/>
              </w:rPr>
              <w:t xml:space="preserve">接続済みの約20万kW</w:t>
            </w:r>
            <w:r>
              <w:rPr>
                <w:sz w:val="18"/>
              </w:rPr>
              <w:t xml:space="preserve"> </w:t>
            </w:r>
            <w:r>
              <w:rPr>
                <w:rFonts w:hint="eastAsia"/>
                <w:sz w:val="18"/>
              </w:rPr>
              <w:t xml:space="preserve">と契約申込の約234万kW</w:t>
            </w:r>
            <w:r>
              <w:rPr>
                <w:sz w:val="18"/>
              </w:rPr>
              <w:t xml:space="preserve"> </w:t>
            </w:r>
            <w:r>
              <w:rPr>
                <w:rFonts w:hint="eastAsia"/>
                <w:sz w:val="18"/>
              </w:rPr>
              <w:t xml:space="preserve">の合計254万kW</w:t>
            </w:r>
            <w:r>
              <w:rPr>
                <w:sz w:val="18"/>
              </w:rPr>
              <w:t xml:space="preserve"> </w:t>
            </w:r>
            <w:r>
              <w:rPr>
                <w:rFonts w:hint="eastAsia"/>
                <w:sz w:val="18"/>
              </w:rPr>
              <w:t xml:space="preserve">を、属性（LTDA、補助（SII</w:t>
            </w:r>
            <w:r>
              <w:rPr>
                <w:sz w:val="18"/>
              </w:rPr>
              <w:t xml:space="preserve"> </w:t>
            </w:r>
            <w:r>
              <w:rPr>
                <w:rFonts w:hint="eastAsia"/>
                <w:sz w:val="18"/>
              </w:rPr>
              <w:t xml:space="preserve">の交付決定のうち北海道の12件）、確認できたマーチャント（Helios）、併設、不明）別の</w:t>
            </w:r>
            <w:r>
              <w:rPr>
                <w:sz w:val="18"/>
              </w:rPr>
              <w:t xml:space="preserve"> kW </w:t>
            </w:r>
            <w:r>
              <w:rPr>
                <w:rFonts w:hint="eastAsia"/>
                <w:sz w:val="18"/>
              </w:rPr>
              <w:t xml:space="preserve">に割り当て、各属性に1kWあたりの</w:t>
            </w:r>
            <w:r>
              <w:rPr>
                <w:sz w:val="18"/>
              </w:rPr>
              <w:t xml:space="preserve"> </w:t>
            </w:r>
            <w:r>
              <w:rPr>
                <w:rFonts w:hint="eastAsia"/>
                <w:sz w:val="18"/>
              </w:rPr>
              <w:t xml:space="preserve">APV（</w:t>
            </w:r>
            <m:oMath>
              <m:sSubSup>
                <m:e>
                  <m:r>
                    <m:t>r</m:t>
                  </m:r>
                </m:e>
                <m:sub>
                  <m:r>
                    <m:t>A</m:t>
                  </m:r>
                </m:sub>
                <m:sup>
                  <m:r>
                    <m:t>M</m:t>
                  </m:r>
                </m:sup>
              </m:sSubSup>
              <m:r>
                <m:rPr>
                  <m:sty m:val="p"/>
                </m:rPr>
                <m:t>=</m:t>
              </m:r>
              <m:r>
                <m:t>9</m:t>
              </m:r>
              <m:r>
                <m:rPr>
                  <m:sty m:val="p"/>
                </m:rPr>
                <m:t>%</m:t>
              </m:r>
            </m:oMath>
            <w:r>
              <w:rPr>
                <w:rFonts w:hint="eastAsia"/>
                <w:sz w:val="18"/>
              </w:rPr>
              <w:t xml:space="preserve">、実績整合ケース）を対応させたもの。「市場外収入で</w:t>
            </w:r>
            <w:r>
              <w:rPr>
                <w:sz w:val="18"/>
              </w:rPr>
              <w:t xml:space="preserve"> APV </w:t>
            </w:r>
            <w:r>
              <w:rPr>
                <w:rFonts w:hint="eastAsia"/>
                <w:sz w:val="18"/>
              </w:rPr>
              <w:t xml:space="preserve">が正」「APV</w:t>
            </w:r>
            <w:r>
              <w:rPr>
                <w:sz w:val="18"/>
              </w:rPr>
              <w:t xml:space="preserve"> </w:t>
            </w:r>
            <w:r>
              <w:rPr>
                <w:rFonts w:hint="eastAsia"/>
                <w:sz w:val="18"/>
              </w:rPr>
              <w:t xml:space="preserve">が負のまま参入」「属性が不明」の三つに分ける（付録B.5.1）</w:t>
            </w:r>
          </w:p>
        </w:tc>
      </w:tr>
      <w:tr>
        <w:tc>
          <w:tcPr/>
          <w:p>
            <w:pPr>
              <w:pStyle w:val="Compact"/>
            </w:pPr>
            <w:r>
              <w:rPr>
                <w:rFonts w:hint="eastAsia"/>
                <w:sz w:val="18"/>
              </w:rPr>
              <w:t xml:space="preserve">計測外の成分</w:t>
            </w:r>
          </w:p>
        </w:tc>
        <w:tc>
          <w:tcPr/>
          <w:p>
            <w:pPr>
              <w:pStyle w:val="Compact"/>
            </w:pPr>
            <w:r>
              <w:rPr>
                <w:rFonts w:hint="eastAsia"/>
                <w:sz w:val="18"/>
              </w:rPr>
              <w:t xml:space="preserve">属性が不明の</w:t>
            </w:r>
            <w:r>
              <w:rPr>
                <w:sz w:val="18"/>
              </w:rPr>
              <w:t xml:space="preserve"> kW </w:t>
            </w:r>
            <w:r>
              <w:rPr>
                <w:rFonts w:hint="eastAsia"/>
                <w:sz w:val="18"/>
              </w:rPr>
              <w:t xml:space="preserve">をマーチャントの4時間蓄電池とみなしたときの1kWあたりの</w:t>
            </w:r>
            <w:r>
              <w:rPr>
                <w:sz w:val="18"/>
              </w:rPr>
              <w:t xml:space="preserve"> APV </w:t>
            </w:r>
            <w:r>
              <w:rPr>
                <w:rFonts w:hint="eastAsia"/>
                <w:sz w:val="18"/>
              </w:rPr>
              <w:t xml:space="preserve">の不足（</w:t>
            </w:r>
            <m:oMath>
              <m:r>
                <m:t>K</m:t>
              </m:r>
              <m:r>
                <m:rPr>
                  <m:sty m:val="p"/>
                </m:rPr>
                <m:t>=</m:t>
              </m:r>
              <m:r>
                <m:t>0</m:t>
              </m:r>
            </m:oMath>
            <w:r>
              <w:rPr>
                <w:sz w:val="18"/>
              </w:rPr>
              <w:t xml:space="preserve"> </w:t>
            </w:r>
            <w:r>
              <w:rPr>
                <w:rFonts w:hint="eastAsia"/>
                <w:sz w:val="18"/>
              </w:rPr>
              <w:t xml:space="preserve">の値）と、その</w:t>
            </w:r>
            <w:r>
              <w:rPr>
                <w:sz w:val="18"/>
              </w:rPr>
              <w:t xml:space="preserve"> kW </w:t>
            </w:r>
            <w:r>
              <w:rPr>
                <w:rFonts w:hint="eastAsia"/>
                <w:sz w:val="18"/>
              </w:rPr>
              <w:t xml:space="preserve">の積。</w:t>
            </w:r>
            <m:oMath>
              <m:r>
                <m:t>K</m:t>
              </m:r>
              <m:r>
                <m:rPr>
                  <m:sty m:val="p"/>
                </m:rPr>
                <m:t>=</m:t>
              </m:r>
              <m:r>
                <m:t>0</m:t>
              </m:r>
            </m:oMath>
            <w:r>
              <w:rPr>
                <w:sz w:val="18"/>
              </w:rPr>
              <w:t xml:space="preserve"> </w:t>
            </w:r>
            <w:r>
              <w:rPr>
                <w:rFonts w:hint="eastAsia"/>
                <w:sz w:val="18"/>
              </w:rPr>
              <w:t xml:space="preserve">は参入に最も有利な評価なので、上限ではなく規模の目安である</w:t>
            </w:r>
          </w:p>
        </w:tc>
      </w:tr>
      <w:tr>
        <w:tc>
          <w:tcPr/>
          <w:p>
            <w:pPr>
              <w:pStyle w:val="Compact"/>
            </w:pPr>
            <w:r>
              <w:rPr>
                <w:rFonts w:hint="eastAsia"/>
                <w:sz w:val="18"/>
              </w:rPr>
              <w:t xml:space="preserve">併設蓄電池の価値の2成分</w:t>
            </w:r>
          </w:p>
        </w:tc>
        <w:tc>
          <w:tcPr/>
          <w:p>
            <w:pPr>
              <w:pStyle w:val="Compact"/>
            </w:pPr>
            <w:r>
              <w:rPr>
                <w:rFonts w:hint="eastAsia"/>
                <w:sz w:val="18"/>
              </w:rPr>
              <w:t xml:space="preserve">エリア価格でのスポット裁定</w:t>
            </w:r>
            <w:r>
              <w:rPr>
                <w:sz w:val="18"/>
              </w:rPr>
              <w:t xml:space="preserve"> </w:t>
            </w:r>
            <m:oMath>
              <m:sSubSup>
                <m:e>
                  <m:r>
                    <m:t>π</m:t>
                  </m:r>
                </m:e>
                <m:sub>
                  <m:r>
                    <m:rPr>
                      <m:sty m:val="p"/>
                    </m:rPr>
                    <m:t>s</m:t>
                  </m:r>
                  <m:r>
                    <m:rPr>
                      <m:sty m:val="p"/>
                    </m:rPr>
                    <m:t>p</m:t>
                  </m:r>
                  <m:r>
                    <m:rPr>
                      <m:sty m:val="p"/>
                    </m:rPr>
                    <m:t>o</m:t>
                  </m:r>
                  <m:r>
                    <m:rPr>
                      <m:sty m:val="p"/>
                    </m:rPr>
                    <m:t>t</m:t>
                  </m:r>
                </m:sub>
                <m:sup>
                  <m:r>
                    <m:rPr>
                      <m:sty m:val="p"/>
                    </m:rPr>
                    <m:t>′</m:t>
                  </m:r>
                </m:sup>
              </m:sSubSup>
            </m:oMath>
            <w:r>
              <w:rPr>
                <w:sz w:val="18"/>
              </w:rPr>
              <w:t xml:space="preserve"> </w:t>
            </w:r>
            <w:r>
              <w:rPr>
                <w:rFonts w:hint="eastAsia"/>
                <w:sz w:val="18"/>
              </w:rPr>
              <w:t xml:space="preserve">と、再エネの抑制の回避</w:t>
            </w:r>
            <w:r>
              <w:rPr>
                <w:sz w:val="18"/>
              </w:rPr>
              <w:t xml:space="preserve"> </w:t>
            </w:r>
            <m:oMath>
              <m:sSub>
                <m:e>
                  <m:r>
                    <m:t>π</m:t>
                  </m:r>
                </m:e>
                <m:sub>
                  <m:r>
                    <m:rPr>
                      <m:sty m:val="p"/>
                    </m:rPr>
                    <m:t>l</m:t>
                  </m:r>
                  <m:r>
                    <m:rPr>
                      <m:sty m:val="p"/>
                    </m:rPr>
                    <m:t>o</m:t>
                  </m:r>
                  <m:r>
                    <m:rPr>
                      <m:sty m:val="p"/>
                    </m:rPr>
                    <m:t>c</m:t>
                  </m:r>
                  <m:r>
                    <m:rPr>
                      <m:sty m:val="p"/>
                    </m:rPr>
                    <m:t>a</m:t>
                  </m:r>
                  <m:r>
                    <m:rPr>
                      <m:sty m:val="p"/>
                    </m:rPr>
                    <m:t>l</m:t>
                  </m:r>
                </m:sub>
              </m:sSub>
            </m:oMath>
            <w:r>
              <w:rPr>
                <w:rFonts w:hint="eastAsia"/>
                <w:sz w:val="18"/>
              </w:rPr>
              <w:t xml:space="preserve">。両者は同じ時間の充電を取り合うので、日ごとの線形計画で同時に最適化し、</w:t>
            </w:r>
            <m:oMath>
              <m:sSub>
                <m:e>
                  <m:r>
                    <m:t>π</m:t>
                  </m:r>
                </m:e>
                <m:sub>
                  <m:r>
                    <m:rPr>
                      <m:sty m:val="p"/>
                    </m:rPr>
                    <m:t>l</m:t>
                  </m:r>
                  <m:r>
                    <m:rPr>
                      <m:sty m:val="p"/>
                    </m:rPr>
                    <m:t>o</m:t>
                  </m:r>
                  <m:r>
                    <m:rPr>
                      <m:sty m:val="p"/>
                    </m:rPr>
                    <m:t>c</m:t>
                  </m:r>
                  <m:r>
                    <m:rPr>
                      <m:sty m:val="p"/>
                    </m:rPr>
                    <m:t>a</m:t>
                  </m:r>
                  <m:r>
                    <m:rPr>
                      <m:sty m:val="p"/>
                    </m:rPr>
                    <m:t>l</m:t>
                  </m:r>
                </m:sub>
              </m:sSub>
            </m:oMath>
            <w:r>
              <w:rPr>
                <w:sz w:val="18"/>
              </w:rPr>
              <w:t xml:space="preserve"> </w:t>
            </w:r>
            <w:r>
              <w:rPr>
                <w:rFonts w:hint="eastAsia"/>
                <w:sz w:val="18"/>
              </w:rPr>
              <w:t xml:space="preserve">は系統から充電する場合に比べた増分（両方を許した価値−スポット裁定だけの価値）とする（付録B.5.2）</w:t>
            </w:r>
          </w:p>
        </w:tc>
      </w:tr>
      <w:tr>
        <w:tc>
          <w:tcPr/>
          <w:p>
            <w:pPr>
              <w:pStyle w:val="Compact"/>
            </w:pPr>
            <w:r>
              <w:rPr>
                <w:rFonts w:hint="eastAsia"/>
                <w:sz w:val="18"/>
              </w:rPr>
              <w:t xml:space="preserve">併設の参入条件</w:t>
            </w:r>
          </w:p>
        </w:tc>
        <w:tc>
          <w:tcPr/>
          <w:p>
            <w:pPr>
              <w:pStyle w:val="Compact"/>
            </w:pPr>
            <m:oMath>
              <m:sSubSup>
                <m:e>
                  <m:r>
                    <m:t>π</m:t>
                  </m:r>
                </m:e>
                <m:sub>
                  <m:r>
                    <m:rPr>
                      <m:sty m:val="p"/>
                    </m:rPr>
                    <m:t>s</m:t>
                  </m:r>
                  <m:r>
                    <m:rPr>
                      <m:sty m:val="p"/>
                    </m:rPr>
                    <m:t>p</m:t>
                  </m:r>
                  <m:r>
                    <m:rPr>
                      <m:sty m:val="p"/>
                    </m:rPr>
                    <m:t>o</m:t>
                  </m:r>
                  <m:r>
                    <m:rPr>
                      <m:sty m:val="p"/>
                    </m:rPr>
                    <m:t>t</m:t>
                  </m:r>
                </m:sub>
                <m:sup>
                  <m:r>
                    <m:rPr>
                      <m:sty m:val="p"/>
                    </m:rPr>
                    <m:t>′</m:t>
                  </m:r>
                </m:sup>
              </m:sSubSup>
              <m:r>
                <m:rPr>
                  <m:sty m:val="p"/>
                </m:rPr>
                <m:t>+</m:t>
              </m:r>
              <m:sSub>
                <m:e>
                  <m:r>
                    <m:t>π</m:t>
                  </m:r>
                </m:e>
                <m:sub>
                  <m:r>
                    <m:rPr>
                      <m:sty m:val="p"/>
                    </m:rPr>
                    <m:t>l</m:t>
                  </m:r>
                  <m:r>
                    <m:rPr>
                      <m:sty m:val="p"/>
                    </m:rPr>
                    <m:t>o</m:t>
                  </m:r>
                  <m:r>
                    <m:rPr>
                      <m:sty m:val="p"/>
                    </m:rPr>
                    <m:t>c</m:t>
                  </m:r>
                  <m:r>
                    <m:rPr>
                      <m:sty m:val="p"/>
                    </m:rPr>
                    <m:t>a</m:t>
                  </m:r>
                  <m:r>
                    <m:rPr>
                      <m:sty m:val="p"/>
                    </m:rPr>
                    <m:t>l</m:t>
                  </m:r>
                </m:sub>
              </m:sSub>
              <m:r>
                <m:rPr>
                  <m:sty m:val="p"/>
                </m:rPr>
                <m:t>+</m:t>
              </m:r>
              <m:r>
                <m:t>κ</m:t>
              </m:r>
              <m:sSub>
                <m:e>
                  <m:r>
                    <m:t>P</m:t>
                  </m:r>
                </m:e>
                <m:sub>
                  <m:r>
                    <m:rPr>
                      <m:sty m:val="p"/>
                    </m:rPr>
                    <m:t>c</m:t>
                  </m:r>
                  <m:r>
                    <m:rPr>
                      <m:sty m:val="p"/>
                    </m:rPr>
                    <m:t>a</m:t>
                  </m:r>
                  <m:r>
                    <m:rPr>
                      <m:sty m:val="p"/>
                    </m:rPr>
                    <m:t>p</m:t>
                  </m:r>
                </m:sub>
              </m:sSub>
              <m:r>
                <m:rPr>
                  <m:sty m:val="p"/>
                </m:rPr>
                <m:t>≥</m:t>
              </m:r>
              <m:sSubSup>
                <m:e>
                  <m:r>
                    <m:t>c</m:t>
                  </m:r>
                </m:e>
                <m:sub>
                  <m:r>
                    <m:rPr>
                      <m:sty m:val="p"/>
                    </m:rPr>
                    <m:t>r</m:t>
                  </m:r>
                  <m:r>
                    <m:rPr>
                      <m:sty m:val="p"/>
                    </m:rPr>
                    <m:t>e</m:t>
                  </m:r>
                  <m:r>
                    <m:rPr>
                      <m:sty m:val="p"/>
                    </m:rPr>
                    <m:t>q</m:t>
                  </m:r>
                </m:sub>
                <m:sup>
                  <m:r>
                    <m:rPr>
                      <m:sty m:val="p"/>
                    </m:rPr>
                    <m:t>c</m:t>
                  </m:r>
                  <m:r>
                    <m:rPr>
                      <m:sty m:val="p"/>
                    </m:rPr>
                    <m:t>o</m:t>
                  </m:r>
                </m:sup>
              </m:sSubSup>
            </m:oMath>
            <w:r>
              <w:rPr>
                <w:sz w:val="18"/>
              </w:rPr>
              <w:t xml:space="preserve">。</w:t>
            </w:r>
            <m:oMath>
              <m:sSubSup>
                <m:e>
                  <m:r>
                    <m:t>c</m:t>
                  </m:r>
                </m:e>
                <m:sub>
                  <m:r>
                    <m:rPr>
                      <m:sty m:val="p"/>
                    </m:rPr>
                    <m:t>r</m:t>
                  </m:r>
                  <m:r>
                    <m:rPr>
                      <m:sty m:val="p"/>
                    </m:rPr>
                    <m:t>e</m:t>
                  </m:r>
                  <m:r>
                    <m:rPr>
                      <m:sty m:val="p"/>
                    </m:rPr>
                    <m:t>q</m:t>
                  </m:r>
                </m:sub>
                <m:sup>
                  <m:r>
                    <m:rPr>
                      <m:sty m:val="p"/>
                    </m:rPr>
                    <m:t>c</m:t>
                  </m:r>
                  <m:r>
                    <m:rPr>
                      <m:sty m:val="p"/>
                    </m:rPr>
                    <m:t>o</m:t>
                  </m:r>
                </m:sup>
              </m:sSubSup>
            </m:oMath>
            <w:r>
              <w:rPr>
                <w:sz w:val="18"/>
              </w:rPr>
              <w:t xml:space="preserve"> </w:t>
            </w:r>
            <w:r>
              <w:rPr>
                <w:rFonts w:hint="eastAsia"/>
                <w:sz w:val="18"/>
              </w:rPr>
              <w:t xml:space="preserve">は、系統用と同じ定義と、託送の固定費を発電所と共有し系統から充電しない併設の定義の2通り</w:t>
            </w:r>
          </w:p>
        </w:tc>
      </w:tr>
      <w:tr>
        <w:tc>
          <w:tcPr/>
          <w:p>
            <w:pPr>
              <w:pStyle w:val="Compact"/>
            </w:pPr>
            <w:r>
              <w:rPr>
                <w:rFonts w:hint="eastAsia"/>
                <w:sz w:val="18"/>
              </w:rPr>
              <w:t xml:space="preserve">比例拡大・回避率一定</w:t>
            </w:r>
          </w:p>
        </w:tc>
        <w:tc>
          <w:tcPr/>
          <w:p>
            <w:pPr>
              <w:pStyle w:val="Compact"/>
            </w:pPr>
            <w:r>
              <w:rPr>
                <w:rFonts w:hint="eastAsia"/>
                <w:sz w:val="18"/>
              </w:rPr>
              <w:t xml:space="preserve">抑制率を上げる2通りの方法。比例拡大は</w:t>
            </w:r>
            <w:r>
              <w:rPr>
                <w:sz w:val="18"/>
              </w:rPr>
              <w:t xml:space="preserve"> FY2026 </w:t>
            </w:r>
            <w:r>
              <w:rPr>
                <w:rFonts w:hint="eastAsia"/>
                <w:sz w:val="18"/>
              </w:rPr>
              <w:t xml:space="preserve">の4〜6月の時間別の抑制を比例的に拡大するもので、容量の制約で回避率が下がる（下限側）。回避率一定は表C.36</w:t>
            </w:r>
            <w:r>
              <w:rPr>
                <w:sz w:val="18"/>
              </w:rPr>
              <w:t xml:space="preserve"> </w:t>
            </w:r>
            <w:r>
              <w:rPr>
                <w:rFonts w:hint="eastAsia"/>
                <w:sz w:val="18"/>
              </w:rPr>
              <w:t xml:space="preserve">の回避率を保つ（上限側）</w:t>
            </w:r>
          </w:p>
        </w:tc>
      </w:tr>
      <w:tr>
        <w:tc>
          <w:tcPr/>
          <w:p>
            <w:pPr>
              <w:pStyle w:val="Compact"/>
            </w:pPr>
            <w:r>
              <w:rPr>
                <w:rFonts w:hint="eastAsia"/>
                <w:sz w:val="18"/>
              </w:rPr>
              <w:t xml:space="preserve">5円超の抑制の分類</w:t>
            </w:r>
          </w:p>
        </w:tc>
        <w:tc>
          <w:tcPr/>
          <w:p>
            <w:pPr>
              <w:pStyle w:val="Compact"/>
            </w:pPr>
            <w:r>
              <w:rPr>
                <w:rFonts w:hint="eastAsia"/>
                <w:sz w:val="18"/>
              </w:rPr>
              <w:t xml:space="preserve">風力の抑制のうちエリアプライスが5円/kWh</w:t>
            </w:r>
            <w:r>
              <w:rPr>
                <w:sz w:val="18"/>
              </w:rPr>
              <w:t xml:space="preserve"> </w:t>
            </w:r>
            <w:r>
              <w:rPr>
                <w:rFonts w:hint="eastAsia"/>
                <w:sz w:val="18"/>
              </w:rPr>
              <w:t xml:space="preserve">を超える時間を、(i)</w:t>
            </w:r>
            <w:r>
              <w:rPr>
                <w:sz w:val="18"/>
              </w:rPr>
              <w:t xml:space="preserve"> </w:t>
            </w:r>
            <w:r>
              <w:rPr>
                <w:rFonts w:hint="eastAsia"/>
                <w:sz w:val="18"/>
              </w:rPr>
              <w:t xml:space="preserve">太陽光の抑制が同じ時間にある、(ii)</w:t>
            </w:r>
            <w:r>
              <w:rPr>
                <w:sz w:val="18"/>
              </w:rPr>
              <w:t xml:space="preserve"> </w:t>
            </w:r>
            <w:r>
              <w:rPr>
                <w:rFonts w:hint="eastAsia"/>
                <w:sz w:val="18"/>
              </w:rPr>
              <w:t xml:space="preserve">同じ日に下限張り付きの時間がある、(iii)</w:t>
            </w:r>
            <w:r>
              <w:rPr>
                <w:sz w:val="18"/>
              </w:rPr>
              <w:t xml:space="preserve"> </w:t>
            </w:r>
            <w:r>
              <w:rPr>
                <w:rFonts w:hint="eastAsia"/>
                <w:sz w:val="18"/>
              </w:rPr>
              <w:t xml:space="preserve">再エネの抑制が続いた時間帯の最初か最後の時間である、(iv)</w:t>
            </w:r>
            <w:r>
              <w:rPr>
                <w:sz w:val="18"/>
              </w:rPr>
              <w:t xml:space="preserve"> </w:t>
            </w:r>
            <w:r>
              <w:rPr>
                <w:rFonts w:hint="eastAsia"/>
                <w:sz w:val="18"/>
              </w:rPr>
              <w:t xml:space="preserve">ローカル制御が公表された系統・日・時間帯にあたる、に分けたもの（表D.4）</w:t>
            </w:r>
          </w:p>
        </w:tc>
      </w:tr>
    </w:tbl>
    <w:p>
      <w:pPr>
        <w:pStyle w:val="TableNote"/>
      </w:pPr>
      <w:r>
        <w:rPr>
          <w:rFonts w:hint="eastAsia"/>
        </w:rPr>
        <w:t xml:space="preserve">出所）筆者作成。</w:t>
      </w:r>
    </w:p>
    <w:bookmarkEnd w:id="315"/>
    <w:bookmarkEnd w:id="316"/>
    <w:bookmarkStart w:id="353" w:name="付録b-推定と導出の詳細"/>
    <w:p>
      <w:pPr>
        <w:pStyle w:val="Heading1"/>
        <w:pageBreakBefore/>
      </w:pPr>
      <w:r>
        <w:rPr>
          <w:rFonts w:hint="eastAsia"/>
        </w:rPr>
        <w:t xml:space="preserve">付録B</w:t>
      </w:r>
      <w:r>
        <w:t xml:space="preserve">　</w:t>
      </w:r>
      <w:r>
        <w:rPr>
          <w:rFonts w:hint="eastAsia"/>
        </w:rPr>
        <w:t xml:space="preserve">推定と導出の詳細</w:t>
      </w:r>
    </w:p>
    <w:p>
      <w:pPr>
        <w:pStyle w:val="FirstParagraph"/>
      </w:pPr>
      <w:r>
        <w:rPr>
          <w:rFonts w:hint="eastAsia"/>
        </w:rPr>
        <w:t xml:space="preserve">本付録は、本文で結果だけを用いた導出と、推定・数値計算の手順を、本文の章の順に示す。付録B.1</w:t>
      </w:r>
      <w:r>
        <w:t xml:space="preserve"> </w:t>
      </w:r>
      <w:r>
        <w:rPr>
          <w:rFonts w:hint="eastAsia"/>
        </w:rPr>
        <w:t xml:space="preserve">は第4章の共通の定義にかかわる導出、付録B.2〜B.6</w:t>
      </w:r>
      <w:r>
        <w:t xml:space="preserve"> </w:t>
      </w:r>
      <w:r>
        <w:rPr>
          <w:rFonts w:hint="eastAsia"/>
        </w:rPr>
        <w:t xml:space="preserve">は第5〜9章の方法の詳細である。記号は本文と同じ意味で用い、この付録だけで用いる記号はその場で定義する。</w:t>
      </w:r>
    </w:p>
    <w:bookmarkStart w:id="320" w:name="b.1-分析の枠組みに関する導出第4章"/>
    <w:p>
      <w:pPr>
        <w:pStyle w:val="Heading2"/>
      </w:pPr>
      <w:r>
        <w:t xml:space="preserve">B.1　</w:t>
      </w:r>
      <w:r>
        <w:rPr>
          <w:rFonts w:hint="eastAsia"/>
        </w:rPr>
        <w:t xml:space="preserve">分析の枠組みに関する導出（第4章）</w:t>
      </w:r>
    </w:p>
    <w:p>
      <w:pPr>
        <w:pStyle w:val="FirstParagraph"/>
      </w:pPr>
      <w:r>
        <w:rPr>
          <w:rFonts w:hint="eastAsia"/>
        </w:rPr>
        <w:t xml:space="preserve">本節は、第4章で定義した完全予見粗利、ゼロレント条件、損益分岐の価格水準係数について、本文で結果だけを用いた性質を導く。記号は第4章と同じである。</w:t>
      </w:r>
    </w:p>
    <w:bookmarkStart w:id="317" w:name="b.1.1-交換オプションのペイオフの性質"/>
    <w:p>
      <w:pPr>
        <w:pStyle w:val="Heading3"/>
      </w:pPr>
      <w:r>
        <w:t xml:space="preserve">B.1.1　</w:t>
      </w:r>
      <w:r>
        <w:rPr>
          <w:rFonts w:hint="eastAsia"/>
        </w:rPr>
        <w:t xml:space="preserve">交換オプションのペイオフの性質</w:t>
      </w:r>
    </w:p>
    <w:p>
      <w:pPr>
        <w:pStyle w:val="FirstParagraph"/>
      </w:pPr>
      <w:r>
        <w:rPr>
          <w:rFonts w:hint="eastAsia"/>
        </w:rPr>
        <w:t xml:space="preserve">日</w:t>
      </w:r>
      <w:r>
        <w:t xml:space="preserve"> </w:t>
      </w:r>
      <m:oMath>
        <m:r>
          <m:t>t</m:t>
        </m:r>
      </m:oMath>
      <w:r>
        <w:t xml:space="preserve"> </w:t>
      </w:r>
      <w:r>
        <w:rPr>
          <w:rFonts w:hint="eastAsia"/>
        </w:rPr>
        <w:t xml:space="preserve">の粗利（式(4.1)）は</w:t>
      </w:r>
      <w:r>
        <w:t xml:space="preserve"> </w:t>
      </w:r>
      <m:oMath>
        <m:sSub>
          <m:e>
            <m:r>
              <m:t>X</m:t>
            </m:r>
          </m:e>
          <m:sub>
            <m:r>
              <m:t>t</m:t>
            </m:r>
          </m:sub>
        </m:sSub>
        <m:r>
          <m:rPr>
            <m:sty m:val="p"/>
          </m:rPr>
          <m:t>(</m:t>
        </m:r>
        <m:r>
          <m:t>D</m:t>
        </m:r>
        <m:r>
          <m:rPr>
            <m:sty m:val="p"/>
          </m:rPr>
          <m:t>,</m:t>
        </m:r>
        <m:r>
          <m:t>C</m:t>
        </m:r>
        <m:r>
          <m:rPr>
            <m:sty m:val="p"/>
          </m:rPr>
          <m:t>)</m:t>
        </m:r>
        <m:r>
          <m:rPr>
            <m:sty m:val="p"/>
          </m:rPr>
          <m:t>=</m:t>
        </m:r>
        <m:r>
          <m:t>η</m:t>
        </m:r>
        <m:nary>
          <m:naryPr>
            <m:chr m:val="∑"/>
            <m:limLoc m:val="undOvr"/>
            <m:subHide m:val="off"/>
            <m:supHide m:val="on"/>
          </m:naryPr>
          <m:sub>
            <m:r>
              <m:t>h</m:t>
            </m:r>
            <m:r>
              <m:rPr>
                <m:sty m:val="p"/>
              </m:rPr>
              <m:t>∈</m:t>
            </m:r>
            <m:r>
              <m:t>D</m:t>
            </m:r>
          </m:sub>
          <m:sup>
            <m:r>
              <m:t>​</m:t>
            </m:r>
          </m:sup>
          <m:e>
            <m:sSub>
              <m:e>
                <m:r>
                  <m:t>p</m:t>
                </m:r>
              </m:e>
              <m:sub>
                <m:r>
                  <m:t>t</m:t>
                </m:r>
                <m:r>
                  <m:rPr>
                    <m:sty m:val="p"/>
                  </m:rPr>
                  <m:t>,</m:t>
                </m:r>
                <m:r>
                  <m:t>h</m:t>
                </m:r>
              </m:sub>
            </m:sSub>
          </m:e>
        </m:nary>
        <m:r>
          <m:rPr>
            <m:sty m:val="p"/>
          </m:rPr>
          <m:t>−</m:t>
        </m:r>
        <m:nary>
          <m:naryPr>
            <m:chr m:val="∑"/>
            <m:limLoc m:val="undOvr"/>
            <m:subHide m:val="off"/>
            <m:supHide m:val="on"/>
          </m:naryPr>
          <m:sub>
            <m:r>
              <m:t>h</m:t>
            </m:r>
            <m:r>
              <m:rPr>
                <m:sty m:val="p"/>
              </m:rPr>
              <m:t>∈</m:t>
            </m:r>
            <m:r>
              <m:t>C</m:t>
            </m:r>
          </m:sub>
          <m:sup>
            <m:r>
              <m:t>​</m:t>
            </m:r>
          </m:sup>
          <m:e>
            <m:sSub>
              <m:e>
                <m:r>
                  <m:t>p</m:t>
                </m:r>
              </m:e>
              <m:sub>
                <m:r>
                  <m:t>t</m:t>
                </m:r>
                <m:r>
                  <m:rPr>
                    <m:sty m:val="p"/>
                  </m:rPr>
                  <m:t>,</m:t>
                </m:r>
                <m:r>
                  <m:t>h</m:t>
                </m:r>
              </m:sub>
            </m:sSub>
          </m:e>
        </m:nary>
      </m:oMath>
      <w:r>
        <w:t xml:space="preserve"> </w:t>
      </w:r>
      <w:r>
        <w:t xml:space="preserve">であり、</w:t>
      </w:r>
      <m:oMath>
        <m:r>
          <m:t>D</m:t>
        </m:r>
      </m:oMath>
      <w:r>
        <w:t xml:space="preserve"> </w:t>
      </w:r>
      <w:r>
        <w:t xml:space="preserve">と</w:t>
      </w:r>
      <w:r>
        <w:t xml:space="preserve"> </w:t>
      </w:r>
      <m:oMath>
        <m:r>
          <m:t>C</m:t>
        </m:r>
      </m:oMath>
      <w:r>
        <w:t xml:space="preserve"> </w:t>
      </w:r>
      <w:r>
        <w:rPr>
          <w:rFonts w:hint="eastAsia"/>
        </w:rPr>
        <w:t xml:space="preserve">はそれぞれ4時間からなる。</w:t>
      </w:r>
    </w:p>
    <w:p>
      <w:pPr>
        <w:pStyle w:val="BodyText"/>
      </w:pPr>
      <w:r>
        <w:rPr>
          <w:rFonts w:hint="eastAsia"/>
          <w:b/>
          <w:bCs/>
        </w:rPr>
        <w:t xml:space="preserve">比例的な変化</w:t>
      </w:r>
      <w:r>
        <w:t xml:space="preserve">　</w:t>
      </w:r>
      <m:oMath>
        <m:sSub>
          <m:e>
            <m:r>
              <m:t>X</m:t>
            </m:r>
          </m:e>
          <m:sub>
            <m:r>
              <m:t>t</m:t>
            </m:r>
          </m:sub>
        </m:sSub>
        <m:r>
          <m:rPr>
            <m:sty m:val="p"/>
          </m:rPr>
          <m:t>(</m:t>
        </m:r>
        <m:r>
          <m:t>D</m:t>
        </m:r>
        <m:r>
          <m:rPr>
            <m:sty m:val="p"/>
          </m:rPr>
          <m:t>,</m:t>
        </m:r>
        <m:r>
          <m:t>C</m:t>
        </m:r>
        <m:r>
          <m:rPr>
            <m:sty m:val="p"/>
          </m:rPr>
          <m:t>)</m:t>
        </m:r>
      </m:oMath>
      <w:r>
        <w:t xml:space="preserve"> </w:t>
      </w:r>
      <w:r>
        <w:rPr>
          <w:rFonts w:hint="eastAsia"/>
        </w:rPr>
        <w:t xml:space="preserve">は価格の線形関数なので、全時刻の価格を同じ正の倍率で動かすと、すべての</w:t>
      </w:r>
      <w:r>
        <w:t xml:space="preserve"> </w:t>
      </w:r>
      <m:oMath>
        <m:r>
          <m:rPr>
            <m:sty m:val="p"/>
          </m:rPr>
          <m:t>(</m:t>
        </m:r>
        <m:r>
          <m:t>D</m:t>
        </m:r>
        <m:r>
          <m:rPr>
            <m:sty m:val="p"/>
          </m:rPr>
          <m:t>,</m:t>
        </m:r>
        <m:r>
          <m:t>C</m:t>
        </m:r>
        <m:r>
          <m:rPr>
            <m:sty m:val="p"/>
          </m:rPr>
          <m:t>)</m:t>
        </m:r>
      </m:oMath>
      <w:r>
        <w:t xml:space="preserve"> </w:t>
      </w:r>
      <w:r>
        <w:rPr>
          <w:rFonts w:hint="eastAsia"/>
        </w:rPr>
        <w:t xml:space="preserve">について粗利も同じ倍率で動く。正の定数倍は大小関係を変えないので、最適な窓</w:t>
      </w:r>
      <w:r>
        <w:t xml:space="preserve"> </w:t>
      </w:r>
      <m:oMath>
        <m:r>
          <m:rPr>
            <m:sty m:val="p"/>
          </m:rPr>
          <m:t>(</m:t>
        </m:r>
        <m:r>
          <m:t>D</m:t>
        </m:r>
        <m:r>
          <m:rPr>
            <m:sty m:val="p"/>
          </m:rPr>
          <m:t>,</m:t>
        </m:r>
        <m:r>
          <m:t>C</m:t>
        </m:r>
        <m:r>
          <m:rPr>
            <m:sty m:val="p"/>
          </m:rPr>
          <m:t>)</m:t>
        </m:r>
      </m:oMath>
      <w:r>
        <w:t xml:space="preserve"> </w:t>
      </w:r>
      <w:r>
        <w:rPr>
          <w:rFonts w:hint="eastAsia"/>
        </w:rPr>
        <w:t xml:space="preserve">は変わらず、窓についての最大値</w:t>
      </w:r>
      <w:r>
        <w:t xml:space="preserve"> </w:t>
      </w:r>
      <m:oMath>
        <m:sSub>
          <m:e>
            <m:r>
              <m:rPr>
                <m:sty m:val="p"/>
              </m:rPr>
              <m:t>max</m:t>
            </m:r>
          </m:e>
          <m:sub>
            <m:r>
              <m:t>D</m:t>
            </m:r>
            <m:r>
              <m:rPr>
                <m:sty m:val="p"/>
              </m:rPr>
              <m:t>,</m:t>
            </m:r>
            <m:r>
              <m:t>C</m:t>
            </m:r>
          </m:sub>
        </m:sSub>
        <m:sSub>
          <m:e>
            <m:r>
              <m:t>X</m:t>
            </m:r>
          </m:e>
          <m:sub>
            <m:r>
              <m:t>t</m:t>
            </m:r>
          </m:sub>
        </m:sSub>
        <m:r>
          <m:rPr>
            <m:sty m:val="p"/>
          </m:rPr>
          <m:t>(</m:t>
        </m:r>
        <m:r>
          <m:t>D</m:t>
        </m:r>
        <m:r>
          <m:rPr>
            <m:sty m:val="p"/>
          </m:rPr>
          <m:t>,</m:t>
        </m:r>
        <m:r>
          <m:t>C</m:t>
        </m:r>
        <m:r>
          <m:rPr>
            <m:sty m:val="p"/>
          </m:rPr>
          <m:t>)</m:t>
        </m:r>
      </m:oMath>
      <w:r>
        <w:t xml:space="preserve"> </w:t>
      </w:r>
      <w:r>
        <w:rPr>
          <w:rFonts w:hint="eastAsia"/>
        </w:rPr>
        <w:t xml:space="preserve">も同じ倍率で動く。さらに</w:t>
      </w:r>
      <w:r>
        <w:t xml:space="preserve"> </w:t>
      </w:r>
      <m:oMath>
        <m:r>
          <m:rPr>
            <m:sty m:val="p"/>
          </m:rPr>
          <m:t>(</m:t>
        </m:r>
        <m:r>
          <m:rPr>
            <m:sty m:val="p"/>
          </m:rPr>
          <m:t>⋅</m:t>
        </m:r>
        <m:sSup>
          <m:e>
            <m:r>
              <m:rPr>
                <m:sty m:val="p"/>
              </m:rPr>
              <m:t>)</m:t>
            </m:r>
          </m:e>
          <m:sup>
            <m:r>
              <m:rPr>
                <m:sty m:val="p"/>
              </m:rPr>
              <m:t>+</m:t>
            </m:r>
          </m:sup>
        </m:sSup>
      </m:oMath>
      <w:r>
        <w:t xml:space="preserve"> </w:t>
      </w:r>
      <w:r>
        <w:rPr>
          <w:rFonts w:hint="eastAsia"/>
        </w:rPr>
        <w:t xml:space="preserve">は正の定数倍と交換できるので、日次の完全予見のペイオフとその年間合計（式(4.2)）は価格について1次同次である。</w:t>
      </w:r>
    </w:p>
    <w:p>
      <w:pPr>
        <w:pStyle w:val="BodyText"/>
      </w:pPr>
      <w:r>
        <w:rPr>
          <w:rFonts w:hint="eastAsia"/>
        </w:rPr>
        <w:t xml:space="preserve">価格水準係数を入れた価格過程（式(4.3)）では、</w:t>
      </w:r>
      <m:oMath>
        <m:sSub>
          <m:e>
            <m:acc>
              <m:accPr>
                <m:chr m:val="̃"/>
              </m:accPr>
              <m:e>
                <m:r>
                  <m:t>g</m:t>
                </m:r>
              </m:e>
            </m:acc>
          </m:e>
          <m:sub>
            <m:r>
              <m:t>t</m:t>
            </m:r>
          </m:sub>
        </m:sSub>
        <m:r>
          <m:rPr>
            <m:sty m:val="p"/>
          </m:rPr>
          <m:t>=</m:t>
        </m:r>
        <m:r>
          <m:t>g</m:t>
        </m:r>
        <m:r>
          <m:rPr>
            <m:sty m:val="p"/>
          </m:rPr>
          <m:t>(</m:t>
        </m:r>
        <m:sSub>
          <m:e>
            <m:r>
              <m:rPr>
                <m:sty m:val="p"/>
              </m:rPr>
              <m:t>n</m:t>
            </m:r>
            <m:r>
              <m:rPr>
                <m:sty m:val="p"/>
              </m:rPr>
              <m:t>e</m:t>
            </m:r>
            <m:r>
              <m:rPr>
                <m:sty m:val="p"/>
              </m:rPr>
              <m:t>t</m:t>
            </m:r>
          </m:e>
          <m:sub>
            <m:r>
              <m:t>t</m:t>
            </m:r>
          </m:sub>
        </m:sSub>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m:t>
        </m:r>
        <m:r>
          <m:t>μ</m:t>
        </m:r>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h</m:t>
        </m:r>
        <m:r>
          <m:rPr>
            <m:sty m:val="p"/>
          </m:rPr>
          <m:t>o</m:t>
        </m:r>
        <m:r>
          <m:rPr>
            <m:sty m:val="p"/>
          </m:rPr>
          <m:t>u</m:t>
        </m:r>
        <m:r>
          <m:rPr>
            <m:sty m:val="p"/>
          </m:rPr>
          <m:t>r</m:t>
        </m:r>
        <m:r>
          <m:rPr>
            <m:sty m:val="p"/>
          </m:rPr>
          <m:t>)</m:t>
        </m:r>
        <m:r>
          <m:rPr>
            <m:sty m:val="p"/>
          </m:rPr>
          <m:t>−</m:t>
        </m:r>
        <m:r>
          <m:t>0.01</m:t>
        </m:r>
      </m:oMath>
      <w:r>
        <w:t xml:space="preserve"> </w:t>
      </w:r>
      <w:r>
        <w:t xml:space="preserve">とおくと、</w:t>
      </w:r>
      <m:oMath>
        <m:r>
          <m:t>θ</m:t>
        </m:r>
        <m:r>
          <m:rPr>
            <m:sty m:val="p"/>
          </m:rPr>
          <m:t>&gt;</m:t>
        </m:r>
        <m:r>
          <m:t>0</m:t>
        </m:r>
      </m:oMath>
      <w:r>
        <w:t xml:space="preserve"> </w:t>
      </w:r>
      <w:r>
        <w:rPr>
          <w:rFonts w:hint="eastAsia"/>
        </w:rPr>
        <w:t xml:space="preserve">に対して</w:t>
      </w:r>
    </w:p>
    <w:p>
      <w:pPr>
        <w:pStyle w:val="BodyText"/>
        <w:tabs>
          <w:tab w:val="center" w:pos="4393"/>
          <w:tab w:val="right" w:pos="8787"/>
        </w:tabs>
        <w:spacing w:before="120" w:after="120" w:line="240" w:lineRule="auto"/>
        <w:ind w:firstLine="0"/>
      </w:pPr>
      <w:r>
        <w:tab/>
      </w:r>
      <m:oMath>
        <m:sSub>
          <m:e>
            <m:r>
              <m:t>p</m:t>
            </m:r>
          </m:e>
          <m:sub>
            <m:r>
              <m:t>t</m:t>
            </m:r>
          </m:sub>
        </m:sSub>
        <m:r>
          <m:rPr>
            <m:sty m:val="p"/>
          </m:rPr>
          <m:t>=</m:t>
        </m:r>
        <m:r>
          <m:rPr>
            <m:sty m:val="p"/>
          </m:rPr>
          <m:t>max</m:t>
        </m:r>
        <m:r>
          <m:rPr>
            <m:sty m:val="p"/>
          </m:rPr>
          <m:t>{</m:t>
        </m:r>
        <m:r>
          <m:t>0.01</m:t>
        </m:r>
        <m:r>
          <m:rPr>
            <m:sty m:val="p"/>
          </m:rPr>
          <m:t>,</m:t>
        </m:r>
        <m:r>
          <m:t> </m:t>
        </m:r>
        <m:r>
          <m:t>0.01</m:t>
        </m:r>
        <m:r>
          <m:rPr>
            <m:sty m:val="p"/>
          </m:rPr>
          <m:t>+</m:t>
        </m:r>
        <m:r>
          <m:t>θ</m:t>
        </m:r>
        <m:sSub>
          <m:e>
            <m:acc>
              <m:accPr>
                <m:chr m:val="̃"/>
              </m:accPr>
              <m:e>
                <m:r>
                  <m:t>g</m:t>
                </m:r>
              </m:e>
            </m:acc>
          </m:e>
          <m:sub>
            <m:r>
              <m:t>t</m:t>
            </m:r>
          </m:sub>
        </m:sSub>
        <m:r>
          <m:rPr>
            <m:sty m:val="p"/>
          </m:rPr>
          <m:t>}</m:t>
        </m:r>
        <m:r>
          <m:rPr>
            <m:sty m:val="p"/>
          </m:rPr>
          <m:t>=</m:t>
        </m:r>
        <m:r>
          <m:t>0.01</m:t>
        </m:r>
        <m:r>
          <m:rPr>
            <m:sty m:val="p"/>
          </m:rPr>
          <m:t>+</m:t>
        </m:r>
        <m:r>
          <m:t>θ</m:t>
        </m:r>
        <m:r>
          <m:t> </m:t>
        </m:r>
        <m:sSubSup>
          <m:e>
            <m:acc>
              <m:accPr>
                <m:chr m:val="̃"/>
              </m:accPr>
              <m:e>
                <m:r>
                  <m:t>g</m:t>
                </m:r>
              </m:e>
            </m:acc>
          </m:e>
          <m:sub>
            <m:r>
              <m:t>t</m:t>
            </m:r>
          </m:sub>
          <m:sup>
            <m:r>
              <m:rPr>
                <m:sty m:val="p"/>
              </m:rPr>
              <m:t>+</m:t>
            </m:r>
          </m:sup>
        </m:sSubSup>
      </m:oMath>
      <w:r>
        <w:tab/>
      </w:r>
      <w:r>
        <w:t>(B.1)</w:t>
      </w:r>
    </w:p>
    <w:p>
      <w:pPr>
        <w:pStyle w:val="BodyText"/>
      </w:pPr>
      <w:r>
        <w:rPr>
          <w:rFonts w:hint="eastAsia"/>
        </w:rPr>
        <w:t xml:space="preserve">と書ける。</w:t>
      </w:r>
      <m:oMath>
        <m:sSub>
          <m:e>
            <m:acc>
              <m:accPr>
                <m:chr m:val="̃"/>
              </m:accPr>
              <m:e>
                <m:r>
                  <m:t>g</m:t>
                </m:r>
              </m:e>
            </m:acc>
          </m:e>
          <m:sub>
            <m:r>
              <m:t>t</m:t>
            </m:r>
          </m:sub>
        </m:sSub>
        <m:r>
          <m:rPr>
            <m:sty m:val="p"/>
          </m:rPr>
          <m:t>≥</m:t>
        </m:r>
        <m:r>
          <m:t>0</m:t>
        </m:r>
      </m:oMath>
      <w:r>
        <w:t xml:space="preserve"> </w:t>
      </w:r>
      <w:r>
        <w:rPr>
          <w:rFonts w:hint="eastAsia"/>
        </w:rPr>
        <w:t xml:space="preserve">なら右辺は</w:t>
      </w:r>
      <w:r>
        <w:t xml:space="preserve"> </w:t>
      </w:r>
      <m:oMath>
        <m:r>
          <m:t>0.01</m:t>
        </m:r>
        <m:r>
          <m:rPr>
            <m:sty m:val="p"/>
          </m:rPr>
          <m:t>+</m:t>
        </m:r>
        <m:r>
          <m:t>θ</m:t>
        </m:r>
        <m:sSub>
          <m:e>
            <m:acc>
              <m:accPr>
                <m:chr m:val="̃"/>
              </m:accPr>
              <m:e>
                <m:r>
                  <m:t>g</m:t>
                </m:r>
              </m:e>
            </m:acc>
          </m:e>
          <m:sub>
            <m:r>
              <m:t>t</m:t>
            </m:r>
          </m:sub>
        </m:sSub>
      </m:oMath>
      <w:r>
        <w:t xml:space="preserve">、</w:t>
      </w:r>
      <m:oMath>
        <m:sSub>
          <m:e>
            <m:acc>
              <m:accPr>
                <m:chr m:val="̃"/>
              </m:accPr>
              <m:e>
                <m:r>
                  <m:t>g</m:t>
                </m:r>
              </m:e>
            </m:acc>
          </m:e>
          <m:sub>
            <m:r>
              <m:t>t</m:t>
            </m:r>
          </m:sub>
        </m:sSub>
        <m:r>
          <m:rPr>
            <m:sty m:val="p"/>
          </m:rPr>
          <m:t>&lt;</m:t>
        </m:r>
        <m:r>
          <m:t>0</m:t>
        </m:r>
      </m:oMath>
      <w:r>
        <w:t xml:space="preserve"> </w:t>
      </w:r>
      <w:r>
        <w:t xml:space="preserve">なら0.01 </w:t>
      </w:r>
      <w:r>
        <w:rPr>
          <w:rFonts w:hint="eastAsia"/>
        </w:rPr>
        <w:t xml:space="preserve">であり、左辺と一致する。日</w:t>
      </w:r>
      <w:r>
        <w:t xml:space="preserve"> </w:t>
      </w:r>
      <m:oMath>
        <m:r>
          <m:t>t</m:t>
        </m:r>
      </m:oMath>
      <w:r>
        <w:rPr>
          <w:rFonts w:hint="eastAsia"/>
        </w:rPr>
        <w:t xml:space="preserve">・時刻</w:t>
      </w:r>
      <w:r>
        <w:t xml:space="preserve"> </w:t>
      </w:r>
      <m:oMath>
        <m:r>
          <m:t>h</m:t>
        </m:r>
      </m:oMath>
      <w:r>
        <w:t xml:space="preserve"> </w:t>
      </w:r>
      <w:r>
        <w:rPr>
          <w:rFonts w:hint="eastAsia"/>
        </w:rPr>
        <w:t xml:space="preserve">の値を</w:t>
      </w:r>
      <w:r>
        <w:t xml:space="preserve"> </w:t>
      </w:r>
      <m:oMath>
        <m:sSub>
          <m:e>
            <m:acc>
              <m:accPr>
                <m:chr m:val="̃"/>
              </m:accPr>
              <m:e>
                <m:r>
                  <m:t>g</m:t>
                </m:r>
              </m:e>
            </m:acc>
          </m:e>
          <m:sub>
            <m:r>
              <m:t>t</m:t>
            </m:r>
            <m:r>
              <m:rPr>
                <m:sty m:val="p"/>
              </m:rPr>
              <m:t>,</m:t>
            </m:r>
            <m:r>
              <m:t>h</m:t>
            </m:r>
          </m:sub>
        </m:sSub>
      </m:oMath>
      <w:r>
        <w:t xml:space="preserve"> </w:t>
      </w:r>
      <w:r>
        <w:rPr>
          <w:rFonts w:hint="eastAsia"/>
        </w:rPr>
        <w:t xml:space="preserve">と書いてこれを式(4.1)に代入すると</w:t>
      </w:r>
    </w:p>
    <w:p>
      <w:pPr>
        <w:pStyle w:val="BodyText"/>
        <w:tabs>
          <w:tab w:val="center" w:pos="4393"/>
          <w:tab w:val="right" w:pos="8787"/>
        </w:tabs>
        <w:spacing w:before="120" w:after="120" w:line="240" w:lineRule="auto"/>
        <w:ind w:firstLine="0"/>
      </w:pPr>
      <w:r>
        <w:tab/>
      </w:r>
      <m:oMath>
        <m:sSub>
          <m:e>
            <m:r>
              <m:t>X</m:t>
            </m:r>
          </m:e>
          <m:sub>
            <m:r>
              <m:t>t</m:t>
            </m:r>
          </m:sub>
        </m:sSub>
        <m:r>
          <m:rPr>
            <m:sty m:val="p"/>
          </m:rPr>
          <m:t>(</m:t>
        </m:r>
        <m:r>
          <m:t>D</m:t>
        </m:r>
        <m:r>
          <m:rPr>
            <m:sty m:val="p"/>
          </m:rPr>
          <m:t>,</m:t>
        </m:r>
        <m:r>
          <m:t>C</m:t>
        </m:r>
        <m:r>
          <m:rPr>
            <m:sty m:val="p"/>
          </m:rPr>
          <m:t>)</m:t>
        </m:r>
        <m:r>
          <m:rPr>
            <m:sty m:val="p"/>
          </m:rPr>
          <m:t>=</m:t>
        </m:r>
        <m:r>
          <m:t>θ</m:t>
        </m:r>
        <m:d>
          <m:dPr>
            <m:begChr m:val="("/>
            <m:sepChr m:val=""/>
            <m:endChr m:val=")"/>
            <m:grow/>
          </m:dPr>
          <m:e>
            <m:r>
              <m:t>η</m:t>
            </m:r>
            <m:nary>
              <m:naryPr>
                <m:chr m:val="∑"/>
                <m:limLoc m:val="undOvr"/>
                <m:subHide m:val="off"/>
                <m:supHide m:val="on"/>
              </m:naryPr>
              <m:sub>
                <m:r>
                  <m:t>h</m:t>
                </m:r>
                <m:r>
                  <m:rPr>
                    <m:sty m:val="p"/>
                  </m:rPr>
                  <m:t>∈</m:t>
                </m:r>
                <m:r>
                  <m:t>D</m:t>
                </m:r>
              </m:sub>
              <m:sup>
                <m:r>
                  <m:t>​</m:t>
                </m:r>
              </m:sup>
              <m:e>
                <m:sSubSup>
                  <m:e>
                    <m:acc>
                      <m:accPr>
                        <m:chr m:val="̃"/>
                      </m:accPr>
                      <m:e>
                        <m:r>
                          <m:t>g</m:t>
                        </m:r>
                      </m:e>
                    </m:acc>
                  </m:e>
                  <m:sub>
                    <m:r>
                      <m:t>t</m:t>
                    </m:r>
                    <m:r>
                      <m:rPr>
                        <m:sty m:val="p"/>
                      </m:rPr>
                      <m:t>,</m:t>
                    </m:r>
                    <m:r>
                      <m:t>h</m:t>
                    </m:r>
                  </m:sub>
                  <m:sup>
                    <m:r>
                      <m:rPr>
                        <m:sty m:val="p"/>
                      </m:rPr>
                      <m:t>+</m:t>
                    </m:r>
                  </m:sup>
                </m:sSubSup>
              </m:e>
            </m:nary>
            <m:r>
              <m:rPr>
                <m:sty m:val="p"/>
              </m:rPr>
              <m:t>−</m:t>
            </m:r>
            <m:nary>
              <m:naryPr>
                <m:chr m:val="∑"/>
                <m:limLoc m:val="undOvr"/>
                <m:subHide m:val="off"/>
                <m:supHide m:val="on"/>
              </m:naryPr>
              <m:sub>
                <m:r>
                  <m:t>h</m:t>
                </m:r>
                <m:r>
                  <m:rPr>
                    <m:sty m:val="p"/>
                  </m:rPr>
                  <m:t>∈</m:t>
                </m:r>
                <m:r>
                  <m:t>C</m:t>
                </m:r>
              </m:sub>
              <m:sup>
                <m:r>
                  <m:t>​</m:t>
                </m:r>
              </m:sup>
              <m:e>
                <m:sSubSup>
                  <m:e>
                    <m:acc>
                      <m:accPr>
                        <m:chr m:val="̃"/>
                      </m:accPr>
                      <m:e>
                        <m:r>
                          <m:t>g</m:t>
                        </m:r>
                      </m:e>
                    </m:acc>
                  </m:e>
                  <m:sub>
                    <m:r>
                      <m:t>t</m:t>
                    </m:r>
                    <m:r>
                      <m:rPr>
                        <m:sty m:val="p"/>
                      </m:rPr>
                      <m:t>,</m:t>
                    </m:r>
                    <m:r>
                      <m:t>h</m:t>
                    </m:r>
                  </m:sub>
                  <m:sup>
                    <m:r>
                      <m:rPr>
                        <m:sty m:val="p"/>
                      </m:rPr>
                      <m:t>+</m:t>
                    </m:r>
                  </m:sup>
                </m:sSubSup>
              </m:e>
            </m:nary>
          </m:e>
        </m:d>
        <m:r>
          <m:rPr>
            <m:sty m:val="p"/>
          </m:rPr>
          <m:t>−</m:t>
        </m:r>
        <m:r>
          <m:t>4</m:t>
        </m:r>
        <m:r>
          <m:rPr>
            <m:sty m:val="p"/>
          </m:rPr>
          <m:t>(</m:t>
        </m:r>
        <m:r>
          <m:t>1</m:t>
        </m:r>
        <m:r>
          <m:rPr>
            <m:sty m:val="p"/>
          </m:rPr>
          <m:t>−</m:t>
        </m:r>
        <m:r>
          <m:t>η</m:t>
        </m:r>
        <m:r>
          <m:rPr>
            <m:sty m:val="p"/>
          </m:rPr>
          <m:t>)</m:t>
        </m:r>
        <m:r>
          <m:rPr>
            <m:sty m:val="p"/>
          </m:rPr>
          <m:t>×</m:t>
        </m:r>
        <m:r>
          <m:t>0.01</m:t>
        </m:r>
      </m:oMath>
      <w:r>
        <w:tab/>
      </w:r>
      <w:r>
        <w:t>(B.2)</w:t>
      </w:r>
    </w:p>
    <w:p>
      <w:pPr>
        <w:pStyle w:val="BodyText"/>
      </w:pPr>
      <w:r>
        <w:rPr>
          <w:rFonts w:hint="eastAsia"/>
        </w:rPr>
        <w:t xml:space="preserve">となる。第2項は窓の選び方によらない定数（</w:t>
      </w:r>
      <m:oMath>
        <m:r>
          <m:rPr>
            <m:sty m:val="p"/>
          </m:rPr>
          <m:t>−</m:t>
        </m:r>
        <m:r>
          <m:t>0.006</m:t>
        </m:r>
      </m:oMath>
      <w:r>
        <w:t xml:space="preserve"> </w:t>
      </w:r>
      <w:r>
        <w:rPr>
          <w:rFonts w:hint="eastAsia"/>
        </w:rPr>
        <w:t xml:space="preserve">円/kW-日）なので、どの窓が最適か、また過去の平均価格カーブの順位で窓を決める戦略</w:t>
      </w:r>
      <w:r>
        <w:t xml:space="preserve"> c </w:t>
      </w:r>
      <w:r>
        <w:rPr>
          <w:rFonts w:hint="eastAsia"/>
        </w:rPr>
        <w:t xml:space="preserve">がどの窓を選ぶかは、</w:t>
      </w:r>
      <m:oMath>
        <m:r>
          <m:t>θ</m:t>
        </m:r>
      </m:oMath>
      <w:r>
        <w:t xml:space="preserve"> </w:t>
      </w:r>
      <w:r>
        <w:rPr>
          <w:rFonts w:hint="eastAsia"/>
        </w:rPr>
        <w:t xml:space="preserve">によらない。したがって粗利は、下限価格に由来するこの小さな定数と、休止や正のマージンの判定が切り替わる日を除いて、</w:t>
      </w:r>
      <m:oMath>
        <m:r>
          <m:t>θ</m:t>
        </m:r>
      </m:oMath>
      <w:r>
        <w:t xml:space="preserve"> </w:t>
      </w:r>
      <w:r>
        <w:rPr>
          <w:rFonts w:hint="eastAsia"/>
        </w:rPr>
        <w:t xml:space="preserve">に比例する。限界参入者の粗収益が</w:t>
      </w:r>
      <w:r>
        <w:t xml:space="preserve"> </w:t>
      </w:r>
      <m:oMath>
        <m:r>
          <m:t>θ</m:t>
        </m:r>
      </m:oMath>
      <w:r>
        <w:t xml:space="preserve"> </w:t>
      </w:r>
      <w:r>
        <w:rPr>
          <w:rFonts w:hint="eastAsia"/>
        </w:rPr>
        <w:t xml:space="preserve">にほぼ比例するという本文の性質（4.2.3項）は、これによる。</w:t>
      </w:r>
    </w:p>
    <w:p>
      <w:pPr>
        <w:pStyle w:val="BodyText"/>
      </w:pPr>
      <w:r>
        <w:rPr>
          <w:rFonts w:hint="eastAsia"/>
          <w:b/>
          <w:bCs/>
        </w:rPr>
        <w:t xml:space="preserve">加法的な変化</w:t>
      </w:r>
      <w:r>
        <w:t xml:space="preserve">　</w:t>
      </w:r>
      <w:r>
        <w:rPr>
          <w:rFonts w:hint="eastAsia"/>
        </w:rPr>
        <w:t xml:space="preserve">全時刻の価格に同じ額</w:t>
      </w:r>
      <w:r>
        <w:t xml:space="preserve"> </w:t>
      </w:r>
      <m:oMath>
        <m:r>
          <m:t>u</m:t>
        </m:r>
      </m:oMath>
      <w:r>
        <w:rPr>
          <w:rFonts w:hint="eastAsia"/>
        </w:rPr>
        <w:t xml:space="preserve">（円/kWh）を足すと、</w:t>
      </w:r>
    </w:p>
    <w:p>
      <w:pPr>
        <w:pStyle w:val="BodyText"/>
        <w:tabs>
          <w:tab w:val="center" w:pos="4393"/>
          <w:tab w:val="right" w:pos="8787"/>
        </w:tabs>
        <w:spacing w:before="120" w:after="120" w:line="240" w:lineRule="auto"/>
        <w:ind w:firstLine="0"/>
      </w:pPr>
      <w:r>
        <w:tab/>
      </w:r>
      <m:oMath>
        <m:sSub>
          <m:e>
            <m:r>
              <m:t>X</m:t>
            </m:r>
          </m:e>
          <m:sub>
            <m:r>
              <m:t>t</m:t>
            </m:r>
          </m:sub>
        </m:sSub>
        <m:r>
          <m:rPr>
            <m:sty m:val="p"/>
          </m:rPr>
          <m:t>(</m:t>
        </m:r>
        <m:r>
          <m:t>D</m:t>
        </m:r>
        <m:r>
          <m:rPr>
            <m:sty m:val="p"/>
          </m:rPr>
          <m:t>,</m:t>
        </m:r>
        <m:r>
          <m:t>C</m:t>
        </m:r>
        <m:r>
          <m:rPr>
            <m:sty m:val="p"/>
          </m:rPr>
          <m:t>;</m:t>
        </m:r>
        <m:r>
          <m:t>p</m:t>
        </m:r>
        <m:r>
          <m:rPr>
            <m:sty m:val="p"/>
          </m:rPr>
          <m:t>+</m:t>
        </m:r>
        <m:r>
          <m:t>u</m:t>
        </m:r>
        <m:r>
          <m:rPr>
            <m:sty m:val="p"/>
          </m:rPr>
          <m:t>)</m:t>
        </m:r>
        <m:r>
          <m:rPr>
            <m:sty m:val="p"/>
          </m:rPr>
          <m:t>=</m:t>
        </m:r>
        <m:sSub>
          <m:e>
            <m:r>
              <m:t>X</m:t>
            </m:r>
          </m:e>
          <m:sub>
            <m:r>
              <m:t>t</m:t>
            </m:r>
          </m:sub>
        </m:sSub>
        <m:r>
          <m:rPr>
            <m:sty m:val="p"/>
          </m:rPr>
          <m:t>(</m:t>
        </m:r>
        <m:r>
          <m:t>D</m:t>
        </m:r>
        <m:r>
          <m:rPr>
            <m:sty m:val="p"/>
          </m:rPr>
          <m:t>,</m:t>
        </m:r>
        <m:r>
          <m:t>C</m:t>
        </m:r>
        <m:r>
          <m:rPr>
            <m:sty m:val="p"/>
          </m:rPr>
          <m:t>;</m:t>
        </m:r>
        <m:r>
          <m:t>p</m:t>
        </m:r>
        <m:r>
          <m:rPr>
            <m:sty m:val="p"/>
          </m:rPr>
          <m:t>)</m:t>
        </m:r>
        <m:r>
          <m:rPr>
            <m:sty m:val="p"/>
          </m:rPr>
          <m:t>+</m:t>
        </m:r>
        <m:r>
          <m:t>4</m:t>
        </m:r>
        <m:r>
          <m:t>η</m:t>
        </m:r>
        <m:r>
          <m:t>u</m:t>
        </m:r>
        <m:r>
          <m:rPr>
            <m:sty m:val="p"/>
          </m:rPr>
          <m:t>−</m:t>
        </m:r>
        <m:r>
          <m:t>4</m:t>
        </m:r>
        <m:r>
          <m:t>u</m:t>
        </m:r>
        <m:r>
          <m:rPr>
            <m:sty m:val="p"/>
          </m:rPr>
          <m:t>=</m:t>
        </m:r>
        <m:sSub>
          <m:e>
            <m:r>
              <m:t>X</m:t>
            </m:r>
          </m:e>
          <m:sub>
            <m:r>
              <m:t>t</m:t>
            </m:r>
          </m:sub>
        </m:sSub>
        <m:r>
          <m:rPr>
            <m:sty m:val="p"/>
          </m:rPr>
          <m:t>(</m:t>
        </m:r>
        <m:r>
          <m:t>D</m:t>
        </m:r>
        <m:r>
          <m:rPr>
            <m:sty m:val="p"/>
          </m:rPr>
          <m:t>,</m:t>
        </m:r>
        <m:r>
          <m:t>C</m:t>
        </m:r>
        <m:r>
          <m:rPr>
            <m:sty m:val="p"/>
          </m:rPr>
          <m:t>;</m:t>
        </m:r>
        <m:r>
          <m:t>p</m:t>
        </m:r>
        <m:r>
          <m:rPr>
            <m:sty m:val="p"/>
          </m:rPr>
          <m:t>)</m:t>
        </m:r>
        <m:r>
          <m:rPr>
            <m:sty m:val="p"/>
          </m:rPr>
          <m:t>−</m:t>
        </m:r>
        <m:r>
          <m:t>4</m:t>
        </m:r>
        <m:r>
          <m:rPr>
            <m:sty m:val="p"/>
          </m:rPr>
          <m:t>(</m:t>
        </m:r>
        <m:r>
          <m:t>1</m:t>
        </m:r>
        <m:r>
          <m:rPr>
            <m:sty m:val="p"/>
          </m:rPr>
          <m:t>−</m:t>
        </m:r>
        <m:r>
          <m:t>η</m:t>
        </m:r>
        <m:r>
          <m:rPr>
            <m:sty m:val="p"/>
          </m:rPr>
          <m:t>)</m:t>
        </m:r>
        <m:r>
          <m:t> </m:t>
        </m:r>
        <m:r>
          <m:t>u</m:t>
        </m:r>
        <m:r>
          <m:rPr>
            <m:sty m:val="p"/>
          </m:rPr>
          <m:t>=</m:t>
        </m:r>
        <m:sSub>
          <m:e>
            <m:r>
              <m:t>X</m:t>
            </m:r>
          </m:e>
          <m:sub>
            <m:r>
              <m:t>t</m:t>
            </m:r>
          </m:sub>
        </m:sSub>
        <m:r>
          <m:rPr>
            <m:sty m:val="p"/>
          </m:rPr>
          <m:t>(</m:t>
        </m:r>
        <m:r>
          <m:t>D</m:t>
        </m:r>
        <m:r>
          <m:rPr>
            <m:sty m:val="p"/>
          </m:rPr>
          <m:t>,</m:t>
        </m:r>
        <m:r>
          <m:t>C</m:t>
        </m:r>
        <m:r>
          <m:rPr>
            <m:sty m:val="p"/>
          </m:rPr>
          <m:t>;</m:t>
        </m:r>
        <m:r>
          <m:t>p</m:t>
        </m:r>
        <m:r>
          <m:rPr>
            <m:sty m:val="p"/>
          </m:rPr>
          <m:t>)</m:t>
        </m:r>
        <m:r>
          <m:rPr>
            <m:sty m:val="p"/>
          </m:rPr>
          <m:t>−</m:t>
        </m:r>
        <m:r>
          <m:t>0.6</m:t>
        </m:r>
        <m:r>
          <m:t> </m:t>
        </m:r>
        <m:r>
          <m:t>u</m:t>
        </m:r>
      </m:oMath>
      <w:r>
        <w:tab/>
      </w:r>
      <w:r>
        <w:t>(B.3)</w:t>
      </w:r>
    </w:p>
    <w:p>
      <w:pPr>
        <w:pStyle w:val="BodyText"/>
      </w:pPr>
      <w:r>
        <w:rPr>
          <w:rFonts w:hint="eastAsia"/>
        </w:rPr>
        <w:t xml:space="preserve">となる。変化は窓によらない定数なので最適な窓は変わらず、粗利は休止の切替を除いて</w:t>
      </w:r>
      <w:r>
        <w:t xml:space="preserve"> </w:t>
      </w:r>
      <m:oMath>
        <m:r>
          <m:rPr>
            <m:sty m:val="p"/>
          </m:rPr>
          <m:t>−</m:t>
        </m:r>
        <m:r>
          <m:t>0.6</m:t>
        </m:r>
        <m:r>
          <m:t>u</m:t>
        </m:r>
      </m:oMath>
      <w:r>
        <w:rPr>
          <w:rFonts w:hint="eastAsia"/>
        </w:rPr>
        <w:t xml:space="preserve">（円/kW-日）だけ動く。値下がり（</w:t>
      </w:r>
      <m:oMath>
        <m:r>
          <m:t>u</m:t>
        </m:r>
        <m:r>
          <m:rPr>
            <m:sty m:val="p"/>
          </m:rPr>
          <m:t>&lt;</m:t>
        </m:r>
        <m:r>
          <m:t>0</m:t>
        </m:r>
      </m:oMath>
      <w:r>
        <w:rPr>
          <w:rFonts w:hint="eastAsia"/>
        </w:rPr>
        <w:t xml:space="preserve">）は、往復損失として失う0.6kWh</w:t>
      </w:r>
      <w:r>
        <w:t xml:space="preserve"> </w:t>
      </w:r>
      <w:r>
        <w:rPr>
          <w:rFonts w:hint="eastAsia"/>
        </w:rPr>
        <w:t xml:space="preserve">分の充電費用を下げるので、粗利を上げる。</w:t>
      </w:r>
    </w:p>
    <w:p>
      <w:pPr>
        <w:pStyle w:val="BodyText"/>
      </w:pPr>
      <w:r>
        <w:rPr>
          <w:rFonts w:hint="eastAsia"/>
          <w:b/>
          <w:bCs/>
        </w:rPr>
        <w:t xml:space="preserve">稼働日の恒等式</w:t>
      </w:r>
      <w:r>
        <w:t xml:space="preserve">　</w:t>
      </w:r>
      <w:r>
        <w:rPr>
          <w:rFonts w:hint="eastAsia"/>
        </w:rPr>
        <w:t xml:space="preserve">最適な窓の上位4時間・下位4時間の平均価格を</w:t>
      </w:r>
      <w:r>
        <w:t xml:space="preserve"> </w:t>
      </w:r>
      <m:oMath>
        <m:sSub>
          <m:e>
            <m:r>
              <m:t>T</m:t>
            </m:r>
          </m:e>
          <m:sub>
            <m:r>
              <m:t>t</m:t>
            </m:r>
          </m:sub>
        </m:sSub>
      </m:oMath>
      <w:r>
        <w:t xml:space="preserve">・</w:t>
      </w:r>
      <m:oMath>
        <m:sSub>
          <m:e>
            <m:r>
              <m:t>B</m:t>
            </m:r>
          </m:e>
          <m:sub>
            <m:r>
              <m:t>t</m:t>
            </m:r>
          </m:sub>
        </m:sSub>
      </m:oMath>
      <w:r>
        <w:t xml:space="preserve"> </w:t>
      </w:r>
      <w:r>
        <w:t xml:space="preserve">とし、</w:t>
      </w:r>
      <m:oMath>
        <m:sSub>
          <m:e>
            <m:r>
              <m:rPr>
                <m:sty m:val="p"/>
              </m:rPr>
              <m:t>T</m:t>
            </m:r>
            <m:r>
              <m:rPr>
                <m:sty m:val="p"/>
              </m:rPr>
              <m:t>B</m:t>
            </m:r>
            <m:r>
              <m:rPr>
                <m:sty m:val="p"/>
              </m:rPr>
              <m:t>4</m:t>
            </m:r>
            <m:r>
              <m:rPr>
                <m:sty m:val="p"/>
              </m:rPr>
              <m:t>h</m:t>
            </m:r>
          </m:e>
          <m:sub>
            <m:r>
              <m:t>t</m:t>
            </m:r>
          </m:sub>
        </m:sSub>
        <m:r>
          <m:rPr>
            <m:sty m:val="p"/>
          </m:rPr>
          <m:t>=</m:t>
        </m:r>
        <m:sSub>
          <m:e>
            <m:r>
              <m:t>T</m:t>
            </m:r>
          </m:e>
          <m:sub>
            <m:r>
              <m:t>t</m:t>
            </m:r>
          </m:sub>
        </m:sSub>
        <m:r>
          <m:rPr>
            <m:sty m:val="p"/>
          </m:rPr>
          <m:t>−</m:t>
        </m:r>
        <m:sSub>
          <m:e>
            <m:r>
              <m:t>B</m:t>
            </m:r>
          </m:e>
          <m:sub>
            <m:r>
              <m:t>t</m:t>
            </m:r>
          </m:sub>
        </m:sSub>
      </m:oMath>
      <w:r>
        <w:t xml:space="preserve"> </w:t>
      </w:r>
      <w:r>
        <w:rPr>
          <w:rFonts w:hint="eastAsia"/>
        </w:rPr>
        <w:t xml:space="preserve">とすると、稼働する日の粗利は</w:t>
      </w:r>
    </w:p>
    <w:p>
      <w:pPr>
        <w:pStyle w:val="BodyText"/>
        <w:tabs>
          <w:tab w:val="center" w:pos="4393"/>
          <w:tab w:val="right" w:pos="8787"/>
        </w:tabs>
        <w:spacing w:before="120" w:after="120" w:line="240" w:lineRule="auto"/>
        <w:ind w:firstLine="0"/>
      </w:pPr>
      <w:r>
        <w:tab/>
      </w:r>
      <m:oMath>
        <m:r>
          <m:t>4</m:t>
        </m:r>
        <m:r>
          <m:rPr>
            <m:sty m:val="p"/>
          </m:rPr>
          <m:t>(</m:t>
        </m:r>
        <m:r>
          <m:t>η</m:t>
        </m:r>
        <m:sSub>
          <m:e>
            <m:r>
              <m:t>T</m:t>
            </m:r>
          </m:e>
          <m:sub>
            <m:r>
              <m:t>t</m:t>
            </m:r>
          </m:sub>
        </m:sSub>
        <m:r>
          <m:rPr>
            <m:sty m:val="p"/>
          </m:rPr>
          <m:t>−</m:t>
        </m:r>
        <m:sSub>
          <m:e>
            <m:r>
              <m:t>B</m:t>
            </m:r>
          </m:e>
          <m:sub>
            <m:r>
              <m:t>t</m:t>
            </m:r>
          </m:sub>
        </m:sSub>
        <m:r>
          <m:rPr>
            <m:sty m:val="p"/>
          </m:rPr>
          <m:t>)</m:t>
        </m:r>
        <m:r>
          <m:rPr>
            <m:sty m:val="p"/>
          </m:rPr>
          <m:t>=</m:t>
        </m:r>
        <m:r>
          <m:t>4</m:t>
        </m:r>
        <m:r>
          <m:t>η</m:t>
        </m:r>
        <m:r>
          <m:t> </m:t>
        </m:r>
        <m:sSub>
          <m:e>
            <m:r>
              <m:rPr>
                <m:sty m:val="p"/>
              </m:rPr>
              <m:t>T</m:t>
            </m:r>
            <m:r>
              <m:rPr>
                <m:sty m:val="p"/>
              </m:rPr>
              <m:t>B</m:t>
            </m:r>
            <m:r>
              <m:rPr>
                <m:sty m:val="p"/>
              </m:rPr>
              <m:t>4</m:t>
            </m:r>
            <m:r>
              <m:rPr>
                <m:sty m:val="p"/>
              </m:rPr>
              <m:t>h</m:t>
            </m:r>
          </m:e>
          <m:sub>
            <m:r>
              <m:t>t</m:t>
            </m:r>
          </m:sub>
        </m:sSub>
        <m:r>
          <m:rPr>
            <m:sty m:val="p"/>
          </m:rPr>
          <m:t>−</m:t>
        </m:r>
        <m:r>
          <m:t>4</m:t>
        </m:r>
        <m:r>
          <m:rPr>
            <m:sty m:val="p"/>
          </m:rPr>
          <m:t>(</m:t>
        </m:r>
        <m:r>
          <m:t>1</m:t>
        </m:r>
        <m:r>
          <m:rPr>
            <m:sty m:val="p"/>
          </m:rPr>
          <m:t>−</m:t>
        </m:r>
        <m:r>
          <m:t>η</m:t>
        </m:r>
        <m:r>
          <m:rPr>
            <m:sty m:val="p"/>
          </m:rPr>
          <m:t>)</m:t>
        </m:r>
        <m:r>
          <m:t> </m:t>
        </m:r>
        <m:sSub>
          <m:e>
            <m:r>
              <m:t>B</m:t>
            </m:r>
          </m:e>
          <m:sub>
            <m:r>
              <m:t>t</m:t>
            </m:r>
          </m:sub>
        </m:sSub>
        <m:r>
          <m:rPr>
            <m:sty m:val="p"/>
          </m:rPr>
          <m:t>=</m:t>
        </m:r>
        <m:r>
          <m:t>3.4</m:t>
        </m:r>
        <m:r>
          <m:t> </m:t>
        </m:r>
        <m:sSub>
          <m:e>
            <m:r>
              <m:rPr>
                <m:sty m:val="p"/>
              </m:rPr>
              <m:t>T</m:t>
            </m:r>
            <m:r>
              <m:rPr>
                <m:sty m:val="p"/>
              </m:rPr>
              <m:t>B</m:t>
            </m:r>
            <m:r>
              <m:rPr>
                <m:sty m:val="p"/>
              </m:rPr>
              <m:t>4</m:t>
            </m:r>
            <m:r>
              <m:rPr>
                <m:sty m:val="p"/>
              </m:rPr>
              <m:t>h</m:t>
            </m:r>
          </m:e>
          <m:sub>
            <m:r>
              <m:t>t</m:t>
            </m:r>
          </m:sub>
        </m:sSub>
        <m:r>
          <m:rPr>
            <m:sty m:val="p"/>
          </m:rPr>
          <m:t>−</m:t>
        </m:r>
        <m:r>
          <m:t>0.6</m:t>
        </m:r>
        <m:r>
          <m:t> </m:t>
        </m:r>
        <m:sSub>
          <m:e>
            <m:r>
              <m:t>B</m:t>
            </m:r>
          </m:e>
          <m:sub>
            <m:r>
              <m:t>t</m:t>
            </m:r>
          </m:sub>
        </m:sSub>
      </m:oMath>
      <w:r>
        <w:tab/>
      </w:r>
      <w:r>
        <w:t>(B.4)</w:t>
      </w:r>
    </w:p>
    <w:p>
      <w:pPr>
        <w:pStyle w:val="BodyText"/>
      </w:pPr>
      <w:r>
        <w:rPr>
          <w:rFonts w:hint="eastAsia"/>
        </w:rPr>
        <w:t xml:space="preserve">と分けられる。構造イベントによる完全予見粗利の変化は、スプレッドの変化</w:t>
      </w:r>
      <w:r>
        <w:t xml:space="preserve"> </w:t>
      </w:r>
      <m:oMath>
        <m:r>
          <m:t>3.4</m:t>
        </m:r>
        <m:r>
          <m:t> </m:t>
        </m:r>
        <m:r>
          <m:rPr>
            <m:sty m:val="p"/>
          </m:rPr>
          <m:t>Δ</m:t>
        </m:r>
        <m:r>
          <m:rPr>
            <m:sty m:val="p"/>
          </m:rPr>
          <m:t>T</m:t>
        </m:r>
        <m:r>
          <m:rPr>
            <m:sty m:val="p"/>
          </m:rPr>
          <m:t>B</m:t>
        </m:r>
        <m:r>
          <m:rPr>
            <m:sty m:val="p"/>
          </m:rPr>
          <m:t>4</m:t>
        </m:r>
        <m:r>
          <m:rPr>
            <m:sty m:val="p"/>
          </m:rPr>
          <m:t>h</m:t>
        </m:r>
      </m:oMath>
      <w:r>
        <w:rPr>
          <w:rFonts w:hint="eastAsia"/>
        </w:rPr>
        <w:t xml:space="preserve">、往復損失の水準効果</w:t>
      </w:r>
      <w:r>
        <w:t xml:space="preserve"> </w:t>
      </w:r>
      <m:oMath>
        <m:r>
          <m:rPr>
            <m:sty m:val="p"/>
          </m:rPr>
          <m:t>−</m:t>
        </m:r>
        <m:r>
          <m:t>0.6</m:t>
        </m:r>
        <m:r>
          <m:t> </m:t>
        </m:r>
        <m:r>
          <m:rPr>
            <m:sty m:val="p"/>
          </m:rPr>
          <m:t>Δ</m:t>
        </m:r>
        <m:r>
          <m:t>B</m:t>
        </m:r>
      </m:oMath>
      <w:r>
        <w:rPr>
          <w:rFonts w:hint="eastAsia"/>
        </w:rPr>
        <w:t xml:space="preserve">、休止の切替（比べる二つの状態のどちらかで粗利が負となり休止する日の差）の3つに分かれる。失われる0.6kWh</w:t>
      </w:r>
      <w:r>
        <w:t xml:space="preserve"> </w:t>
      </w:r>
      <w:r>
        <w:rPr>
          <w:rFonts w:hint="eastAsia"/>
        </w:rPr>
        <w:t xml:space="preserve">は充電時に下位4時間の価格で買うので、下位4時間で評価する。上位4時間で評価する別の分け方</w:t>
      </w:r>
      <w:r>
        <w:t xml:space="preserve"> </w:t>
      </w:r>
      <m:oMath>
        <m:r>
          <m:t>4</m:t>
        </m:r>
        <m:r>
          <m:rPr>
            <m:sty m:val="p"/>
          </m:rPr>
          <m:t>(</m:t>
        </m:r>
        <m:r>
          <m:t>η</m:t>
        </m:r>
        <m:sSub>
          <m:e>
            <m:r>
              <m:t>T</m:t>
            </m:r>
          </m:e>
          <m:sub>
            <m:r>
              <m:t>t</m:t>
            </m:r>
          </m:sub>
        </m:sSub>
        <m:r>
          <m:rPr>
            <m:sty m:val="p"/>
          </m:rPr>
          <m:t>−</m:t>
        </m:r>
        <m:sSub>
          <m:e>
            <m:r>
              <m:t>B</m:t>
            </m:r>
          </m:e>
          <m:sub>
            <m:r>
              <m:t>t</m:t>
            </m:r>
          </m:sub>
        </m:sSub>
        <m:r>
          <m:rPr>
            <m:sty m:val="p"/>
          </m:rPr>
          <m:t>)</m:t>
        </m:r>
        <m:r>
          <m:rPr>
            <m:sty m:val="p"/>
          </m:rPr>
          <m:t>=</m:t>
        </m:r>
        <m:r>
          <m:t>4</m:t>
        </m:r>
        <m:r>
          <m:t> </m:t>
        </m:r>
        <m:sSub>
          <m:e>
            <m:r>
              <m:rPr>
                <m:sty m:val="p"/>
              </m:rPr>
              <m:t>T</m:t>
            </m:r>
            <m:r>
              <m:rPr>
                <m:sty m:val="p"/>
              </m:rPr>
              <m:t>B</m:t>
            </m:r>
            <m:r>
              <m:rPr>
                <m:sty m:val="p"/>
              </m:rPr>
              <m:t>4</m:t>
            </m:r>
            <m:r>
              <m:rPr>
                <m:sty m:val="p"/>
              </m:rPr>
              <m:t>h</m:t>
            </m:r>
          </m:e>
          <m:sub>
            <m:r>
              <m:t>t</m:t>
            </m:r>
          </m:sub>
        </m:sSub>
        <m:r>
          <m:rPr>
            <m:sty m:val="p"/>
          </m:rPr>
          <m:t>−</m:t>
        </m:r>
        <m:r>
          <m:t>0.6</m:t>
        </m:r>
        <m:r>
          <m:t> </m:t>
        </m:r>
        <m:sSub>
          <m:e>
            <m:r>
              <m:t>T</m:t>
            </m:r>
          </m:e>
          <m:sub>
            <m:r>
              <m:t>t</m:t>
            </m:r>
          </m:sub>
        </m:sSub>
      </m:oMath>
      <w:r>
        <w:t xml:space="preserve"> </w:t>
      </w:r>
      <w:r>
        <w:rPr>
          <w:rFonts w:hint="eastAsia"/>
        </w:rPr>
        <w:t xml:space="preserve">も成り立つ。</w:t>
      </w:r>
    </w:p>
    <w:bookmarkEnd w:id="317"/>
    <w:bookmarkStart w:id="318" w:name="b.1.2-ゼロレント条件と-npv0-の同値性"/>
    <w:p>
      <w:pPr>
        <w:pStyle w:val="Heading3"/>
      </w:pPr>
      <w:r>
        <w:t xml:space="preserve">B.1.2　</w:t>
      </w:r>
      <w:r>
        <w:rPr>
          <w:rFonts w:hint="eastAsia"/>
        </w:rPr>
        <w:t xml:space="preserve">ゼロレント条件と</w:t>
      </w:r>
      <w:r>
        <w:t xml:space="preserve"> </w:t>
      </w:r>
      <w:r>
        <w:rPr>
          <w:rFonts w:hint="eastAsia"/>
        </w:rPr>
        <w:t xml:space="preserve">NPV＝0</w:t>
      </w:r>
      <w:r>
        <w:t xml:space="preserve"> </w:t>
      </w:r>
      <w:r>
        <w:rPr>
          <w:rFonts w:hint="eastAsia"/>
        </w:rPr>
        <w:t xml:space="preserve">の同値性</w:t>
      </w:r>
    </w:p>
    <w:p>
      <w:pPr>
        <w:pStyle w:val="FirstParagraph"/>
      </w:pPr>
      <w:r>
        <w:rPr>
          <w:rFonts w:hint="eastAsia"/>
        </w:rPr>
        <w:t xml:space="preserve">20年の年金現価係数は</w:t>
      </w:r>
      <w:r>
        <w:t xml:space="preserve"> </w:t>
      </w:r>
      <m:oMath>
        <m:nary>
          <m:naryPr>
            <m:chr m:val="∑"/>
            <m:limLoc m:val="undOvr"/>
            <m:subHide m:val="off"/>
            <m:supHide m:val="off"/>
          </m:naryPr>
          <m:sub>
            <m:r>
              <m:t>t</m:t>
            </m:r>
            <m:r>
              <m:rPr>
                <m:sty m:val="p"/>
              </m:rPr>
              <m:t>=</m:t>
            </m:r>
            <m:r>
              <m:t>1</m:t>
            </m:r>
          </m:sub>
          <m:sup>
            <m:r>
              <m:t>20</m:t>
            </m:r>
          </m:sup>
          <m:e>
            <m:r>
              <m:rPr>
                <m:sty m:val="p"/>
              </m:rPr>
              <m:t>(</m:t>
            </m:r>
          </m:e>
        </m:nary>
        <m:r>
          <m:t>1</m:t>
        </m:r>
        <m:r>
          <m:rPr>
            <m:sty m:val="p"/>
          </m:rPr>
          <m:t>+</m:t>
        </m:r>
        <m:r>
          <m:t>r</m:t>
        </m:r>
        <m:sSup>
          <m:e>
            <m:r>
              <m:rPr>
                <m:sty m:val="p"/>
              </m:rPr>
              <m:t>)</m:t>
            </m:r>
          </m:e>
          <m:sup>
            <m:r>
              <m:rPr>
                <m:sty m:val="p"/>
              </m:rPr>
              <m:t>−</m:t>
            </m:r>
            <m:r>
              <m:t>t</m:t>
            </m:r>
          </m:sup>
        </m:sSup>
        <m:r>
          <m:rPr>
            <m:sty m:val="p"/>
          </m:rPr>
          <m:t>=</m:t>
        </m:r>
        <m:r>
          <m:rPr>
            <m:sty m:val="p"/>
          </m:rPr>
          <m:t>[</m:t>
        </m:r>
        <m:r>
          <m:t>1</m:t>
        </m:r>
        <m:r>
          <m:rPr>
            <m:sty m:val="p"/>
          </m:rPr>
          <m:t>−</m:t>
        </m:r>
        <m:r>
          <m:rPr>
            <m:sty m:val="p"/>
          </m:rPr>
          <m:t>(</m:t>
        </m:r>
        <m:r>
          <m:t>1</m:t>
        </m:r>
        <m:r>
          <m:rPr>
            <m:sty m:val="p"/>
          </m:rPr>
          <m:t>+</m:t>
        </m:r>
        <m:r>
          <m:t>r</m:t>
        </m:r>
        <m:sSup>
          <m:e>
            <m:r>
              <m:rPr>
                <m:sty m:val="p"/>
              </m:rPr>
              <m:t>)</m:t>
            </m:r>
          </m:e>
          <m:sup>
            <m:r>
              <m:rPr>
                <m:sty m:val="p"/>
              </m:rPr>
              <m:t>−</m:t>
            </m:r>
            <m:r>
              <m:t>20</m:t>
            </m:r>
          </m:sup>
        </m:sSup>
        <m:r>
          <m:rPr>
            <m:sty m:val="p"/>
          </m:rPr>
          <m:t>]</m:t>
        </m:r>
        <m:r>
          <m:rPr>
            <m:sty m:val="p"/>
          </m:rPr>
          <m:t>/</m:t>
        </m:r>
        <m:r>
          <m:t>r</m:t>
        </m:r>
        <m:r>
          <m:rPr>
            <m:sty m:val="p"/>
          </m:rPr>
          <m:t>=</m:t>
        </m:r>
        <m:r>
          <m:t>1</m:t>
        </m:r>
        <m:r>
          <m:rPr>
            <m:sty m:val="p"/>
          </m:rPr>
          <m:t>/</m:t>
        </m:r>
        <m:r>
          <m:rPr>
            <m:sty m:val="p"/>
          </m:rPr>
          <m:t>C</m:t>
        </m:r>
        <m:r>
          <m:rPr>
            <m:sty m:val="p"/>
          </m:rPr>
          <m:t>R</m:t>
        </m:r>
        <m:r>
          <m:rPr>
            <m:sty m:val="p"/>
          </m:rPr>
          <m:t>F</m:t>
        </m:r>
        <m:r>
          <m:rPr>
            <m:sty m:val="p"/>
          </m:rPr>
          <m:t>(</m:t>
        </m:r>
        <m:r>
          <m:t>r</m:t>
        </m:r>
        <m:r>
          <m:rPr>
            <m:sty m:val="p"/>
          </m:rPr>
          <m:t>,</m:t>
        </m:r>
        <m:r>
          <m:t>20</m:t>
        </m:r>
        <m:r>
          <m:rPr>
            <m:sty m:val="p"/>
          </m:rPr>
          <m:t>)</m:t>
        </m:r>
      </m:oMath>
      <w:r>
        <w:t xml:space="preserve"> </w:t>
      </w:r>
      <w:r>
        <w:rPr>
          <w:rFonts w:hint="eastAsia"/>
        </w:rPr>
        <w:t xml:space="preserve">である。年々の収入と費用が一定なら、式(4.7)は</w:t>
      </w:r>
    </w:p>
    <w:p>
      <w:pPr>
        <w:pStyle w:val="BodyText"/>
        <w:tabs>
          <w:tab w:val="center" w:pos="4393"/>
          <w:tab w:val="right" w:pos="8787"/>
        </w:tabs>
        <w:spacing w:before="120" w:after="120" w:line="240" w:lineRule="auto"/>
        <w:ind w:firstLine="0"/>
      </w:pPr>
      <w:r>
        <w:tab/>
      </w:r>
      <m:oMath>
        <m:r>
          <m:rPr>
            <m:sty m:val="p"/>
          </m:rPr>
          <m:t>N</m:t>
        </m:r>
        <m:r>
          <m:rPr>
            <m:sty m:val="p"/>
          </m:rPr>
          <m:t>P</m:t>
        </m:r>
        <m:r>
          <m:rPr>
            <m:sty m:val="p"/>
          </m:rPr>
          <m:t>V</m:t>
        </m:r>
        <m:r>
          <m:rPr>
            <m:sty m:val="p"/>
          </m:rPr>
          <m:t>=</m:t>
        </m:r>
        <m:r>
          <m:rPr>
            <m:sty m:val="p"/>
          </m:rPr>
          <m:t>−</m:t>
        </m:r>
        <m:r>
          <m:t>I</m:t>
        </m:r>
        <m:r>
          <m:rPr>
            <m:sty m:val="p"/>
          </m:rPr>
          <m:t>+</m:t>
        </m:r>
        <m:f>
          <m:fPr>
            <m:type m:val="bar"/>
          </m:fPr>
          <m:num>
            <m:r>
              <m:t>π</m:t>
            </m:r>
            <m:r>
              <m:rPr>
                <m:sty m:val="p"/>
              </m:rPr>
              <m:t>(</m:t>
            </m:r>
            <m:r>
              <m:t>K</m:t>
            </m:r>
            <m:r>
              <m:rPr>
                <m:sty m:val="p"/>
              </m:rPr>
              <m:t>)</m:t>
            </m:r>
            <m:r>
              <m:rPr>
                <m:sty m:val="p"/>
              </m:rPr>
              <m:t>+</m:t>
            </m:r>
            <m:r>
              <m:t>κ</m:t>
            </m:r>
            <m:sSub>
              <m:e>
                <m:r>
                  <m:t>P</m:t>
                </m:r>
              </m:e>
              <m:sub>
                <m:r>
                  <m:rPr>
                    <m:sty m:val="p"/>
                  </m:rPr>
                  <m:t>c</m:t>
                </m:r>
                <m:r>
                  <m:rPr>
                    <m:sty m:val="p"/>
                  </m:rPr>
                  <m:t>a</m:t>
                </m:r>
                <m:r>
                  <m:rPr>
                    <m:sty m:val="p"/>
                  </m:rPr>
                  <m:t>p</m:t>
                </m:r>
              </m:sub>
            </m:sSub>
            <m:r>
              <m:rPr>
                <m:sty m:val="p"/>
              </m:rPr>
              <m:t>−</m:t>
            </m:r>
            <m:sSub>
              <m:e>
                <m:r>
                  <m:t>c</m:t>
                </m:r>
              </m:e>
              <m:sub>
                <m:r>
                  <m:rPr>
                    <m:sty m:val="p"/>
                  </m:rPr>
                  <m:t>f</m:t>
                </m:r>
                <m:r>
                  <m:rPr>
                    <m:sty m:val="p"/>
                  </m:rPr>
                  <m:t>i</m:t>
                </m:r>
                <m:r>
                  <m:rPr>
                    <m:sty m:val="p"/>
                  </m:rPr>
                  <m:t>x</m:t>
                </m:r>
              </m:sub>
            </m:sSub>
          </m:num>
          <m:den>
            <m:r>
              <m:rPr>
                <m:sty m:val="p"/>
              </m:rPr>
              <m:t>C</m:t>
            </m:r>
            <m:r>
              <m:rPr>
                <m:sty m:val="p"/>
              </m:rPr>
              <m:t>R</m:t>
            </m:r>
            <m:r>
              <m:rPr>
                <m:sty m:val="p"/>
              </m:rPr>
              <m:t>F</m:t>
            </m:r>
            <m:r>
              <m:rPr>
                <m:sty m:val="p"/>
              </m:rPr>
              <m:t>(</m:t>
            </m:r>
            <m:r>
              <m:t>r</m:t>
            </m:r>
            <m:r>
              <m:rPr>
                <m:sty m:val="p"/>
              </m:rPr>
              <m:t>,</m:t>
            </m:r>
            <m:r>
              <m:t>20</m:t>
            </m:r>
            <m:r>
              <m:rPr>
                <m:sty m:val="p"/>
              </m:rPr>
              <m:t>)</m:t>
            </m:r>
          </m:den>
        </m:f>
      </m:oMath>
      <w:r>
        <w:tab/>
      </w:r>
      <w:r>
        <w:t>(B.5)</w:t>
      </w:r>
    </w:p>
    <w:p>
      <w:pPr>
        <w:pStyle w:val="BodyText"/>
      </w:pPr>
      <w:r>
        <w:rPr>
          <w:rFonts w:hint="eastAsia"/>
        </w:rPr>
        <w:t xml:space="preserve">と書ける。</w:t>
      </w:r>
      <m:oMath>
        <m:r>
          <m:rPr>
            <m:sty m:val="p"/>
          </m:rPr>
          <m:t>N</m:t>
        </m:r>
        <m:r>
          <m:rPr>
            <m:sty m:val="p"/>
          </m:rPr>
          <m:t>P</m:t>
        </m:r>
        <m:r>
          <m:rPr>
            <m:sty m:val="p"/>
          </m:rPr>
          <m:t>V</m:t>
        </m:r>
        <m:r>
          <m:rPr>
            <m:sty m:val="p"/>
          </m:rPr>
          <m:t>=</m:t>
        </m:r>
        <m:r>
          <m:t>0</m:t>
        </m:r>
      </m:oMath>
      <w:r>
        <w:t xml:space="preserve"> </w:t>
      </w:r>
      <w:r>
        <w:t xml:space="preserve">は</w:t>
      </w:r>
      <w:r>
        <w:t xml:space="preserve"> </w:t>
      </w:r>
      <m:oMath>
        <m:r>
          <m:t>π</m:t>
        </m:r>
        <m:r>
          <m:rPr>
            <m:sty m:val="p"/>
          </m:rPr>
          <m:t>(</m:t>
        </m:r>
        <m:r>
          <m:t>K</m:t>
        </m:r>
        <m:r>
          <m:rPr>
            <m:sty m:val="p"/>
          </m:rPr>
          <m:t>)</m:t>
        </m:r>
        <m:r>
          <m:rPr>
            <m:sty m:val="p"/>
          </m:rPr>
          <m:t>+</m:t>
        </m:r>
        <m:r>
          <m:t>κ</m:t>
        </m:r>
        <m:sSub>
          <m:e>
            <m:r>
              <m:t>P</m:t>
            </m:r>
          </m:e>
          <m:sub>
            <m:r>
              <m:rPr>
                <m:sty m:val="p"/>
              </m:rPr>
              <m:t>c</m:t>
            </m:r>
            <m:r>
              <m:rPr>
                <m:sty m:val="p"/>
              </m:rPr>
              <m:t>a</m:t>
            </m:r>
            <m:r>
              <m:rPr>
                <m:sty m:val="p"/>
              </m:rPr>
              <m:t>p</m:t>
            </m:r>
          </m:sub>
        </m:sSub>
        <m:r>
          <m:rPr>
            <m:sty m:val="p"/>
          </m:rPr>
          <m:t>−</m:t>
        </m:r>
        <m:sSub>
          <m:e>
            <m:r>
              <m:t>c</m:t>
            </m:r>
          </m:e>
          <m:sub>
            <m:r>
              <m:rPr>
                <m:sty m:val="p"/>
              </m:rPr>
              <m:t>f</m:t>
            </m:r>
            <m:r>
              <m:rPr>
                <m:sty m:val="p"/>
              </m:rPr>
              <m:t>i</m:t>
            </m:r>
            <m:r>
              <m:rPr>
                <m:sty m:val="p"/>
              </m:rPr>
              <m:t>x</m:t>
            </m:r>
          </m:sub>
        </m:sSub>
        <m:r>
          <m:rPr>
            <m:sty m:val="p"/>
          </m:rPr>
          <m:t>=</m:t>
        </m:r>
        <m:r>
          <m:t>I</m:t>
        </m:r>
        <m:r>
          <m:rPr>
            <m:sty m:val="p"/>
          </m:rPr>
          <m:t>⋅</m:t>
        </m:r>
        <m:r>
          <m:rPr>
            <m:sty m:val="p"/>
          </m:rPr>
          <m:t>C</m:t>
        </m:r>
        <m:r>
          <m:rPr>
            <m:sty m:val="p"/>
          </m:rPr>
          <m:t>R</m:t>
        </m:r>
        <m:r>
          <m:rPr>
            <m:sty m:val="p"/>
          </m:rPr>
          <m:t>F</m:t>
        </m:r>
        <m:r>
          <m:rPr>
            <m:sty m:val="p"/>
          </m:rPr>
          <m:t>(</m:t>
        </m:r>
        <m:r>
          <m:t>r</m:t>
        </m:r>
        <m:r>
          <m:rPr>
            <m:sty m:val="p"/>
          </m:rPr>
          <m:t>,</m:t>
        </m:r>
        <m:r>
          <m:t>20</m:t>
        </m:r>
        <m:r>
          <m:rPr>
            <m:sty m:val="p"/>
          </m:rPr>
          <m:t>)</m:t>
        </m:r>
      </m:oMath>
      <w:r>
        <w:t xml:space="preserve">、すなわち</w:t>
      </w:r>
      <w:r>
        <w:t xml:space="preserve"> </w:t>
      </w:r>
      <m:oMath>
        <m:r>
          <m:t>π</m:t>
        </m:r>
        <m:r>
          <m:rPr>
            <m:sty m:val="p"/>
          </m:rPr>
          <m:t>(</m:t>
        </m:r>
        <m:r>
          <m:t>K</m:t>
        </m:r>
        <m:r>
          <m:rPr>
            <m:sty m:val="p"/>
          </m:rPr>
          <m:t>)</m:t>
        </m:r>
        <m:r>
          <m:rPr>
            <m:sty m:val="p"/>
          </m:rPr>
          <m:t>+</m:t>
        </m:r>
        <m:r>
          <m:t>κ</m:t>
        </m:r>
        <m:sSub>
          <m:e>
            <m:r>
              <m:t>P</m:t>
            </m:r>
          </m:e>
          <m:sub>
            <m:r>
              <m:rPr>
                <m:sty m:val="p"/>
              </m:rPr>
              <m:t>c</m:t>
            </m:r>
            <m:r>
              <m:rPr>
                <m:sty m:val="p"/>
              </m:rPr>
              <m:t>a</m:t>
            </m:r>
            <m:r>
              <m:rPr>
                <m:sty m:val="p"/>
              </m:rPr>
              <m:t>p</m:t>
            </m:r>
          </m:sub>
        </m:sSub>
        <m:r>
          <m:rPr>
            <m:sty m:val="p"/>
          </m:rPr>
          <m:t>−</m:t>
        </m:r>
        <m:sSub>
          <m:e>
            <m:r>
              <m:t>c</m:t>
            </m:r>
          </m:e>
          <m:sub>
            <m:r>
              <m:rPr>
                <m:sty m:val="p"/>
              </m:rPr>
              <m:t>r</m:t>
            </m:r>
            <m:r>
              <m:rPr>
                <m:sty m:val="p"/>
              </m:rPr>
              <m:t>e</m:t>
            </m:r>
            <m:r>
              <m:rPr>
                <m:sty m:val="p"/>
              </m:rPr>
              <m:t>q</m:t>
            </m:r>
          </m:sub>
        </m:sSub>
        <m:r>
          <m:rPr>
            <m:sty m:val="p"/>
          </m:rPr>
          <m:t>=</m:t>
        </m:r>
        <m:r>
          <m:t>0</m:t>
        </m:r>
      </m:oMath>
      <w:r>
        <w:rPr>
          <w:rFonts w:hint="eastAsia"/>
        </w:rPr>
        <w:t xml:space="preserve">（式(4.5)）と同値である。</w:t>
      </w:r>
    </w:p>
    <w:p>
      <w:pPr>
        <w:pStyle w:val="BodyText"/>
      </w:pPr>
      <w:r>
        <w:rPr>
          <w:rFonts w:hint="eastAsia"/>
        </w:rPr>
        <w:t xml:space="preserve">等価年額</w:t>
      </w:r>
      <w:r>
        <w:t xml:space="preserve"> </w:t>
      </w:r>
      <m:oMath>
        <m:r>
          <m:t>I</m:t>
        </m:r>
        <m:r>
          <m:rPr>
            <m:sty m:val="p"/>
          </m:rPr>
          <m:t>⋅</m:t>
        </m:r>
        <m:r>
          <m:rPr>
            <m:sty m:val="p"/>
          </m:rPr>
          <m:t>C</m:t>
        </m:r>
        <m:r>
          <m:rPr>
            <m:sty m:val="p"/>
          </m:rPr>
          <m:t>R</m:t>
        </m:r>
        <m:r>
          <m:rPr>
            <m:sty m:val="p"/>
          </m:rPr>
          <m:t>F</m:t>
        </m:r>
        <m:r>
          <m:rPr>
            <m:sty m:val="p"/>
          </m:rPr>
          <m:t>(</m:t>
        </m:r>
        <m:r>
          <m:t>r</m:t>
        </m:r>
        <m:r>
          <m:rPr>
            <m:sty m:val="p"/>
          </m:rPr>
          <m:t>,</m:t>
        </m:r>
        <m:r>
          <m:t>20</m:t>
        </m:r>
        <m:r>
          <m:rPr>
            <m:sty m:val="p"/>
          </m:rPr>
          <m:t>)</m:t>
        </m:r>
      </m:oMath>
      <w:r>
        <w:t xml:space="preserve"> </w:t>
      </w:r>
      <w:r>
        <w:rPr>
          <w:rFonts w:hint="eastAsia"/>
        </w:rPr>
        <w:t xml:space="preserve">は、資本の機会費用</w:t>
      </w:r>
      <w:r>
        <w:t xml:space="preserve"> </w:t>
      </w:r>
      <m:oMath>
        <m:r>
          <m:t>r</m:t>
        </m:r>
        <m:r>
          <m:t>I</m:t>
        </m:r>
      </m:oMath>
      <w:r>
        <w:t xml:space="preserve"> </w:t>
      </w:r>
      <w:r>
        <w:rPr>
          <w:rFonts w:hint="eastAsia"/>
        </w:rPr>
        <w:t xml:space="preserve">と、20年で元本を回収するための積立額</w:t>
      </w:r>
      <w:r>
        <w:t xml:space="preserve"> </w:t>
      </w:r>
      <m:oMath>
        <m:r>
          <m:rPr>
            <m:sty m:val="p"/>
          </m:rPr>
          <m:t>[</m:t>
        </m:r>
        <m:r>
          <m:rPr>
            <m:sty m:val="p"/>
          </m:rPr>
          <m:t>C</m:t>
        </m:r>
        <m:r>
          <m:rPr>
            <m:sty m:val="p"/>
          </m:rPr>
          <m:t>R</m:t>
        </m:r>
        <m:r>
          <m:rPr>
            <m:sty m:val="p"/>
          </m:rPr>
          <m:t>F</m:t>
        </m:r>
        <m:r>
          <m:rPr>
            <m:sty m:val="p"/>
          </m:rPr>
          <m:t>(</m:t>
        </m:r>
        <m:r>
          <m:t>r</m:t>
        </m:r>
        <m:r>
          <m:rPr>
            <m:sty m:val="p"/>
          </m:rPr>
          <m:t>,</m:t>
        </m:r>
        <m:r>
          <m:t>20</m:t>
        </m:r>
        <m:r>
          <m:rPr>
            <m:sty m:val="p"/>
          </m:rPr>
          <m:t>)</m:t>
        </m:r>
        <m:r>
          <m:rPr>
            <m:sty m:val="p"/>
          </m:rPr>
          <m:t>−</m:t>
        </m:r>
        <m:r>
          <m:t>r</m:t>
        </m:r>
        <m:r>
          <m:rPr>
            <m:sty m:val="p"/>
          </m:rPr>
          <m:t>]</m:t>
        </m:r>
        <m:r>
          <m:t> </m:t>
        </m:r>
        <m:r>
          <m:t>I</m:t>
        </m:r>
        <m:r>
          <m:rPr>
            <m:sty m:val="p"/>
          </m:rPr>
          <m:t>=</m:t>
        </m:r>
        <m:r>
          <m:t>r</m:t>
        </m:r>
        <m:r>
          <m:t>I</m:t>
        </m:r>
        <m:r>
          <m:rPr>
            <m:sty m:val="p"/>
          </m:rPr>
          <m:t>/</m:t>
        </m:r>
        <m:r>
          <m:rPr>
            <m:sty m:val="p"/>
          </m:rPr>
          <m:t>[</m:t>
        </m:r>
        <m:r>
          <m:rPr>
            <m:sty m:val="p"/>
          </m:rPr>
          <m:t>(</m:t>
        </m:r>
        <m:r>
          <m:t>1</m:t>
        </m:r>
        <m:r>
          <m:rPr>
            <m:sty m:val="p"/>
          </m:rPr>
          <m:t>+</m:t>
        </m:r>
        <m:r>
          <m:t>r</m:t>
        </m:r>
        <m:sSup>
          <m:e>
            <m:r>
              <m:rPr>
                <m:sty m:val="p"/>
              </m:rPr>
              <m:t>)</m:t>
            </m:r>
          </m:e>
          <m:sup>
            <m:r>
              <m:t>20</m:t>
            </m:r>
          </m:sup>
        </m:sSup>
        <m:r>
          <m:rPr>
            <m:sty m:val="p"/>
          </m:rPr>
          <m:t>−</m:t>
        </m:r>
        <m:r>
          <m:t>1</m:t>
        </m:r>
        <m:r>
          <m:rPr>
            <m:sty m:val="p"/>
          </m:rPr>
          <m:t>]</m:t>
        </m:r>
      </m:oMath>
      <w:r>
        <w:t xml:space="preserve"> </w:t>
      </w:r>
      <w:r>
        <w:rPr>
          <w:rFonts w:hint="eastAsia"/>
        </w:rPr>
        <w:t xml:space="preserve">の和に分かれる。後者は経済的な減価償却にあたるので、等価年額は</w:t>
      </w:r>
      <w:r>
        <w:t xml:space="preserve"> </w:t>
      </w:r>
      <w:r>
        <w:rPr>
          <w:rFonts w:hint="eastAsia"/>
        </w:rPr>
        <w:t xml:space="preserve">Jorgenson（1963）の資本の使用者費用に対応する。</w:t>
      </w:r>
    </w:p>
    <w:p>
      <w:pPr>
        <w:pStyle w:val="BodyText"/>
      </w:pPr>
      <w:r>
        <w:rPr>
          <w:rFonts w:hint="eastAsia"/>
        </w:rPr>
        <w:t xml:space="preserve">数値は次のとおりである。</w:t>
      </w:r>
      <m:oMath>
        <m:r>
          <m:t>r</m:t>
        </m:r>
        <m:r>
          <m:rPr>
            <m:sty m:val="p"/>
          </m:rPr>
          <m:t>=</m:t>
        </m:r>
        <m:r>
          <m:t>6</m:t>
        </m:r>
        <m:r>
          <m:rPr>
            <m:sty m:val="p"/>
          </m:rPr>
          <m:t>%</m:t>
        </m:r>
      </m:oMath>
      <w:r>
        <w:t xml:space="preserve"> </w:t>
      </w:r>
      <w:r>
        <w:t xml:space="preserve">では</w:t>
      </w:r>
      <w:r>
        <w:t xml:space="preserve"> </w:t>
      </w:r>
      <m:oMath>
        <m:r>
          <m:rPr>
            <m:sty m:val="p"/>
          </m:rPr>
          <m:t>C</m:t>
        </m:r>
        <m:r>
          <m:rPr>
            <m:sty m:val="p"/>
          </m:rPr>
          <m:t>R</m:t>
        </m:r>
        <m:r>
          <m:rPr>
            <m:sty m:val="p"/>
          </m:rPr>
          <m:t>F</m:t>
        </m:r>
        <m:r>
          <m:rPr>
            <m:sty m:val="p"/>
          </m:rPr>
          <m:t>(</m:t>
        </m:r>
        <m:r>
          <m:t>0.06</m:t>
        </m:r>
        <m:r>
          <m:rPr>
            <m:sty m:val="p"/>
          </m:rPr>
          <m:t>,</m:t>
        </m:r>
        <m:r>
          <m:t>20</m:t>
        </m:r>
        <m:r>
          <m:rPr>
            <m:sty m:val="p"/>
          </m:rPr>
          <m:t>)</m:t>
        </m:r>
        <m:r>
          <m:rPr>
            <m:sty m:val="p"/>
          </m:rPr>
          <m:t>≈</m:t>
        </m:r>
        <m:r>
          <m:t>0.0872</m:t>
        </m:r>
      </m:oMath>
      <w:r>
        <w:t xml:space="preserve"> </w:t>
      </w:r>
      <w:r>
        <w:t xml:space="preserve">で、</w:t>
      </w:r>
      <m:oMath>
        <m:r>
          <m:t>I</m:t>
        </m:r>
        <m:r>
          <m:rPr>
            <m:sty m:val="p"/>
          </m:rPr>
          <m:t>=</m:t>
        </m:r>
        <m:r>
          <m:t>27.2</m:t>
        </m:r>
      </m:oMath>
      <w:r>
        <w:t xml:space="preserve"> </w:t>
      </w:r>
      <w:r>
        <w:rPr>
          <w:rFonts w:hint="eastAsia"/>
        </w:rPr>
        <w:t xml:space="preserve">万円/kW</w:t>
      </w:r>
      <w:r>
        <w:t xml:space="preserve"> </w:t>
      </w:r>
      <w:r>
        <w:rPr>
          <w:rFonts w:hint="eastAsia"/>
        </w:rPr>
        <w:t xml:space="preserve">に対する等価年額は約2.37万円/kW-年、</w:t>
      </w:r>
      <m:oMath>
        <m:sSub>
          <m:e>
            <m:r>
              <m:t>c</m:t>
            </m:r>
          </m:e>
          <m:sub>
            <m:r>
              <m:rPr>
                <m:sty m:val="p"/>
              </m:rPr>
              <m:t>f</m:t>
            </m:r>
            <m:r>
              <m:rPr>
                <m:sty m:val="p"/>
              </m:rPr>
              <m:t>i</m:t>
            </m:r>
            <m:r>
              <m:rPr>
                <m:sty m:val="p"/>
              </m:rPr>
              <m:t>x</m:t>
            </m:r>
          </m:sub>
        </m:sSub>
        <m:r>
          <m:rPr>
            <m:sty m:val="p"/>
          </m:rPr>
          <m:t>=</m:t>
        </m:r>
        <m:r>
          <m:t>1.22</m:t>
        </m:r>
      </m:oMath>
      <w:r>
        <w:t xml:space="preserve"> </w:t>
      </w:r>
      <w:r>
        <w:rPr>
          <w:rFonts w:hint="eastAsia"/>
        </w:rPr>
        <w:t xml:space="preserve">万円を加えた</w:t>
      </w:r>
      <w:r>
        <w:t xml:space="preserve"> </w:t>
      </w:r>
      <m:oMath>
        <m:sSub>
          <m:e>
            <m:r>
              <m:t>c</m:t>
            </m:r>
          </m:e>
          <m:sub>
            <m:r>
              <m:rPr>
                <m:sty m:val="p"/>
              </m:rPr>
              <m:t>r</m:t>
            </m:r>
            <m:r>
              <m:rPr>
                <m:sty m:val="p"/>
              </m:rPr>
              <m:t>e</m:t>
            </m:r>
            <m:r>
              <m:rPr>
                <m:sty m:val="p"/>
              </m:rPr>
              <m:t>q</m:t>
            </m:r>
          </m:sub>
        </m:sSub>
      </m:oMath>
      <w:r>
        <w:t xml:space="preserve"> </w:t>
      </w:r>
      <w:r>
        <w:rPr>
          <w:rFonts w:hint="eastAsia"/>
        </w:rPr>
        <w:t xml:space="preserve">は3.59万円/kW-年である。逆に</w:t>
      </w:r>
      <w:r>
        <w:t xml:space="preserve"> </w:t>
      </w:r>
      <m:oMath>
        <m:sSub>
          <m:e>
            <m:r>
              <m:t>c</m:t>
            </m:r>
          </m:e>
          <m:sub>
            <m:r>
              <m:rPr>
                <m:sty m:val="p"/>
              </m:rPr>
              <m:t>r</m:t>
            </m:r>
            <m:r>
              <m:rPr>
                <m:sty m:val="p"/>
              </m:rPr>
              <m:t>e</m:t>
            </m:r>
            <m:r>
              <m:rPr>
                <m:sty m:val="p"/>
              </m:rPr>
              <m:t>q</m:t>
            </m:r>
          </m:sub>
        </m:sSub>
      </m:oMath>
      <w:r>
        <w:t xml:space="preserve"> </w:t>
      </w:r>
      <w:r>
        <w:rPr>
          <w:rFonts w:hint="eastAsia"/>
        </w:rPr>
        <w:t xml:space="preserve">を与えて</w:t>
      </w:r>
      <w:r>
        <w:t xml:space="preserve"> </w:t>
      </w:r>
      <m:oMath>
        <m:r>
          <m:rPr>
            <m:sty m:val="p"/>
          </m:rPr>
          <m:t>C</m:t>
        </m:r>
        <m:r>
          <m:rPr>
            <m:sty m:val="p"/>
          </m:rPr>
          <m:t>R</m:t>
        </m:r>
        <m:r>
          <m:rPr>
            <m:sty m:val="p"/>
          </m:rPr>
          <m:t>F</m:t>
        </m:r>
        <m:r>
          <m:rPr>
            <m:sty m:val="p"/>
          </m:rPr>
          <m:t>(</m:t>
        </m:r>
        <m:r>
          <m:t>r</m:t>
        </m:r>
        <m:r>
          <m:rPr>
            <m:sty m:val="p"/>
          </m:rPr>
          <m:t>,</m:t>
        </m:r>
        <m:r>
          <m:t>20</m:t>
        </m:r>
        <m:r>
          <m:rPr>
            <m:sty m:val="p"/>
          </m:rPr>
          <m:t>)</m:t>
        </m:r>
        <m:r>
          <m:rPr>
            <m:sty m:val="p"/>
          </m:rPr>
          <m:t>=</m:t>
        </m:r>
        <m:r>
          <m:rPr>
            <m:sty m:val="p"/>
          </m:rPr>
          <m:t>(</m:t>
        </m:r>
        <m:sSub>
          <m:e>
            <m:r>
              <m:t>c</m:t>
            </m:r>
          </m:e>
          <m:sub>
            <m:r>
              <m:rPr>
                <m:sty m:val="p"/>
              </m:rPr>
              <m:t>r</m:t>
            </m:r>
            <m:r>
              <m:rPr>
                <m:sty m:val="p"/>
              </m:rPr>
              <m:t>e</m:t>
            </m:r>
            <m:r>
              <m:rPr>
                <m:sty m:val="p"/>
              </m:rPr>
              <m:t>q</m:t>
            </m:r>
          </m:sub>
        </m:sSub>
        <m:r>
          <m:rPr>
            <m:sty m:val="p"/>
          </m:rPr>
          <m:t>−</m:t>
        </m:r>
        <m:sSub>
          <m:e>
            <m:r>
              <m:t>c</m:t>
            </m:r>
          </m:e>
          <m:sub>
            <m:r>
              <m:rPr>
                <m:sty m:val="p"/>
              </m:rPr>
              <m:t>f</m:t>
            </m:r>
            <m:r>
              <m:rPr>
                <m:sty m:val="p"/>
              </m:rPr>
              <m:t>i</m:t>
            </m:r>
            <m:r>
              <m:rPr>
                <m:sty m:val="p"/>
              </m:rPr>
              <m:t>x</m:t>
            </m:r>
          </m:sub>
        </m:sSub>
        <m:r>
          <m:rPr>
            <m:sty m:val="p"/>
          </m:rPr>
          <m:t>)</m:t>
        </m:r>
        <m:r>
          <m:rPr>
            <m:sty m:val="p"/>
          </m:rPr>
          <m:t>/</m:t>
        </m:r>
        <m:r>
          <m:t>I</m:t>
        </m:r>
      </m:oMath>
      <w:r>
        <w:t xml:space="preserve"> </w:t>
      </w:r>
      <w:r>
        <w:t xml:space="preserve">を</w:t>
      </w:r>
      <w:r>
        <w:t xml:space="preserve"> </w:t>
      </w:r>
      <m:oMath>
        <m:r>
          <m:t>r</m:t>
        </m:r>
      </m:oMath>
      <w:r>
        <w:t xml:space="preserve"> </w:t>
      </w:r>
      <w:r>
        <w:rPr>
          <w:rFonts w:hint="eastAsia"/>
        </w:rPr>
        <w:t xml:space="preserve">について解くと、第7章の標準・楽観・保守ケースの</w:t>
      </w:r>
      <w:r>
        <w:t xml:space="preserve"> </w:t>
      </w:r>
      <m:oMath>
        <m:sSub>
          <m:e>
            <m:r>
              <m:t>c</m:t>
            </m:r>
          </m:e>
          <m:sub>
            <m:r>
              <m:rPr>
                <m:sty m:val="p"/>
              </m:rPr>
              <m:t>r</m:t>
            </m:r>
            <m:r>
              <m:rPr>
                <m:sty m:val="p"/>
              </m:rPr>
              <m:t>e</m:t>
            </m:r>
            <m:r>
              <m:rPr>
                <m:sty m:val="p"/>
              </m:rPr>
              <m:t>q</m:t>
            </m:r>
          </m:sub>
        </m:sSub>
      </m:oMath>
      <w:r>
        <w:rPr>
          <w:rFonts w:hint="eastAsia"/>
        </w:rPr>
        <w:t xml:space="preserve">（3.45万・3.2万・3.7万円/kW-年）は、それぞれ割引率約5.3%・3.9%・6.6%</w:t>
      </w:r>
      <w:r>
        <w:t xml:space="preserve"> にあたる。</w:t>
      </w:r>
    </w:p>
    <w:bookmarkEnd w:id="318"/>
    <w:bookmarkStart w:id="319" w:name="b.1.3-損益分岐の価格水準係数"/>
    <w:p>
      <w:pPr>
        <w:pStyle w:val="Heading3"/>
      </w:pPr>
      <w:r>
        <w:t xml:space="preserve">B.1.3　</w:t>
      </w:r>
      <w:r>
        <w:rPr>
          <w:rFonts w:hint="eastAsia"/>
        </w:rPr>
        <w:t xml:space="preserve">損益分岐の価格水準係数</w:t>
      </w:r>
    </w:p>
    <w:p>
      <w:pPr>
        <w:pStyle w:val="FirstParagraph"/>
      </w:pPr>
      <m:oMath>
        <m:r>
          <m:t>θ</m:t>
        </m:r>
      </m:oMath>
      <w:r>
        <w:t xml:space="preserve"> </w:t>
      </w:r>
      <w:r>
        <w:rPr>
          <w:rFonts w:hint="eastAsia"/>
        </w:rPr>
        <w:t xml:space="preserve">を明示して、限界参入者の粗利を</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t>θ</m:t>
        </m:r>
        <m:r>
          <m:rPr>
            <m:sty m:val="p"/>
          </m:rPr>
          <m:t>)</m:t>
        </m:r>
      </m:oMath>
      <w:r>
        <w:t xml:space="preserve"> </w:t>
      </w:r>
      <w:r>
        <w:rPr>
          <w:rFonts w:hint="eastAsia"/>
        </w:rPr>
        <w:t xml:space="preserve">と書く。付録B.1.1</w:t>
      </w:r>
      <w:r>
        <w:t xml:space="preserve"> により、</w:t>
      </w:r>
      <m:oMath>
        <m:r>
          <m:t>K</m:t>
        </m:r>
        <m:r>
          <m:rPr>
            <m:sty m:val="p"/>
          </m:rPr>
          <m:t>=</m:t>
        </m:r>
        <m:r>
          <m:t>0</m:t>
        </m:r>
      </m:oMath>
      <w:r>
        <w:t xml:space="preserve"> </w:t>
      </w:r>
      <w:r>
        <w:rPr>
          <w:rFonts w:hint="eastAsia"/>
        </w:rPr>
        <w:t xml:space="preserve">の限界参入者の粗収益は</w:t>
      </w:r>
      <w:r>
        <w:t xml:space="preserve"> </w:t>
      </w:r>
      <m:oMath>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θ</m:t>
        </m:r>
        <m:r>
          <m:rPr>
            <m:sty m:val="p"/>
          </m:rPr>
          <m:t>)</m:t>
        </m:r>
        <m:r>
          <m:rPr>
            <m:sty m:val="p"/>
          </m:rPr>
          <m:t>≈</m:t>
        </m:r>
        <m:r>
          <m:t>θ</m:t>
        </m:r>
        <m:r>
          <m:t> </m:t>
        </m:r>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1</m:t>
        </m:r>
        <m:r>
          <m:rPr>
            <m:sty m:val="p"/>
          </m:rPr>
          <m:t>)</m:t>
        </m:r>
      </m:oMath>
      <w:r>
        <w:t xml:space="preserve"> </w:t>
      </w:r>
      <w:r>
        <w:rPr>
          <w:rFonts w:hint="eastAsia"/>
        </w:rPr>
        <w:t xml:space="preserve">と書ける（</w:t>
      </w:r>
      <m:oMath>
        <m:r>
          <m:t>θ</m:t>
        </m:r>
        <m:r>
          <m:rPr>
            <m:sty m:val="p"/>
          </m:rPr>
          <m:t>=</m:t>
        </m:r>
        <m:r>
          <m:t>1</m:t>
        </m:r>
      </m:oMath>
      <w:r>
        <w:t xml:space="preserve"> </w:t>
      </w:r>
      <w:r>
        <w:rPr>
          <w:rFonts w:hint="eastAsia"/>
        </w:rPr>
        <w:t xml:space="preserve">で8,427円/kW-年）。これを</w:t>
      </w:r>
      <w:r>
        <w:t xml:space="preserve"> </w:t>
      </w:r>
      <m:oMath>
        <m:r>
          <m:t>K</m:t>
        </m:r>
        <m:r>
          <m:rPr>
            <m:sty m:val="p"/>
          </m:rPr>
          <m:t>=</m:t>
        </m:r>
        <m:r>
          <m:t>0</m:t>
        </m:r>
      </m:oMath>
      <w:r>
        <w:t xml:space="preserve"> </w:t>
      </w:r>
      <w:r>
        <w:rPr>
          <w:rFonts w:hint="eastAsia"/>
        </w:rPr>
        <w:t xml:space="preserve">の式(4.5)に代入すると</w:t>
      </w:r>
    </w:p>
    <w:p>
      <w:pPr>
        <w:pStyle w:val="BodyText"/>
        <w:tabs>
          <w:tab w:val="center" w:pos="4393"/>
          <w:tab w:val="right" w:pos="8787"/>
        </w:tabs>
        <w:spacing w:before="120" w:after="120" w:line="240" w:lineRule="auto"/>
        <w:ind w:firstLine="0"/>
      </w:pPr>
      <w:r>
        <w:tab/>
      </w:r>
      <m:oMath>
        <m:r>
          <m:t>θ</m:t>
        </m:r>
        <m:r>
          <m:t> </m:t>
        </m:r>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1</m:t>
        </m:r>
        <m:r>
          <m:rPr>
            <m:sty m:val="p"/>
          </m:rPr>
          <m:t>)</m:t>
        </m:r>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r>
          <m:rPr>
            <m:sty m:val="p"/>
          </m:rPr>
          <m:t>−</m:t>
        </m:r>
        <m:sSub>
          <m:e>
            <m:r>
              <m:t>c</m:t>
            </m:r>
          </m:e>
          <m:sub>
            <m:r>
              <m:rPr>
                <m:sty m:val="p"/>
              </m:rPr>
              <m:t>r</m:t>
            </m:r>
            <m:r>
              <m:rPr>
                <m:sty m:val="p"/>
              </m:rPr>
              <m:t>e</m:t>
            </m:r>
            <m:r>
              <m:rPr>
                <m:sty m:val="p"/>
              </m:rPr>
              <m:t>q</m:t>
            </m:r>
          </m:sub>
        </m:sSub>
        <m:r>
          <m:rPr>
            <m:sty m:val="p"/>
          </m:rPr>
          <m:t>=</m:t>
        </m:r>
        <m:r>
          <m:t>0</m:t>
        </m:r>
      </m:oMath>
      <w:r>
        <w:tab/>
      </w:r>
      <w:r>
        <w:t>(B.6)</w:t>
      </w:r>
    </w:p>
    <w:p>
      <w:pPr>
        <w:pStyle w:val="BodyText"/>
      </w:pPr>
      <w:r>
        <w:t xml:space="preserve">であり、</w:t>
      </w:r>
      <m:oMath>
        <m:r>
          <m:t>θ</m:t>
        </m:r>
      </m:oMath>
      <w:r>
        <w:t xml:space="preserve"> </w:t>
      </w:r>
      <w:r>
        <w:rPr>
          <w:rFonts w:hint="eastAsia"/>
        </w:rPr>
        <w:t xml:space="preserve">について解いたものが式(4.8)である。</w:t>
      </w:r>
      <m:oMath>
        <m:r>
          <m:t>a</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1</m:t>
        </m:r>
        <m:r>
          <m:rPr>
            <m:sty m:val="p"/>
          </m:rPr>
          <m:t>)</m:t>
        </m:r>
      </m:oMath>
      <w:r>
        <w:t xml:space="preserve">、</w:t>
      </w:r>
      <m:oMath>
        <m:r>
          <m:t>F</m:t>
        </m:r>
        <m:r>
          <m:rPr>
            <m:sty m:val="p"/>
          </m:rPr>
          <m:t>=</m:t>
        </m:r>
        <m:sSub>
          <m:e>
            <m:r>
              <m:t>c</m:t>
            </m:r>
          </m:e>
          <m:sub>
            <m:r>
              <m:rPr>
                <m:sty m:val="p"/>
              </m:rPr>
              <m:t>f</m:t>
            </m:r>
            <m:r>
              <m:rPr>
                <m:sty m:val="p"/>
              </m:rPr>
              <m:t>i</m:t>
            </m:r>
            <m:r>
              <m:rPr>
                <m:sty m:val="p"/>
              </m:rPr>
              <m:t>x</m:t>
            </m:r>
          </m:sub>
        </m:sSub>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oMath>
      <w:r>
        <w:t xml:space="preserve"> </w:t>
      </w:r>
      <w:r>
        <w:rPr>
          <w:rFonts w:hint="eastAsia"/>
        </w:rPr>
        <w:t xml:space="preserve">とおけば、同じ式は</w:t>
      </w:r>
    </w:p>
    <w:p>
      <w:pPr>
        <w:pStyle w:val="BodyText"/>
        <w:tabs>
          <w:tab w:val="center" w:pos="4393"/>
          <w:tab w:val="right" w:pos="8787"/>
        </w:tabs>
        <w:spacing w:before="120" w:after="120" w:line="240" w:lineRule="auto"/>
        <w:ind w:firstLine="0"/>
      </w:pPr>
      <w:r>
        <w:tab/>
      </w:r>
      <m:oMath>
        <m:sSup>
          <m:e>
            <m:r>
              <m:t>θ</m:t>
            </m:r>
          </m:e>
          <m:sup>
            <m:r>
              <m:rPr>
                <m:sty m:val="p"/>
              </m:rPr>
              <m:t>*</m:t>
            </m:r>
          </m:sup>
        </m:sSup>
        <m:r>
          <m:rPr>
            <m:sty m:val="p"/>
          </m:rPr>
          <m:t>=</m:t>
        </m:r>
        <m:f>
          <m:fPr>
            <m:type m:val="bar"/>
          </m:fPr>
          <m:num>
            <m:r>
              <m:t>I</m:t>
            </m:r>
            <m:r>
              <m:rPr>
                <m:sty m:val="p"/>
              </m:rPr>
              <m:t>⋅</m:t>
            </m:r>
            <m:r>
              <m:rPr>
                <m:sty m:val="p"/>
              </m:rPr>
              <m:t>C</m:t>
            </m:r>
            <m:r>
              <m:rPr>
                <m:sty m:val="p"/>
              </m:rPr>
              <m:t>R</m:t>
            </m:r>
            <m:r>
              <m:rPr>
                <m:sty m:val="p"/>
              </m:rPr>
              <m:t>F</m:t>
            </m:r>
            <m:r>
              <m:rPr>
                <m:sty m:val="p"/>
              </m:rPr>
              <m:t>(</m:t>
            </m:r>
            <m:r>
              <m:t>r</m:t>
            </m:r>
            <m:r>
              <m:rPr>
                <m:sty m:val="p"/>
              </m:rPr>
              <m:t>,</m:t>
            </m:r>
            <m:r>
              <m:t>20</m:t>
            </m:r>
            <m:r>
              <m:rPr>
                <m:sty m:val="p"/>
              </m:rPr>
              <m:t>)</m:t>
            </m:r>
            <m:r>
              <m:rPr>
                <m:sty m:val="p"/>
              </m:rPr>
              <m:t>+</m:t>
            </m:r>
            <m:r>
              <m:t>F</m:t>
            </m:r>
          </m:num>
          <m:den>
            <m:r>
              <m:t>a</m:t>
            </m:r>
          </m:den>
        </m:f>
      </m:oMath>
      <w:r>
        <w:tab/>
      </w:r>
      <w:r>
        <w:t>(B.7)</w:t>
      </w:r>
    </w:p>
    <w:p>
      <w:pPr>
        <w:pStyle w:val="BodyText"/>
      </w:pPr>
      <w:r>
        <w:rPr>
          <w:rFonts w:hint="eastAsia"/>
        </w:rPr>
        <w:t xml:space="preserve">と書ける。第7章の実物オプションの分析はこの形を用いる。実効容量収入を1.25万円とすると</w:t>
      </w:r>
      <w:r>
        <w:t xml:space="preserve"> </w:t>
      </w:r>
      <m:oMath>
        <m:r>
          <m:t>F</m:t>
        </m:r>
      </m:oMath>
      <w:r>
        <w:rPr>
          <w:rFonts w:hint="eastAsia"/>
        </w:rPr>
        <w:t xml:space="preserve">＝1.22万＋1,752−1.25万＝1,452円/kW-年であり、</w:t>
      </w:r>
      <m:oMath>
        <m:r>
          <m:t>r</m:t>
        </m:r>
        <m:r>
          <m:rPr>
            <m:sty m:val="p"/>
          </m:rPr>
          <m:t>=</m:t>
        </m:r>
        <m:r>
          <m:t>6</m:t>
        </m:r>
        <m:r>
          <m:rPr>
            <m:sty m:val="p"/>
          </m:rPr>
          <m:t>%</m:t>
        </m:r>
      </m:oMath>
      <w:r>
        <w:t xml:space="preserve"> </w:t>
      </w:r>
      <w:r>
        <w:t xml:space="preserve">では</w:t>
      </w:r>
      <w:r>
        <w:t xml:space="preserve"> </w:t>
      </w:r>
      <m:oMath>
        <m:sSup>
          <m:e>
            <m:r>
              <m:t>θ</m:t>
            </m:r>
          </m:e>
          <m:sup>
            <m:r>
              <m:rPr>
                <m:sty m:val="p"/>
              </m:rPr>
              <m:t>*</m:t>
            </m:r>
          </m:sup>
        </m:sSup>
      </m:oMath>
      <w:r>
        <w:rPr>
          <w:rFonts w:hint="eastAsia"/>
        </w:rPr>
        <w:t xml:space="preserve">＝（約2.37万＋1,452）÷8,427≈2.99</w:t>
      </w:r>
      <w:r>
        <w:t xml:space="preserve"> となる。</w:t>
      </w:r>
    </w:p>
    <w:p>
      <w:pPr>
        <w:pStyle w:val="BodyText"/>
      </w:pPr>
      <w:r>
        <w:rPr>
          <w:rFonts w:hint="eastAsia"/>
        </w:rPr>
        <w:t xml:space="preserve">収益が</w:t>
      </w:r>
      <w:r>
        <w:t xml:space="preserve"> </w:t>
      </w:r>
      <m:oMath>
        <m:r>
          <m:t>θ</m:t>
        </m:r>
      </m:oMath>
      <w:r>
        <w:t xml:space="preserve"> </w:t>
      </w:r>
      <w:r>
        <w:rPr>
          <w:rFonts w:hint="eastAsia"/>
        </w:rPr>
        <w:t xml:space="preserve">に比例しない場合には、式(B.7)は</w:t>
      </w:r>
      <w:r>
        <w:t xml:space="preserve"> </w:t>
      </w:r>
      <m:oMath>
        <m:sSup>
          <m:e>
            <m:r>
              <m:t>θ</m:t>
            </m:r>
          </m:e>
          <m:sup>
            <m:r>
              <m:rPr>
                <m:sty m:val="p"/>
              </m:rPr>
              <m:t>*</m:t>
            </m:r>
          </m:sup>
        </m:sSup>
      </m:oMath>
      <w:r>
        <w:t xml:space="preserve"> </w:t>
      </w:r>
      <w:r>
        <w:rPr>
          <w:rFonts w:hint="eastAsia"/>
        </w:rPr>
        <w:t xml:space="preserve">を過小に出しうる。第9章の負の価格の段差モデルでは、下限価格に張り付く時間の価格を</w:t>
      </w:r>
      <w:r>
        <w:t xml:space="preserve"> </w:t>
      </w:r>
      <m:oMath>
        <m:r>
          <m:t>θ</m:t>
        </m:r>
      </m:oMath>
      <w:r>
        <w:t xml:space="preserve"> </w:t>
      </w:r>
      <w:r>
        <w:rPr>
          <w:rFonts w:hint="eastAsia"/>
        </w:rPr>
        <w:t xml:space="preserve">で伸縮させない負の値に置くので、粗収益は</w:t>
      </w:r>
      <w:r>
        <w:t xml:space="preserve"> </w:t>
      </w:r>
      <m:oMath>
        <m:r>
          <m:t>θ</m:t>
        </m:r>
      </m:oMath>
      <w:r>
        <w:t xml:space="preserve"> </w:t>
      </w:r>
      <w:r>
        <w:rPr>
          <w:rFonts w:hint="eastAsia"/>
        </w:rPr>
        <w:t xml:space="preserve">によらない正の部分をもつ。この場合の直接解と比例の式の差は付録B.6.1</w:t>
      </w:r>
      <w:r>
        <w:t xml:space="preserve"> </w:t>
      </w:r>
      <w:r>
        <w:rPr>
          <w:rFonts w:hint="eastAsia"/>
        </w:rPr>
        <w:t xml:space="preserve">に示す。第9章は、各</w:t>
      </w:r>
      <w:r>
        <w:t xml:space="preserve"> </w:t>
      </w:r>
      <m:oMath>
        <m:r>
          <m:t>θ</m:t>
        </m:r>
      </m:oMath>
      <w:r>
        <w:t xml:space="preserve"> </w:t>
      </w:r>
      <w:r>
        <w:rPr>
          <w:rFonts w:hint="eastAsia"/>
        </w:rPr>
        <w:t xml:space="preserve">で戦略</w:t>
      </w:r>
      <w:r>
        <w:t xml:space="preserve"> c </w:t>
      </w:r>
      <w:r>
        <w:rPr>
          <w:rFonts w:hint="eastAsia"/>
        </w:rPr>
        <w:t xml:space="preserve">を計算し直した粗収益について、式(4.5)を</w:t>
      </w:r>
      <w:r>
        <w:t xml:space="preserve"> </w:t>
      </w:r>
      <m:oMath>
        <m:r>
          <m:t>θ</m:t>
        </m:r>
      </m:oMath>
      <w:r>
        <w:t xml:space="preserve"> </w:t>
      </w:r>
      <w:r>
        <w:rPr>
          <w:rFonts w:hint="eastAsia"/>
        </w:rPr>
        <w:t xml:space="preserve">について直接解く。</w:t>
      </w:r>
    </w:p>
    <w:bookmarkEnd w:id="319"/>
    <w:bookmarkEnd w:id="320"/>
    <w:bookmarkStart w:id="327" w:name="b.2-価格形成の推定の詳細第5章"/>
    <w:p>
      <w:pPr>
        <w:pStyle w:val="Heading2"/>
      </w:pPr>
      <w:r>
        <w:t xml:space="preserve">B.2　</w:t>
      </w:r>
      <w:r>
        <w:rPr>
          <w:rFonts w:hint="eastAsia"/>
        </w:rPr>
        <w:t xml:space="preserve">価格形成の推定の詳細（第5章）</w:t>
      </w:r>
    </w:p>
    <w:p>
      <w:pPr>
        <w:pStyle w:val="FirstParagraph"/>
      </w:pPr>
      <w:r>
        <w:rPr>
          <w:rFonts w:hint="eastAsia"/>
        </w:rPr>
        <w:t xml:space="preserve">本節は、第5章の方法（5.1節）のうち、本文で要点だけを述べた計算の手順を示す。この節だけで用いる記号は、その場で定義する。</w:t>
      </w:r>
    </w:p>
    <w:bookmarkStart w:id="321" w:name="b.2.1-ewc-検定の計算と欠測の扱い"/>
    <w:p>
      <w:pPr>
        <w:pStyle w:val="Heading3"/>
      </w:pPr>
      <w:r>
        <w:t xml:space="preserve">B.2.1　EWC </w:t>
      </w:r>
      <w:r>
        <w:rPr>
          <w:rFonts w:hint="eastAsia"/>
        </w:rPr>
        <w:t xml:space="preserve">検定の計算と欠測の扱い</w:t>
      </w:r>
    </w:p>
    <w:p>
      <w:pPr>
        <w:pStyle w:val="FirstParagraph"/>
      </w:pPr>
      <w:r>
        <w:rPr>
          <w:rFonts w:hint="eastAsia"/>
        </w:rPr>
        <w:t xml:space="preserve">式(5.2)の係数ベクトルの最小二乗推定量について、日</w:t>
      </w:r>
      <w:r>
        <w:t xml:space="preserve"> </w:t>
      </w:r>
      <m:oMath>
        <m:r>
          <m:t>t</m:t>
        </m:r>
      </m:oMath>
      <w:r>
        <w:t xml:space="preserve"> </w:t>
      </w:r>
      <w:r>
        <w:rPr>
          <w:rFonts w:hint="eastAsia"/>
        </w:rPr>
        <w:t xml:space="preserve">の影響関数を</w:t>
      </w:r>
      <w:r>
        <w:t xml:space="preserve"> </w:t>
      </w:r>
      <m:oMath>
        <m:sSub>
          <m:e>
            <m:r>
              <m:t>ψ</m:t>
            </m:r>
          </m:e>
          <m:sub>
            <m:r>
              <m:t>t</m:t>
            </m:r>
          </m:sub>
        </m:sSub>
        <m:r>
          <m:rPr>
            <m:sty m:val="p"/>
          </m:rPr>
          <m:t>=</m:t>
        </m:r>
        <m:r>
          <m:rPr>
            <m:sty m:val="p"/>
          </m:rPr>
          <m:t>(</m:t>
        </m:r>
        <m:sSup>
          <m:e>
            <m:r>
              <m:rPr>
                <m:sty m:val="bi"/>
              </m:rPr>
              <m:t>Z</m:t>
            </m:r>
          </m:e>
          <m:sup>
            <m:r>
              <m:rPr>
                <m:sty m:val="p"/>
              </m:rPr>
              <m:t>′</m:t>
            </m:r>
          </m:sup>
        </m:sSup>
        <m:r>
          <m:rPr>
            <m:sty m:val="bi"/>
          </m:rPr>
          <m:t>Z</m:t>
        </m:r>
        <m:sSup>
          <m:e>
            <m:r>
              <m:rPr>
                <m:sty m:val="p"/>
              </m:rPr>
              <m:t>)</m:t>
            </m:r>
          </m:e>
          <m:sup>
            <m:r>
              <m:rPr>
                <m:sty m:val="p"/>
              </m:rPr>
              <m:t>−</m:t>
            </m:r>
            <m:r>
              <m:t>1</m:t>
            </m:r>
          </m:sup>
        </m:sSup>
        <m:sSub>
          <m:e>
            <m:r>
              <m:t>Z</m:t>
            </m:r>
          </m:e>
          <m:sub>
            <m:r>
              <m:t>t</m:t>
            </m:r>
          </m:sub>
        </m:sSub>
        <m:sSub>
          <m:e>
            <m:acc>
              <m:accPr>
                <m:chr m:val="̂"/>
              </m:accPr>
              <m:e>
                <m:r>
                  <m:t>ε</m:t>
                </m:r>
              </m:e>
            </m:acc>
          </m:e>
          <m:sub>
            <m:r>
              <m:t>t</m:t>
            </m:r>
          </m:sub>
        </m:sSub>
      </m:oMath>
      <w:r>
        <w:t xml:space="preserve"> </w:t>
      </w:r>
      <w:r>
        <w:t xml:space="preserve">とする。</w:t>
      </w:r>
      <m:oMath>
        <m:r>
          <m:rPr>
            <m:sty m:val="bi"/>
          </m:rPr>
          <m:t>Z</m:t>
        </m:r>
      </m:oMath>
      <w:r>
        <w:t xml:space="preserve"> </w:t>
      </w:r>
      <w:r>
        <w:rPr>
          <w:rFonts w:hint="eastAsia"/>
        </w:rPr>
        <w:t xml:space="preserve">は説明変数の行列、</w:t>
      </w:r>
      <m:oMath>
        <m:sSub>
          <m:e>
            <m:r>
              <m:t>Z</m:t>
            </m:r>
          </m:e>
          <m:sub>
            <m:r>
              <m:t>t</m:t>
            </m:r>
          </m:sub>
        </m:sSub>
      </m:oMath>
      <w:r>
        <w:t xml:space="preserve"> </w:t>
      </w:r>
      <w:r>
        <w:rPr>
          <w:rFonts w:hint="eastAsia"/>
        </w:rPr>
        <w:t xml:space="preserve">は日</w:t>
      </w:r>
      <w:r>
        <w:t xml:space="preserve"> </w:t>
      </w:r>
      <m:oMath>
        <m:r>
          <m:t>t</m:t>
        </m:r>
      </m:oMath>
      <w:r>
        <w:t xml:space="preserve"> </w:t>
      </w:r>
      <w:r>
        <w:rPr>
          <w:rFonts w:hint="eastAsia"/>
        </w:rPr>
        <w:t xml:space="preserve">の説明変数のベクトル、</w:t>
      </w:r>
      <m:oMath>
        <m:sSub>
          <m:e>
            <m:acc>
              <m:accPr>
                <m:chr m:val="̂"/>
              </m:accPr>
              <m:e>
                <m:r>
                  <m:t>ε</m:t>
                </m:r>
              </m:e>
            </m:acc>
          </m:e>
          <m:sub>
            <m:r>
              <m:t>t</m:t>
            </m:r>
          </m:sub>
        </m:sSub>
      </m:oMath>
      <w:r>
        <w:t xml:space="preserve"> </w:t>
      </w:r>
      <w:r>
        <w:rPr>
          <w:rFonts w:hint="eastAsia"/>
        </w:rPr>
        <w:t xml:space="preserve">は残差である。暦日の時点</w:t>
      </w:r>
      <w:r>
        <w:t xml:space="preserve"> </w:t>
      </w:r>
      <m:oMath>
        <m:r>
          <m:t>t</m:t>
        </m:r>
        <m:r>
          <m:rPr>
            <m:sty m:val="p"/>
          </m:rPr>
          <m:t>=</m:t>
        </m:r>
        <m:r>
          <m:t>1</m:t>
        </m:r>
        <m:r>
          <m:rPr>
            <m:sty m:val="p"/>
          </m:rPr>
          <m:t>,</m:t>
        </m:r>
        <m:r>
          <m:rPr>
            <m:sty m:val="p"/>
          </m:rPr>
          <m:t>…</m:t>
        </m:r>
        <m:r>
          <m:rPr>
            <m:sty m:val="p"/>
          </m:rPr>
          <m:t>,</m:t>
        </m:r>
        <m:r>
          <m:t>n</m:t>
        </m:r>
      </m:oMath>
      <w:r>
        <w:rPr>
          <w:rFonts w:hint="eastAsia"/>
        </w:rPr>
        <w:t xml:space="preserve">（</w:t>
      </w:r>
      <m:oMath>
        <m:r>
          <m:t>n</m:t>
        </m:r>
      </m:oMath>
      <w:r>
        <w:t xml:space="preserve"> </w:t>
      </w:r>
      <w:r>
        <w:rPr>
          <w:rFonts w:hint="eastAsia"/>
        </w:rPr>
        <w:t xml:space="preserve">は標本の暦日数）の上で、第II種の離散余弦</w:t>
      </w:r>
    </w:p>
    <w:p>
      <w:pPr>
        <w:pStyle w:val="BodyText"/>
        <w:tabs>
          <w:tab w:val="center" w:pos="4393"/>
          <w:tab w:val="right" w:pos="8787"/>
        </w:tabs>
        <w:spacing w:before="120" w:after="120" w:line="240" w:lineRule="auto"/>
        <w:ind w:firstLine="0"/>
      </w:pPr>
      <w:r>
        <w:tab/>
      </w:r>
      <m:oMath>
        <m:sSub>
          <m:e>
            <m:r>
              <m:rPr>
                <m:scr m:val="script"/>
                <m:sty m:val="p"/>
              </m:rPr>
              <m:t>C</m:t>
            </m:r>
          </m:e>
          <m:sub>
            <m:r>
              <m:t>j</m:t>
            </m:r>
          </m:sub>
        </m:sSub>
        <m:r>
          <m:rPr>
            <m:sty m:val="p"/>
          </m:rPr>
          <m:t>(</m:t>
        </m:r>
        <m:r>
          <m:t>t</m:t>
        </m:r>
        <m:r>
          <m:rPr>
            <m:sty m:val="p"/>
          </m:rPr>
          <m:t>)</m:t>
        </m:r>
        <m:r>
          <m:rPr>
            <m:sty m:val="p"/>
          </m:rPr>
          <m:t>=</m:t>
        </m:r>
        <m:rad>
          <m:radPr>
            <m:degHide m:val="on"/>
          </m:radPr>
          <m:deg/>
          <m:e>
            <m:r>
              <m:t>2</m:t>
            </m:r>
          </m:e>
        </m:rad>
        <m:r>
          <m:rPr>
            <m:sty m:val="p"/>
          </m:rPr>
          <m:t>cos</m:t>
        </m:r>
        <m:d>
          <m:dPr>
            <m:begChr m:val="("/>
            <m:sepChr m:val=""/>
            <m:endChr m:val=")"/>
            <m:grow/>
          </m:dPr>
          <m:e>
            <m:f>
              <m:fPr>
                <m:type m:val="bar"/>
              </m:fPr>
              <m:num>
                <m:r>
                  <m:t>π</m:t>
                </m:r>
                <m:r>
                  <m:t>j</m:t>
                </m:r>
                <m:r>
                  <m:t> </m:t>
                </m:r>
                <m:r>
                  <m:rPr>
                    <m:sty m:val="p"/>
                  </m:rPr>
                  <m:t>(</m:t>
                </m:r>
                <m:r>
                  <m:t>t</m:t>
                </m:r>
                <m:r>
                  <m:rPr>
                    <m:sty m:val="p"/>
                  </m:rPr>
                  <m:t>−</m:t>
                </m:r>
                <m:r>
                  <m:t>1</m:t>
                </m:r>
                <m:r>
                  <m:rPr>
                    <m:sty m:val="p"/>
                  </m:rPr>
                  <m:t>/</m:t>
                </m:r>
                <m:r>
                  <m:t>2</m:t>
                </m:r>
                <m:r>
                  <m:rPr>
                    <m:sty m:val="p"/>
                  </m:rPr>
                  <m:t>)</m:t>
                </m:r>
              </m:num>
              <m:den>
                <m:r>
                  <m:t>n</m:t>
                </m:r>
              </m:den>
            </m:f>
          </m:e>
        </m:d>
        <m:r>
          <m:rPr>
            <m:sty m:val="p"/>
          </m:rPr>
          <m:t>,</m:t>
        </m:r>
        <m:r>
          <m:t>  </m:t>
        </m:r>
        <m:r>
          <m:t>j</m:t>
        </m:r>
        <m:r>
          <m:rPr>
            <m:sty m:val="p"/>
          </m:rPr>
          <m:t>=</m:t>
        </m:r>
        <m:r>
          <m:t>1</m:t>
        </m:r>
        <m:r>
          <m:rPr>
            <m:sty m:val="p"/>
          </m:rPr>
          <m:t>,</m:t>
        </m:r>
        <m:r>
          <m:rPr>
            <m:sty m:val="p"/>
          </m:rPr>
          <m:t>…</m:t>
        </m:r>
        <m:r>
          <m:rPr>
            <m:sty m:val="p"/>
          </m:rPr>
          <m:t>,</m:t>
        </m:r>
        <m:r>
          <m:t>ν</m:t>
        </m:r>
      </m:oMath>
      <w:r>
        <w:tab/>
      </w:r>
      <w:r>
        <w:t>(B.8)</w:t>
      </w:r>
    </w:p>
    <w:p>
      <w:pPr>
        <w:pStyle w:val="BodyText"/>
      </w:pPr>
      <w:r>
        <w:rPr>
          <w:rFonts w:hint="eastAsia"/>
        </w:rPr>
        <w:t xml:space="preserve">に影響関数の和を射影し、射影の2乗を等重みで平均して係数の分散とする。これは</w:t>
      </w:r>
      <w:r>
        <w:t xml:space="preserve"> Lazarus et </w:t>
      </w:r>
      <w:r>
        <w:rPr>
          <w:rFonts w:hint="eastAsia"/>
        </w:rPr>
        <w:t xml:space="preserve">al.（2018）の長期分散の推定量を、影響関数の和の形に書いたものである。</w:t>
      </w:r>
    </w:p>
    <w:p>
      <w:pPr>
        <w:pStyle w:val="BodyText"/>
        <w:tabs>
          <w:tab w:val="center" w:pos="4393"/>
          <w:tab w:val="right" w:pos="8787"/>
        </w:tabs>
        <w:spacing w:before="120" w:after="120" w:line="240" w:lineRule="auto"/>
        <w:ind w:firstLine="0"/>
      </w:pPr>
      <w:r>
        <w:tab/>
      </w:r>
      <m:oMath>
        <m:acc>
          <m:accPr>
            <m:chr m:val="̂"/>
          </m:accPr>
          <m:e>
            <m:r>
              <m:rPr>
                <m:sty m:val="b"/>
              </m:rPr>
              <m:t>Σ</m:t>
            </m:r>
          </m:e>
        </m:acc>
        <m:r>
          <m:rPr>
            <m:sty m:val="p"/>
          </m:rPr>
          <m:t>=</m:t>
        </m:r>
        <m:f>
          <m:fPr>
            <m:type m:val="bar"/>
          </m:fPr>
          <m:num>
            <m:r>
              <m:t>1</m:t>
            </m:r>
          </m:num>
          <m:den>
            <m:r>
              <m:t>ν</m:t>
            </m:r>
          </m:den>
        </m:f>
        <m:nary>
          <m:naryPr>
            <m:chr m:val="∑"/>
            <m:limLoc m:val="undOvr"/>
            <m:subHide m:val="off"/>
            <m:supHide m:val="off"/>
          </m:naryPr>
          <m:sub>
            <m:r>
              <m:t>j</m:t>
            </m:r>
            <m:r>
              <m:rPr>
                <m:sty m:val="p"/>
              </m:rPr>
              <m:t>=</m:t>
            </m:r>
            <m:r>
              <m:t>1</m:t>
            </m:r>
          </m:sub>
          <m:sup>
            <m:r>
              <m:t>ν</m:t>
            </m:r>
          </m:sup>
          <m:e>
            <m:sSub>
              <m:e>
                <m:r>
                  <m:rPr>
                    <m:sty m:val="p"/>
                  </m:rPr>
                  <m:t>Ψ</m:t>
                </m:r>
              </m:e>
              <m:sub>
                <m:r>
                  <m:t>j</m:t>
                </m:r>
              </m:sub>
            </m:sSub>
          </m:e>
        </m:nary>
        <m:sSubSup>
          <m:e>
            <m:r>
              <m:rPr>
                <m:sty m:val="p"/>
              </m:rPr>
              <m:t>Ψ</m:t>
            </m:r>
          </m:e>
          <m:sub>
            <m:r>
              <m:t>j</m:t>
            </m:r>
          </m:sub>
          <m:sup>
            <m:r>
              <m:rPr>
                <m:sty m:val="p"/>
              </m:rPr>
              <m:t>′</m:t>
            </m:r>
          </m:sup>
        </m:sSubSup>
        <m:r>
          <m:rPr>
            <m:sty m:val="p"/>
          </m:rPr>
          <m:t>,</m:t>
        </m:r>
        <m:r>
          <m:t>  </m:t>
        </m:r>
        <m:sSub>
          <m:e>
            <m:r>
              <m:rPr>
                <m:sty m:val="p"/>
              </m:rPr>
              <m:t>Ψ</m:t>
            </m:r>
          </m:e>
          <m:sub>
            <m:r>
              <m:t>j</m:t>
            </m:r>
          </m:sub>
        </m:sSub>
        <m:r>
          <m:rPr>
            <m:sty m:val="p"/>
          </m:rPr>
          <m:t>=</m:t>
        </m:r>
        <m:nary>
          <m:naryPr>
            <m:chr m:val="∑"/>
            <m:limLoc m:val="undOvr"/>
            <m:subHide m:val="off"/>
            <m:supHide m:val="off"/>
          </m:naryPr>
          <m:sub>
            <m:r>
              <m:t>t</m:t>
            </m:r>
            <m:r>
              <m:rPr>
                <m:sty m:val="p"/>
              </m:rPr>
              <m:t>=</m:t>
            </m:r>
            <m:r>
              <m:t>1</m:t>
            </m:r>
          </m:sub>
          <m:sup>
            <m:r>
              <m:t>n</m:t>
            </m:r>
          </m:sup>
          <m:e>
            <m:sSub>
              <m:e>
                <m:r>
                  <m:rPr>
                    <m:scr m:val="script"/>
                    <m:sty m:val="p"/>
                  </m:rPr>
                  <m:t>C</m:t>
                </m:r>
              </m:e>
              <m:sub>
                <m:r>
                  <m:t>j</m:t>
                </m:r>
              </m:sub>
            </m:sSub>
          </m:e>
        </m:nary>
        <m:r>
          <m:rPr>
            <m:sty m:val="p"/>
          </m:rPr>
          <m:t>(</m:t>
        </m:r>
        <m:r>
          <m:t>t</m:t>
        </m:r>
        <m:r>
          <m:rPr>
            <m:sty m:val="p"/>
          </m:rPr>
          <m:t>)</m:t>
        </m:r>
        <m:r>
          <m:t> </m:t>
        </m:r>
        <m:sSub>
          <m:e>
            <m:r>
              <m:t>ψ</m:t>
            </m:r>
          </m:e>
          <m:sub>
            <m:r>
              <m:t>t</m:t>
            </m:r>
          </m:sub>
        </m:sSub>
      </m:oMath>
      <w:r>
        <w:tab/>
      </w:r>
      <w:r>
        <w:t>(B.9)</w:t>
      </w:r>
    </w:p>
    <w:p>
      <w:pPr>
        <w:pStyle w:val="BodyText"/>
      </w:pPr>
      <w:r>
        <w:rPr>
          <w:rFonts w:hint="eastAsia"/>
        </w:rPr>
        <w:t xml:space="preserve">余弦の本数は</w:t>
      </w:r>
      <w:r>
        <w:t xml:space="preserve"> Lazarus et </w:t>
      </w:r>
      <w:r>
        <w:rPr>
          <w:rFonts w:hint="eastAsia"/>
        </w:rPr>
        <w:t xml:space="preserve">al.（2018）の規則</w:t>
      </w:r>
      <w:r>
        <w:t xml:space="preserve"> </w:t>
      </w:r>
      <m:oMath>
        <m:r>
          <m:t>ν</m:t>
        </m:r>
        <m:r>
          <m:rPr>
            <m:sty m:val="p"/>
          </m:rPr>
          <m:t>=</m:t>
        </m:r>
        <m:r>
          <m:rPr>
            <m:sty m:val="p"/>
          </m:rPr>
          <m:t>⌊</m:t>
        </m:r>
        <m:r>
          <m:t>0.4</m:t>
        </m:r>
        <m:sSup>
          <m:e>
            <m:r>
              <m:t>n</m:t>
            </m:r>
          </m:e>
          <m:sup>
            <m:r>
              <m:t>2</m:t>
            </m:r>
            <m:r>
              <m:rPr>
                <m:sty m:val="p"/>
              </m:rPr>
              <m:t>/</m:t>
            </m:r>
            <m:r>
              <m:t>3</m:t>
            </m:r>
          </m:sup>
        </m:sSup>
        <m:r>
          <m:rPr>
            <m:sty m:val="p"/>
          </m:rPr>
          <m:t>⌋</m:t>
        </m:r>
      </m:oMath>
      <w:r>
        <w:t xml:space="preserve"> </w:t>
      </w:r>
      <w:r>
        <w:rPr>
          <w:rFonts w:hint="eastAsia"/>
        </w:rPr>
        <w:t xml:space="preserve">に従う（FY2016〜25</w:t>
      </w:r>
      <w:r>
        <w:t xml:space="preserve"> の</w:t>
      </w:r>
      <w:r>
        <w:t xml:space="preserve"> </w:t>
      </w:r>
      <m:oMath>
        <m:r>
          <m:t>n</m:t>
        </m:r>
        <m:r>
          <m:rPr>
            <m:sty m:val="p"/>
          </m:rPr>
          <m:t>=</m:t>
        </m:r>
        <m:r>
          <m:t>3</m:t>
        </m:r>
        <m:r>
          <m:rPr>
            <m:sty m:val="p"/>
          </m:rPr>
          <m:t>,</m:t>
        </m:r>
        <m:r>
          <m:t>652</m:t>
        </m:r>
      </m:oMath>
      <w:r>
        <w:t xml:space="preserve"> </w:t>
      </w:r>
      <w:r>
        <w:rPr>
          <w:rFonts w:hint="eastAsia"/>
        </w:rPr>
        <w:t xml:space="preserve">日で</w:t>
      </w:r>
      <w:r>
        <w:t xml:space="preserve"> </w:t>
      </w:r>
      <m:oMath>
        <m:r>
          <m:t>ν</m:t>
        </m:r>
        <m:r>
          <m:rPr>
            <m:sty m:val="p"/>
          </m:rPr>
          <m:t>=</m:t>
        </m:r>
        <m:r>
          <m:t>94</m:t>
        </m:r>
      </m:oMath>
      <w:r>
        <w:t xml:space="preserve">、FY2023〜25 の</w:t>
      </w:r>
      <w:r>
        <w:t xml:space="preserve"> </w:t>
      </w:r>
      <m:oMath>
        <m:r>
          <m:t>n</m:t>
        </m:r>
        <m:r>
          <m:rPr>
            <m:sty m:val="p"/>
          </m:rPr>
          <m:t>=</m:t>
        </m:r>
        <m:r>
          <m:t>1</m:t>
        </m:r>
        <m:r>
          <m:rPr>
            <m:sty m:val="p"/>
          </m:rPr>
          <m:t>,</m:t>
        </m:r>
        <m:r>
          <m:t>096</m:t>
        </m:r>
      </m:oMath>
      <w:r>
        <w:t xml:space="preserve"> </w:t>
      </w:r>
      <w:r>
        <w:rPr>
          <w:rFonts w:hint="eastAsia"/>
        </w:rPr>
        <w:t xml:space="preserve">日で</w:t>
      </w:r>
      <w:r>
        <w:t xml:space="preserve"> </w:t>
      </w:r>
      <m:oMath>
        <m:r>
          <m:t>ν</m:t>
        </m:r>
        <m:r>
          <m:rPr>
            <m:sty m:val="p"/>
          </m:rPr>
          <m:t>=</m:t>
        </m:r>
        <m:r>
          <m:t>42</m:t>
        </m:r>
      </m:oMath>
      <w:r>
        <w:t xml:space="preserve">、Fuke and </w:t>
      </w:r>
      <w:r>
        <w:rPr>
          <w:rFonts w:hint="eastAsia"/>
        </w:rPr>
        <w:t xml:space="preserve">Ohashi（2025）型の仕様の</w:t>
      </w:r>
      <w:r>
        <w:t xml:space="preserve"> FY2016〜19 で</w:t>
      </w:r>
      <w:r>
        <w:t xml:space="preserve"> </w:t>
      </w:r>
      <m:oMath>
        <m:r>
          <m:t>ν</m:t>
        </m:r>
        <m:r>
          <m:rPr>
            <m:sty m:val="p"/>
          </m:rPr>
          <m:t>=</m:t>
        </m:r>
        <m:r>
          <m:t>51</m:t>
        </m:r>
      </m:oMath>
      <w:r>
        <w:rPr>
          <w:rFonts w:hint="eastAsia"/>
        </w:rPr>
        <w:t xml:space="preserve">）。</w:t>
      </w:r>
      <m:oMath>
        <m:r>
          <m:t>ν</m:t>
        </m:r>
      </m:oMath>
      <w:r>
        <w:t xml:space="preserve"> </w:t>
      </w:r>
      <w:r>
        <w:rPr>
          <w:rFonts w:hint="eastAsia"/>
        </w:rPr>
        <w:t xml:space="preserve">を固定したまま標本長を大きくする漸近理論の下では、この</w:t>
      </w:r>
      <w:r>
        <w:t xml:space="preserve"> t </w:t>
      </w:r>
      <w:r>
        <w:rPr>
          <w:rFonts w:hint="eastAsia"/>
        </w:rPr>
        <w:t xml:space="preserve">統計量は自由度</w:t>
      </w:r>
      <w:r>
        <w:t xml:space="preserve"> </w:t>
      </w:r>
      <m:oMath>
        <m:r>
          <m:t>ν</m:t>
        </m:r>
      </m:oMath>
      <w:r>
        <w:t xml:space="preserve"> </w:t>
      </w:r>
      <w:r>
        <w:t xml:space="preserve">の t </w:t>
      </w:r>
      <w:r>
        <w:rPr>
          <w:rFonts w:hint="eastAsia"/>
        </w:rPr>
        <w:t xml:space="preserve">分布に従うので、t</w:t>
      </w:r>
      <w:r>
        <w:t xml:space="preserve"> </w:t>
      </w:r>
      <w:r>
        <w:rPr>
          <w:rFonts w:hint="eastAsia"/>
        </w:rPr>
        <w:t xml:space="preserve">分布の臨界値を用いる。Lazarus</w:t>
      </w:r>
      <w:r>
        <w:t xml:space="preserve"> et </w:t>
      </w:r>
      <w:r>
        <w:rPr>
          <w:rFonts w:hint="eastAsia"/>
        </w:rPr>
        <w:t xml:space="preserve">al.（2018）はこの種の推論を</w:t>
      </w:r>
      <w:r>
        <w:t xml:space="preserve"> HAR </w:t>
      </w:r>
      <w:r>
        <w:rPr>
          <w:rFonts w:hint="eastAsia"/>
        </w:rPr>
        <w:t xml:space="preserve">推論（heteroskedasticity</w:t>
      </w:r>
      <w:r>
        <w:t xml:space="preserve"> and autocorrelation robust </w:t>
      </w:r>
      <w:r>
        <w:rPr>
          <w:rFonts w:hint="eastAsia"/>
        </w:rPr>
        <w:t xml:space="preserve">inference）と呼ぶが、本文5.1.1項で触れた</w:t>
      </w:r>
      <w:r>
        <w:t xml:space="preserve"> </w:t>
      </w:r>
      <w:r>
        <w:rPr>
          <w:rFonts w:hint="eastAsia"/>
        </w:rPr>
        <w:t xml:space="preserve">Corsi（2009）の</w:t>
      </w:r>
      <w:r>
        <w:t xml:space="preserve"> HAR </w:t>
      </w:r>
      <w:r>
        <w:rPr>
          <w:rFonts w:hint="eastAsia"/>
        </w:rPr>
        <w:t xml:space="preserve">モデルとは別物である。</w:t>
      </w:r>
    </w:p>
    <w:p>
      <w:pPr>
        <w:pStyle w:val="BodyText"/>
      </w:pPr>
      <w:r>
        <w:rPr>
          <w:rFonts w:hint="eastAsia"/>
        </w:rPr>
        <w:t xml:space="preserve">欠測日は、Rho</w:t>
      </w:r>
      <w:r>
        <w:t xml:space="preserve"> and </w:t>
      </w:r>
      <w:r>
        <w:rPr>
          <w:rFonts w:hint="eastAsia"/>
        </w:rPr>
        <w:t xml:space="preserve">Vogelsang（2019）の振幅変調法により、暦日の格子の上で影響関数を0とおく。余弦とラグの時点は暦日で数え、欠測期間の前後の日を隣接させない。標本の行を連続とみなした場合との</w:t>
      </w:r>
      <w:r>
        <w:t xml:space="preserve"> p </w:t>
      </w:r>
      <w:r>
        <w:rPr>
          <w:rFonts w:hint="eastAsia"/>
        </w:rPr>
        <w:t xml:space="preserve">値の差は、EWC</w:t>
      </w:r>
      <w:r>
        <w:t xml:space="preserve"> </w:t>
      </w:r>
      <w:r>
        <w:rPr>
          <w:rFonts w:hint="eastAsia"/>
        </w:rPr>
        <w:t xml:space="preserve">で0.003以下、Newey–West</w:t>
      </w:r>
      <w:r>
        <w:t xml:space="preserve"> </w:t>
      </w:r>
      <w:r>
        <w:rPr>
          <w:rFonts w:hint="eastAsia"/>
        </w:rPr>
        <w:t xml:space="preserve">で0.001以下である。祝日は国民の祝日に関する法律の規則（振替休日、国民の休日、2019年の即位関連の祝日、2020〜21年の祝日の移動を含む）から作成した。FY2016〜25</w:t>
      </w:r>
      <w:r>
        <w:t xml:space="preserve"> </w:t>
      </w:r>
      <w:r>
        <w:rPr>
          <w:rFonts w:hint="eastAsia"/>
        </w:rPr>
        <w:t xml:space="preserve">の祝日は184日、うち平日は147日である。</w:t>
      </w:r>
    </w:p>
    <w:p>
      <w:pPr>
        <w:pStyle w:val="BodyText"/>
      </w:pPr>
      <w:r>
        <w:rPr>
          <w:rFonts w:hint="eastAsia"/>
        </w:rPr>
        <w:t xml:space="preserve">比較に用いた推論法は四つである。第一は</w:t>
      </w:r>
      <w:r>
        <w:t xml:space="preserve"> HC3 </w:t>
      </w:r>
      <w:r>
        <w:rPr>
          <w:rFonts w:hint="eastAsia"/>
        </w:rPr>
        <w:t xml:space="preserve">標準誤差、第二は</w:t>
      </w:r>
      <w:r>
        <w:t xml:space="preserve"> Newey and </w:t>
      </w:r>
      <w:r>
        <w:rPr>
          <w:rFonts w:hint="eastAsia"/>
        </w:rPr>
        <w:t xml:space="preserve">West（1987）の</w:t>
      </w:r>
      <w:r>
        <w:t xml:space="preserve"> HAC </w:t>
      </w:r>
      <w:r>
        <w:rPr>
          <w:rFonts w:hint="eastAsia"/>
        </w:rPr>
        <w:t xml:space="preserve">標準誤差（ラグ7日・14日、および</w:t>
      </w:r>
      <w:r>
        <w:t xml:space="preserve"> </w:t>
      </w:r>
      <w:r>
        <w:rPr>
          <w:rFonts w:hint="eastAsia"/>
        </w:rPr>
        <w:t xml:space="preserve">Andrews（1991）の</w:t>
      </w:r>
      <w:r>
        <w:t xml:space="preserve"> AR(1) </w:t>
      </w:r>
      <w:r>
        <w:rPr>
          <w:rFonts w:hint="eastAsia"/>
        </w:rPr>
        <w:t xml:space="preserve">プラグインで係数ごとに選んだ帯域）、第三は年月クラスタ（120クラスタ、自由度119の</w:t>
      </w:r>
      <w:r>
        <w:t xml:space="preserve"> t </w:t>
      </w:r>
      <w:r>
        <w:rPr>
          <w:rFonts w:hint="eastAsia"/>
        </w:rPr>
        <w:t xml:space="preserve">分布。Cameron</w:t>
      </w:r>
      <w:r>
        <w:t xml:space="preserve"> &amp; Miller, </w:t>
      </w:r>
      <w:r>
        <w:rPr>
          <w:rFonts w:hint="eastAsia"/>
        </w:rPr>
        <w:t xml:space="preserve">2015）である。第四は、Lazarus</w:t>
      </w:r>
      <w:r>
        <w:t xml:space="preserve"> et </w:t>
      </w:r>
      <w:r>
        <w:rPr>
          <w:rFonts w:hint="eastAsia"/>
        </w:rPr>
        <w:t xml:space="preserve">al.（2018）の規則によるラグ</w:t>
      </w:r>
      <w:r>
        <w:t xml:space="preserve"> </w:t>
      </w:r>
      <m:oMath>
        <m:r>
          <m:rPr>
            <m:sty m:val="p"/>
          </m:rPr>
          <m:t>⌈</m:t>
        </m:r>
        <m:r>
          <m:t>1.3</m:t>
        </m:r>
        <m:sSup>
          <m:e>
            <m:r>
              <m:t>n</m:t>
            </m:r>
          </m:e>
          <m:sup>
            <m:r>
              <m:t>1</m:t>
            </m:r>
            <m:r>
              <m:rPr>
                <m:sty m:val="p"/>
              </m:rPr>
              <m:t>/</m:t>
            </m:r>
            <m:r>
              <m:t>2</m:t>
            </m:r>
          </m:sup>
        </m:sSup>
        <m:r>
          <m:rPr>
            <m:sty m:val="p"/>
          </m:rPr>
          <m:t>⌉</m:t>
        </m:r>
      </m:oMath>
      <w:r>
        <w:rPr>
          <w:rFonts w:hint="eastAsia"/>
        </w:rPr>
        <w:t xml:space="preserve">（79日）の</w:t>
      </w:r>
      <w:r>
        <w:t xml:space="preserve"> Newey–West に、Kiefer and </w:t>
      </w:r>
      <w:r>
        <w:rPr>
          <w:rFonts w:hint="eastAsia"/>
        </w:rPr>
        <w:t xml:space="preserve">Vogelsang（2005）の固定</w:t>
      </w:r>
      <w:r>
        <w:t xml:space="preserve"> b </w:t>
      </w:r>
      <w:r>
        <w:rPr>
          <w:rFonts w:hint="eastAsia"/>
        </w:rPr>
        <w:t xml:space="preserve">の臨界値（5%で2.03）を当てた検定である。</w:t>
      </w:r>
    </w:p>
    <w:bookmarkEnd w:id="321"/>
    <w:bookmarkStart w:id="322" w:name="b.2.2-設計に合わせたふるいブートストラップ"/>
    <w:p>
      <w:pPr>
        <w:pStyle w:val="Heading3"/>
      </w:pPr>
      <w:r>
        <w:t xml:space="preserve">B.2.2　</w:t>
      </w:r>
      <w:r>
        <w:rPr>
          <w:rFonts w:hint="eastAsia"/>
        </w:rPr>
        <w:t xml:space="preserve">設計に合わせたふるいブートストラップ</w:t>
      </w:r>
    </w:p>
    <w:p>
      <w:pPr>
        <w:pStyle w:val="FirstParagraph"/>
      </w:pPr>
      <w:r>
        <w:rPr>
          <w:rFonts w:hint="eastAsia"/>
        </w:rPr>
        <w:t xml:space="preserve">式(5.2)の右辺は季節交互作用なので、各係数の影響関数は主にその季節の日に集中し（北海道の</w:t>
      </w:r>
      <w:r>
        <w:t xml:space="preserve"> TB4h </w:t>
      </w:r>
      <w:r>
        <w:rPr>
          <w:rFonts w:hint="eastAsia"/>
        </w:rPr>
        <w:t xml:space="preserve">では、他の季節の日の寄与は影響関数の2乗和の2〜26%）、年の中で強弱をくり返す。EWC</w:t>
      </w:r>
      <w:r>
        <w:t xml:space="preserve"> </w:t>
      </w:r>
      <w:r>
        <w:rPr>
          <w:rFonts w:hint="eastAsia"/>
        </w:rPr>
        <w:t xml:space="preserve">と固定</w:t>
      </w:r>
      <w:r>
        <w:t xml:space="preserve"> b </w:t>
      </w:r>
      <w:r>
        <w:rPr>
          <w:rFonts w:hint="eastAsia"/>
        </w:rPr>
        <w:t xml:space="preserve">の臨界値は影響関数の分散が時間を通じて一様であることを前提にしているので、この設計では名目の水準より棄却しやすくなる。</w:t>
      </w:r>
    </w:p>
    <w:p>
      <w:pPr>
        <w:pStyle w:val="BodyText"/>
      </w:pPr>
      <w:r>
        <w:rPr>
          <w:rFonts w:hint="eastAsia"/>
        </w:rPr>
        <w:t xml:space="preserve">そこで説明変数の行列</w:t>
      </w:r>
      <w:r>
        <w:t xml:space="preserve"> </w:t>
      </w:r>
      <m:oMath>
        <m:r>
          <m:rPr>
            <m:sty m:val="bi"/>
          </m:rPr>
          <m:t>Z</m:t>
        </m:r>
      </m:oMath>
      <w:r>
        <w:t xml:space="preserve"> </w:t>
      </w:r>
      <w:r>
        <w:rPr>
          <w:rFonts w:hint="eastAsia"/>
        </w:rPr>
        <w:t xml:space="preserve">を固定し、再エネの係数がゼロという帰無仮説の下の被説明変数を1,999回生成する。誤差は、主仕様の残差に当てはめた自己回帰（次数は</w:t>
      </w:r>
      <w:r>
        <w:t xml:space="preserve"> BIC </w:t>
      </w:r>
      <w:r>
        <w:rPr>
          <w:rFonts w:hint="eastAsia"/>
        </w:rPr>
        <w:t xml:space="preserve">で選び、北海道6〜10次、九州9〜14次。係数の和は0.87〜0.91）と、季節別に復元抽出したイノベーションから作る。Bühlmann（1997）のふるいブートストラップを、回帰の残差に当てはめ、イノベーションを季節別に抽出する点で変えたものである。この帰無分布から</w:t>
      </w:r>
      <w:r>
        <w:t xml:space="preserve"> EWC の t </w:t>
      </w:r>
      <w:r>
        <w:rPr>
          <w:rFonts w:hint="eastAsia"/>
        </w:rPr>
        <w:t xml:space="preserve">統計量の補正</w:t>
      </w:r>
      <w:r>
        <w:t xml:space="preserve"> p </w:t>
      </w:r>
      <w:r>
        <w:rPr>
          <w:rFonts w:hint="eastAsia"/>
        </w:rPr>
        <w:t xml:space="preserve">値と、各推論法の実効的な棄却率を求める。自己回帰は最小二乗残差に当てはめるので、生成した誤差の持続性は実際よりわずかに低い（北海道の</w:t>
      </w:r>
      <w:r>
        <w:t xml:space="preserve"> TB4h </w:t>
      </w:r>
      <w:r>
        <w:rPr>
          <w:rFonts w:hint="eastAsia"/>
        </w:rPr>
        <w:t xml:space="preserve">で、残差の1次自己相関は0.74対0.76）。このため、この補正は歪みをやや小さめに見積もる。価格のラグを含む仕様は、残差の自己相関の下でラグ価格が誤差と相関しうるので、補正</w:t>
      </w:r>
      <w:r>
        <w:t xml:space="preserve"> p </w:t>
      </w:r>
      <w:r>
        <w:rPr>
          <w:rFonts w:hint="eastAsia"/>
        </w:rPr>
        <w:t xml:space="preserve">値を求めず、境界的な証拠として扱う。</w:t>
      </w:r>
    </w:p>
    <w:bookmarkEnd w:id="322"/>
    <w:bookmarkStart w:id="323" w:name="b.2.3-効果の上限と上位下位4時間の係数の比"/>
    <w:p>
      <w:pPr>
        <w:pStyle w:val="Heading3"/>
      </w:pPr>
      <w:r>
        <w:t xml:space="preserve">B.2.3　</w:t>
      </w:r>
      <w:r>
        <w:rPr>
          <w:rFonts w:hint="eastAsia"/>
        </w:rPr>
        <w:t xml:space="preserve">効果の上限と、上位・下位4時間の係数の比</w:t>
      </w:r>
    </w:p>
    <w:p>
      <w:pPr>
        <w:pStyle w:val="FirstParagraph"/>
      </w:pPr>
      <w:r>
        <w:rPr>
          <w:rFonts w:hint="eastAsia"/>
          <w:b/>
          <w:bCs/>
        </w:rPr>
        <w:t xml:space="preserve">効果の上限</w:t>
      </w:r>
      <w:r>
        <w:t xml:space="preserve">　</w:t>
      </w:r>
      <w:r>
        <w:rPr>
          <w:rFonts w:hint="eastAsia"/>
        </w:rPr>
        <w:t xml:space="preserve">有意でない係数について、EWC</w:t>
      </w:r>
      <w:r>
        <w:t xml:space="preserve"> </w:t>
      </w:r>
      <w:r>
        <w:rPr>
          <w:rFonts w:hint="eastAsia"/>
        </w:rPr>
        <w:t xml:space="preserve">の95%区間の上限に、年度内の日次発電量の標準偏差を掛けて円/kWh</w:t>
      </w:r>
      <w:r>
        <w:t xml:space="preserve"> </w:t>
      </w:r>
      <w:r>
        <w:rPr>
          <w:rFonts w:hint="eastAsia"/>
        </w:rPr>
        <w:t xml:space="preserve">に直し、季節平均の</w:t>
      </w:r>
      <w:r>
        <w:t xml:space="preserve"> TB4h </w:t>
      </w:r>
      <w:r>
        <w:rPr>
          <w:rFonts w:hint="eastAsia"/>
        </w:rPr>
        <w:t xml:space="preserve">で割った比を効果の上限とする。ブートストラップ‐t</w:t>
      </w:r>
      <w:r>
        <w:t xml:space="preserve"> </w:t>
      </w:r>
      <w:r>
        <w:rPr>
          <w:rFonts w:hint="eastAsia"/>
        </w:rPr>
        <w:t xml:space="preserve">区間による上限も併記する。</w:t>
      </w:r>
    </w:p>
    <w:p>
      <w:pPr>
        <w:pStyle w:val="BodyText"/>
      </w:pPr>
      <w:r>
        <w:rPr>
          <w:rFonts w:hint="eastAsia"/>
          <w:b/>
          <w:bCs/>
        </w:rPr>
        <w:t xml:space="preserve">係数の比の集合</w:t>
      </w:r>
      <w:r>
        <w:t xml:space="preserve">　</w:t>
      </w:r>
      <w:r>
        <w:rPr>
          <w:rFonts w:hint="eastAsia"/>
        </w:rPr>
        <w:t xml:space="preserve">冬に風力が上位4時間の価格を下位4時間より多く下げるかを調べるため、上位4時間の係数</w:t>
      </w:r>
      <w:r>
        <w:t xml:space="preserve"> </w:t>
      </w:r>
      <m:oMath>
        <m:sSup>
          <m:e>
            <m:r>
              <m:t>β</m:t>
            </m:r>
          </m:e>
          <m:sup>
            <m:r>
              <m:rPr>
                <m:sty m:val="p"/>
              </m:rPr>
              <m:t>t</m:t>
            </m:r>
            <m:r>
              <m:rPr>
                <m:sty m:val="p"/>
              </m:rPr>
              <m:t>o</m:t>
            </m:r>
            <m:r>
              <m:rPr>
                <m:sty m:val="p"/>
              </m:rPr>
              <m:t>p</m:t>
            </m:r>
          </m:sup>
        </m:sSup>
      </m:oMath>
      <w:r>
        <w:t xml:space="preserve"> </w:t>
      </w:r>
      <w:r>
        <w:rPr>
          <w:rFonts w:hint="eastAsia"/>
        </w:rPr>
        <w:t xml:space="preserve">と下位4時間の係数</w:t>
      </w:r>
      <w:r>
        <w:t xml:space="preserve"> </w:t>
      </w:r>
      <m:oMath>
        <m:sSup>
          <m:e>
            <m:r>
              <m:t>β</m:t>
            </m:r>
          </m:e>
          <m:sup>
            <m:r>
              <m:rPr>
                <m:sty m:val="p"/>
              </m:rPr>
              <m:t>b</m:t>
            </m:r>
            <m:r>
              <m:rPr>
                <m:sty m:val="p"/>
              </m:rPr>
              <m:t>o</m:t>
            </m:r>
            <m:r>
              <m:rPr>
                <m:sty m:val="p"/>
              </m:rPr>
              <m:t>t</m:t>
            </m:r>
          </m:sup>
        </m:sSup>
      </m:oMath>
      <w:r>
        <w:t xml:space="preserve"> </w:t>
      </w:r>
      <w:r>
        <w:rPr>
          <w:rFonts w:hint="eastAsia"/>
        </w:rPr>
        <w:t xml:space="preserve">の比</w:t>
      </w:r>
      <w:r>
        <w:t xml:space="preserve"> </w:t>
      </w:r>
      <m:oMath>
        <m:r>
          <m:t>ρ</m:t>
        </m:r>
      </m:oMath>
      <w:r>
        <w:t xml:space="preserve"> </w:t>
      </w:r>
      <w:r>
        <w:rPr>
          <w:rFonts w:hint="eastAsia"/>
        </w:rPr>
        <w:t xml:space="preserve">を考える。</w:t>
      </w:r>
      <m:oMath>
        <m:r>
          <m:t>ρ</m:t>
        </m:r>
      </m:oMath>
      <w:r>
        <w:t xml:space="preserve"> </w:t>
      </w:r>
      <w:r>
        <w:rPr>
          <w:rFonts w:hint="eastAsia"/>
        </w:rPr>
        <w:t xml:space="preserve">の格子の上で、被説明変数を</w:t>
      </w:r>
      <w:r>
        <w:t xml:space="preserve"> </w:t>
      </w:r>
      <m:oMath>
        <m:sSub>
          <m:e>
            <m:r>
              <m:t>y</m:t>
            </m:r>
          </m:e>
          <m:sub>
            <m:r>
              <m:t>d</m:t>
            </m:r>
          </m:sub>
        </m:sSub>
        <m:r>
          <m:rPr>
            <m:sty m:val="p"/>
          </m:rPr>
          <m:t>=</m:t>
        </m:r>
        <m:sSub>
          <m:e>
            <m:r>
              <m:t>T</m:t>
            </m:r>
          </m:e>
          <m:sub>
            <m:r>
              <m:t>d</m:t>
            </m:r>
          </m:sub>
        </m:sSub>
        <m:r>
          <m:rPr>
            <m:sty m:val="p"/>
          </m:rPr>
          <m:t>−</m:t>
        </m:r>
        <m:r>
          <m:t>ρ</m:t>
        </m:r>
        <m:r>
          <m:t> </m:t>
        </m:r>
        <m:sSub>
          <m:e>
            <m:r>
              <m:t>B</m:t>
            </m:r>
          </m:e>
          <m:sub>
            <m:r>
              <m:t>d</m:t>
            </m:r>
          </m:sub>
        </m:sSub>
      </m:oMath>
      <w:r>
        <w:rPr>
          <w:rFonts w:hint="eastAsia"/>
        </w:rPr>
        <w:t xml:space="preserve">（</w:t>
      </w:r>
      <m:oMath>
        <m:sSub>
          <m:e>
            <m:r>
              <m:t>T</m:t>
            </m:r>
          </m:e>
          <m:sub>
            <m:r>
              <m:t>d</m:t>
            </m:r>
          </m:sub>
        </m:sSub>
      </m:oMath>
      <w:r>
        <w:t xml:space="preserve">・</w:t>
      </w:r>
      <m:oMath>
        <m:sSub>
          <m:e>
            <m:r>
              <m:t>B</m:t>
            </m:r>
          </m:e>
          <m:sub>
            <m:r>
              <m:t>d</m:t>
            </m:r>
          </m:sub>
        </m:sSub>
      </m:oMath>
      <w:r>
        <w:t xml:space="preserve"> </w:t>
      </w:r>
      <w:r>
        <w:rPr>
          <w:rFonts w:hint="eastAsia"/>
        </w:rPr>
        <w:t xml:space="preserve">は日</w:t>
      </w:r>
      <w:r>
        <w:t xml:space="preserve"> </w:t>
      </w:r>
      <m:oMath>
        <m:r>
          <m:t>d</m:t>
        </m:r>
      </m:oMath>
      <w:r>
        <w:t xml:space="preserve"> </w:t>
      </w:r>
      <w:r>
        <w:rPr>
          <w:rFonts w:hint="eastAsia"/>
        </w:rPr>
        <w:t xml:space="preserve">の上位・下位4時間の平均価格で、式(6.1)の</w:t>
      </w:r>
      <w:r>
        <w:t xml:space="preserve"> </w:t>
      </w:r>
      <m:oMath>
        <m:r>
          <m:t>T</m:t>
        </m:r>
      </m:oMath>
      <w:r>
        <w:t xml:space="preserve">・</w:t>
      </w:r>
      <m:oMath>
        <m:r>
          <m:t>B</m:t>
        </m:r>
      </m:oMath>
      <w:r>
        <w:t xml:space="preserve"> </w:t>
      </w:r>
      <w:r>
        <w:rPr>
          <w:rFonts w:hint="eastAsia"/>
        </w:rPr>
        <w:t xml:space="preserve">と同じ）とした回帰の</w:t>
      </w:r>
      <w:r>
        <w:t xml:space="preserve"> EWC </w:t>
      </w:r>
      <w:r>
        <w:rPr>
          <w:rFonts w:hint="eastAsia"/>
        </w:rPr>
        <w:t xml:space="preserve">検定で</w:t>
      </w:r>
      <w:r>
        <w:t xml:space="preserve"> </w:t>
      </w:r>
      <m:oMath>
        <m:sSub>
          <m:e>
            <m:r>
              <m:t>H</m:t>
            </m:r>
          </m:e>
          <m:sub>
            <m:r>
              <m:t>0</m:t>
            </m:r>
          </m:sub>
        </m:sSub>
        <m:r>
          <m:rPr>
            <m:sty m:val="p"/>
          </m:rPr>
          <m:t>:</m:t>
        </m:r>
        <m:sSup>
          <m:e>
            <m:r>
              <m:t>β</m:t>
            </m:r>
          </m:e>
          <m:sup>
            <m:r>
              <m:rPr>
                <m:sty m:val="p"/>
              </m:rPr>
              <m:t>t</m:t>
            </m:r>
            <m:r>
              <m:rPr>
                <m:sty m:val="p"/>
              </m:rPr>
              <m:t>o</m:t>
            </m:r>
            <m:r>
              <m:rPr>
                <m:sty m:val="p"/>
              </m:rPr>
              <m:t>p</m:t>
            </m:r>
          </m:sup>
        </m:sSup>
        <m:r>
          <m:rPr>
            <m:sty m:val="p"/>
          </m:rPr>
          <m:t>−</m:t>
        </m:r>
        <m:r>
          <m:t>ρ</m:t>
        </m:r>
        <m:r>
          <m:t> </m:t>
        </m:r>
        <m:sSup>
          <m:e>
            <m:r>
              <m:t>β</m:t>
            </m:r>
          </m:e>
          <m:sup>
            <m:r>
              <m:rPr>
                <m:sty m:val="p"/>
              </m:rPr>
              <m:t>b</m:t>
            </m:r>
            <m:r>
              <m:rPr>
                <m:sty m:val="p"/>
              </m:rPr>
              <m:t>o</m:t>
            </m:r>
            <m:r>
              <m:rPr>
                <m:sty m:val="p"/>
              </m:rPr>
              <m:t>t</m:t>
            </m:r>
          </m:sup>
        </m:sSup>
        <m:r>
          <m:rPr>
            <m:sty m:val="p"/>
          </m:rPr>
          <m:t>=</m:t>
        </m:r>
        <m:r>
          <m:t>0</m:t>
        </m:r>
      </m:oMath>
      <w:r>
        <w:t xml:space="preserve"> </w:t>
      </w:r>
      <w:r>
        <w:rPr>
          <w:rFonts w:hint="eastAsia"/>
        </w:rPr>
        <w:t xml:space="preserve">を検定し、棄却されない</w:t>
      </w:r>
      <w:r>
        <w:t xml:space="preserve"> </w:t>
      </w:r>
      <m:oMath>
        <m:r>
          <m:t>ρ</m:t>
        </m:r>
      </m:oMath>
      <w:r>
        <w:t xml:space="preserve"> </w:t>
      </w:r>
      <w:r>
        <w:rPr>
          <w:rFonts w:hint="eastAsia"/>
        </w:rPr>
        <w:t xml:space="preserve">の集合を95%集合とする（Fieller,</w:t>
      </w:r>
      <w:r>
        <w:t xml:space="preserve"> 1954 </w:t>
      </w:r>
      <w:r>
        <w:rPr>
          <w:rFonts w:hint="eastAsia"/>
        </w:rPr>
        <w:t xml:space="preserve">と同じ考え方）。平行移動は</w:t>
      </w:r>
      <w:r>
        <w:t xml:space="preserve"> </w:t>
      </w:r>
      <m:oMath>
        <m:r>
          <m:t>ρ</m:t>
        </m:r>
        <m:r>
          <m:rPr>
            <m:sty m:val="p"/>
          </m:rPr>
          <m:t>=</m:t>
        </m:r>
        <m:r>
          <m:t>1</m:t>
        </m:r>
      </m:oMath>
      <w:r>
        <w:t xml:space="preserve"> </w:t>
      </w:r>
      <w:r>
        <w:t xml:space="preserve">で、TB4h </w:t>
      </w:r>
      <w:r>
        <w:rPr>
          <w:rFonts w:hint="eastAsia"/>
        </w:rPr>
        <w:t xml:space="preserve">の係数がゼロという検定と同じである。比例的な引下げは</w:t>
      </w:r>
      <w:r>
        <w:t xml:space="preserve"> </w:t>
      </w:r>
      <m:oMath>
        <m:r>
          <m:t>ρ</m:t>
        </m:r>
        <m:r>
          <m:rPr>
            <m:sty m:val="p"/>
          </m:rPr>
          <m:t>=</m:t>
        </m:r>
        <m:sSub>
          <m:e>
            <m:r>
              <m:t>ρ</m:t>
            </m:r>
          </m:e>
          <m:sub>
            <m:r>
              <m:t>0</m:t>
            </m:r>
          </m:sub>
        </m:sSub>
      </m:oMath>
      <w:r>
        <w:t xml:space="preserve"> </w:t>
      </w:r>
      <w:r>
        <w:t xml:space="preserve">で、</w:t>
      </w:r>
      <m:oMath>
        <m:sSub>
          <m:e>
            <m:r>
              <m:t>ρ</m:t>
            </m:r>
          </m:e>
          <m:sub>
            <m:r>
              <m:t>0</m:t>
            </m:r>
          </m:sub>
        </m:sSub>
      </m:oMath>
      <w:r>
        <w:t xml:space="preserve"> </w:t>
      </w:r>
      <w:r>
        <w:rPr>
          <w:rFonts w:hint="eastAsia"/>
        </w:rPr>
        <w:t xml:space="preserve">は冬の上位・下位4時間の平均価格の比（FY2016〜25</w:t>
      </w:r>
      <w:r>
        <w:t xml:space="preserve"> </w:t>
      </w:r>
      <w:r>
        <w:rPr>
          <w:rFonts w:hint="eastAsia"/>
        </w:rPr>
        <w:t xml:space="preserve">で2.20、2021年1月を除くと2.01、FY2023〜25</w:t>
      </w:r>
      <w:r>
        <w:t xml:space="preserve"> </w:t>
      </w:r>
      <w:r>
        <w:rPr>
          <w:rFonts w:hint="eastAsia"/>
        </w:rPr>
        <w:t xml:space="preserve">で1.72）である。この検定は</w:t>
      </w:r>
      <w:r>
        <w:t xml:space="preserve"> </w:t>
      </w:r>
      <m:oMath>
        <m:sSub>
          <m:e>
            <m:r>
              <m:t>ρ</m:t>
            </m:r>
          </m:e>
          <m:sub>
            <m:r>
              <m:t>0</m:t>
            </m:r>
          </m:sub>
        </m:sSub>
      </m:oMath>
      <w:r>
        <w:t xml:space="preserve"> </w:t>
      </w:r>
      <w:r>
        <w:rPr>
          <w:rFonts w:hint="eastAsia"/>
        </w:rPr>
        <w:t xml:space="preserve">を固定値として扱うので、日単位の14日移動ブロック・ブートストラップで</w:t>
      </w:r>
      <w:r>
        <w:t xml:space="preserve"> </w:t>
      </w:r>
      <m:oMath>
        <m:sSub>
          <m:e>
            <m:r>
              <m:t>ρ</m:t>
            </m:r>
          </m:e>
          <m:sub>
            <m:r>
              <m:t>0</m:t>
            </m:r>
          </m:sub>
        </m:sSub>
      </m:oMath>
      <w:r>
        <w:t xml:space="preserve"> </w:t>
      </w:r>
      <w:r>
        <w:rPr>
          <w:rFonts w:hint="eastAsia"/>
        </w:rPr>
        <w:t xml:space="preserve">と係数を同時に再標本化した区間でも確かめる。真が比例のときにこの2点検定が平行を棄却する検出力も、同じ設計のシミュレーションで求める。</w:t>
      </w:r>
    </w:p>
    <w:bookmarkEnd w:id="323"/>
    <w:bookmarkStart w:id="324" w:name="b.2.4-分位点回帰の推定"/>
    <w:p>
      <w:pPr>
        <w:pStyle w:val="Heading3"/>
      </w:pPr>
      <w:r>
        <w:t xml:space="preserve">B.2.4　</w:t>
      </w:r>
      <w:r>
        <w:rPr>
          <w:rFonts w:hint="eastAsia"/>
        </w:rPr>
        <w:t xml:space="preserve">分位点回帰の推定</w:t>
      </w:r>
    </w:p>
    <w:p>
      <w:pPr>
        <w:pStyle w:val="FirstParagraph"/>
      </w:pPr>
      <w:r>
        <w:rPr>
          <w:rFonts w:hint="eastAsia"/>
        </w:rPr>
        <w:t xml:space="preserve">分位点回帰は</w:t>
      </w:r>
      <w:r>
        <w:t xml:space="preserve"> Frisch–Newton </w:t>
      </w:r>
      <w:r>
        <w:rPr>
          <w:rFonts w:hint="eastAsia"/>
        </w:rPr>
        <w:t xml:space="preserve">内点法（Portnoy</w:t>
      </w:r>
      <w:r>
        <w:t xml:space="preserve"> &amp; Koenker, </w:t>
      </w:r>
      <w:r>
        <w:rPr>
          <w:rFonts w:hint="eastAsia"/>
        </w:rPr>
        <w:t xml:space="preserve">1997）で推定し、汎用の統計ソフトウェアの推定値と目的関数値が一致することを確かめた。τ</w:t>
      </w:r>
      <w:r>
        <w:t xml:space="preserve"> </w:t>
      </w:r>
      <w:r>
        <w:rPr>
          <w:rFonts w:hint="eastAsia"/>
        </w:rPr>
        <w:t xml:space="preserve">は0.1〜0.9とする。下限価格0.01円/kWh</w:t>
      </w:r>
      <w:r>
        <w:t xml:space="preserve"> </w:t>
      </w:r>
      <w:r>
        <w:rPr>
          <w:rFonts w:hint="eastAsia"/>
        </w:rPr>
        <w:t xml:space="preserve">はデータの左側打ち切りである。ただし下限に張り付いたコマは</w:t>
      </w:r>
      <w:r>
        <w:t xml:space="preserve"> FY2023〜25 </w:t>
      </w:r>
      <w:r>
        <w:rPr>
          <w:rFonts w:hint="eastAsia"/>
        </w:rPr>
        <w:t xml:space="preserve">でも全コマの2〜4%にとどまり、主に報告する</w:t>
      </w:r>
      <w:r>
        <w:t xml:space="preserve"> τ=0.9 </w:t>
      </w:r>
      <w:r>
        <w:rPr>
          <w:rFonts w:hint="eastAsia"/>
        </w:rPr>
        <w:t xml:space="preserve">の条件付き分位は下限を上回る。条件付き分位が打ち切り点を上回る範囲では、打ち切られた価格の分位は潜在価格の分位に一致するので、高分位の係数は打ち切りの影響をほとんど受けない。下限が効く低分位を厳密に扱う打ち切り分位点回帰（Powell,</w:t>
      </w:r>
      <w:r>
        <w:t xml:space="preserve"> </w:t>
      </w:r>
      <w:r>
        <w:rPr>
          <w:rFonts w:hint="eastAsia"/>
        </w:rPr>
        <w:t xml:space="preserve">1986）は用いず、下限張り付きの時間を除いた推定を感応度として示す。係数と期間差の95%区間は、日単位の14日移動ブロック・ブートストラップ（Künsch,</w:t>
      </w:r>
      <w:r>
        <w:t xml:space="preserve"> </w:t>
      </w:r>
      <w:r>
        <w:rPr>
          <w:rFonts w:hint="eastAsia"/>
        </w:rPr>
        <w:t xml:space="preserve">1989。499回）のパーセンタイル区間で、期間ごとに独立に抽出する。感応度として、FY2018（胆振東部地震の年度）を除く</w:t>
      </w:r>
      <w:r>
        <w:t xml:space="preserve"> FY2016〜17 </w:t>
      </w:r>
      <w:r>
        <w:rPr>
          <w:rFonts w:hint="eastAsia"/>
        </w:rPr>
        <w:t xml:space="preserve">と、燃料危機期を除く</w:t>
      </w:r>
      <w:r>
        <w:t xml:space="preserve"> FY2019〜20 </w:t>
      </w:r>
      <w:r>
        <w:rPr>
          <w:rFonts w:hint="eastAsia"/>
        </w:rPr>
        <w:t xml:space="preserve">も推定し、先行研究の期間の</w:t>
      </w:r>
      <w:r>
        <w:t xml:space="preserve"> FY2016〜19 </w:t>
      </w:r>
      <w:r>
        <w:rPr>
          <w:rFonts w:hint="eastAsia"/>
        </w:rPr>
        <w:t xml:space="preserve">も参考に示す。</w:t>
      </w:r>
    </w:p>
    <w:p>
      <w:pPr>
        <w:pStyle w:val="BodyText"/>
      </w:pPr>
      <w:r>
        <w:rPr>
          <w:rFonts w:hint="eastAsia"/>
          <w:b/>
          <w:bCs/>
        </w:rPr>
        <w:t xml:space="preserve">市場分断の内訳</w:t>
      </w:r>
      <w:r>
        <w:t xml:space="preserve">　</w:t>
      </w:r>
      <w:r>
        <w:rPr>
          <w:rFonts w:hint="eastAsia"/>
        </w:rPr>
        <w:t xml:space="preserve">北海道の価格が欠測する960コマを除き、年度別の構成比と期間をプールした値を求める。風力の日次発電量の季節内三分位ごとに、安値のコマの時間を北本連系線の拘束（北海道＜東北）と東日本側（北海道＝東北）に分け、三分位の大−小の差の95%区間を日単位の14日移動ブロック・ブートストラップで求める。北本連系線の拘束の時間については連系線の潮流の分布も示す。空き容量のデータがないので、運用容量に対する比は求めない。価格過程の分断混合仕様（7.1.1項）のレジームは、システムプライスとの比較による定義に従う。</w:t>
      </w:r>
    </w:p>
    <w:bookmarkEnd w:id="324"/>
    <w:bookmarkStart w:id="325" w:name="b.2.5-空間分散の反実仮想の校正と系列の作り方"/>
    <w:p>
      <w:pPr>
        <w:pStyle w:val="Heading3"/>
      </w:pPr>
      <w:r>
        <w:t xml:space="preserve">B.2.5　</w:t>
      </w:r>
      <w:r>
        <w:rPr>
          <w:rFonts w:hint="eastAsia"/>
        </w:rPr>
        <w:t xml:space="preserve">空間分散の反実仮想の校正と系列の作り方</w:t>
      </w:r>
    </w:p>
    <w:p>
      <w:pPr>
        <w:pStyle w:val="FirstParagraph"/>
      </w:pPr>
      <w:r>
        <w:rPr>
          <w:rFonts w:hint="eastAsia"/>
          <w:b/>
          <w:bCs/>
        </w:rPr>
        <w:t xml:space="preserve">相関距離</w:t>
      </w:r>
      <w:r>
        <w:t xml:space="preserve">　St. Martin et </w:t>
      </w:r>
      <w:r>
        <w:rPr>
          <w:rFonts w:hint="eastAsia"/>
        </w:rPr>
        <w:t xml:space="preserve">al.（2015）の相関距離</w:t>
      </w:r>
      <w:r>
        <w:t xml:space="preserve"> </w:t>
      </w:r>
      <m:oMath>
        <m:sSub>
          <m:e>
            <m:r>
              <m:t>ℓ</m:t>
            </m:r>
          </m:e>
          <m:sub>
            <m:r>
              <m:t>w</m:t>
            </m:r>
          </m:sub>
        </m:sSub>
      </m:oMath>
      <w:r>
        <w:t xml:space="preserve"> </w:t>
      </w:r>
      <w:r>
        <w:rPr>
          <w:rFonts w:hint="eastAsia"/>
        </w:rPr>
        <w:t xml:space="preserve">は、日周の高調波（4次まで）と季節成分を除いた確率的な変動のうち、窓幅</w:t>
      </w:r>
      <w:r>
        <w:t xml:space="preserve"> </w:t>
      </w:r>
      <m:oMath>
        <m:r>
          <m:t>w</m:t>
        </m:r>
      </m:oMath>
      <w:r>
        <w:rPr>
          <w:rFonts w:hint="eastAsia"/>
        </w:rPr>
        <w:t xml:space="preserve">（時間）より速い成分すべての地点間相関を距離で積分した累積値であり、帯域通過の値ではない。同論文は</w:t>
      </w:r>
      <w:r>
        <w:t xml:space="preserve"> </w:t>
      </w:r>
      <m:oMath>
        <m:r>
          <m:t>w</m:t>
        </m:r>
        <m:r>
          <m:rPr>
            <m:sty m:val="p"/>
          </m:rPr>
          <m:t>=</m:t>
        </m:r>
        <m:r>
          <m:t>6</m:t>
        </m:r>
      </m:oMath>
      <w:r>
        <w:rPr>
          <w:rFonts w:hint="eastAsia"/>
        </w:rPr>
        <w:t xml:space="preserve">・24時間の値を数値で報告していないので、同論文の</w:t>
      </w:r>
      <w:r>
        <w:t xml:space="preserve"> Fig.6 </w:t>
      </w:r>
      <w:r>
        <w:rPr>
          <w:rFonts w:hint="eastAsia"/>
        </w:rPr>
        <w:t xml:space="preserve">の地域別の点を読み取り、</w:t>
      </w:r>
      <m:oMath>
        <m:r>
          <m:t>w</m:t>
        </m:r>
        <m:r>
          <m:rPr>
            <m:sty m:val="p"/>
          </m:rPr>
          <m:t>=</m:t>
        </m:r>
        <m:r>
          <m:t>6</m:t>
        </m:r>
      </m:oMath>
      <w:r>
        <w:rPr>
          <w:rFonts w:hint="eastAsia"/>
        </w:rPr>
        <w:t xml:space="preserve">・24時間に対数内挿した。豪州の発電量で</w:t>
      </w:r>
      <w:r>
        <w:t xml:space="preserve"> </w:t>
      </w:r>
      <m:oMath>
        <m:sSub>
          <m:e>
            <m:r>
              <m:t>ℓ</m:t>
            </m:r>
          </m:e>
          <m:sub>
            <m:r>
              <m:t>6</m:t>
            </m:r>
          </m:sub>
        </m:sSub>
        <m:r>
          <m:rPr>
            <m:sty m:val="p"/>
          </m:rPr>
          <m:t>=</m:t>
        </m:r>
        <m:r>
          <m:t>32</m:t>
        </m:r>
      </m:oMath>
      <w:r>
        <w:t xml:space="preserve">km・</w:t>
      </w:r>
      <m:oMath>
        <m:sSub>
          <m:e>
            <m:r>
              <m:t>ℓ</m:t>
            </m:r>
          </m:e>
          <m:sub>
            <m:r>
              <m:t>24</m:t>
            </m:r>
          </m:sub>
        </m:sSub>
        <m:r>
          <m:rPr>
            <m:sty m:val="p"/>
          </m:rPr>
          <m:t>=</m:t>
        </m:r>
        <m:r>
          <m:t>130</m:t>
        </m:r>
      </m:oMath>
      <w:r>
        <w:rPr>
          <w:rFonts w:hint="eastAsia"/>
        </w:rPr>
        <w:t xml:space="preserve">km、カナダの風速で16km・67km</w:t>
      </w:r>
      <w:r>
        <w:t xml:space="preserve"> </w:t>
      </w:r>
      <w:r>
        <w:rPr>
          <w:rFonts w:hint="eastAsia"/>
        </w:rPr>
        <w:t xml:space="preserve">である（最も遅い変動の相関距離はそれぞれ368km・273km）。同論文の式(2)の経験的包絡（</w:t>
      </w:r>
      <m:oMath>
        <m:sSub>
          <m:e>
            <m:r>
              <m:t>w</m:t>
            </m:r>
          </m:e>
          <m:sub>
            <m:r>
              <m:t>0</m:t>
            </m:r>
          </m:sub>
        </m:sSub>
        <m:r>
          <m:rPr>
            <m:sty m:val="p"/>
          </m:rPr>
          <m:t>=</m:t>
        </m:r>
        <m:r>
          <m:t>38</m:t>
        </m:r>
      </m:oMath>
      <w:r>
        <w:t xml:space="preserve"> </w:t>
      </w:r>
      <w:r>
        <w:rPr>
          <w:rFonts w:hint="eastAsia"/>
        </w:rPr>
        <w:t xml:space="preserve">時間）からは、最も遅い変動の相関距離に対する比が6時間で0.019〜0.156、24時間で0.150〜0.534</w:t>
      </w:r>
      <w:r>
        <w:t xml:space="preserve"> </w:t>
      </w:r>
      <w:r>
        <w:rPr>
          <w:rFonts w:hint="eastAsia"/>
        </w:rPr>
        <w:t xml:space="preserve">と幅の広い値が出る。Fig.6</w:t>
      </w:r>
      <w:r>
        <w:t xml:space="preserve"> </w:t>
      </w:r>
      <w:r>
        <w:rPr>
          <w:rFonts w:hint="eastAsia"/>
        </w:rPr>
        <w:t xml:space="preserve">の値はその中ほどにある。</w:t>
      </w:r>
    </w:p>
    <w:p>
      <w:pPr>
        <w:pStyle w:val="BodyText"/>
      </w:pPr>
      <w:r>
        <w:rPr>
          <w:rFonts w:hint="eastAsia"/>
          <w:b/>
          <w:bCs/>
        </w:rPr>
        <w:t xml:space="preserve">分散の減衰</w:t>
      </w:r>
      <w:r>
        <w:t xml:space="preserve">　</w:t>
      </w:r>
      <w:r>
        <w:rPr>
          <w:rFonts w:hint="eastAsia"/>
        </w:rPr>
        <w:t xml:space="preserve">6時間未満の帯域（帯域1）と6〜24時間の帯域（帯域2）の分散の減衰</w:t>
      </w:r>
      <w:r>
        <w:t xml:space="preserve"> </w:t>
      </w:r>
      <m:oMath>
        <m:sSub>
          <m:e>
            <m:r>
              <m:t>N</m:t>
            </m:r>
          </m:e>
          <m:sub>
            <m:r>
              <m:t>1</m:t>
            </m:r>
          </m:sub>
        </m:sSub>
      </m:oMath>
      <w:r>
        <w:t xml:space="preserve">・</w:t>
      </w:r>
      <m:oMath>
        <m:sSub>
          <m:e>
            <m:r>
              <m:t>N</m:t>
            </m:r>
          </m:e>
          <m:sub>
            <m:r>
              <m:t>2</m:t>
            </m:r>
          </m:sub>
        </m:sSub>
      </m:oMath>
      <w:r>
        <w:t xml:space="preserve"> </w:t>
      </w:r>
      <w:r>
        <w:rPr>
          <w:rFonts w:hint="eastAsia"/>
        </w:rPr>
        <w:t xml:space="preserve">を2通りで求める。帯域1には</w:t>
      </w:r>
      <w:r>
        <w:t xml:space="preserve"> </w:t>
      </w:r>
      <m:oMath>
        <m:sSub>
          <m:e>
            <m:r>
              <m:t>ℓ</m:t>
            </m:r>
          </m:e>
          <m:sub>
            <m:r>
              <m:t>6</m:t>
            </m:r>
          </m:sub>
        </m:sSub>
      </m:oMath>
      <w:r>
        <w:rPr>
          <w:rFonts w:hint="eastAsia"/>
        </w:rPr>
        <w:t xml:space="preserve">、帯域2には</w:t>
      </w:r>
      <w:r>
        <w:t xml:space="preserve"> </w:t>
      </w:r>
      <m:oMath>
        <m:sSub>
          <m:e>
            <m:r>
              <m:t>ℓ</m:t>
            </m:r>
          </m:e>
          <m:sub>
            <m:r>
              <m:t>24</m:t>
            </m:r>
          </m:sub>
        </m:sSub>
      </m:oMath>
      <w:r>
        <w:t xml:space="preserve"> </w:t>
      </w:r>
      <w:r>
        <w:rPr>
          <w:rFonts w:hint="eastAsia"/>
        </w:rPr>
        <w:t xml:space="preserve">を当てる。一つは、面積</w:t>
      </w:r>
      <w:r>
        <w:t xml:space="preserve"> </w:t>
      </w:r>
      <m:oMath>
        <m:r>
          <m:rPr>
            <m:scr m:val="script"/>
            <m:sty m:val="p"/>
          </m:rPr>
          <m:t>A</m:t>
        </m:r>
      </m:oMath>
      <w:r>
        <w:t xml:space="preserve"> </w:t>
      </w:r>
      <w:r>
        <w:rPr>
          <w:rFonts w:hint="eastAsia"/>
        </w:rPr>
        <w:t xml:space="preserve">の領域に含まれる無相関な地点の数を最大で</w:t>
      </w:r>
      <w:r>
        <w:t xml:space="preserve"> </w:t>
      </w:r>
      <m:oMath>
        <m:r>
          <m:rPr>
            <m:scr m:val="script"/>
            <m:sty m:val="p"/>
          </m:rPr>
          <m:t>A</m:t>
        </m:r>
        <m:r>
          <m:rPr>
            <m:sty m:val="p"/>
          </m:rPr>
          <m:t>/</m:t>
        </m:r>
        <m:r>
          <m:rPr>
            <m:sty m:val="p"/>
          </m:rPr>
          <m:t>(</m:t>
        </m:r>
        <m:r>
          <m:t>2</m:t>
        </m:r>
        <m:r>
          <m:t>ℓ</m:t>
        </m:r>
        <m:sSup>
          <m:e>
            <m:r>
              <m:rPr>
                <m:sty m:val="p"/>
              </m:rPr>
              <m:t>)</m:t>
            </m:r>
          </m:e>
          <m:sup>
            <m:r>
              <m:t>2</m:t>
            </m:r>
          </m:sup>
        </m:sSup>
      </m:oMath>
      <w:r>
        <w:t xml:space="preserve"> </w:t>
      </w:r>
      <w:r>
        <w:rPr>
          <w:rFonts w:hint="eastAsia"/>
        </w:rPr>
        <w:t xml:space="preserve">とする同論文の議論に基づく上限式</w:t>
      </w:r>
    </w:p>
    <w:p>
      <w:pPr>
        <w:pStyle w:val="BodyText"/>
        <w:tabs>
          <w:tab w:val="center" w:pos="4393"/>
          <w:tab w:val="right" w:pos="8787"/>
        </w:tabs>
        <w:spacing w:before="120" w:after="120" w:line="240" w:lineRule="auto"/>
        <w:ind w:firstLine="0"/>
      </w:pPr>
      <w:r>
        <w:tab/>
      </w:r>
      <m:oMath>
        <m:sSub>
          <m:e>
            <m:r>
              <m:t>N</m:t>
            </m:r>
          </m:e>
          <m:sub>
            <m:r>
              <m:t>1</m:t>
            </m:r>
          </m:sub>
        </m:sSub>
        <m:r>
          <m:rPr>
            <m:sty m:val="p"/>
          </m:rPr>
          <m:t>=</m:t>
        </m:r>
        <m:f>
          <m:fPr>
            <m:type m:val="bar"/>
          </m:fPr>
          <m:num>
            <m:r>
              <m:rPr>
                <m:scr m:val="script"/>
                <m:sty m:val="p"/>
              </m:rPr>
              <m:t>A</m:t>
            </m:r>
          </m:num>
          <m:den>
            <m:r>
              <m:rPr>
                <m:sty m:val="p"/>
              </m:rPr>
              <m:t>(</m:t>
            </m:r>
            <m:r>
              <m:t>2</m:t>
            </m:r>
            <m:sSub>
              <m:e>
                <m:r>
                  <m:t>ℓ</m:t>
                </m:r>
              </m:e>
              <m:sub>
                <m:r>
                  <m:t>6</m:t>
                </m:r>
              </m:sub>
            </m:sSub>
            <m:sSup>
              <m:e>
                <m:r>
                  <m:rPr>
                    <m:sty m:val="p"/>
                  </m:rPr>
                  <m:t>)</m:t>
                </m:r>
              </m:e>
              <m:sup>
                <m:r>
                  <m:t>2</m:t>
                </m:r>
              </m:sup>
            </m:sSup>
          </m:den>
        </m:f>
        <m:r>
          <m:rPr>
            <m:sty m:val="p"/>
          </m:rPr>
          <m:t>,</m:t>
        </m:r>
        <m:r>
          <m:t>  </m:t>
        </m:r>
        <m:sSub>
          <m:e>
            <m:r>
              <m:t>N</m:t>
            </m:r>
          </m:e>
          <m:sub>
            <m:r>
              <m:t>2</m:t>
            </m:r>
          </m:sub>
        </m:sSub>
        <m:r>
          <m:rPr>
            <m:sty m:val="p"/>
          </m:rPr>
          <m:t>=</m:t>
        </m:r>
        <m:f>
          <m:fPr>
            <m:type m:val="bar"/>
          </m:fPr>
          <m:num>
            <m:r>
              <m:rPr>
                <m:scr m:val="script"/>
                <m:sty m:val="p"/>
              </m:rPr>
              <m:t>A</m:t>
            </m:r>
          </m:num>
          <m:den>
            <m:r>
              <m:rPr>
                <m:sty m:val="p"/>
              </m:rPr>
              <m:t>(</m:t>
            </m:r>
            <m:r>
              <m:t>2</m:t>
            </m:r>
            <m:sSub>
              <m:e>
                <m:r>
                  <m:t>ℓ</m:t>
                </m:r>
              </m:e>
              <m:sub>
                <m:r>
                  <m:t>24</m:t>
                </m:r>
              </m:sub>
            </m:sSub>
            <m:sSup>
              <m:e>
                <m:r>
                  <m:rPr>
                    <m:sty m:val="p"/>
                  </m:rPr>
                  <m:t>)</m:t>
                </m:r>
              </m:e>
              <m:sup>
                <m:r>
                  <m:t>2</m:t>
                </m:r>
              </m:sup>
            </m:sSup>
          </m:den>
        </m:f>
      </m:oMath>
      <w:r>
        <w:tab/>
      </w:r>
      <w:r>
        <w:t>(B.10)</w:t>
      </w:r>
    </w:p>
    <w:p>
      <w:pPr>
        <w:pStyle w:val="BodyText"/>
      </w:pPr>
      <w:r>
        <w:rPr>
          <w:rFonts w:hint="eastAsia"/>
        </w:rPr>
        <w:t xml:space="preserve">である（領域を発電所で埋め尽くした場合の値で、発電所の数が少なければその数で決まる）。もう一つは容量加重の有効地点数で、帯域1では</w:t>
      </w:r>
      <w:r>
        <w:t xml:space="preserve"> </w:t>
      </w:r>
      <m:oMath>
        <m:sSub>
          <m:e>
            <m:r>
              <m:t>N</m:t>
            </m:r>
          </m:e>
          <m:sub>
            <m:r>
              <m:t>1</m:t>
            </m:r>
          </m:sub>
        </m:sSub>
        <m:r>
          <m:rPr>
            <m:sty m:val="p"/>
          </m:rPr>
          <m:t>=</m:t>
        </m:r>
        <m:r>
          <m:t>1</m:t>
        </m:r>
        <m:r>
          <m:rPr>
            <m:sty m:val="p"/>
          </m:rPr>
          <m:t>/</m:t>
        </m:r>
        <m:r>
          <m:rPr>
            <m:sty m:val="p"/>
          </m:rPr>
          <m:t>(</m:t>
        </m:r>
        <m:sSup>
          <m:e>
            <m:r>
              <m:rPr>
                <m:sty m:val="bi"/>
              </m:rPr>
              <m:t>u</m:t>
            </m:r>
          </m:e>
          <m:sup>
            <m:r>
              <m:rPr>
                <m:sty m:val="p"/>
              </m:rPr>
              <m:t>′</m:t>
            </m:r>
          </m:sup>
        </m:sSup>
        <m:sSub>
          <m:e>
            <m:r>
              <m:rPr>
                <m:sty m:val="b"/>
              </m:rPr>
              <m:t>Ω</m:t>
            </m:r>
          </m:e>
          <m:sub>
            <m:r>
              <m:t>1</m:t>
            </m:r>
          </m:sub>
        </m:sSub>
        <m:r>
          <m:rPr>
            <m:sty m:val="bi"/>
          </m:rPr>
          <m:t>u</m:t>
        </m:r>
        <m:r>
          <m:rPr>
            <m:sty m:val="p"/>
          </m:rPr>
          <m:t>)</m:t>
        </m:r>
      </m:oMath>
      <w:r>
        <w:t xml:space="preserve"> </w:t>
      </w:r>
      <w:r>
        <w:t xml:space="preserve">とする。</w:t>
      </w:r>
      <m:oMath>
        <m:r>
          <m:rPr>
            <m:sty m:val="bi"/>
          </m:rPr>
          <m:t>u</m:t>
        </m:r>
      </m:oMath>
      <w:r>
        <w:t xml:space="preserve"> </w:t>
      </w:r>
      <w:r>
        <w:rPr>
          <w:rFonts w:hint="eastAsia"/>
        </w:rPr>
        <w:t xml:space="preserve">は市町村別の容量の重みベクトル、</w:t>
      </w:r>
      <m:oMath>
        <m:sSub>
          <m:e>
            <m:r>
              <m:rPr>
                <m:sty m:val="b"/>
              </m:rPr>
              <m:t>Ω</m:t>
            </m:r>
          </m:e>
          <m:sub>
            <m:r>
              <m:t>1</m:t>
            </m:r>
          </m:sub>
        </m:sSub>
      </m:oMath>
      <w:r>
        <w:t xml:space="preserve"> </w:t>
      </w:r>
      <w:r>
        <w:rPr>
          <w:rFonts w:hint="eastAsia"/>
        </w:rPr>
        <w:t xml:space="preserve">は地点</w:t>
      </w:r>
      <w:r>
        <w:t xml:space="preserve"> </w:t>
      </w:r>
      <m:oMath>
        <m:r>
          <m:t>i</m:t>
        </m:r>
      </m:oMath>
      <w:r>
        <w:t xml:space="preserve">・</w:t>
      </w:r>
      <m:oMath>
        <m:r>
          <m:t>j</m:t>
        </m:r>
      </m:oMath>
      <w:r>
        <w:t xml:space="preserve"> </w:t>
      </w:r>
      <w:r>
        <w:rPr>
          <w:rFonts w:hint="eastAsia"/>
        </w:rPr>
        <w:t xml:space="preserve">の間の距離</w:t>
      </w:r>
      <w:r>
        <w:t xml:space="preserve"> </w:t>
      </w:r>
      <m:oMath>
        <m:sSub>
          <m:e>
            <m:r>
              <m:rPr>
                <m:sty m:val="p"/>
              </m:rPr>
              <m:t>d</m:t>
            </m:r>
            <m:r>
              <m:rPr>
                <m:sty m:val="p"/>
              </m:rPr>
              <m:t>i</m:t>
            </m:r>
            <m:r>
              <m:rPr>
                <m:sty m:val="p"/>
              </m:rPr>
              <m:t>s</m:t>
            </m:r>
            <m:r>
              <m:rPr>
                <m:sty m:val="p"/>
              </m:rPr>
              <m:t>t</m:t>
            </m:r>
          </m:e>
          <m:sub>
            <m:r>
              <m:t>i</m:t>
            </m:r>
            <m:r>
              <m:t>j</m:t>
            </m:r>
          </m:sub>
        </m:sSub>
      </m:oMath>
      <w:r>
        <w:t xml:space="preserve"> </w:t>
      </w:r>
      <w:r>
        <w:rPr>
          <w:rFonts w:hint="eastAsia"/>
        </w:rPr>
        <w:t xml:space="preserve">に指数相関</w:t>
      </w:r>
      <w:r>
        <w:t xml:space="preserve"> </w:t>
      </w:r>
      <m:oMath>
        <m:r>
          <m:rPr>
            <m:sty m:val="p"/>
          </m:rPr>
          <m:t>exp</m:t>
        </m:r>
        <m:r>
          <m:rPr>
            <m:sty m:val="p"/>
          </m:rPr>
          <m:t>(</m:t>
        </m:r>
        <m:r>
          <m:rPr>
            <m:sty m:val="p"/>
          </m:rPr>
          <m:t>−</m:t>
        </m:r>
        <m:sSub>
          <m:e>
            <m:r>
              <m:rPr>
                <m:sty m:val="p"/>
              </m:rPr>
              <m:t>d</m:t>
            </m:r>
            <m:r>
              <m:rPr>
                <m:sty m:val="p"/>
              </m:rPr>
              <m:t>i</m:t>
            </m:r>
            <m:r>
              <m:rPr>
                <m:sty m:val="p"/>
              </m:rPr>
              <m:t>s</m:t>
            </m:r>
            <m:r>
              <m:rPr>
                <m:sty m:val="p"/>
              </m:rPr>
              <m:t>t</m:t>
            </m:r>
          </m:e>
          <m:sub>
            <m:r>
              <m:t>i</m:t>
            </m:r>
            <m:r>
              <m:t>j</m:t>
            </m:r>
          </m:sub>
        </m:sSub>
        <m:r>
          <m:rPr>
            <m:sty m:val="p"/>
          </m:rPr>
          <m:t>/</m:t>
        </m:r>
        <m:sSub>
          <m:e>
            <m:r>
              <m:t>ℓ</m:t>
            </m:r>
          </m:e>
          <m:sub>
            <m:r>
              <m:t>6</m:t>
            </m:r>
          </m:sub>
        </m:sSub>
        <m:r>
          <m:rPr>
            <m:sty m:val="p"/>
          </m:rPr>
          <m:t>)</m:t>
        </m:r>
      </m:oMath>
      <w:r>
        <w:t xml:space="preserve"> </w:t>
      </w:r>
      <w:r>
        <w:rPr>
          <w:rFonts w:hint="eastAsia"/>
        </w:rPr>
        <w:t xml:space="preserve">を当てた相関行列であり、帯域2の</w:t>
      </w:r>
      <w:r>
        <w:t xml:space="preserve"> </w:t>
      </w:r>
      <m:oMath>
        <m:sSub>
          <m:e>
            <m:r>
              <m:t>N</m:t>
            </m:r>
          </m:e>
          <m:sub>
            <m:r>
              <m:t>2</m:t>
            </m:r>
          </m:sub>
        </m:sSub>
      </m:oMath>
      <w:r>
        <w:t xml:space="preserve"> </w:t>
      </w:r>
      <w:r>
        <w:t xml:space="preserve">は</w:t>
      </w:r>
      <w:r>
        <w:t xml:space="preserve"> </w:t>
      </w:r>
      <m:oMath>
        <m:sSub>
          <m:e>
            <m:r>
              <m:t>ℓ</m:t>
            </m:r>
          </m:e>
          <m:sub>
            <m:r>
              <m:t>24</m:t>
            </m:r>
          </m:sub>
        </m:sSub>
      </m:oMath>
      <w:r>
        <w:t xml:space="preserve"> </w:t>
      </w:r>
      <w:r>
        <w:rPr>
          <w:rFonts w:hint="eastAsia"/>
        </w:rPr>
        <w:t xml:space="preserve">を用いて同じように求める。二つの帯域を合わせて、日内分散比を</w:t>
      </w:r>
    </w:p>
    <w:p>
      <w:pPr>
        <w:pStyle w:val="BodyText"/>
        <w:tabs>
          <w:tab w:val="center" w:pos="4393"/>
          <w:tab w:val="right" w:pos="8787"/>
        </w:tabs>
        <w:spacing w:before="120" w:after="120" w:line="240" w:lineRule="auto"/>
        <w:ind w:firstLine="0"/>
      </w:pPr>
      <w:r>
        <w:tab/>
      </w:r>
      <m:oMath>
        <m:r>
          <m:rPr>
            <m:scr m:val="script"/>
            <m:sty m:val="p"/>
          </m:rPr>
          <m:t>V</m:t>
        </m:r>
        <m:r>
          <m:rPr>
            <m:sty m:val="p"/>
          </m:rPr>
          <m:t>=</m:t>
        </m:r>
        <m:f>
          <m:fPr>
            <m:type m:val="bar"/>
          </m:fPr>
          <m:num>
            <m:sSub>
              <m:e>
                <m:r>
                  <m:t>ϖ</m:t>
                </m:r>
              </m:e>
              <m:sub>
                <m:r>
                  <m:t>6</m:t>
                </m:r>
              </m:sub>
            </m:sSub>
            <m:sSub>
              <m:e>
                <m:r>
                  <m:t>N</m:t>
                </m:r>
              </m:e>
              <m:sub>
                <m:r>
                  <m:t>1</m:t>
                </m:r>
              </m:sub>
            </m:sSub>
            <m:r>
              <m:rPr>
                <m:sty m:val="p"/>
              </m:rPr>
              <m:t>+</m:t>
            </m:r>
            <m:sSub>
              <m:e>
                <m:r>
                  <m:t>ϖ</m:t>
                </m:r>
              </m:e>
              <m:sub>
                <m:r>
                  <m:t>24</m:t>
                </m:r>
              </m:sub>
            </m:sSub>
            <m:sSub>
              <m:e>
                <m:r>
                  <m:t>N</m:t>
                </m:r>
              </m:e>
              <m:sub>
                <m:r>
                  <m:t>2</m:t>
                </m:r>
              </m:sub>
            </m:sSub>
          </m:num>
          <m:den>
            <m:sSub>
              <m:e>
                <m:r>
                  <m:t>ϖ</m:t>
                </m:r>
              </m:e>
              <m:sub>
                <m:r>
                  <m:t>6</m:t>
                </m:r>
              </m:sub>
            </m:sSub>
            <m:r>
              <m:rPr>
                <m:sty m:val="p"/>
              </m:rPr>
              <m:t>+</m:t>
            </m:r>
            <m:sSub>
              <m:e>
                <m:r>
                  <m:t>ϖ</m:t>
                </m:r>
              </m:e>
              <m:sub>
                <m:r>
                  <m:t>24</m:t>
                </m:r>
              </m:sub>
            </m:sSub>
          </m:den>
        </m:f>
      </m:oMath>
      <w:r>
        <w:tab/>
      </w:r>
      <w:r>
        <w:t>(B.11)</w:t>
      </w:r>
    </w:p>
    <w:p>
      <w:pPr>
        <w:pStyle w:val="BodyText"/>
      </w:pPr>
      <w:r>
        <w:t xml:space="preserve">とする。</w:t>
      </w:r>
      <m:oMath>
        <m:sSub>
          <m:e>
            <m:r>
              <m:t>ϖ</m:t>
            </m:r>
          </m:e>
          <m:sub>
            <m:r>
              <m:t>6</m:t>
            </m:r>
          </m:sub>
        </m:sSub>
      </m:oMath>
      <w:r>
        <w:t xml:space="preserve">・</w:t>
      </w:r>
      <m:oMath>
        <m:sSub>
          <m:e>
            <m:r>
              <m:t>ϖ</m:t>
            </m:r>
          </m:e>
          <m:sub>
            <m:r>
              <m:t>24</m:t>
            </m:r>
          </m:sub>
        </m:sSub>
      </m:oMath>
      <w:r>
        <w:t xml:space="preserve"> </w:t>
      </w:r>
      <w:r>
        <w:rPr>
          <w:rFonts w:hint="eastAsia"/>
        </w:rPr>
        <w:t xml:space="preserve">は実フリートの6時間未満と6〜24時間の帯域の分散シェアである。下限は豪州型と容量加重、中央は豪州型と北海道全域（8.3万km²）、上限はカナダ型と北海道全域の組である（表C.4）。Malvaldi</w:t>
      </w:r>
      <w:r>
        <w:t xml:space="preserve"> et </w:t>
      </w:r>
      <w:r>
        <w:rPr>
          <w:rFonts w:hint="eastAsia"/>
        </w:rPr>
        <w:t xml:space="preserve">al.（2017）の国別出力と欧州10か国の集約の分散比（2.1〜6.5倍）は全帯域の値なので、日内帯域の校正には用いない。</w:t>
      </w:r>
    </w:p>
    <w:p>
      <w:pPr>
        <w:pStyle w:val="BodyText"/>
      </w:pPr>
      <w:r>
        <w:rPr>
          <w:rFonts w:hint="eastAsia"/>
          <w:b/>
          <w:bCs/>
        </w:rPr>
        <w:t xml:space="preserve">合成系列</w:t>
      </w:r>
      <w:r>
        <w:t xml:space="preserve">　</w:t>
      </w:r>
      <w:r>
        <w:rPr>
          <w:rFonts w:hint="eastAsia"/>
        </w:rPr>
        <w:t xml:space="preserve">設備利用率をロジット変換した系列を式(5.1)と同じカスケードで分解し、日内の2帯域の確率成分（季節×時刻の平均、すなわち系統的な日周を除いた部分）を同じ倍率で増幅する。そのうえで、各日のロジットの平行移動により日次エネルギーを実績に厳密に一致させる。出力は自然に0と設備容量の間に収まる。倍率は、合成系列で実現した日内分散比が校正値に一致するよう数値的に求める。</w:t>
      </w:r>
      <m:oMath>
        <m:r>
          <m:t>ℓ</m:t>
        </m:r>
      </m:oMath>
      <w:r>
        <w:t xml:space="preserve"> </w:t>
      </w:r>
      <w:r>
        <w:rPr>
          <w:rFonts w:hint="eastAsia"/>
        </w:rPr>
        <w:t xml:space="preserve">は日周を除いた確率成分の値なので、主の反実仮想は日周の成分を増幅せず、日内分散比も確率成分で測った比</w:t>
      </w:r>
      <w:r>
        <w:t xml:space="preserve"> </w:t>
      </w:r>
      <m:oMath>
        <m:sSup>
          <m:e>
            <m:r>
              <m:rPr>
                <m:scr m:val="script"/>
                <m:sty m:val="p"/>
              </m:rPr>
              <m:t>V</m:t>
            </m:r>
          </m:e>
          <m:sup>
            <m:r>
              <m:rPr>
                <m:sty m:val="p"/>
              </m:rPr>
              <m:t>n</m:t>
            </m:r>
            <m:r>
              <m:rPr>
                <m:sty m:val="p"/>
              </m:rPr>
              <m:t>s</m:t>
            </m:r>
          </m:sup>
        </m:sSup>
      </m:oMath>
      <w:r>
        <w:t xml:space="preserve"> </w:t>
      </w:r>
      <w:r>
        <w:rPr>
          <w:rFonts w:hint="eastAsia"/>
        </w:rPr>
        <w:t xml:space="preserve">に合わせる。日周の成分まで増幅した版（全成分）と、6時間未満と6〜24時間の帯域を校正の</w:t>
      </w:r>
      <w:r>
        <w:t xml:space="preserve"> </w:t>
      </w:r>
      <m:oMath>
        <m:r>
          <m:rPr>
            <m:sty m:val="p"/>
          </m:rPr>
          <m:t>(</m:t>
        </m:r>
        <m:sSub>
          <m:e>
            <m:r>
              <m:t>N</m:t>
            </m:r>
          </m:e>
          <m:sub>
            <m:r>
              <m:t>1</m:t>
            </m:r>
          </m:sub>
        </m:sSub>
        <m:r>
          <m:rPr>
            <m:sty m:val="p"/>
          </m:rPr>
          <m:t>,</m:t>
        </m:r>
        <m:sSub>
          <m:e>
            <m:r>
              <m:t>N</m:t>
            </m:r>
          </m:e>
          <m:sub>
            <m:r>
              <m:t>2</m:t>
            </m:r>
          </m:sub>
        </m:sSub>
        <m:r>
          <m:rPr>
            <m:sty m:val="p"/>
          </m:rPr>
          <m:t>)</m:t>
        </m:r>
      </m:oMath>
      <w:r>
        <w:t xml:space="preserve"> </w:t>
      </w:r>
      <w:r>
        <w:rPr>
          <w:rFonts w:hint="eastAsia"/>
        </w:rPr>
        <w:t xml:space="preserve">どおり別々に増幅した版を感応度とする。比較のため、日内帯域を加法で増やし、0と設備容量で打ち切ってから日次エネルギーに再スケールする作り方も示す。この作り方では、名目の倍率と実現する増幅が一致しない（表C.5）。</w:t>
      </w:r>
    </w:p>
    <w:p>
      <w:pPr>
        <w:pStyle w:val="BodyText"/>
      </w:pPr>
      <w:r>
        <w:rPr>
          <w:rFonts w:hint="eastAsia"/>
          <w:b/>
          <w:bCs/>
        </w:rPr>
        <w:t xml:space="preserve">日周の付与</w:t>
      </w:r>
      <w:r>
        <w:t xml:space="preserve">　</w:t>
      </w:r>
      <w:r>
        <w:rPr>
          <w:rFonts w:hint="eastAsia"/>
        </w:rPr>
        <w:t xml:space="preserve">実フリートの出力</w:t>
      </w:r>
      <w:r>
        <w:t xml:space="preserve"> </w:t>
      </w:r>
      <m:oMath>
        <m:sSub>
          <m:e>
            <m:r>
              <m:t>x</m:t>
            </m:r>
          </m:e>
          <m:sub>
            <m:r>
              <m:t>h</m:t>
            </m:r>
          </m:sub>
        </m:sSub>
      </m:oMath>
      <w:r>
        <w:rPr>
          <w:rFonts w:hint="eastAsia"/>
        </w:rPr>
        <w:t xml:space="preserve">（</w:t>
      </w:r>
      <m:oMath>
        <m:r>
          <m:t>h</m:t>
        </m:r>
      </m:oMath>
      <w:r>
        <w:t xml:space="preserve"> </w:t>
      </w:r>
      <w:r>
        <w:rPr>
          <w:rFonts w:hint="eastAsia"/>
        </w:rPr>
        <w:t xml:space="preserve">は時刻）に</w:t>
      </w:r>
      <w:r>
        <w:t xml:space="preserve"> </w:t>
      </w:r>
      <m:oMath>
        <m:sSub>
          <m:e>
            <m:r>
              <m:t>x</m:t>
            </m:r>
          </m:e>
          <m:sub>
            <m:r>
              <m:t>h</m:t>
            </m:r>
          </m:sub>
        </m:sSub>
        <m:r>
          <m:rPr>
            <m:sty m:val="p"/>
          </m:rPr>
          <m:t>{</m:t>
        </m:r>
        <m:r>
          <m:t>1</m:t>
        </m:r>
        <m:r>
          <m:rPr>
            <m:sty m:val="p"/>
          </m:rPr>
          <m:t>+</m:t>
        </m:r>
        <m:r>
          <m:t>ζ</m:t>
        </m:r>
        <m:r>
          <m:rPr>
            <m:sty m:val="p"/>
          </m:rPr>
          <m:t>cos</m:t>
        </m:r>
        <m:r>
          <m:rPr>
            <m:sty m:val="p"/>
          </m:rPr>
          <m:t>(</m:t>
        </m:r>
        <m:r>
          <m:t>2</m:t>
        </m:r>
        <m:r>
          <m:t>π</m:t>
        </m:r>
        <m:r>
          <m:rPr>
            <m:sty m:val="p"/>
          </m:rPr>
          <m:t>(</m:t>
        </m:r>
        <m:r>
          <m:t>h</m:t>
        </m:r>
        <m:r>
          <m:rPr>
            <m:sty m:val="p"/>
          </m:rPr>
          <m:t>−</m:t>
        </m:r>
        <m:sSub>
          <m:e>
            <m:r>
              <m:t>h</m:t>
            </m:r>
          </m:e>
          <m:sub>
            <m:r>
              <m:t>0</m:t>
            </m:r>
          </m:sub>
        </m:sSub>
        <m:r>
          <m:rPr>
            <m:sty m:val="p"/>
          </m:rPr>
          <m:t>)</m:t>
        </m:r>
        <m:r>
          <m:rPr>
            <m:sty m:val="p"/>
          </m:rPr>
          <m:t>/</m:t>
        </m:r>
        <m:r>
          <m:t>24</m:t>
        </m:r>
        <m:r>
          <m:rPr>
            <m:sty m:val="p"/>
          </m:rPr>
          <m:t>)</m:t>
        </m:r>
        <m:r>
          <m:rPr>
            <m:sty m:val="p"/>
          </m:rPr>
          <m:t>}</m:t>
        </m:r>
      </m:oMath>
      <w:r>
        <w:t xml:space="preserve"> </w:t>
      </w:r>
      <w:r>
        <w:rPr>
          <w:rFonts w:hint="eastAsia"/>
        </w:rPr>
        <w:t xml:space="preserve">の日周を付与する。</w:t>
      </w:r>
      <m:oMath>
        <m:r>
          <m:t>ζ</m:t>
        </m:r>
      </m:oMath>
      <w:r>
        <w:t xml:space="preserve"> </w:t>
      </w:r>
      <w:r>
        <w:rPr>
          <w:rFonts w:hint="eastAsia"/>
        </w:rPr>
        <w:t xml:space="preserve">は振幅、</w:t>
      </w:r>
      <m:oMath>
        <m:sSub>
          <m:e>
            <m:r>
              <m:t>h</m:t>
            </m:r>
          </m:e>
          <m:sub>
            <m:r>
              <m:t>0</m:t>
            </m:r>
          </m:sub>
        </m:sSub>
      </m:oMath>
      <w:r>
        <w:t xml:space="preserve"> </w:t>
      </w:r>
      <w:r>
        <w:rPr>
          <w:rFonts w:hint="eastAsia"/>
        </w:rPr>
        <w:t xml:space="preserve">はピーク時刻である。0と設備容量での打ち切りと日次エネルギーへの再スケールを3回くり返し、日次エネルギーの誤差は最大1%に収まる。結果は、実現した日内分散比をそろえた一様な増幅と比べる。</w:t>
      </w:r>
    </w:p>
    <w:p>
      <w:pPr>
        <w:pStyle w:val="BodyText"/>
      </w:pPr>
      <w:r>
        <w:rPr>
          <w:rFonts w:hint="eastAsia"/>
          <w:b/>
          <w:bCs/>
        </w:rPr>
        <w:t xml:space="preserve">感応度の検証と補正</w:t>
      </w:r>
      <w:r>
        <w:t xml:space="preserve">　</w:t>
      </w:r>
      <w:r>
        <w:rPr>
          <w:rFonts w:hint="eastAsia"/>
        </w:rPr>
        <w:t xml:space="preserve">反実仮想はモデル価格の上の比較なので、風力の日次発電量に対する</w:t>
      </w:r>
      <w:r>
        <w:t xml:space="preserve"> TB4h </w:t>
      </w:r>
      <w:r>
        <w:rPr>
          <w:rFonts w:hint="eastAsia"/>
        </w:rPr>
        <w:t xml:space="preserve">の係数と、風力の日内変動（日内帯域の日次標準偏差、GW）に対する</w:t>
      </w:r>
      <w:r>
        <w:t xml:space="preserve"> TB4h </w:t>
      </w:r>
      <w:r>
        <w:rPr>
          <w:rFonts w:hint="eastAsia"/>
        </w:rPr>
        <w:t xml:space="preserve">の感応度を、実績とモデルで比べる（差の</w:t>
      </w:r>
      <w:r>
        <w:t xml:space="preserve"> EWC </w:t>
      </w:r>
      <w:r>
        <w:rPr>
          <w:rFonts w:hint="eastAsia"/>
        </w:rPr>
        <w:t xml:space="preserve">検定）。夏の感応度の比（実績÷モデル）でモデルの夏の完全予見粗利の増分を補正した値を参考値とする。比の95%区間は、実績の係数の誤差だけを考える区間と、実績とモデルの係数の同時の</w:t>
      </w:r>
      <w:r>
        <w:t xml:space="preserve"> EWC </w:t>
      </w:r>
      <w:r>
        <w:rPr>
          <w:rFonts w:hint="eastAsia"/>
        </w:rPr>
        <w:t xml:space="preserve">共分散による</w:t>
      </w:r>
      <w:r>
        <w:t xml:space="preserve"> Fieller </w:t>
      </w:r>
      <w:r>
        <w:rPr>
          <w:rFonts w:hint="eastAsia"/>
        </w:rPr>
        <w:t xml:space="preserve">型の区間の2通りで示す。この補正は、感応度の比が一定で、完全予見粗利の増分が比に比例するという仮定に立つ概算である。</w:t>
      </w:r>
    </w:p>
    <w:bookmarkEnd w:id="325"/>
    <w:bookmarkStart w:id="326" w:name="b.2.6-主成分分解の符号と検定"/>
    <w:p>
      <w:pPr>
        <w:pStyle w:val="Heading3"/>
      </w:pPr>
      <w:r>
        <w:t xml:space="preserve">B.2.6　</w:t>
      </w:r>
      <w:r>
        <w:rPr>
          <w:rFonts w:hint="eastAsia"/>
        </w:rPr>
        <w:t xml:space="preserve">主成分分解の符号と検定</w:t>
      </w:r>
    </w:p>
    <w:p>
      <w:pPr>
        <w:pStyle w:val="FirstParagraph"/>
      </w:pPr>
      <w:r>
        <w:rPr>
          <w:rFonts w:hint="eastAsia"/>
          <w:b/>
          <w:bCs/>
        </w:rPr>
        <w:t xml:space="preserve">符号と推定の単位</w:t>
      </w:r>
      <w:r>
        <w:t xml:space="preserve">　</w:t>
      </w:r>
      <w:r>
        <w:rPr>
          <w:rFonts w:hint="eastAsia"/>
        </w:rPr>
        <w:t xml:space="preserve">負荷</w:t>
      </w:r>
      <w:r>
        <w:t xml:space="preserve"> </w:t>
      </w:r>
      <m:oMath>
        <m:sSub>
          <m:e>
            <m:r>
              <m:t>v</m:t>
            </m:r>
          </m:e>
          <m:sub>
            <m:r>
              <m:t>k</m:t>
            </m:r>
          </m:sub>
        </m:sSub>
      </m:oMath>
      <w:r>
        <w:t xml:space="preserve"> </w:t>
      </w:r>
      <w:r>
        <w:rPr>
          <w:rFonts w:hint="eastAsia"/>
        </w:rPr>
        <w:t xml:space="preserve">は24次元の単位ベクトルで、第1主成分は平均負荷が正、第2主成分は夕方（17〜19時）の負荷が昼（11〜13時）より大きい向き、第3主成分は夜（0〜5時）の負荷が正の向きに符号をそろえる。推定は全期間（FY2016〜25、北海道3,632日）、季節別、FY2023〜25、年度別に行い、日次変化（前日との差）の分解を頑健性として併記する。発電量の効果は、発電量の年度内の偏差の1標準偏差あたりでも示す。第2主成分の負荷の和は0でないので、全時刻一様の値下がりでもスコアが動く。そこで一様な値下がりの寄与を除くため、平均を0にした負荷</w:t>
      </w:r>
      <w:r>
        <w:t xml:space="preserve"> </w:t>
      </w:r>
      <m:oMath>
        <m:r>
          <m:rPr>
            <m:sty m:val="p"/>
          </m:rPr>
          <m:t>(</m:t>
        </m:r>
        <m:sSub>
          <m:e>
            <m:r>
              <m:t>v</m:t>
            </m:r>
          </m:e>
          <m:sub>
            <m:r>
              <m:t>2</m:t>
            </m:r>
          </m:sub>
        </m:sSub>
        <m:r>
          <m:rPr>
            <m:sty m:val="p"/>
          </m:rPr>
          <m:t>−</m:t>
        </m:r>
        <m:sSub>
          <m:e>
            <m:acc>
              <m:accPr>
                <m:chr m:val="‾"/>
              </m:accPr>
              <m:e>
                <m:r>
                  <m:t>v</m:t>
                </m:r>
              </m:e>
            </m:acc>
          </m:e>
          <m:sub>
            <m:r>
              <m:t>2</m:t>
            </m:r>
          </m:sub>
        </m:sSub>
        <m:sSup>
          <m:e>
            <m:r>
              <m:rPr>
                <m:sty m:val="p"/>
              </m:rPr>
              <m:t>)</m:t>
            </m:r>
          </m:e>
          <m:sup>
            <m:r>
              <m:rPr>
                <m:sty m:val="p"/>
              </m:rPr>
              <m:t>′</m:t>
            </m:r>
          </m:sup>
        </m:sSup>
        <m:sSub>
          <m:e>
            <m:r>
              <m:t>p</m:t>
            </m:r>
          </m:e>
          <m:sub>
            <m:r>
              <m:t>d</m:t>
            </m:r>
          </m:sub>
        </m:sSub>
      </m:oMath>
      <w:r>
        <w:t xml:space="preserve"> </w:t>
      </w:r>
      <w:r>
        <w:rPr>
          <w:rFonts w:hint="eastAsia"/>
        </w:rPr>
        <w:t xml:space="preserve">による非一様な部分でも効果を示す。</w:t>
      </w:r>
    </w:p>
    <w:p>
      <w:pPr>
        <w:pStyle w:val="BodyText"/>
      </w:pPr>
      <w:r>
        <w:rPr>
          <w:rFonts w:hint="eastAsia"/>
          <w:b/>
          <w:bCs/>
        </w:rPr>
        <w:t xml:space="preserve">形の検定</w:t>
      </w:r>
      <w:r>
        <w:t xml:space="preserve">　</w:t>
      </w:r>
      <w:r>
        <w:rPr>
          <w:rFonts w:hint="eastAsia"/>
        </w:rPr>
        <w:t xml:space="preserve">時刻別係数ベクトル</w:t>
      </w:r>
      <w:r>
        <w:t xml:space="preserve"> </w:t>
      </w:r>
      <m:oMath>
        <m:r>
          <m:t>b</m:t>
        </m:r>
      </m:oMath>
      <w:r>
        <w:t xml:space="preserve"> </w:t>
      </w:r>
      <w:r>
        <w:rPr>
          <w:rFonts w:hint="eastAsia"/>
        </w:rPr>
        <w:t xml:space="preserve">について、平行シフト</w:t>
      </w:r>
      <w:r>
        <w:t xml:space="preserve"> </w:t>
      </w:r>
      <m:oMath>
        <m:sSub>
          <m:e>
            <m:r>
              <m:t>H</m:t>
            </m:r>
          </m:e>
          <m:sub>
            <m:r>
              <m:t>0</m:t>
            </m:r>
          </m:sub>
        </m:sSub>
        <m:r>
          <m:rPr>
            <m:sty m:val="p"/>
          </m:rPr>
          <m:t>:</m:t>
        </m:r>
        <m:sSub>
          <m:e>
            <m:r>
              <m:t>b</m:t>
            </m:r>
          </m:e>
          <m:sub>
            <m:r>
              <m:t>0</m:t>
            </m:r>
          </m:sub>
        </m:sSub>
        <m:r>
          <m:rPr>
            <m:sty m:val="p"/>
          </m:rPr>
          <m:t>=</m:t>
        </m:r>
        <m:r>
          <m:rPr>
            <m:sty m:val="p"/>
          </m:rPr>
          <m:t>⋯</m:t>
        </m:r>
        <m:r>
          <m:rPr>
            <m:sty m:val="p"/>
          </m:rPr>
          <m:t>=</m:t>
        </m:r>
        <m:sSub>
          <m:e>
            <m:r>
              <m:t>b</m:t>
            </m:r>
          </m:e>
          <m:sub>
            <m:r>
              <m:t>23</m:t>
            </m:r>
          </m:sub>
        </m:sSub>
      </m:oMath>
      <w:r>
        <w:t xml:space="preserve"> </w:t>
      </w:r>
      <w:r>
        <w:rPr>
          <w:rFonts w:hint="eastAsia"/>
        </w:rPr>
        <w:t xml:space="preserve">と比例シフト</w:t>
      </w:r>
      <w:r>
        <w:t xml:space="preserve"> </w:t>
      </w:r>
      <m:oMath>
        <m:sSub>
          <m:e>
            <m:r>
              <m:t>H</m:t>
            </m:r>
          </m:e>
          <m:sub>
            <m:r>
              <m:t>0</m:t>
            </m:r>
          </m:sub>
        </m:sSub>
        <m:r>
          <m:rPr>
            <m:sty m:val="p"/>
          </m:rPr>
          <m:t>:</m:t>
        </m:r>
        <m:r>
          <m:t>b</m:t>
        </m:r>
        <m:r>
          <m:rPr>
            <m:sty m:val="p"/>
          </m:rPr>
          <m:t>=</m:t>
        </m:r>
        <m:r>
          <m:t>𝜍</m:t>
        </m:r>
        <m:r>
          <m:t> </m:t>
        </m:r>
        <m:sSup>
          <m:e>
            <m:acc>
              <m:accPr>
                <m:chr m:val="‾"/>
              </m:accPr>
              <m:e>
                <m:r>
                  <m:t>p</m:t>
                </m:r>
              </m:e>
            </m:acc>
          </m:e>
          <m:sup>
            <m:r>
              <m:rPr>
                <m:sty m:val="p"/>
              </m:rPr>
              <m:t>(</m:t>
            </m:r>
            <m:r>
              <m:t>s</m:t>
            </m:r>
            <m:r>
              <m:rPr>
                <m:sty m:val="p"/>
              </m:rPr>
              <m:t>)</m:t>
            </m:r>
          </m:sup>
        </m:sSup>
      </m:oMath>
      <w:r>
        <w:rPr>
          <w:rFonts w:hint="eastAsia"/>
        </w:rPr>
        <w:t xml:space="preserve">（</w:t>
      </w:r>
      <m:oMath>
        <m:sSup>
          <m:e>
            <m:acc>
              <m:accPr>
                <m:chr m:val="‾"/>
              </m:accPr>
              <m:e>
                <m:r>
                  <m:t>p</m:t>
                </m:r>
              </m:e>
            </m:acc>
          </m:e>
          <m:sup>
            <m:r>
              <m:rPr>
                <m:sty m:val="p"/>
              </m:rPr>
              <m:t>(</m:t>
            </m:r>
            <m:r>
              <m:t>s</m:t>
            </m:r>
            <m:r>
              <m:rPr>
                <m:sty m:val="p"/>
              </m:rPr>
              <m:t>)</m:t>
            </m:r>
          </m:sup>
        </m:sSup>
      </m:oMath>
      <w:r>
        <w:t xml:space="preserve"> </w:t>
      </w:r>
      <w:r>
        <w:rPr>
          <w:rFonts w:hint="eastAsia"/>
        </w:rPr>
        <w:t xml:space="preserve">は季節</w:t>
      </w:r>
      <w:r>
        <w:t xml:space="preserve"> </w:t>
      </w:r>
      <m:oMath>
        <m:r>
          <m:t>s</m:t>
        </m:r>
      </m:oMath>
      <w:r>
        <w:t xml:space="preserve"> </w:t>
      </w:r>
      <w:r>
        <w:rPr>
          <w:rFonts w:hint="eastAsia"/>
        </w:rPr>
        <w:t xml:space="preserve">の平均価格プロファイル、</w:t>
      </w:r>
      <m:oMath>
        <m:r>
          <m:t>𝜍</m:t>
        </m:r>
      </m:oMath>
      <w:r>
        <w:t xml:space="preserve"> </w:t>
      </w:r>
      <w:r>
        <w:rPr>
          <w:rFonts w:hint="eastAsia"/>
        </w:rPr>
        <w:t xml:space="preserve">は比例の係数）を検定する。時刻間の残差相関と日次の系列相関を両方考慮した多式の</w:t>
      </w:r>
      <w:r>
        <w:t xml:space="preserve"> EWC </w:t>
      </w:r>
      <w:r>
        <w:rPr>
          <w:rFonts w:hint="eastAsia"/>
        </w:rPr>
        <w:t xml:space="preserve">共分散で</w:t>
      </w:r>
      <w:r>
        <w:t xml:space="preserve"> Wald </w:t>
      </w:r>
      <w:r>
        <w:rPr>
          <w:rFonts w:hint="eastAsia"/>
        </w:rPr>
        <w:t xml:space="preserve">統計量を作り、Lazarus</w:t>
      </w:r>
      <w:r>
        <w:t xml:space="preserve"> et </w:t>
      </w:r>
      <w:r>
        <w:rPr>
          <w:rFonts w:hint="eastAsia"/>
        </w:rPr>
        <w:t xml:space="preserve">al.（2018）の</w:t>
      </w:r>
      <w:r>
        <w:t xml:space="preserve"> F </w:t>
      </w:r>
      <w:r>
        <w:rPr>
          <w:rFonts w:hint="eastAsia"/>
        </w:rPr>
        <w:t xml:space="preserve">補正で</w:t>
      </w:r>
      <w:r>
        <w:t xml:space="preserve"> p </w:t>
      </w:r>
      <w:r>
        <w:rPr>
          <w:rFonts w:hint="eastAsia"/>
        </w:rPr>
        <w:t xml:space="preserve">値を求める（5制約の検定では</w:t>
      </w:r>
      <w:r>
        <w:t xml:space="preserve"> </w:t>
      </w:r>
      <m:oMath>
        <m:r>
          <m:t>F</m:t>
        </m:r>
        <m:r>
          <m:rPr>
            <m:sty m:val="p"/>
          </m:rPr>
          <m:t>(</m:t>
        </m:r>
        <m:r>
          <m:t>5</m:t>
        </m:r>
        <m:r>
          <m:rPr>
            <m:sty m:val="p"/>
          </m:rPr>
          <m:t>,</m:t>
        </m:r>
        <m:r>
          <m:t>ν</m:t>
        </m:r>
        <m:r>
          <m:rPr>
            <m:sty m:val="p"/>
          </m:rPr>
          <m:t>−</m:t>
        </m:r>
        <m:r>
          <m:t>4</m:t>
        </m:r>
        <m:r>
          <m:rPr>
            <m:sty m:val="p"/>
          </m:rPr>
          <m:t>)</m:t>
        </m:r>
      </m:oMath>
      <w:r>
        <w:rPr>
          <w:rFonts w:hint="eastAsia"/>
        </w:rPr>
        <w:t xml:space="preserve">）。24次元の共分散は日数に比べて推定誤差が大きいので、4時間ブロックの平均6本に縮約した検定（5制約）と、14日の移動ブロック・ブートストラップ（Künsch,</w:t>
      </w:r>
      <w:r>
        <w:t xml:space="preserve"> </w:t>
      </w:r>
      <w:r>
        <w:rPr>
          <w:rFonts w:hint="eastAsia"/>
        </w:rPr>
        <w:t xml:space="preserve">1989。299回）による</w:t>
      </w:r>
      <w:r>
        <w:t xml:space="preserve"> p </w:t>
      </w:r>
      <w:r>
        <w:rPr>
          <w:rFonts w:hint="eastAsia"/>
        </w:rPr>
        <w:t xml:space="preserve">値を主に報告し、23制約の検定は参考にとどめる（FY2023〜25</w:t>
      </w:r>
      <w:r>
        <w:t xml:space="preserve"> の</w:t>
      </w:r>
      <w:r>
        <w:t xml:space="preserve"> </w:t>
      </w:r>
      <m:oMath>
        <m:r>
          <m:t>ν</m:t>
        </m:r>
        <m:r>
          <m:rPr>
            <m:sty m:val="p"/>
          </m:rPr>
          <m:t>=</m:t>
        </m:r>
        <m:r>
          <m:t>42</m:t>
        </m:r>
      </m:oMath>
      <w:r>
        <w:t xml:space="preserve"> </w:t>
      </w:r>
      <w:r>
        <w:rPr>
          <w:rFonts w:hint="eastAsia"/>
        </w:rPr>
        <w:t xml:space="preserve">では用いない）。形状の大きさは、時刻別係数の変動係数と、夕方−昼・夕方−夜のコントラストで測る。因子回帰・コントラスト・時刻別回帰の標準誤差は付録B.2.1</w:t>
      </w:r>
      <w:r>
        <w:t xml:space="preserve"> </w:t>
      </w:r>
      <w:r>
        <w:rPr>
          <w:rFonts w:hint="eastAsia"/>
        </w:rPr>
        <w:t xml:space="preserve">と同じ</w:t>
      </w:r>
      <w:r>
        <w:t xml:space="preserve"> EWC </w:t>
      </w:r>
      <w:r>
        <w:rPr>
          <w:rFonts w:hint="eastAsia"/>
        </w:rPr>
        <w:t xml:space="preserve">により、境界の係数は付録B.2.2</w:t>
      </w:r>
      <w:r>
        <w:t xml:space="preserve"> のふるいブートストラップの p </w:t>
      </w:r>
      <w:r>
        <w:rPr>
          <w:rFonts w:hint="eastAsia"/>
        </w:rPr>
        <w:t xml:space="preserve">値で確かめる。</w:t>
      </w:r>
    </w:p>
    <w:p>
      <w:pPr>
        <w:pStyle w:val="BodyText"/>
      </w:pPr>
      <w:r>
        <w:rPr>
          <w:b/>
          <w:bCs/>
        </w:rPr>
        <w:t xml:space="preserve">TB4h </w:t>
      </w:r>
      <w:r>
        <w:rPr>
          <w:rFonts w:hint="eastAsia"/>
          <w:b/>
          <w:bCs/>
        </w:rPr>
        <w:t xml:space="preserve">の経路分解</w:t>
      </w:r>
      <w:r>
        <w:t xml:space="preserve">　TB4h </w:t>
      </w:r>
      <w:r>
        <w:rPr>
          <w:rFonts w:hint="eastAsia"/>
        </w:rPr>
        <w:t xml:space="preserve">の係数を、第1主成分を経由する部分、第2〜第5主成分を経由する部分、残差（第6主成分以下を通る線形の経路と、上位・下位4時間の並べ替え・休止による非線形性の合計）に分ける。各経路は、TB4h</w:t>
      </w:r>
      <w:r>
        <w:t xml:space="preserve"> </w:t>
      </w:r>
      <w:r>
        <w:rPr>
          <w:rFonts w:hint="eastAsia"/>
        </w:rPr>
        <w:t xml:space="preserve">を因子スコアに回帰した係数と、因子スコアを式(5.2)の右辺に回帰した係数の積であり、欠落変数の公式によりこの分解は標本内で厳密に成り立つ。</w:t>
      </w:r>
    </w:p>
    <w:bookmarkEnd w:id="326"/>
    <w:bookmarkEnd w:id="327"/>
    <w:bookmarkStart w:id="336" w:name="b.3-スポット裁定価値の推定と導出第6章"/>
    <w:p>
      <w:pPr>
        <w:pStyle w:val="Heading2"/>
      </w:pPr>
      <w:r>
        <w:t xml:space="preserve">B.3　</w:t>
      </w:r>
      <w:r>
        <w:rPr>
          <w:rFonts w:hint="eastAsia"/>
        </w:rPr>
        <w:t xml:space="preserve">スポット裁定価値の推定と導出（第6章）</w:t>
      </w:r>
    </w:p>
    <w:p>
      <w:pPr>
        <w:pStyle w:val="FirstParagraph"/>
      </w:pPr>
      <w:r>
        <w:rPr>
          <w:rFonts w:hint="eastAsia"/>
        </w:rPr>
        <w:t xml:space="preserve">本節は、第6章の方法（6.1節）のうち、本文で要点だけを述べた実装と導出をまとめる。記号は式(4.1)・式(4.2)と式(6.1)・式(6.2)と同じである。価格の加法的な変化への応答は付録B.1.1</w:t>
      </w:r>
      <w:r>
        <w:t xml:space="preserve"> </w:t>
      </w:r>
      <w:r>
        <w:rPr>
          <w:rFonts w:hint="eastAsia"/>
        </w:rPr>
        <w:t xml:space="preserve">に示した。</w:t>
      </w:r>
    </w:p>
    <w:bookmarkStart w:id="328" w:name="b.3.1-実行可能戦略の実装"/>
    <w:p>
      <w:pPr>
        <w:pStyle w:val="Heading3"/>
      </w:pPr>
      <w:r>
        <w:t xml:space="preserve">B.3.1　</w:t>
      </w:r>
      <w:r>
        <w:rPr>
          <w:rFonts w:hint="eastAsia"/>
        </w:rPr>
        <w:t xml:space="preserve">実行可能戦略の実装</w:t>
      </w:r>
    </w:p>
    <w:p>
      <w:pPr>
        <w:pStyle w:val="FirstParagraph"/>
      </w:pPr>
      <w:r>
        <w:rPr>
          <w:rFonts w:hint="eastAsia"/>
        </w:rPr>
        <w:t xml:space="preserve">戦略</w:t>
      </w:r>
      <w:r>
        <w:t xml:space="preserve"> c </w:t>
      </w:r>
      <w:r>
        <w:rPr>
          <w:rFonts w:hint="eastAsia"/>
        </w:rPr>
        <w:t xml:space="preserve">の平均価格カーブは、当日より前で24時間の価格がそろう直近29日（D−29〜D−1）のうち、同じ曜日区分の日の時刻別平均である。本文の「過去28日」はこの窓の概数である。同じ区分の日が5日未満になる日（系列の冒頭）は評価しない。このため</w:t>
      </w:r>
      <w:r>
        <w:t xml:space="preserve"> FY2016 </w:t>
      </w:r>
      <w:r>
        <w:rPr>
          <w:rFonts w:hint="eastAsia"/>
        </w:rPr>
        <w:t xml:space="preserve">の戦略</w:t>
      </w:r>
      <w:r>
        <w:t xml:space="preserve"> c </w:t>
      </w:r>
      <w:r>
        <w:rPr>
          <w:rFonts w:hint="eastAsia"/>
        </w:rPr>
        <w:t xml:space="preserve">は、冒頭の10日を除く355日で評価する。戦略</w:t>
      </w:r>
      <w:r>
        <w:t xml:space="preserve"> b </w:t>
      </w:r>
      <w:r>
        <w:rPr>
          <w:rFonts w:hint="eastAsia"/>
        </w:rPr>
        <w:t xml:space="preserve">の需要の予測は</w:t>
      </w:r>
      <w:r>
        <w:t xml:space="preserve"> D−29〜D−2 </w:t>
      </w:r>
      <w:r>
        <w:rPr>
          <w:rFonts w:hint="eastAsia"/>
        </w:rPr>
        <w:t xml:space="preserve">の28日のうち同じ曜日区分の日の平均、太陽光の予測は</w:t>
      </w:r>
      <w:r>
        <w:t xml:space="preserve"> D−8〜D−2 </w:t>
      </w:r>
      <w:r>
        <w:rPr>
          <w:rFonts w:hint="eastAsia"/>
        </w:rPr>
        <w:t xml:space="preserve">の7日の平均であり、残余需要は需要の予測から太陽光の予測を引いた値である。b′</w:t>
      </w:r>
      <w:r>
        <w:t xml:space="preserve"> は、b </w:t>
      </w:r>
      <w:r>
        <w:rPr>
          <w:rFonts w:hint="eastAsia"/>
        </w:rPr>
        <w:t xml:space="preserve">の残余需要からさらに風力の直近7日（D−8〜D−2）の平均を控除した信号を使う。a2</w:t>
      </w:r>
      <w:r>
        <w:t xml:space="preserve"> </w:t>
      </w:r>
      <w:r>
        <w:rPr>
          <w:rFonts w:hint="eastAsia"/>
        </w:rPr>
        <w:t xml:space="preserve">は、同じ曜日区分の直近日の実現価格のランクを使う。曜日区分は、いずれも平日と土日の2区分で、国民の祝日は平日として扱う。</w:t>
      </w:r>
    </w:p>
    <w:p>
      <w:pPr>
        <w:pStyle w:val="BodyText"/>
      </w:pPr>
      <w:r>
        <w:rPr>
          <w:rFonts w:hint="eastAsia"/>
        </w:rPr>
        <w:t xml:space="preserve">ランクに使う信号の4位と5位（または20位と21位）が同値の日は、同値の時間帯に充放電量を均等に配分する。これは同値から無作為に選ぶ場合の期待値に等しく、出力と容量の制約も満たす。同値は前日の実現価格を使う</w:t>
      </w:r>
      <w:r>
        <w:t xml:space="preserve"> a・a2 で、FY2023〜25 </w:t>
      </w:r>
      <w:r>
        <w:rPr>
          <w:rFonts w:hint="eastAsia"/>
        </w:rPr>
        <w:t xml:space="preserve">の1,096日中219日に生じる（充電側136日）。このうち61日は、信号の日に下限価格0.01円/kWh</w:t>
      </w:r>
      <w:r>
        <w:t xml:space="preserve"> </w:t>
      </w:r>
      <w:r>
        <w:rPr>
          <w:rFonts w:hint="eastAsia"/>
        </w:rPr>
        <w:t xml:space="preserve">の時間が5時間以上並ぶ日である。b′</w:t>
      </w:r>
      <w:r>
        <w:t xml:space="preserve"> </w:t>
      </w:r>
      <w:r>
        <w:rPr>
          <w:rFonts w:hint="eastAsia"/>
        </w:rPr>
        <w:t xml:space="preserve">の信号は1日だけ同値をもち、b・c・動的因子予測・AR</w:t>
      </w:r>
      <w:r>
        <w:t xml:space="preserve"> </w:t>
      </w:r>
      <w:r>
        <w:rPr>
          <w:rFonts w:hint="eastAsia"/>
        </w:rPr>
        <w:t xml:space="preserve">の信号には同値がない。</w:t>
      </w:r>
    </w:p>
    <w:bookmarkEnd w:id="328"/>
    <w:bookmarkStart w:id="329" w:name="b.3.2-充放電の順序を課した厳密解"/>
    <w:p>
      <w:pPr>
        <w:pStyle w:val="Heading3"/>
      </w:pPr>
      <w:r>
        <w:t xml:space="preserve">B.3.2　</w:t>
      </w:r>
      <w:r>
        <w:rPr>
          <w:rFonts w:hint="eastAsia"/>
        </w:rPr>
        <w:t xml:space="preserve">充放電の順序を課した厳密解</w:t>
      </w:r>
    </w:p>
    <w:p>
      <w:pPr>
        <w:pStyle w:val="FirstParagraph"/>
      </w:pPr>
      <w:r>
        <w:rPr>
          <w:rFonts w:hint="eastAsia"/>
        </w:rPr>
        <w:t xml:space="preserve">ランク法は、充電してから放電する順序を課さない。順序の影響を確かめるため、0時に空の状態から始め、4時間充電してから4時間放電する（または休止する）順序を課した厳密解を、動的計画で求めた。充放電は4時間ずつか休止に限り、部分サイクルと日をまたぐ持ち越しは扱わない。順序を課すと、完全予見のランク法の窓は</w:t>
      </w:r>
      <w:r>
        <w:t xml:space="preserve"> FY2023〜25 </w:t>
      </w:r>
      <w:r>
        <w:rPr>
          <w:rFonts w:hint="eastAsia"/>
        </w:rPr>
        <w:t xml:space="preserve">の28%の日（FY2016〜25</w:t>
      </w:r>
      <w:r>
        <w:t xml:space="preserve"> </w:t>
      </w:r>
      <w:r>
        <w:rPr>
          <w:rFonts w:hint="eastAsia"/>
        </w:rPr>
        <w:t xml:space="preserve">の平均で22.5%）に、戦略</w:t>
      </w:r>
      <w:r>
        <w:t xml:space="preserve"> c </w:t>
      </w:r>
      <w:r>
        <w:rPr>
          <w:rFonts w:hint="eastAsia"/>
        </w:rPr>
        <w:t xml:space="preserve">の窓は12%の日に実行できなくなる。それでも完全予見粗利の差は</w:t>
      </w:r>
      <w:r>
        <w:t xml:space="preserve"> FY2023〜25 </w:t>
      </w:r>
      <w:r>
        <w:rPr>
          <w:rFonts w:hint="eastAsia"/>
        </w:rPr>
        <w:t xml:space="preserve">で−1.7〜−2.7%（FY2016〜25</w:t>
      </w:r>
      <w:r>
        <w:t xml:space="preserve"> </w:t>
      </w:r>
      <w:r>
        <w:rPr>
          <w:rFonts w:hint="eastAsia"/>
        </w:rPr>
        <w:t xml:space="preserve">では−0.3〜−2.7%）、戦略</w:t>
      </w:r>
      <w:r>
        <w:t xml:space="preserve"> c </w:t>
      </w:r>
      <w:r>
        <w:rPr>
          <w:rFonts w:hint="eastAsia"/>
        </w:rPr>
        <w:t xml:space="preserve">の粗利の差は±0.4%以内にとどまる。</w:t>
      </w:r>
    </w:p>
    <w:bookmarkEnd w:id="329"/>
    <w:bookmarkStart w:id="330" w:name="b.3.3-層分解の上界と下界"/>
    <w:p>
      <w:pPr>
        <w:pStyle w:val="Heading3"/>
      </w:pPr>
      <w:r>
        <w:t xml:space="preserve">B.3.3　</w:t>
      </w:r>
      <w:r>
        <w:rPr>
          <w:rFonts w:hint="eastAsia"/>
        </w:rPr>
        <w:t xml:space="preserve">層分解の上界と下界</w:t>
      </w:r>
    </w:p>
    <w:p>
      <w:pPr>
        <w:pStyle w:val="FirstParagraph"/>
      </w:pPr>
      <w:r>
        <w:rPr>
          <w:rFonts w:hint="eastAsia"/>
        </w:rPr>
        <w:t xml:space="preserve">先読みのない運用方策を、日</w:t>
      </w:r>
      <w:r>
        <w:t xml:space="preserve"> </w:t>
      </w:r>
      <m:oMath>
        <m:r>
          <m:t>t</m:t>
        </m:r>
      </m:oMath>
      <w:r>
        <w:t xml:space="preserve"> </w:t>
      </w:r>
      <w:r>
        <w:rPr>
          <w:rFonts w:hint="eastAsia"/>
        </w:rPr>
        <w:t xml:space="preserve">の窓</w:t>
      </w:r>
      <w:r>
        <w:t xml:space="preserve"> </w:t>
      </w:r>
      <m:oMath>
        <m:r>
          <m:rPr>
            <m:sty m:val="p"/>
          </m:rPr>
          <m:t>(</m:t>
        </m:r>
        <m:sSub>
          <m:e>
            <m:r>
              <m:t>D</m:t>
            </m:r>
          </m:e>
          <m:sub>
            <m:r>
              <m:t>t</m:t>
            </m:r>
          </m:sub>
        </m:sSub>
        <m:r>
          <m:rPr>
            <m:sty m:val="p"/>
          </m:rPr>
          <m:t>,</m:t>
        </m:r>
        <m:sSub>
          <m:e>
            <m:r>
              <m:t>C</m:t>
            </m:r>
          </m:e>
          <m:sub>
            <m:r>
              <m:t>t</m:t>
            </m:r>
          </m:sub>
        </m:sSub>
        <m:r>
          <m:rPr>
            <m:sty m:val="p"/>
          </m:rPr>
          <m:t>)</m:t>
        </m:r>
      </m:oMath>
      <w:r>
        <w:t xml:space="preserve"> </w:t>
      </w:r>
      <w:r>
        <w:rPr>
          <w:rFonts w:hint="eastAsia"/>
        </w:rPr>
        <w:t xml:space="preserve">と休止の判断が前日までの情報だけに依存する方策と定義する。どの方策の粗利も、日ごとに</w:t>
      </w:r>
      <w:r>
        <w:t xml:space="preserve"> </w:t>
      </w:r>
      <m:oMath>
        <m:r>
          <m:rPr>
            <m:sty m:val="p"/>
          </m:rPr>
          <m:t>(</m:t>
        </m:r>
        <m:sSub>
          <m:e>
            <m:r>
              <m:rPr>
                <m:sty m:val="p"/>
              </m:rPr>
              <m:t>max</m:t>
            </m:r>
          </m:e>
          <m:sub>
            <m:r>
              <m:t>D</m:t>
            </m:r>
            <m:r>
              <m:rPr>
                <m:sty m:val="p"/>
              </m:rPr>
              <m:t>,</m:t>
            </m:r>
            <m:r>
              <m:t>C</m:t>
            </m:r>
          </m:sub>
        </m:sSub>
        <m:sSub>
          <m:e>
            <m:r>
              <m:t>X</m:t>
            </m:r>
          </m:e>
          <m:sub>
            <m:r>
              <m:t>t</m:t>
            </m:r>
          </m:sub>
        </m:sSub>
        <m:r>
          <m:rPr>
            <m:sty m:val="p"/>
          </m:rPr>
          <m:t>(</m:t>
        </m:r>
        <m:r>
          <m:t>D</m:t>
        </m:r>
        <m:r>
          <m:rPr>
            <m:sty m:val="p"/>
          </m:rPr>
          <m:t>,</m:t>
        </m:r>
        <m:r>
          <m:t>C</m:t>
        </m:r>
        <m:r>
          <m:rPr>
            <m:sty m:val="p"/>
          </m:rPr>
          <m:t>)</m:t>
        </m:r>
        <m:sSup>
          <m:e>
            <m:r>
              <m:rPr>
                <m:sty m:val="p"/>
              </m:rPr>
              <m:t>)</m:t>
            </m:r>
          </m:e>
          <m:sup>
            <m:r>
              <m:rPr>
                <m:sty m:val="p"/>
              </m:rPr>
              <m:t>+</m:t>
            </m:r>
          </m:sup>
        </m:sSup>
      </m:oMath>
      <w:r>
        <w:t xml:space="preserve"> </w:t>
      </w:r>
      <w:r>
        <w:rPr>
          <w:rFonts w:hint="eastAsia"/>
        </w:rPr>
        <w:t xml:space="preserve">を超えない。したがって式(4.2)の完全予見粗利は、先読みのない最適方策の価値の上界である。これは、情報の制約を外し、外したことにペナルティを課さない情報緩和（D.</w:t>
      </w:r>
      <w:r>
        <w:t xml:space="preserve"> B. Brown et al., </w:t>
      </w:r>
      <w:r>
        <w:rPr>
          <w:rFonts w:hint="eastAsia"/>
        </w:rPr>
        <w:t xml:space="preserve">2010）の価値にあたる。他方、戦略</w:t>
      </w:r>
      <w:r>
        <w:t xml:space="preserve"> c </w:t>
      </w:r>
      <w:r>
        <w:rPr>
          <w:rFonts w:hint="eastAsia"/>
        </w:rPr>
        <w:t xml:space="preserve">は先読みのない方策の一つなので、その価値である層</w:t>
      </w:r>
      <w:r>
        <w:t xml:space="preserve"> (I) </w:t>
      </w:r>
      <w:r>
        <w:rPr>
          <w:rFonts w:hint="eastAsia"/>
        </w:rPr>
        <w:t xml:space="preserve">は、最適方策の価値を期待値の意味で下回る。層</w:t>
      </w:r>
      <w:r>
        <w:t xml:space="preserve"> (II) </w:t>
      </w:r>
      <w:r>
        <w:rPr>
          <w:rFonts w:hint="eastAsia"/>
        </w:rPr>
        <w:t xml:space="preserve">は固定窓の粗利の事後の符号で判定するので、前日の入札だけで確実に取れる額ではない。ペナルティ付きの情報緩和で上界を締めることは行っていない。</w:t>
      </w:r>
    </w:p>
    <w:bookmarkEnd w:id="330"/>
    <w:bookmarkStart w:id="331" w:name="b.3.4-閉形式bachelier-型による休止の価値の診断"/>
    <w:p>
      <w:pPr>
        <w:pStyle w:val="Heading3"/>
      </w:pPr>
      <w:r>
        <w:t xml:space="preserve">B.3.4　</w:t>
      </w:r>
      <w:r>
        <w:rPr>
          <w:rFonts w:hint="eastAsia"/>
        </w:rPr>
        <w:t xml:space="preserve">閉形式（Bachelier</w:t>
      </w:r>
      <w:r>
        <w:t xml:space="preserve"> </w:t>
      </w:r>
      <w:r>
        <w:rPr>
          <w:rFonts w:hint="eastAsia"/>
        </w:rPr>
        <w:t xml:space="preserve">型）による休止の価値の診断</w:t>
      </w:r>
    </w:p>
    <w:p>
      <w:pPr>
        <w:pStyle w:val="FirstParagraph"/>
      </w:pPr>
      <w:r>
        <w:rPr>
          <w:rFonts w:hint="eastAsia"/>
        </w:rPr>
        <w:t xml:space="preserve">固定窓の日次粗利</w:t>
      </w:r>
      <w:r>
        <w:t xml:space="preserve"> </w:t>
      </w:r>
      <m:oMath>
        <m:sSub>
          <m:e>
            <m:r>
              <m:t>X</m:t>
            </m:r>
          </m:e>
          <m:sub>
            <m:r>
              <m:t>t</m:t>
            </m:r>
          </m:sub>
        </m:sSub>
        <m:r>
          <m:rPr>
            <m:sty m:val="p"/>
          </m:rPr>
          <m:t>(</m:t>
        </m:r>
        <m:sSub>
          <m:e>
            <m:r>
              <m:t>D</m:t>
            </m:r>
          </m:e>
          <m:sub>
            <m:r>
              <m:t>c</m:t>
            </m:r>
          </m:sub>
        </m:sSub>
        <m:r>
          <m:rPr>
            <m:sty m:val="p"/>
          </m:rPr>
          <m:t>,</m:t>
        </m:r>
        <m:sSub>
          <m:e>
            <m:r>
              <m:t>C</m:t>
            </m:r>
          </m:e>
          <m:sub>
            <m:r>
              <m:t>c</m:t>
            </m:r>
          </m:sub>
        </m:sSub>
        <m:r>
          <m:rPr>
            <m:sty m:val="p"/>
          </m:rPr>
          <m:t>)</m:t>
        </m:r>
      </m:oMath>
      <w:r>
        <w:t xml:space="preserve"> </w:t>
      </w:r>
      <w:r>
        <w:rPr>
          <w:rFonts w:hint="eastAsia"/>
        </w:rPr>
        <w:t xml:space="preserve">が年度×季節のセルの中で平均</w:t>
      </w:r>
      <w:r>
        <w:t xml:space="preserve"> </w:t>
      </w:r>
      <m:oMath>
        <m:acc>
          <m:accPr>
            <m:chr m:val="‾"/>
          </m:accPr>
          <m:e>
            <m:r>
              <m:t>X</m:t>
            </m:r>
          </m:e>
        </m:acc>
      </m:oMath>
      <w:r>
        <w:rPr>
          <w:rFonts w:hint="eastAsia"/>
        </w:rPr>
        <w:t xml:space="preserve">、標準偏差</w:t>
      </w:r>
      <w:r>
        <w:t xml:space="preserve"> </w:t>
      </w:r>
      <m:oMath>
        <m:sSub>
          <m:e>
            <m:r>
              <m:t>σ</m:t>
            </m:r>
          </m:e>
          <m:sub>
            <m:r>
              <m:t>X</m:t>
            </m:r>
          </m:sub>
        </m:sSub>
      </m:oMath>
      <w:r>
        <w:t xml:space="preserve"> </w:t>
      </w:r>
      <w:r>
        <w:rPr>
          <w:rFonts w:hint="eastAsia"/>
        </w:rPr>
        <w:t xml:space="preserve">の正規分布に従うとすると、休止の価値にあたる時間価値は次のように書ける。</w:t>
      </w:r>
    </w:p>
    <w:p>
      <w:pPr>
        <w:pStyle w:val="BodyText"/>
        <w:tabs>
          <w:tab w:val="center" w:pos="4393"/>
          <w:tab w:val="right" w:pos="8787"/>
        </w:tabs>
        <w:spacing w:before="120" w:after="120" w:line="240" w:lineRule="auto"/>
        <w:ind w:firstLine="0"/>
      </w:pPr>
      <w:r>
        <w:tab/>
      </w:r>
      <m:oMath>
        <m:r>
          <m:t>E</m:t>
        </m:r>
        <m:r>
          <m:rPr>
            <m:sty m:val="p"/>
          </m:rPr>
          <m:t>[</m:t>
        </m:r>
        <m:r>
          <m:rPr>
            <m:sty m:val="p"/>
          </m:rPr>
          <m:t>max</m:t>
        </m:r>
        <m:r>
          <m:rPr>
            <m:sty m:val="p"/>
          </m:rPr>
          <m:t>{</m:t>
        </m:r>
        <m:r>
          <m:t>X</m:t>
        </m:r>
        <m:r>
          <m:rPr>
            <m:sty m:val="p"/>
          </m:rPr>
          <m:t>,</m:t>
        </m:r>
        <m:r>
          <m:t>0</m:t>
        </m:r>
        <m:r>
          <m:rPr>
            <m:sty m:val="p"/>
          </m:rPr>
          <m:t>}</m:t>
        </m:r>
        <m:r>
          <m:rPr>
            <m:sty m:val="p"/>
          </m:rPr>
          <m:t>]</m:t>
        </m:r>
        <m:r>
          <m:rPr>
            <m:sty m:val="p"/>
          </m:rPr>
          <m:t>−</m:t>
        </m:r>
        <m:r>
          <m:t>E</m:t>
        </m:r>
        <m:r>
          <m:rPr>
            <m:sty m:val="p"/>
          </m:rPr>
          <m:t>[</m:t>
        </m:r>
        <m:r>
          <m:t>X</m:t>
        </m:r>
        <m:r>
          <m:rPr>
            <m:sty m:val="p"/>
          </m:rPr>
          <m:t>]</m:t>
        </m:r>
        <m:r>
          <m:rPr>
            <m:sty m:val="p"/>
          </m:rPr>
          <m:t>=</m:t>
        </m:r>
        <m:acc>
          <m:accPr>
            <m:chr m:val="‾"/>
          </m:accPr>
          <m:e>
            <m:r>
              <m:t>X</m:t>
            </m:r>
          </m:e>
        </m:acc>
        <m:r>
          <m:t> </m:t>
        </m:r>
        <m:r>
          <m:rPr>
            <m:sty m:val="p"/>
          </m:rPr>
          <m:t>Φ</m:t>
        </m:r>
        <m:r>
          <m:rPr>
            <m:sty m:val="p"/>
          </m:rPr>
          <m:t>(</m:t>
        </m:r>
        <m:acc>
          <m:accPr>
            <m:chr m:val="‾"/>
          </m:accPr>
          <m:e>
            <m:r>
              <m:t>X</m:t>
            </m:r>
          </m:e>
        </m:acc>
        <m:r>
          <m:rPr>
            <m:sty m:val="p"/>
          </m:rPr>
          <m:t>/</m:t>
        </m:r>
        <m:sSub>
          <m:e>
            <m:r>
              <m:t>σ</m:t>
            </m:r>
          </m:e>
          <m:sub>
            <m:r>
              <m:t>X</m:t>
            </m:r>
          </m:sub>
        </m:sSub>
        <m:r>
          <m:rPr>
            <m:sty m:val="p"/>
          </m:rPr>
          <m:t>)</m:t>
        </m:r>
        <m:r>
          <m:rPr>
            <m:sty m:val="p"/>
          </m:rPr>
          <m:t>+</m:t>
        </m:r>
        <m:sSub>
          <m:e>
            <m:r>
              <m:t>σ</m:t>
            </m:r>
          </m:e>
          <m:sub>
            <m:r>
              <m:t>X</m:t>
            </m:r>
          </m:sub>
        </m:sSub>
        <m:r>
          <m:t> </m:t>
        </m:r>
        <m:sSup>
          <m:e>
            <m:r>
              <m:rPr>
                <m:sty m:val="p"/>
              </m:rPr>
              <m:t>Φ</m:t>
            </m:r>
          </m:e>
          <m:sup>
            <m:r>
              <m:rPr>
                <m:sty m:val="p"/>
              </m:rPr>
              <m:t>′</m:t>
            </m:r>
          </m:sup>
        </m:sSup>
        <m:r>
          <m:rPr>
            <m:sty m:val="p"/>
          </m:rPr>
          <m:t>(</m:t>
        </m:r>
        <m:acc>
          <m:accPr>
            <m:chr m:val="‾"/>
          </m:accPr>
          <m:e>
            <m:r>
              <m:t>X</m:t>
            </m:r>
          </m:e>
        </m:acc>
        <m:r>
          <m:rPr>
            <m:sty m:val="p"/>
          </m:rPr>
          <m:t>/</m:t>
        </m:r>
        <m:sSub>
          <m:e>
            <m:r>
              <m:t>σ</m:t>
            </m:r>
          </m:e>
          <m:sub>
            <m:r>
              <m:t>X</m:t>
            </m:r>
          </m:sub>
        </m:sSub>
        <m:r>
          <m:rPr>
            <m:sty m:val="p"/>
          </m:rPr>
          <m:t>)</m:t>
        </m:r>
        <m:r>
          <m:rPr>
            <m:sty m:val="p"/>
          </m:rPr>
          <m:t>−</m:t>
        </m:r>
        <m:acc>
          <m:accPr>
            <m:chr m:val="‾"/>
          </m:accPr>
          <m:e>
            <m:r>
              <m:t>X</m:t>
            </m:r>
          </m:e>
        </m:acc>
      </m:oMath>
      <w:r>
        <w:tab/>
      </w:r>
      <w:r>
        <w:t>(B.12)</w:t>
      </w:r>
    </w:p>
    <w:p>
      <w:pPr>
        <w:pStyle w:val="BodyText"/>
      </w:pPr>
      <m:oMath>
        <m:r>
          <m:rPr>
            <m:sty m:val="p"/>
          </m:rPr>
          <m:t>Φ</m:t>
        </m:r>
      </m:oMath>
      <w:r>
        <w:t xml:space="preserve"> </w:t>
      </w:r>
      <w:r>
        <w:t xml:space="preserve">と</w:t>
      </w:r>
      <w:r>
        <w:t xml:space="preserve"> </w:t>
      </w:r>
      <m:oMath>
        <m:sSup>
          <m:e>
            <m:r>
              <m:rPr>
                <m:sty m:val="p"/>
              </m:rPr>
              <m:t>Φ</m:t>
            </m:r>
          </m:e>
          <m:sup>
            <m:r>
              <m:rPr>
                <m:sty m:val="p"/>
              </m:rPr>
              <m:t>′</m:t>
            </m:r>
          </m:sup>
        </m:sSup>
      </m:oMath>
      <w:r>
        <w:t xml:space="preserve"> </w:t>
      </w:r>
      <w:r>
        <w:rPr>
          <w:rFonts w:hint="eastAsia"/>
        </w:rPr>
        <w:t xml:space="preserve">は標準正規分布の分布関数と密度関数である。この値は、実現した休止の価値を大きく上回る。実現の休止価値が正の年度×季節26セルで、比は中央値5.8倍、四分位2.1〜22倍である。日次粗利の分布は右に歪んでおり（30セル中25セルで歪度が正）、同じ平均と標準偏差の正規分布は、粗利が負になる日の比率を実際より多く見積もる（中央値で11.6%対4.4%）。本研究が閉形式の価格公式を使わず、実現した価格の経路でペイオフを数えるのはこのためである。</w:t>
      </w:r>
    </w:p>
    <w:bookmarkEnd w:id="331"/>
    <w:bookmarkStart w:id="332" w:name="b.3.5-予測評価と取引ルールの検定"/>
    <w:p>
      <w:pPr>
        <w:pStyle w:val="Heading3"/>
      </w:pPr>
      <w:r>
        <w:t xml:space="preserve">B.3.5　</w:t>
      </w:r>
      <w:r>
        <w:rPr>
          <w:rFonts w:hint="eastAsia"/>
        </w:rPr>
        <w:t xml:space="preserve">予測評価と取引ルールの検定</w:t>
      </w:r>
    </w:p>
    <w:p>
      <w:pPr>
        <w:pStyle w:val="FirstParagraph"/>
      </w:pPr>
      <w:r>
        <w:rPr>
          <w:rFonts w:hint="eastAsia"/>
        </w:rPr>
        <w:t xml:space="preserve">戦略</w:t>
      </w:r>
      <w:r>
        <w:t xml:space="preserve"> </w:t>
      </w:r>
      <m:oMath>
        <m:r>
          <m:t>i</m:t>
        </m:r>
      </m:oMath>
      <w:r>
        <w:t xml:space="preserve"> </w:t>
      </w:r>
      <w:r>
        <w:t xml:space="preserve">と</w:t>
      </w:r>
      <w:r>
        <w:t xml:space="preserve"> </w:t>
      </w:r>
      <m:oMath>
        <m:r>
          <m:t>j</m:t>
        </m:r>
      </m:oMath>
      <w:r>
        <w:t xml:space="preserve"> </w:t>
      </w:r>
      <w:r>
        <w:rPr>
          <w:rFonts w:hint="eastAsia"/>
        </w:rPr>
        <w:t xml:space="preserve">の日次の実現粗利の差</w:t>
      </w:r>
      <w:r>
        <w:t xml:space="preserve"> </w:t>
      </w:r>
      <m:oMath>
        <m:r>
          <m:rPr>
            <m:sty m:val="p"/>
          </m:rPr>
          <m:t>Δ</m:t>
        </m:r>
        <m:sSubSup>
          <m:e>
            <m:r>
              <m:t>X</m:t>
            </m:r>
          </m:e>
          <m:sub>
            <m:r>
              <m:t>t</m:t>
            </m:r>
          </m:sub>
          <m:sup>
            <m:r>
              <m:t>i</m:t>
            </m:r>
            <m:r>
              <m:t>j</m:t>
            </m:r>
          </m:sup>
        </m:sSubSup>
        <m:r>
          <m:rPr>
            <m:sty m:val="p"/>
          </m:rPr>
          <m:t>=</m:t>
        </m:r>
        <m:sSubSup>
          <m:e>
            <m:r>
              <m:t>X</m:t>
            </m:r>
          </m:e>
          <m:sub>
            <m:r>
              <m:t>t</m:t>
            </m:r>
          </m:sub>
          <m:sup>
            <m:r>
              <m:t>i</m:t>
            </m:r>
          </m:sup>
        </m:sSubSup>
        <m:r>
          <m:rPr>
            <m:sty m:val="p"/>
          </m:rPr>
          <m:t>−</m:t>
        </m:r>
        <m:sSubSup>
          <m:e>
            <m:r>
              <m:t>X</m:t>
            </m:r>
          </m:e>
          <m:sub>
            <m:r>
              <m:t>t</m:t>
            </m:r>
          </m:sub>
          <m:sup>
            <m:r>
              <m:t>j</m:t>
            </m:r>
          </m:sup>
        </m:sSubSup>
      </m:oMath>
      <w:r>
        <w:rPr>
          <w:rFonts w:hint="eastAsia"/>
        </w:rPr>
        <w:t xml:space="preserve">（円/kW-日）を損失差とみなし、その平均が0かを</w:t>
      </w:r>
      <w:r>
        <w:t xml:space="preserve"> Diebold and </w:t>
      </w:r>
      <w:r>
        <w:rPr>
          <w:rFonts w:hint="eastAsia"/>
        </w:rPr>
        <w:t xml:space="preserve">Mariano（1995）の検定で調べる。日次の差は系列相関をもつので、長期分散は</w:t>
      </w:r>
      <w:r>
        <w:t xml:space="preserve"> Newey and </w:t>
      </w:r>
      <w:r>
        <w:rPr>
          <w:rFonts w:hint="eastAsia"/>
        </w:rPr>
        <w:t xml:space="preserve">West（1987）の</w:t>
      </w:r>
      <w:r>
        <w:t xml:space="preserve"> Bartlett </w:t>
      </w:r>
      <w:r>
        <w:rPr>
          <w:rFonts w:hint="eastAsia"/>
        </w:rPr>
        <w:t xml:space="preserve">カーネル（ラグ7日。0日・14日を感応度）で推定し、Harvey</w:t>
      </w:r>
      <w:r>
        <w:t xml:space="preserve"> et </w:t>
      </w:r>
      <w:r>
        <w:rPr>
          <w:rFonts w:hint="eastAsia"/>
        </w:rPr>
        <w:t xml:space="preserve">al.（1997）の小標本補正を付す。比較は</w:t>
      </w:r>
      <w:r>
        <w:t xml:space="preserve"> FY2023〜25 </w:t>
      </w:r>
      <w:r>
        <w:rPr>
          <w:rFonts w:hint="eastAsia"/>
        </w:rPr>
        <w:t xml:space="preserve">のプール（1,096日）と年度別に行う。</w:t>
      </w:r>
    </w:p>
    <w:p>
      <w:pPr>
        <w:pStyle w:val="BodyText"/>
      </w:pPr>
      <w:r>
        <w:rPr>
          <w:rFonts w:hint="eastAsia"/>
        </w:rPr>
        <w:t xml:space="preserve">選択の偏りを考慮した検定には、White（2000）の</w:t>
      </w:r>
      <w:r>
        <w:t xml:space="preserve"> Reality Check と </w:t>
      </w:r>
      <w:r>
        <w:rPr>
          <w:rFonts w:hint="eastAsia"/>
        </w:rPr>
        <w:t xml:space="preserve">Hansen（2005）の</w:t>
      </w:r>
      <w:r>
        <w:t xml:space="preserve"> SPA </w:t>
      </w:r>
      <w:r>
        <w:rPr>
          <w:rFonts w:hint="eastAsia"/>
        </w:rPr>
        <w:t xml:space="preserve">検定（一致版の</w:t>
      </w:r>
      <w:r>
        <w:t xml:space="preserve"> </w:t>
      </w:r>
      <w:r>
        <w:rPr>
          <w:rFonts w:hint="eastAsia"/>
        </w:rPr>
        <w:t xml:space="preserve">p）を用いる。基準は</w:t>
      </w:r>
      <w:r>
        <w:t xml:space="preserve"> a・b・c </w:t>
      </w:r>
      <w:r>
        <w:rPr>
          <w:rFonts w:hint="eastAsia"/>
        </w:rPr>
        <w:t xml:space="preserve">とし、9本のうち基準以外の8本を候補とする。帰無仮説は「どの候補も基準を上回らない」である。補足として、最善の戦略の集合を推定する</w:t>
      </w:r>
      <w:r>
        <w:t xml:space="preserve"> Hansen et </w:t>
      </w:r>
      <w:r>
        <w:rPr>
          <w:rFonts w:hint="eastAsia"/>
        </w:rPr>
        <w:t xml:space="preserve">al.（2011）のモデル信頼集合を、範囲統計量</w:t>
      </w:r>
      <w:r>
        <w:t xml:space="preserve"> </w:t>
      </w:r>
      <m:oMath>
        <m:sSub>
          <m:e>
            <m:r>
              <m:t>T</m:t>
            </m:r>
          </m:e>
          <m:sub>
            <m:r>
              <m:t>R</m:t>
            </m:r>
          </m:sub>
        </m:sSub>
      </m:oMath>
      <w:r>
        <w:t xml:space="preserve"> </w:t>
      </w:r>
      <w:r>
        <w:rPr>
          <w:rFonts w:hint="eastAsia"/>
        </w:rPr>
        <w:t xml:space="preserve">と最大統計量</w:t>
      </w:r>
      <w:r>
        <w:t xml:space="preserve"> </w:t>
      </w:r>
      <m:oMath>
        <m:sSub>
          <m:e>
            <m:r>
              <m:t>T</m:t>
            </m:r>
          </m:e>
          <m:sub>
            <m:r>
              <m:rPr>
                <m:sty m:val="p"/>
              </m:rPr>
              <m:t>m</m:t>
            </m:r>
            <m:r>
              <m:rPr>
                <m:sty m:val="p"/>
              </m:rPr>
              <m:t>a</m:t>
            </m:r>
            <m:r>
              <m:rPr>
                <m:sty m:val="p"/>
              </m:rPr>
              <m:t>x</m:t>
            </m:r>
          </m:sub>
        </m:sSub>
      </m:oMath>
      <w:r>
        <w:t xml:space="preserve"> </w:t>
      </w:r>
      <w:r>
        <w:rPr>
          <w:rFonts w:hint="eastAsia"/>
        </w:rPr>
        <w:t xml:space="preserve">の両方で求める。</w:t>
      </w:r>
    </w:p>
    <w:p>
      <w:pPr>
        <w:pStyle w:val="BodyText"/>
      </w:pPr>
      <w:r>
        <w:t xml:space="preserve">ブートストラップには Politis and </w:t>
      </w:r>
      <w:r>
        <w:rPr>
          <w:rFonts w:hint="eastAsia"/>
        </w:rPr>
        <w:t xml:space="preserve">Romano（1994）の定常ブートストラップを用い、日の添字を全戦略で共通に再標本化する。反復は10,000回とする。平均ブロック長は、Politis</w:t>
      </w:r>
      <w:r>
        <w:t xml:space="preserve"> and </w:t>
      </w:r>
      <w:r>
        <w:rPr>
          <w:rFonts w:hint="eastAsia"/>
        </w:rPr>
        <w:t xml:space="preserve">White（2004）の自動選択（Patton</w:t>
      </w:r>
      <w:r>
        <w:t xml:space="preserve"> et al., 2009 </w:t>
      </w:r>
      <w:r>
        <w:rPr>
          <w:rFonts w:hint="eastAsia"/>
        </w:rPr>
        <w:t xml:space="preserve">による修正版）を損失差と実現率の線形化系列に当てた値の最大値で、20日である（7〜28日を感応度とする）。実現率とその差の95%区間は、同じブートストラップ標本のパーセンタイルで求める。同じ標本で、c</w:t>
      </w:r>
      <w:r>
        <w:t xml:space="preserve"> </w:t>
      </w:r>
      <w:r>
        <w:rPr>
          <w:rFonts w:hint="eastAsia"/>
        </w:rPr>
        <w:t xml:space="preserve">が9本の中で最大の実現率をとる割合と、最大値を選ぶことによる偏り（ブートストラップ平均と点推定の差）も求める。</w:t>
      </w:r>
    </w:p>
    <w:bookmarkEnd w:id="332"/>
    <w:bookmarkStart w:id="333" w:name="b.3.6-動的因子予測の構成"/>
    <w:p>
      <w:pPr>
        <w:pStyle w:val="Heading3"/>
      </w:pPr>
      <w:r>
        <w:t xml:space="preserve">B.3.6　</w:t>
      </w:r>
      <w:r>
        <w:rPr>
          <w:rFonts w:hint="eastAsia"/>
        </w:rPr>
        <w:t xml:space="preserve">動的因子予測の構成</w:t>
      </w:r>
    </w:p>
    <w:p>
      <w:pPr>
        <w:pStyle w:val="FirstParagraph"/>
      </w:pPr>
      <w:r>
        <w:rPr>
          <w:rFonts w:hint="eastAsia"/>
        </w:rPr>
        <w:t xml:space="preserve">戦略</w:t>
      </w:r>
      <w:r>
        <w:t xml:space="preserve"> c </w:t>
      </w:r>
      <w:r>
        <w:rPr>
          <w:rFonts w:hint="eastAsia"/>
        </w:rPr>
        <w:t xml:space="preserve">の平均価格カーブ（気候値）を</w:t>
      </w:r>
      <w:r>
        <w:t xml:space="preserve"> </w:t>
      </w:r>
      <m:oMath>
        <m:sSubSup>
          <m:e>
            <m:r>
              <m:t>p</m:t>
            </m:r>
          </m:e>
          <m:sub>
            <m:r>
              <m:t>t</m:t>
            </m:r>
          </m:sub>
          <m:sup>
            <m:r>
              <m:rPr>
                <m:sty m:val="p"/>
              </m:rPr>
              <m:t>c</m:t>
            </m:r>
          </m:sup>
        </m:sSubSup>
      </m:oMath>
      <w:r>
        <w:rPr>
          <w:rFonts w:hint="eastAsia"/>
        </w:rPr>
        <w:t xml:space="preserve">（24次元）とし、前日の価格の気候値からの偏差を</w:t>
      </w:r>
      <w:r>
        <w:t xml:space="preserve"> </w:t>
      </w:r>
      <m:oMath>
        <m:sSub>
          <m:e>
            <m:r>
              <m:t>e</m:t>
            </m:r>
          </m:e>
          <m:sub>
            <m:r>
              <m:t>t</m:t>
            </m:r>
            <m:r>
              <m:rPr>
                <m:sty m:val="p"/>
              </m:rPr>
              <m:t>−</m:t>
            </m:r>
            <m:r>
              <m:t>1</m:t>
            </m:r>
          </m:sub>
        </m:sSub>
        <m:r>
          <m:rPr>
            <m:sty m:val="p"/>
          </m:rPr>
          <m:t>=</m:t>
        </m:r>
        <m:sSub>
          <m:e>
            <m:r>
              <m:t>p</m:t>
            </m:r>
          </m:e>
          <m:sub>
            <m:r>
              <m:t>t</m:t>
            </m:r>
            <m:r>
              <m:rPr>
                <m:sty m:val="p"/>
              </m:rPr>
              <m:t>−</m:t>
            </m:r>
            <m:r>
              <m:t>1</m:t>
            </m:r>
          </m:sub>
        </m:sSub>
        <m:r>
          <m:rPr>
            <m:sty m:val="p"/>
          </m:rPr>
          <m:t>−</m:t>
        </m:r>
        <m:sSubSup>
          <m:e>
            <m:r>
              <m:t>p</m:t>
            </m:r>
          </m:e>
          <m:sub>
            <m:r>
              <m:t>t</m:t>
            </m:r>
            <m:r>
              <m:rPr>
                <m:sty m:val="p"/>
              </m:rPr>
              <m:t>−</m:t>
            </m:r>
            <m:r>
              <m:t>1</m:t>
            </m:r>
          </m:sub>
          <m:sup>
            <m:r>
              <m:rPr>
                <m:sty m:val="p"/>
              </m:rPr>
              <m:t>c</m:t>
            </m:r>
          </m:sup>
        </m:sSubSup>
      </m:oMath>
      <w:r>
        <w:t xml:space="preserve"> </w:t>
      </w:r>
      <w:r>
        <w:rPr>
          <w:rFonts w:hint="eastAsia"/>
        </w:rPr>
        <w:t xml:space="preserve">とする。過去365日の偏差の共分散行列の固有ベクトル</w:t>
      </w:r>
      <w:r>
        <w:t xml:space="preserve"> </w:t>
      </w:r>
      <m:oMath>
        <m:sSub>
          <m:e>
            <m:r>
              <m:t>v</m:t>
            </m:r>
          </m:e>
          <m:sub>
            <m:r>
              <m:t>1</m:t>
            </m:r>
          </m:sub>
        </m:sSub>
        <m:r>
          <m:rPr>
            <m:sty m:val="p"/>
          </m:rPr>
          <m:t>,</m:t>
        </m:r>
        <m:r>
          <m:rPr>
            <m:sty m:val="p"/>
          </m:rPr>
          <m:t>…</m:t>
        </m:r>
        <m:r>
          <m:rPr>
            <m:sty m:val="p"/>
          </m:rPr>
          <m:t>,</m:t>
        </m:r>
        <m:sSub>
          <m:e>
            <m:r>
              <m:t>v</m:t>
            </m:r>
          </m:e>
          <m:sub>
            <m:r>
              <m:t>J</m:t>
            </m:r>
          </m:sub>
        </m:sSub>
      </m:oMath>
      <w:r>
        <w:t xml:space="preserve"> </w:t>
      </w:r>
      <w:r>
        <w:rPr>
          <w:rFonts w:hint="eastAsia"/>
        </w:rPr>
        <w:t xml:space="preserve">で偏差を</w:t>
      </w:r>
      <w:r>
        <w:t xml:space="preserve"> </w:t>
      </w:r>
      <m:oMath>
        <m:r>
          <m:t>J</m:t>
        </m:r>
        <m:r>
          <m:rPr>
            <m:sty m:val="p"/>
          </m:rPr>
          <m:t>=</m:t>
        </m:r>
        <m:r>
          <m:t>1</m:t>
        </m:r>
        <m:r>
          <m:rPr>
            <m:sty m:val="p"/>
          </m:rPr>
          <m:t>,</m:t>
        </m:r>
        <m:r>
          <m:t>3</m:t>
        </m:r>
        <m:r>
          <m:rPr>
            <m:sty m:val="p"/>
          </m:rPr>
          <m:t>,</m:t>
        </m:r>
        <m:r>
          <m:t>5</m:t>
        </m:r>
      </m:oMath>
      <w:r>
        <w:t xml:space="preserve"> </w:t>
      </w:r>
      <w:r>
        <w:rPr>
          <w:rFonts w:hint="eastAsia"/>
        </w:rPr>
        <w:t xml:space="preserve">因子に縮約し、因子ごとの</w:t>
      </w:r>
      <w:r>
        <w:t xml:space="preserve"> AR(1) </w:t>
      </w:r>
      <w:r>
        <w:rPr>
          <w:rFonts w:hint="eastAsia"/>
        </w:rPr>
        <w:t xml:space="preserve">で当日に持ち越す。予測カーブは、気候値に、偏差の過去365日平均と持ち越した因子の寄与を足したものである。</w:t>
      </w:r>
    </w:p>
    <w:p>
      <w:pPr>
        <w:pStyle w:val="BodyText"/>
        <w:tabs>
          <w:tab w:val="center" w:pos="4393"/>
          <w:tab w:val="right" w:pos="8787"/>
        </w:tabs>
        <w:spacing w:before="120" w:after="120" w:line="240" w:lineRule="auto"/>
        <w:ind w:firstLine="0"/>
      </w:pPr>
      <w:r>
        <w:tab/>
      </w:r>
      <m:oMath>
        <m:sSub>
          <m:e>
            <m:acc>
              <m:accPr>
                <m:chr m:val="̂"/>
              </m:accPr>
              <m:e>
                <m:r>
                  <m:t>p</m:t>
                </m:r>
              </m:e>
            </m:acc>
          </m:e>
          <m:sub>
            <m:r>
              <m:t>t</m:t>
            </m:r>
          </m:sub>
        </m:sSub>
        <m:r>
          <m:rPr>
            <m:sty m:val="p"/>
          </m:rPr>
          <m:t>=</m:t>
        </m:r>
        <m:sSubSup>
          <m:e>
            <m:r>
              <m:t>p</m:t>
            </m:r>
          </m:e>
          <m:sub>
            <m:r>
              <m:t>t</m:t>
            </m:r>
          </m:sub>
          <m:sup>
            <m:r>
              <m:rPr>
                <m:sty m:val="p"/>
              </m:rPr>
              <m:t>c</m:t>
            </m:r>
          </m:sup>
        </m:sSubSup>
        <m:r>
          <m:rPr>
            <m:sty m:val="p"/>
          </m:rPr>
          <m:t>+</m:t>
        </m:r>
        <m:acc>
          <m:accPr>
            <m:chr m:val="‾"/>
          </m:accPr>
          <m:e>
            <m:r>
              <m:t>e</m:t>
            </m:r>
          </m:e>
        </m:acc>
        <m:r>
          <m:rPr>
            <m:sty m:val="p"/>
          </m:rPr>
          <m:t>+</m:t>
        </m:r>
        <m:nary>
          <m:naryPr>
            <m:chr m:val="∑"/>
            <m:limLoc m:val="undOvr"/>
            <m:subHide m:val="off"/>
            <m:supHide m:val="off"/>
          </m:naryPr>
          <m:sub>
            <m:r>
              <m:t>j</m:t>
            </m:r>
            <m:r>
              <m:rPr>
                <m:sty m:val="p"/>
              </m:rPr>
              <m:t>=</m:t>
            </m:r>
            <m:r>
              <m:t>1</m:t>
            </m:r>
          </m:sub>
          <m:sup>
            <m:r>
              <m:t>J</m:t>
            </m:r>
          </m:sup>
          <m:e>
            <m:sSub>
              <m:e>
                <m:r>
                  <m:t>v</m:t>
                </m:r>
              </m:e>
              <m:sub>
                <m:r>
                  <m:t>j</m:t>
                </m:r>
              </m:sub>
            </m:sSub>
          </m:e>
        </m:nary>
        <m:r>
          <m:t> </m:t>
        </m:r>
        <m:sSub>
          <m:e>
            <m:acc>
              <m:accPr>
                <m:chr m:val="̂"/>
              </m:accPr>
              <m:e>
                <m:r>
                  <m:t>ϕ</m:t>
                </m:r>
              </m:e>
            </m:acc>
          </m:e>
          <m:sub>
            <m:r>
              <m:t>j</m:t>
            </m:r>
          </m:sub>
        </m:sSub>
        <m:r>
          <m:t> </m:t>
        </m:r>
        <m:d>
          <m:dPr>
            <m:begChr m:val="("/>
            <m:sepChr m:val=""/>
            <m:endChr m:val=")"/>
            <m:grow/>
          </m:dPr>
          <m:e>
            <m:sSubSup>
              <m:e>
                <m:r>
                  <m:t>v</m:t>
                </m:r>
              </m:e>
              <m:sub>
                <m:r>
                  <m:t>j</m:t>
                </m:r>
              </m:sub>
              <m:sup>
                <m:r>
                  <m:rPr>
                    <m:sty m:val="p"/>
                  </m:rPr>
                  <m:t>′</m:t>
                </m:r>
              </m:sup>
            </m:sSubSup>
            <m:r>
              <m:rPr>
                <m:sty m:val="p"/>
              </m:rPr>
              <m:t>(</m:t>
            </m:r>
            <m:sSub>
              <m:e>
                <m:r>
                  <m:t>e</m:t>
                </m:r>
              </m:e>
              <m:sub>
                <m:r>
                  <m:t>t</m:t>
                </m:r>
                <m:r>
                  <m:rPr>
                    <m:sty m:val="p"/>
                  </m:rPr>
                  <m:t>−</m:t>
                </m:r>
                <m:r>
                  <m:t>1</m:t>
                </m:r>
              </m:sub>
            </m:sSub>
            <m:r>
              <m:rPr>
                <m:sty m:val="p"/>
              </m:rPr>
              <m:t>−</m:t>
            </m:r>
            <m:acc>
              <m:accPr>
                <m:chr m:val="‾"/>
              </m:accPr>
              <m:e>
                <m:r>
                  <m:t>e</m:t>
                </m:r>
              </m:e>
            </m:acc>
            <m:r>
              <m:rPr>
                <m:sty m:val="p"/>
              </m:rPr>
              <m:t>)</m:t>
            </m:r>
          </m:e>
        </m:d>
      </m:oMath>
      <w:r>
        <w:tab/>
      </w:r>
      <w:r>
        <w:t>(B.13)</w:t>
      </w:r>
    </w:p>
    <w:p>
      <w:pPr>
        <w:pStyle w:val="BodyText"/>
      </w:pPr>
      <m:oMath>
        <m:acc>
          <m:accPr>
            <m:chr m:val="‾"/>
          </m:accPr>
          <m:e>
            <m:r>
              <m:t>e</m:t>
            </m:r>
          </m:e>
        </m:acc>
      </m:oMath>
      <w:r>
        <w:t xml:space="preserve"> </w:t>
      </w:r>
      <w:r>
        <w:rPr>
          <w:rFonts w:hint="eastAsia"/>
        </w:rPr>
        <w:t xml:space="preserve">は偏差の過去365日平均、</w:t>
      </w:r>
      <m:oMath>
        <m:sSub>
          <m:e>
            <m:acc>
              <m:accPr>
                <m:chr m:val="̂"/>
              </m:accPr>
              <m:e>
                <m:r>
                  <m:t>ϕ</m:t>
                </m:r>
              </m:e>
            </m:acc>
          </m:e>
          <m:sub>
            <m:r>
              <m:t>j</m:t>
            </m:r>
          </m:sub>
        </m:sSub>
      </m:oMath>
      <w:r>
        <w:t xml:space="preserve"> </w:t>
      </w:r>
      <w:r>
        <w:rPr>
          <w:rFonts w:hint="eastAsia"/>
        </w:rPr>
        <w:t xml:space="preserve">は第</w:t>
      </w:r>
      <w:r>
        <w:t xml:space="preserve"> </w:t>
      </w:r>
      <m:oMath>
        <m:r>
          <m:t>j</m:t>
        </m:r>
      </m:oMath>
      <w:r>
        <w:t xml:space="preserve"> </w:t>
      </w:r>
      <w:r>
        <w:rPr>
          <w:rFonts w:hint="eastAsia"/>
        </w:rPr>
        <w:t xml:space="preserve">因子の</w:t>
      </w:r>
      <w:r>
        <w:t xml:space="preserve"> AR(1) </w:t>
      </w:r>
      <w:r>
        <w:rPr>
          <w:rFonts w:hint="eastAsia"/>
        </w:rPr>
        <w:t xml:space="preserve">係数である。この予測カーブのランクで充放電の窓を選ぶ（DL1・DL3・DL5）。これは</w:t>
      </w:r>
      <w:r>
        <w:t xml:space="preserve"> Diebold and </w:t>
      </w:r>
      <w:r>
        <w:rPr>
          <w:rFonts w:hint="eastAsia"/>
        </w:rPr>
        <w:t xml:space="preserve">Li（2006）の2段階法で、Nelson–Siegel</w:t>
      </w:r>
      <w:r>
        <w:t xml:space="preserve"> </w:t>
      </w:r>
      <w:r>
        <w:rPr>
          <w:rFonts w:hint="eastAsia"/>
        </w:rPr>
        <w:t xml:space="preserve">型の負荷の代わりに主成分の負荷を用いたものである。時刻ごとの</w:t>
      </w:r>
      <w:r>
        <w:t xml:space="preserve"> AR(1) </w:t>
      </w:r>
      <w:r>
        <w:rPr>
          <w:rFonts w:hint="eastAsia"/>
        </w:rPr>
        <w:t xml:space="preserve">で偏差を持ち越す戦略（AR）も評価する。負荷と係数は日ごとに過去365日で再推定し、先読みはない（前日の価格は当日分の入札締切の時点で既知である）。固定長のローリング窓で推定するので、比較は推定誤差を含めた予測力の比較になる（Giacomini</w:t>
      </w:r>
      <w:r>
        <w:t xml:space="preserve"> &amp; White, </w:t>
      </w:r>
      <w:r>
        <w:rPr>
          <w:rFonts w:hint="eastAsia"/>
        </w:rPr>
        <w:t xml:space="preserve">2006）。</w:t>
      </w:r>
    </w:p>
    <w:p>
      <w:pPr>
        <w:pStyle w:val="BodyText"/>
      </w:pPr>
      <w:r>
        <w:rPr>
          <w:rFonts w:hint="eastAsia"/>
        </w:rPr>
        <w:t xml:space="preserve">価格の予測としての精度は、時間別価格の二乗誤差を、日平均（水準）の二乗誤差と日平均を除いた形状の二乗誤差に、次の恒等式で分けて比べる。</w:t>
      </w:r>
    </w:p>
    <w:p>
      <w:pPr>
        <w:pStyle w:val="BodyText"/>
        <w:tabs>
          <w:tab w:val="center" w:pos="4393"/>
          <w:tab w:val="right" w:pos="8787"/>
        </w:tabs>
        <w:spacing w:before="120" w:after="120" w:line="240" w:lineRule="auto"/>
        <w:ind w:firstLine="0"/>
      </w:pPr>
      <w:r>
        <w:tab/>
      </w:r>
      <m:oMath>
        <m:f>
          <m:fPr>
            <m:type m:val="bar"/>
          </m:fPr>
          <m:num>
            <m:r>
              <m:t>1</m:t>
            </m:r>
          </m:num>
          <m:den>
            <m:r>
              <m:t>24</m:t>
            </m:r>
          </m:den>
        </m:f>
        <m:nary>
          <m:naryPr>
            <m:chr m:val="∑"/>
            <m:limLoc m:val="undOvr"/>
            <m:subHide m:val="off"/>
            <m:supHide m:val="on"/>
          </m:naryPr>
          <m:sub>
            <m:r>
              <m:t>h</m:t>
            </m:r>
          </m:sub>
          <m:sup>
            <m:r>
              <m:t>​</m:t>
            </m:r>
          </m:sup>
          <m:e>
            <m:r>
              <m:rPr>
                <m:sty m:val="p"/>
              </m:rPr>
              <m:t>(</m:t>
            </m:r>
          </m:e>
        </m:nary>
        <m:sSub>
          <m:e>
            <m:acc>
              <m:accPr>
                <m:chr m:val="̂"/>
              </m:accPr>
              <m:e>
                <m:r>
                  <m:t>p</m:t>
                </m:r>
              </m:e>
            </m:acc>
          </m:e>
          <m:sub>
            <m:r>
              <m:t>t</m:t>
            </m:r>
            <m:r>
              <m:rPr>
                <m:sty m:val="p"/>
              </m:rPr>
              <m:t>,</m:t>
            </m:r>
            <m:r>
              <m:t>h</m:t>
            </m:r>
          </m:sub>
        </m:sSub>
        <m:r>
          <m:rPr>
            <m:sty m:val="p"/>
          </m:rPr>
          <m:t>−</m:t>
        </m:r>
        <m:sSub>
          <m:e>
            <m:r>
              <m:t>p</m:t>
            </m:r>
          </m:e>
          <m:sub>
            <m:r>
              <m:t>t</m:t>
            </m:r>
            <m:r>
              <m:rPr>
                <m:sty m:val="p"/>
              </m:rPr>
              <m:t>,</m:t>
            </m:r>
            <m:r>
              <m:t>h</m:t>
            </m:r>
          </m:sub>
        </m:sSub>
        <m:sSup>
          <m:e>
            <m:r>
              <m:rPr>
                <m:sty m:val="p"/>
              </m:rPr>
              <m:t>)</m:t>
            </m:r>
          </m:e>
          <m:sup>
            <m:r>
              <m:t>2</m:t>
            </m:r>
          </m:sup>
        </m:sSup>
        <m:r>
          <m:rPr>
            <m:sty m:val="p"/>
          </m:rPr>
          <m:t>=</m:t>
        </m:r>
        <m:r>
          <m:rPr>
            <m:sty m:val="p"/>
          </m:rPr>
          <m:t>(</m:t>
        </m:r>
        <m:sSub>
          <m:e>
            <m:acc>
              <m:accPr>
                <m:chr m:val="̂"/>
              </m:accPr>
              <m:e>
                <m:r>
                  <m:t>m</m:t>
                </m:r>
              </m:e>
            </m:acc>
          </m:e>
          <m:sub>
            <m:r>
              <m:t>t</m:t>
            </m:r>
          </m:sub>
        </m:sSub>
        <m:r>
          <m:rPr>
            <m:sty m:val="p"/>
          </m:rPr>
          <m:t>−</m:t>
        </m:r>
        <m:sSub>
          <m:e>
            <m:r>
              <m:t>m</m:t>
            </m:r>
          </m:e>
          <m:sub>
            <m:r>
              <m:t>t</m:t>
            </m:r>
          </m:sub>
        </m:sSub>
        <m:sSup>
          <m:e>
            <m:r>
              <m:rPr>
                <m:sty m:val="p"/>
              </m:rPr>
              <m:t>)</m:t>
            </m:r>
          </m:e>
          <m:sup>
            <m:r>
              <m:t>2</m:t>
            </m:r>
          </m:sup>
        </m:sSup>
        <m:r>
          <m:rPr>
            <m:sty m:val="p"/>
          </m:rPr>
          <m:t>+</m:t>
        </m:r>
        <m:f>
          <m:fPr>
            <m:type m:val="bar"/>
          </m:fPr>
          <m:num>
            <m:r>
              <m:t>1</m:t>
            </m:r>
          </m:num>
          <m:den>
            <m:r>
              <m:t>24</m:t>
            </m:r>
          </m:den>
        </m:f>
        <m:nary>
          <m:naryPr>
            <m:chr m:val="∑"/>
            <m:limLoc m:val="undOvr"/>
            <m:subHide m:val="off"/>
            <m:supHide m:val="on"/>
          </m:naryPr>
          <m:sub>
            <m:r>
              <m:t>h</m:t>
            </m:r>
          </m:sub>
          <m:sup>
            <m:r>
              <m:t>​</m:t>
            </m:r>
          </m:sup>
          <m:e>
            <m:r>
              <m:rPr>
                <m:sty m:val="p"/>
              </m:rPr>
              <m:t>[</m:t>
            </m:r>
          </m:e>
        </m:nary>
        <m:r>
          <m:rPr>
            <m:sty m:val="p"/>
          </m:rPr>
          <m:t>(</m:t>
        </m:r>
        <m:sSub>
          <m:e>
            <m:acc>
              <m:accPr>
                <m:chr m:val="̂"/>
              </m:accPr>
              <m:e>
                <m:r>
                  <m:t>p</m:t>
                </m:r>
              </m:e>
            </m:acc>
          </m:e>
          <m:sub>
            <m:r>
              <m:t>t</m:t>
            </m:r>
            <m:r>
              <m:rPr>
                <m:sty m:val="p"/>
              </m:rPr>
              <m:t>,</m:t>
            </m:r>
            <m:r>
              <m:t>h</m:t>
            </m:r>
          </m:sub>
        </m:sSub>
        <m:r>
          <m:rPr>
            <m:sty m:val="p"/>
          </m:rPr>
          <m:t>−</m:t>
        </m:r>
        <m:sSub>
          <m:e>
            <m:acc>
              <m:accPr>
                <m:chr m:val="̂"/>
              </m:accPr>
              <m:e>
                <m:r>
                  <m:t>m</m:t>
                </m:r>
              </m:e>
            </m:acc>
          </m:e>
          <m:sub>
            <m:r>
              <m:t>t</m:t>
            </m:r>
          </m:sub>
        </m:sSub>
        <m:r>
          <m:rPr>
            <m:sty m:val="p"/>
          </m:rPr>
          <m:t>)</m:t>
        </m:r>
        <m:r>
          <m:rPr>
            <m:sty m:val="p"/>
          </m:rPr>
          <m:t>−</m:t>
        </m:r>
        <m:r>
          <m:rPr>
            <m:sty m:val="p"/>
          </m:rPr>
          <m:t>(</m:t>
        </m:r>
        <m:sSub>
          <m:e>
            <m:r>
              <m:t>p</m:t>
            </m:r>
          </m:e>
          <m:sub>
            <m:r>
              <m:t>t</m:t>
            </m:r>
            <m:r>
              <m:rPr>
                <m:sty m:val="p"/>
              </m:rPr>
              <m:t>,</m:t>
            </m:r>
            <m:r>
              <m:t>h</m:t>
            </m:r>
          </m:sub>
        </m:sSub>
        <m:r>
          <m:rPr>
            <m:sty m:val="p"/>
          </m:rPr>
          <m:t>−</m:t>
        </m:r>
        <m:sSub>
          <m:e>
            <m:r>
              <m:t>m</m:t>
            </m:r>
          </m:e>
          <m:sub>
            <m:r>
              <m:t>t</m:t>
            </m:r>
          </m:sub>
        </m:sSub>
        <m:r>
          <m:rPr>
            <m:sty m:val="p"/>
          </m:rPr>
          <m:t>)</m:t>
        </m:r>
        <m:sSup>
          <m:e>
            <m:r>
              <m:rPr>
                <m:sty m:val="p"/>
              </m:rPr>
              <m:t>]</m:t>
            </m:r>
          </m:e>
          <m:sup>
            <m:r>
              <m:t>2</m:t>
            </m:r>
          </m:sup>
        </m:sSup>
      </m:oMath>
      <w:r>
        <w:tab/>
      </w:r>
      <w:r>
        <w:t>(B.14)</w:t>
      </w:r>
    </w:p>
    <w:p>
      <w:pPr>
        <w:pStyle w:val="BodyText"/>
      </w:pPr>
      <m:oMath>
        <m:sSub>
          <m:e>
            <m:acc>
              <m:accPr>
                <m:chr m:val="̂"/>
              </m:accPr>
              <m:e>
                <m:r>
                  <m:t>m</m:t>
                </m:r>
              </m:e>
            </m:acc>
          </m:e>
          <m:sub>
            <m:r>
              <m:t>t</m:t>
            </m:r>
          </m:sub>
        </m:sSub>
      </m:oMath>
      <w:r>
        <w:t xml:space="preserve"> </w:t>
      </w:r>
      <w:r>
        <w:t xml:space="preserve">と</w:t>
      </w:r>
      <w:r>
        <w:t xml:space="preserve"> </w:t>
      </w:r>
      <m:oMath>
        <m:sSub>
          <m:e>
            <m:r>
              <m:t>m</m:t>
            </m:r>
          </m:e>
          <m:sub>
            <m:r>
              <m:t>t</m:t>
            </m:r>
          </m:sub>
        </m:sSub>
      </m:oMath>
      <w:r>
        <w:t xml:space="preserve"> </w:t>
      </w:r>
      <w:r>
        <w:rPr>
          <w:rFonts w:hint="eastAsia"/>
        </w:rPr>
        <w:t xml:space="preserve">は、予測カーブと実現した価格の日平均である（</w:t>
      </w:r>
      <m:oMath>
        <m:sSub>
          <m:e>
            <m:r>
              <m:t>m</m:t>
            </m:r>
          </m:e>
          <m:sub>
            <m:r>
              <m:t>t</m:t>
            </m:r>
          </m:sub>
        </m:sSub>
      </m:oMath>
      <w:r>
        <w:t xml:space="preserve"> </w:t>
      </w:r>
      <w:r>
        <w:rPr>
          <w:rFonts w:hint="eastAsia"/>
        </w:rPr>
        <w:t xml:space="preserve">は式(6.1)の日平均価格）。</w:t>
      </w:r>
    </w:p>
    <w:bookmarkEnd w:id="333"/>
    <w:bookmarkStart w:id="334" w:name="b.3.7-完全予見粗利の因子エクスポージャーと経路分解"/>
    <w:p>
      <w:pPr>
        <w:pStyle w:val="Heading3"/>
      </w:pPr>
      <w:r>
        <w:t xml:space="preserve">B.3.7　</w:t>
      </w:r>
      <w:r>
        <w:rPr>
          <w:rFonts w:hint="eastAsia"/>
        </w:rPr>
        <w:t xml:space="preserve">完全予見粗利の因子エクスポージャーと経路分解</w:t>
      </w:r>
    </w:p>
    <w:p>
      <w:pPr>
        <w:pStyle w:val="FirstParagraph"/>
      </w:pPr>
      <w:r>
        <w:rPr>
          <w:rFonts w:hint="eastAsia"/>
        </w:rPr>
        <w:t xml:space="preserve">日次の完全予見粗利</w:t>
      </w:r>
      <w:r>
        <w:t xml:space="preserve"> </w:t>
      </w:r>
      <m:oMath>
        <m:sSub>
          <m:e>
            <m:r>
              <m:t>y</m:t>
            </m:r>
          </m:e>
          <m:sub>
            <m:r>
              <m:t>d</m:t>
            </m:r>
          </m:sub>
        </m:sSub>
      </m:oMath>
      <w:r>
        <w:rPr>
          <w:rFonts w:hint="eastAsia"/>
        </w:rPr>
        <w:t xml:space="preserve">（円/kW-日）を、第5章の日次回帰の右辺</w:t>
      </w:r>
      <w:r>
        <w:t xml:space="preserve"> </w:t>
      </w:r>
      <m:oMath>
        <m:sSub>
          <m:e>
            <m:r>
              <m:t>Z</m:t>
            </m:r>
          </m:e>
          <m:sub>
            <m:r>
              <m:t>d</m:t>
            </m:r>
          </m:sub>
        </m:sSub>
      </m:oMath>
      <w:r>
        <w:t xml:space="preserve"> </w:t>
      </w:r>
      <w:r>
        <w:rPr>
          <w:rFonts w:hint="eastAsia"/>
        </w:rPr>
        <w:t xml:space="preserve">と第1〜第5主成分のスコア</w:t>
      </w:r>
      <w:r>
        <w:t xml:space="preserve"> </w:t>
      </w:r>
      <m:oMath>
        <m:sSub>
          <m:e>
            <m:r>
              <m:t>f</m:t>
            </m:r>
          </m:e>
          <m:sub>
            <m:r>
              <m:t>k</m:t>
            </m:r>
            <m:r>
              <m:rPr>
                <m:sty m:val="p"/>
              </m:rPr>
              <m:t>,</m:t>
            </m:r>
            <m:r>
              <m:t>d</m:t>
            </m:r>
          </m:sub>
        </m:sSub>
      </m:oMath>
      <w:r>
        <w:t xml:space="preserve"> </w:t>
      </w:r>
      <w:r>
        <w:rPr>
          <w:rFonts w:hint="eastAsia"/>
        </w:rPr>
        <w:t xml:space="preserve">に回帰する。</w:t>
      </w:r>
    </w:p>
    <w:p>
      <w:pPr>
        <w:pStyle w:val="BodyText"/>
        <w:tabs>
          <w:tab w:val="center" w:pos="4393"/>
          <w:tab w:val="right" w:pos="8787"/>
        </w:tabs>
        <w:spacing w:before="120" w:after="120" w:line="240" w:lineRule="auto"/>
        <w:ind w:firstLine="0"/>
      </w:pPr>
      <w:r>
        <w:tab/>
      </w:r>
      <m:oMath>
        <m:sSub>
          <m:e>
            <m:r>
              <m:t>y</m:t>
            </m:r>
          </m:e>
          <m:sub>
            <m:r>
              <m:t>d</m:t>
            </m:r>
          </m:sub>
        </m:sSub>
        <m:r>
          <m:rPr>
            <m:sty m:val="p"/>
          </m:rPr>
          <m:t>=</m:t>
        </m:r>
        <m:sSubSup>
          <m:e>
            <m:r>
              <m:t>Z</m:t>
            </m:r>
          </m:e>
          <m:sub>
            <m:r>
              <m:t>d</m:t>
            </m:r>
          </m:sub>
          <m:sup>
            <m:r>
              <m:rPr>
                <m:sty m:val="p"/>
              </m:rPr>
              <m:t>′</m:t>
            </m:r>
          </m:sup>
        </m:sSubSup>
        <m:r>
          <m:t>β</m:t>
        </m:r>
        <m:r>
          <m:rPr>
            <m:sty m:val="p"/>
          </m:rPr>
          <m:t>+</m:t>
        </m:r>
        <m:nary>
          <m:naryPr>
            <m:chr m:val="∑"/>
            <m:limLoc m:val="undOvr"/>
            <m:subHide m:val="off"/>
            <m:supHide m:val="off"/>
          </m:naryPr>
          <m:sub>
            <m:r>
              <m:t>k</m:t>
            </m:r>
            <m:r>
              <m:rPr>
                <m:sty m:val="p"/>
              </m:rPr>
              <m:t>=</m:t>
            </m:r>
            <m:r>
              <m:t>1</m:t>
            </m:r>
          </m:sub>
          <m:sup>
            <m:r>
              <m:t>5</m:t>
            </m:r>
          </m:sup>
          <m:e>
            <m:sSubSup>
              <m:e>
                <m:r>
                  <m:t>β</m:t>
                </m:r>
              </m:e>
              <m:sub>
                <m:r>
                  <m:t>k</m:t>
                </m:r>
              </m:sub>
              <m:sup>
                <m:r>
                  <m:rPr>
                    <m:sty m:val="p"/>
                  </m:rPr>
                  <m:t>f</m:t>
                </m:r>
              </m:sup>
            </m:sSubSup>
          </m:e>
        </m:nary>
        <m:sSub>
          <m:e>
            <m:r>
              <m:t>f</m:t>
            </m:r>
          </m:e>
          <m:sub>
            <m:r>
              <m:t>k</m:t>
            </m:r>
            <m:r>
              <m:rPr>
                <m:sty m:val="p"/>
              </m:rPr>
              <m:t>,</m:t>
            </m:r>
            <m:r>
              <m:t>d</m:t>
            </m:r>
          </m:sub>
        </m:sSub>
        <m:r>
          <m:rPr>
            <m:sty m:val="p"/>
          </m:rPr>
          <m:t>+</m:t>
        </m:r>
        <m:sSub>
          <m:e>
            <m:r>
              <m:t>ε</m:t>
            </m:r>
          </m:e>
          <m:sub>
            <m:r>
              <m:t>d</m:t>
            </m:r>
          </m:sub>
        </m:sSub>
      </m:oMath>
      <w:r>
        <w:tab/>
      </w:r>
      <w:r>
        <w:t>(B.15)</w:t>
      </w:r>
    </w:p>
    <w:p>
      <w:pPr>
        <w:pStyle w:val="BodyText"/>
      </w:pPr>
      <m:oMath>
        <m:sSubSup>
          <m:e>
            <m:r>
              <m:t>β</m:t>
            </m:r>
          </m:e>
          <m:sub>
            <m:r>
              <m:t>k</m:t>
            </m:r>
          </m:sub>
          <m:sup>
            <m:r>
              <m:rPr>
                <m:sty m:val="p"/>
              </m:rPr>
              <m:t>f</m:t>
            </m:r>
          </m:sup>
        </m:sSubSup>
      </m:oMath>
      <w:r>
        <w:t xml:space="preserve"> </w:t>
      </w:r>
      <w:r>
        <w:rPr>
          <w:rFonts w:hint="eastAsia"/>
        </w:rPr>
        <w:t xml:space="preserve">が第</w:t>
      </w:r>
      <w:r>
        <w:t xml:space="preserve"> </w:t>
      </w:r>
      <m:oMath>
        <m:r>
          <m:t>k</m:t>
        </m:r>
      </m:oMath>
      <w:r>
        <w:t xml:space="preserve"> </w:t>
      </w:r>
      <w:r>
        <w:rPr>
          <w:rFonts w:hint="eastAsia"/>
        </w:rPr>
        <w:t xml:space="preserve">因子へのエクスポージャーであり、債券の水準・傾き・曲率の各因子への感応度（ファクター・デュレーション）を、非線形なペイオフについて線形近似で測ったものにあたる。各スコアを同じ右辺に回帰した係数を</w:t>
      </w:r>
      <w:r>
        <w:t xml:space="preserve"> </w:t>
      </w:r>
      <m:oMath>
        <m:sSub>
          <m:e>
            <m:r>
              <m:t>γ</m:t>
            </m:r>
          </m:e>
          <m:sub>
            <m:r>
              <m:t>k</m:t>
            </m:r>
          </m:sub>
        </m:sSub>
      </m:oMath>
      <w:r>
        <w:rPr>
          <w:rFonts w:hint="eastAsia"/>
        </w:rPr>
        <w:t xml:space="preserve">（</w:t>
      </w:r>
      <m:oMath>
        <m:sSub>
          <m:e>
            <m:r>
              <m:t>f</m:t>
            </m:r>
          </m:e>
          <m:sub>
            <m:r>
              <m:t>k</m:t>
            </m:r>
            <m:r>
              <m:rPr>
                <m:sty m:val="p"/>
              </m:rPr>
              <m:t>,</m:t>
            </m:r>
            <m:r>
              <m:t>d</m:t>
            </m:r>
          </m:sub>
        </m:sSub>
        <m:r>
          <m:rPr>
            <m:sty m:val="p"/>
          </m:rPr>
          <m:t>=</m:t>
        </m:r>
        <m:sSubSup>
          <m:e>
            <m:r>
              <m:t>Z</m:t>
            </m:r>
          </m:e>
          <m:sub>
            <m:r>
              <m:t>d</m:t>
            </m:r>
          </m:sub>
          <m:sup>
            <m:r>
              <m:rPr>
                <m:sty m:val="p"/>
              </m:rPr>
              <m:t>′</m:t>
            </m:r>
          </m:sup>
        </m:sSubSup>
        <m:sSub>
          <m:e>
            <m:r>
              <m:t>γ</m:t>
            </m:r>
          </m:e>
          <m:sub>
            <m:r>
              <m:t>k</m:t>
            </m:r>
          </m:sub>
        </m:sSub>
        <m:r>
          <m:rPr>
            <m:sty m:val="p"/>
          </m:rPr>
          <m:t>+</m:t>
        </m:r>
        <m:sSubSup>
          <m:e>
            <m:r>
              <m:t>ε</m:t>
            </m:r>
          </m:e>
          <m:sub>
            <m:r>
              <m:t>k</m:t>
            </m:r>
            <m:r>
              <m:rPr>
                <m:sty m:val="p"/>
              </m:rPr>
              <m:t>,</m:t>
            </m:r>
            <m:r>
              <m:t>d</m:t>
            </m:r>
          </m:sub>
          <m:sup>
            <m:r>
              <m:rPr>
                <m:sty m:val="p"/>
              </m:rPr>
              <m:t>f</m:t>
            </m:r>
          </m:sup>
        </m:sSubSup>
      </m:oMath>
      <w:r>
        <w:t xml:space="preserve">。</w:t>
      </w:r>
      <m:oMath>
        <m:sSubSup>
          <m:e>
            <m:r>
              <m:t>ε</m:t>
            </m:r>
          </m:e>
          <m:sub>
            <m:r>
              <m:t>k</m:t>
            </m:r>
            <m:r>
              <m:rPr>
                <m:sty m:val="p"/>
              </m:rPr>
              <m:t>,</m:t>
            </m:r>
            <m:r>
              <m:t>d</m:t>
            </m:r>
          </m:sub>
          <m:sup>
            <m:r>
              <m:rPr>
                <m:sty m:val="p"/>
              </m:rPr>
              <m:t>f</m:t>
            </m:r>
          </m:sup>
        </m:sSubSup>
      </m:oMath>
      <w:r>
        <w:t xml:space="preserve"> </w:t>
      </w:r>
      <w:r>
        <w:rPr>
          <w:rFonts w:hint="eastAsia"/>
        </w:rPr>
        <w:t xml:space="preserve">はこの回帰の誤差項）とすると、</w:t>
      </w:r>
      <m:oMath>
        <m:sSub>
          <m:e>
            <m:r>
              <m:t>y</m:t>
            </m:r>
          </m:e>
          <m:sub>
            <m:r>
              <m:t>d</m:t>
            </m:r>
          </m:sub>
        </m:sSub>
      </m:oMath>
      <w:r>
        <w:t xml:space="preserve"> </w:t>
      </w:r>
      <w:r>
        <w:rPr>
          <w:rFonts w:hint="eastAsia"/>
        </w:rPr>
        <w:t xml:space="preserve">を右辺</w:t>
      </w:r>
      <w:r>
        <w:t xml:space="preserve"> </w:t>
      </w:r>
      <m:oMath>
        <m:sSub>
          <m:e>
            <m:r>
              <m:t>Z</m:t>
            </m:r>
          </m:e>
          <m:sub>
            <m:r>
              <m:t>d</m:t>
            </m:r>
          </m:sub>
        </m:sSub>
      </m:oMath>
      <w:r>
        <w:t xml:space="preserve"> </w:t>
      </w:r>
      <w:r>
        <w:rPr>
          <w:rFonts w:hint="eastAsia"/>
        </w:rPr>
        <w:t xml:space="preserve">だけに回帰した係数</w:t>
      </w:r>
      <w:r>
        <w:t xml:space="preserve"> </w:t>
      </w:r>
      <m:oMath>
        <m:acc>
          <m:accPr>
            <m:chr m:val="̃"/>
          </m:accPr>
          <m:e>
            <m:r>
              <m:t>β</m:t>
            </m:r>
          </m:e>
        </m:acc>
      </m:oMath>
      <w:r>
        <w:t xml:space="preserve"> </w:t>
      </w:r>
      <w:r>
        <w:rPr>
          <w:rFonts w:hint="eastAsia"/>
        </w:rPr>
        <w:t xml:space="preserve">は、最小二乗法の代数により標本内で厳密に次のように分かれる（欠落変数の公式）。</w:t>
      </w:r>
    </w:p>
    <w:p>
      <w:pPr>
        <w:pStyle w:val="BodyText"/>
        <w:tabs>
          <w:tab w:val="center" w:pos="4393"/>
          <w:tab w:val="right" w:pos="8787"/>
        </w:tabs>
        <w:spacing w:before="120" w:after="120" w:line="240" w:lineRule="auto"/>
        <w:ind w:firstLine="0"/>
      </w:pPr>
      <w:r>
        <w:tab/>
      </w:r>
      <m:oMath>
        <m:acc>
          <m:accPr>
            <m:chr m:val="̃"/>
          </m:accPr>
          <m:e>
            <m:r>
              <m:t>β</m:t>
            </m:r>
          </m:e>
        </m:acc>
        <m:r>
          <m:rPr>
            <m:sty m:val="p"/>
          </m:rPr>
          <m:t>=</m:t>
        </m:r>
        <m:r>
          <m:t>β</m:t>
        </m:r>
        <m:r>
          <m:rPr>
            <m:sty m:val="p"/>
          </m:rPr>
          <m:t>+</m:t>
        </m:r>
        <m:nary>
          <m:naryPr>
            <m:chr m:val="∑"/>
            <m:limLoc m:val="undOvr"/>
            <m:subHide m:val="off"/>
            <m:supHide m:val="off"/>
          </m:naryPr>
          <m:sub>
            <m:r>
              <m:t>k</m:t>
            </m:r>
            <m:r>
              <m:rPr>
                <m:sty m:val="p"/>
              </m:rPr>
              <m:t>=</m:t>
            </m:r>
            <m:r>
              <m:t>1</m:t>
            </m:r>
          </m:sub>
          <m:sup>
            <m:r>
              <m:t>5</m:t>
            </m:r>
          </m:sup>
          <m:e>
            <m:sSubSup>
              <m:e>
                <m:r>
                  <m:t>β</m:t>
                </m:r>
              </m:e>
              <m:sub>
                <m:r>
                  <m:t>k</m:t>
                </m:r>
              </m:sub>
              <m:sup>
                <m:r>
                  <m:rPr>
                    <m:sty m:val="p"/>
                  </m:rPr>
                  <m:t>f</m:t>
                </m:r>
              </m:sup>
            </m:sSubSup>
          </m:e>
        </m:nary>
        <m:sSub>
          <m:e>
            <m:r>
              <m:t>γ</m:t>
            </m:r>
          </m:e>
          <m:sub>
            <m:r>
              <m:t>k</m:t>
            </m:r>
          </m:sub>
        </m:sSub>
      </m:oMath>
      <w:r>
        <w:tab/>
      </w:r>
      <w:r>
        <w:t>(B.16)</w:t>
      </w:r>
    </w:p>
    <w:p>
      <w:pPr>
        <w:pStyle w:val="BodyText"/>
      </w:pPr>
      <w:r>
        <w:rPr>
          <w:rFonts w:hint="eastAsia"/>
        </w:rPr>
        <w:t xml:space="preserve">風力・太陽光の係数について、</w:t>
      </w:r>
      <m:oMath>
        <m:sSubSup>
          <m:e>
            <m:r>
              <m:t>β</m:t>
            </m:r>
          </m:e>
          <m:sub>
            <m:r>
              <m:t>1</m:t>
            </m:r>
          </m:sub>
          <m:sup>
            <m:r>
              <m:rPr>
                <m:sty m:val="p"/>
              </m:rPr>
              <m:t>f</m:t>
            </m:r>
          </m:sup>
        </m:sSubSup>
        <m:sSub>
          <m:e>
            <m:r>
              <m:t>γ</m:t>
            </m:r>
          </m:e>
          <m:sub>
            <m:r>
              <m:t>1</m:t>
            </m:r>
          </m:sub>
        </m:sSub>
      </m:oMath>
      <w:r>
        <w:t xml:space="preserve"> </w:t>
      </w:r>
      <w:r>
        <w:rPr>
          <w:rFonts w:hint="eastAsia"/>
        </w:rPr>
        <w:t xml:space="preserve">を水準因子経由、</w:t>
      </w:r>
      <m:oMath>
        <m:nary>
          <m:naryPr>
            <m:chr m:val="∑"/>
            <m:limLoc m:val="undOvr"/>
            <m:subHide m:val="off"/>
            <m:supHide m:val="off"/>
          </m:naryPr>
          <m:sub>
            <m:r>
              <m:t>k</m:t>
            </m:r>
            <m:r>
              <m:rPr>
                <m:sty m:val="p"/>
              </m:rPr>
              <m:t>=</m:t>
            </m:r>
            <m:r>
              <m:t>2</m:t>
            </m:r>
          </m:sub>
          <m:sup>
            <m:r>
              <m:t>5</m:t>
            </m:r>
          </m:sup>
          <m:e>
            <m:sSubSup>
              <m:e>
                <m:r>
                  <m:t>β</m:t>
                </m:r>
              </m:e>
              <m:sub>
                <m:r>
                  <m:t>k</m:t>
                </m:r>
              </m:sub>
              <m:sup>
                <m:r>
                  <m:rPr>
                    <m:sty m:val="p"/>
                  </m:rPr>
                  <m:t>f</m:t>
                </m:r>
              </m:sup>
            </m:sSubSup>
          </m:e>
        </m:nary>
        <m:sSub>
          <m:e>
            <m:r>
              <m:t>γ</m:t>
            </m:r>
          </m:e>
          <m:sub>
            <m:r>
              <m:t>k</m:t>
            </m:r>
          </m:sub>
        </m:sSub>
      </m:oMath>
      <w:r>
        <w:t xml:space="preserve"> </w:t>
      </w:r>
      <w:r>
        <w:rPr>
          <w:rFonts w:hint="eastAsia"/>
        </w:rPr>
        <w:t xml:space="preserve">を形状因子経由、</w:t>
      </w:r>
      <m:oMath>
        <m:r>
          <m:t>β</m:t>
        </m:r>
      </m:oMath>
      <w:r>
        <w:t xml:space="preserve"> </w:t>
      </w:r>
      <w:r>
        <w:rPr>
          <w:rFonts w:hint="eastAsia"/>
        </w:rPr>
        <w:t xml:space="preserve">を残差（第6主成分以下を通る線形の経路と、上位・下位4時間の並べ替え・休止による非線形性の合計）と呼ぶ。標準誤差はラグ14日の</w:t>
      </w:r>
      <w:r>
        <w:t xml:space="preserve"> Newey–West によるもので、EWC </w:t>
      </w:r>
      <w:r>
        <w:rPr>
          <w:rFonts w:hint="eastAsia"/>
        </w:rPr>
        <w:t xml:space="preserve">と2021年1月を除く感応度は求めていない。頑健性として、期間別（FY2016〜19、FY2020〜22、年度別）に主成分を求め直したエクスポージャーも示す。</w:t>
      </w:r>
    </w:p>
    <w:p>
      <w:pPr>
        <w:pStyle w:val="BodyText"/>
      </w:pPr>
      <w:r>
        <w:rPr>
          <w:rFonts w:hint="eastAsia"/>
        </w:rPr>
        <w:t xml:space="preserve">因子別の感応度は、FY2023〜25</w:t>
      </w:r>
      <w:r>
        <w:t xml:space="preserve"> </w:t>
      </w:r>
      <w:r>
        <w:rPr>
          <w:rFonts w:hint="eastAsia"/>
        </w:rPr>
        <w:t xml:space="preserve">の季節別の主成分について次の価格を作り、完全予見粗利を再計算したものである。第一に、ある成分（年度×季節の平均カーブからの日内の偏差である形状成分、全時刻に同額で効く日平均の偏差である水準成分）だけを0〜2倍した価格。第二に、時刻別の価格の偏差を風力・太陽光・需要の発電量の年度内偏差（年度×季節の平均からの偏差）に回帰した標本内の線形の応答を用い、風力または太陽光が作る価格変動だけを0〜3倍した価格。いずれも年度×季節の平均の発電量は変えない。2倍・3倍は観測された変動の幅を超えるモデル依存の外挿である。それぞれ、下限価格0.01円/kWh</w:t>
      </w:r>
      <w:r>
        <w:t xml:space="preserve"> </w:t>
      </w:r>
      <w:r>
        <w:rPr>
          <w:rFonts w:hint="eastAsia"/>
        </w:rPr>
        <w:t xml:space="preserve">で打ち切る場合と打ち切らない場合を計算する。</w:t>
      </w:r>
    </w:p>
    <w:bookmarkEnd w:id="334"/>
    <w:bookmarkStart w:id="335" w:name="b.3.8-duration-別の参入閾値"/>
    <w:p>
      <w:pPr>
        <w:pStyle w:val="Heading3"/>
      </w:pPr>
      <w:r>
        <w:t xml:space="preserve">B.3.8　duration </w:t>
      </w:r>
      <w:r>
        <w:rPr>
          <w:rFonts w:hint="eastAsia"/>
        </w:rPr>
        <w:t xml:space="preserve">別の参入閾値</w:t>
      </w:r>
    </w:p>
    <w:p>
      <w:pPr>
        <w:pStyle w:val="FirstParagraph"/>
      </w:pPr>
      <w:r>
        <w:rPr>
          <w:rFonts w:hint="eastAsia"/>
        </w:rPr>
        <w:t xml:space="preserve">充放電時間</w:t>
      </w:r>
      <w:r>
        <w:t xml:space="preserve"> </w:t>
      </w:r>
      <m:oMath>
        <m:r>
          <m:t>h</m:t>
        </m:r>
        <m:r>
          <m:rPr>
            <m:sty m:val="p"/>
          </m:rPr>
          <m:t>∈</m:t>
        </m:r>
        <m:r>
          <m:rPr>
            <m:sty m:val="p"/>
          </m:rPr>
          <m:t>{</m:t>
        </m:r>
        <m:r>
          <m:t>2</m:t>
        </m:r>
        <m:r>
          <m:rPr>
            <m:sty m:val="p"/>
          </m:rPr>
          <m:t>,</m:t>
        </m:r>
        <m:r>
          <m:rPr>
            <m:sty m:val="p"/>
          </m:rPr>
          <m:t>…</m:t>
        </m:r>
        <m:r>
          <m:rPr>
            <m:sty m:val="p"/>
          </m:rPr>
          <m:t>,</m:t>
        </m:r>
        <m:r>
          <m:t>8</m:t>
        </m:r>
        <m:r>
          <m:rPr>
            <m:sty m:val="p"/>
          </m:rPr>
          <m:t>}</m:t>
        </m:r>
      </m:oMath>
      <w:r>
        <w:t xml:space="preserve"> </w:t>
      </w:r>
      <w:r>
        <w:rPr>
          <w:rFonts w:hint="eastAsia"/>
        </w:rPr>
        <w:t xml:space="preserve">について、完全予見粗利と、窓を</w:t>
      </w:r>
      <w:r>
        <w:t xml:space="preserve"> </w:t>
      </w:r>
      <m:oMath>
        <m:r>
          <m:t>h</m:t>
        </m:r>
      </m:oMath>
      <w:r>
        <w:t xml:space="preserve"> </w:t>
      </w:r>
      <w:r>
        <w:rPr>
          <w:rFonts w:hint="eastAsia"/>
        </w:rPr>
        <w:t xml:space="preserve">時間にした戦略</w:t>
      </w:r>
      <w:r>
        <w:t xml:space="preserve"> c </w:t>
      </w:r>
      <w:r>
        <w:rPr>
          <w:rFonts w:hint="eastAsia"/>
        </w:rPr>
        <w:t xml:space="preserve">の実現粗利を実績価格（FY2023〜25）で計算し、スポット側の</w:t>
      </w:r>
      <w:r>
        <w:t xml:space="preserve"> </w:t>
      </w:r>
      <m:oMath>
        <m:r>
          <m:t>h</m:t>
        </m:r>
      </m:oMath>
      <w:r>
        <w:t xml:space="preserve"> </w:t>
      </w:r>
      <w:r>
        <w:rPr>
          <w:rFonts w:hint="eastAsia"/>
        </w:rPr>
        <w:t xml:space="preserve">別の収入とする。第7章の価格過程モデルの上でも同じ計算をし、4時間・</w:t>
      </w:r>
      <m:oMath>
        <m:r>
          <m:t>K</m:t>
        </m:r>
        <m:r>
          <m:rPr>
            <m:sty m:val="p"/>
          </m:rPr>
          <m:t>=</m:t>
        </m:r>
        <m:r>
          <m:t>0</m:t>
        </m:r>
      </m:oMath>
      <w:r>
        <w:t xml:space="preserve"> </w:t>
      </w:r>
      <w:r>
        <w:rPr>
          <w:rFonts w:hint="eastAsia"/>
        </w:rPr>
        <w:t xml:space="preserve">で実績の戦略</w:t>
      </w:r>
      <w:r>
        <w:t xml:space="preserve"> c </w:t>
      </w:r>
      <w:r>
        <w:rPr>
          <w:rFonts w:hint="eastAsia"/>
        </w:rPr>
        <w:t xml:space="preserve">に校正した値と比べる。資本費は、kWh</w:t>
      </w:r>
      <w:r>
        <w:t xml:space="preserve"> </w:t>
      </w:r>
      <w:r>
        <w:rPr>
          <w:rFonts w:hint="eastAsia"/>
        </w:rPr>
        <w:t xml:space="preserve">に比例する部分と</w:t>
      </w:r>
      <w:r>
        <w:t xml:space="preserve"> PCS </w:t>
      </w:r>
      <w:r>
        <w:rPr>
          <w:rFonts w:hint="eastAsia"/>
        </w:rPr>
        <w:t xml:space="preserve">等の</w:t>
      </w:r>
      <w:r>
        <w:t xml:space="preserve"> kW </w:t>
      </w:r>
      <w:r>
        <w:rPr>
          <w:rFonts w:hint="eastAsia"/>
        </w:rPr>
        <w:t xml:space="preserve">に比例する部分に分ける。kW</w:t>
      </w:r>
      <w:r>
        <w:t xml:space="preserve"> </w:t>
      </w:r>
      <w:r>
        <w:rPr>
          <w:rFonts w:hint="eastAsia"/>
        </w:rPr>
        <w:t xml:space="preserve">に比例する部分の比率は、経済産業省の</w:t>
      </w:r>
      <w:r>
        <w:t xml:space="preserve"> FY2024 </w:t>
      </w:r>
      <w:r>
        <w:rPr>
          <w:rFonts w:hint="eastAsia"/>
        </w:rPr>
        <w:t xml:space="preserve">の系統用蓄電池の費用内訳から0〜40%とし、主の値を24.3%とする（40%</w:t>
      </w:r>
      <w:r>
        <w:t xml:space="preserve"> </w:t>
      </w:r>
      <w:r>
        <w:rPr>
          <w:rFonts w:hint="eastAsia"/>
        </w:rPr>
        <w:t xml:space="preserve">は電池以外をすべて</w:t>
      </w:r>
      <w:r>
        <w:t xml:space="preserve"> kW </w:t>
      </w:r>
      <w:r>
        <w:rPr>
          <w:rFonts w:hint="eastAsia"/>
        </w:rPr>
        <w:t xml:space="preserve">比例とした39.7%の概数）。容量収入は、2029年度向けの北海道の容量市場の約定価格に調整係数</w:t>
      </w:r>
      <w:r>
        <w:t xml:space="preserve"> </w:t>
      </w:r>
      <m:oMath>
        <m:r>
          <m:t>κ</m:t>
        </m:r>
        <m:r>
          <m:rPr>
            <m:sty m:val="p"/>
          </m:rPr>
          <m:t>(</m:t>
        </m:r>
        <m:r>
          <m:t>h</m:t>
        </m:r>
        <m:r>
          <m:rPr>
            <m:sty m:val="p"/>
          </m:rPr>
          <m:t>)</m:t>
        </m:r>
      </m:oMath>
      <w:r>
        <w:t xml:space="preserve"> </w:t>
      </w:r>
      <w:r>
        <w:rPr>
          <w:rFonts w:hint="eastAsia"/>
        </w:rPr>
        <w:t xml:space="preserve">を掛けた値とする（3時間未満は0）。これらを第4章の損益分岐の式(4.8)に入れ、</w:t>
      </w:r>
      <m:oMath>
        <m:r>
          <m:t>K</m:t>
        </m:r>
        <m:r>
          <m:rPr>
            <m:sty m:val="p"/>
          </m:rPr>
          <m:t>=</m:t>
        </m:r>
        <m:r>
          <m:t>0</m:t>
        </m:r>
      </m:oMath>
      <w:r>
        <w:t xml:space="preserve"> </w:t>
      </w:r>
      <w:r>
        <w:rPr>
          <w:rFonts w:hint="eastAsia"/>
        </w:rPr>
        <w:t xml:space="preserve">で参入が開く価格水準係数</w:t>
      </w:r>
      <w:r>
        <w:t xml:space="preserve"> </w:t>
      </w:r>
      <m:oMath>
        <m:sSup>
          <m:e>
            <m:r>
              <m:t>θ</m:t>
            </m:r>
          </m:e>
          <m:sup>
            <m:r>
              <m:rPr>
                <m:sty m:val="p"/>
              </m:rPr>
              <m:t>*</m:t>
            </m:r>
          </m:sup>
        </m:sSup>
        <m:r>
          <m:rPr>
            <m:sty m:val="p"/>
          </m:rPr>
          <m:t>(</m:t>
        </m:r>
        <m:r>
          <m:t>h</m:t>
        </m:r>
        <m:r>
          <m:rPr>
            <m:sty m:val="p"/>
          </m:rPr>
          <m:t>)</m:t>
        </m:r>
      </m:oMath>
      <w:r>
        <w:t xml:space="preserve"> </w:t>
      </w:r>
      <w:r>
        <w:rPr>
          <w:rFonts w:hint="eastAsia"/>
        </w:rPr>
        <w:t xml:space="preserve">を求める。充放電の順序の制約と1日2サイクルを頑健性として確かめる。</w:t>
      </w:r>
    </w:p>
    <w:bookmarkEnd w:id="335"/>
    <w:bookmarkEnd w:id="336"/>
    <w:bookmarkStart w:id="342" w:name="b.4-構造型価格モデルと均衡の推定と導出第7章"/>
    <w:p>
      <w:pPr>
        <w:pStyle w:val="Heading2"/>
      </w:pPr>
      <w:r>
        <w:t xml:space="preserve">B.4　</w:t>
      </w:r>
      <w:r>
        <w:rPr>
          <w:rFonts w:hint="eastAsia"/>
        </w:rPr>
        <w:t xml:space="preserve">構造型価格モデルと均衡の推定と導出（第7章）</w:t>
      </w:r>
    </w:p>
    <w:p>
      <w:pPr>
        <w:pStyle w:val="FirstParagraph"/>
      </w:pPr>
      <w:r>
        <w:rPr>
          <w:rFonts w:hint="eastAsia"/>
        </w:rPr>
        <w:t xml:space="preserve">本節は、第7章の構造型価格モデル、フリートの内生化、均衡条件、実物オプションの参入閾値について、本文で要点だけを述べた推定の手順、導出、数値解法と検算を示す。</w:t>
      </w:r>
    </w:p>
    <w:bookmarkStart w:id="337" w:name="b.4.1-価格過程の推定"/>
    <w:p>
      <w:pPr>
        <w:pStyle w:val="Heading3"/>
      </w:pPr>
      <w:r>
        <w:t xml:space="preserve">B.4.1　</w:t>
      </w:r>
      <w:r>
        <w:rPr>
          <w:rFonts w:hint="eastAsia"/>
        </w:rPr>
        <w:t xml:space="preserve">価格過程の推定</w:t>
      </w:r>
    </w:p>
    <w:p>
      <w:pPr>
        <w:pStyle w:val="FirstParagraph"/>
      </w:pPr>
      <w:r>
        <w:rPr>
          <w:rFonts w:hint="eastAsia"/>
          <w:b/>
          <w:bCs/>
        </w:rPr>
        <w:t xml:space="preserve">供給曲線と時刻別プレミアム</w:t>
      </w:r>
      <w:r>
        <w:t xml:space="preserve">　</w:t>
      </w:r>
      <w:r>
        <w:rPr>
          <w:rFonts w:hint="eastAsia"/>
        </w:rPr>
        <w:t xml:space="preserve">供給曲線</w:t>
      </w:r>
      <w:r>
        <w:t xml:space="preserve"> </w:t>
      </w:r>
      <m:oMath>
        <m:r>
          <m:t>g</m:t>
        </m:r>
        <m:r>
          <m:rPr>
            <m:sty m:val="p"/>
          </m:rPr>
          <m:t>(</m:t>
        </m:r>
        <m:r>
          <m:rPr>
            <m:sty m:val="p"/>
          </m:rPr>
          <m:t>n</m:t>
        </m:r>
        <m:r>
          <m:rPr>
            <m:sty m:val="p"/>
          </m:rPr>
          <m:t>e</m:t>
        </m:r>
        <m:r>
          <m:rPr>
            <m:sty m:val="p"/>
          </m:rPr>
          <m:t>t</m:t>
        </m:r>
        <m:r>
          <m:rPr>
            <m:sty m:val="p"/>
          </m:rPr>
          <m:t>;</m:t>
        </m:r>
        <m:r>
          <m:rPr>
            <m:sty m:val="p"/>
          </m:rPr>
          <m:t>s</m:t>
        </m:r>
        <m:r>
          <m:rPr>
            <m:sty m:val="p"/>
          </m:rPr>
          <m:t>e</m:t>
        </m:r>
        <m:r>
          <m:rPr>
            <m:sty m:val="p"/>
          </m:rPr>
          <m:t>a</m:t>
        </m:r>
        <m:r>
          <m:rPr>
            <m:sty m:val="p"/>
          </m:rPr>
          <m:t>s</m:t>
        </m:r>
        <m:r>
          <m:rPr>
            <m:sty m:val="p"/>
          </m:rPr>
          <m:t>o</m:t>
        </m:r>
        <m:r>
          <m:rPr>
            <m:sty m:val="p"/>
          </m:rPr>
          <m:t>n</m:t>
        </m:r>
        <m:r>
          <m:rPr>
            <m:sty m:val="p"/>
          </m:rPr>
          <m:t>)</m:t>
        </m:r>
      </m:oMath>
      <w:r>
        <w:t xml:space="preserve"> </w:t>
      </w:r>
      <w:r>
        <w:rPr>
          <w:rFonts w:hint="eastAsia"/>
        </w:rPr>
        <w:t xml:space="preserve">は、気象学的な4季節（12〜2月、3〜5月、6〜8月、9〜11月）ごとに、FY2023〜25</w:t>
      </w:r>
      <w:r>
        <w:t xml:space="preserve"> </w:t>
      </w:r>
      <w:r>
        <w:rPr>
          <w:rFonts w:hint="eastAsia"/>
        </w:rPr>
        <w:t xml:space="preserve">の純需要を80分位のビンに分け、各ビンの価格の中央値を純需要について単調化して求める。時刻別プレミアム</w:t>
      </w:r>
      <w:r>
        <w:t xml:space="preserve"> </w:t>
      </w:r>
      <m:oMath>
        <m:r>
          <m:t>μ</m:t>
        </m:r>
        <m:r>
          <m:rPr>
            <m:sty m:val="p"/>
          </m:rPr>
          <m:t>(</m:t>
        </m:r>
        <m:r>
          <m:rPr>
            <m:sty m:val="p"/>
          </m:rPr>
          <m:t>s</m:t>
        </m:r>
        <m:r>
          <m:rPr>
            <m:sty m:val="p"/>
          </m:rPr>
          <m:t>e</m:t>
        </m:r>
        <m:r>
          <m:rPr>
            <m:sty m:val="p"/>
          </m:rPr>
          <m:t>a</m:t>
        </m:r>
        <m:r>
          <m:rPr>
            <m:sty m:val="p"/>
          </m:rPr>
          <m:t>s</m:t>
        </m:r>
        <m:r>
          <m:rPr>
            <m:sty m:val="p"/>
          </m:rPr>
          <m:t>o</m:t>
        </m:r>
        <m:r>
          <m:rPr>
            <m:sty m:val="p"/>
          </m:rPr>
          <m:t>n</m:t>
        </m:r>
        <m:r>
          <m:rPr>
            <m:sty m:val="p"/>
          </m:rPr>
          <m:t>,</m:t>
        </m:r>
        <m:r>
          <m:rPr>
            <m:sty m:val="p"/>
          </m:rPr>
          <m:t>h</m:t>
        </m:r>
        <m:r>
          <m:rPr>
            <m:sty m:val="p"/>
          </m:rPr>
          <m:t>o</m:t>
        </m:r>
        <m:r>
          <m:rPr>
            <m:sty m:val="p"/>
          </m:rPr>
          <m:t>u</m:t>
        </m:r>
        <m:r>
          <m:rPr>
            <m:sty m:val="p"/>
          </m:rPr>
          <m:t>r</m:t>
        </m:r>
        <m:r>
          <m:rPr>
            <m:sty m:val="p"/>
          </m:rPr>
          <m:t>)</m:t>
        </m:r>
      </m:oMath>
      <w:r>
        <w:t xml:space="preserve"> </w:t>
      </w:r>
      <w:r>
        <w:t xml:space="preserve">は、</w:t>
      </w:r>
      <m:oMath>
        <m:r>
          <m:t>g</m:t>
        </m:r>
      </m:oMath>
      <w:r>
        <w:t xml:space="preserve"> </w:t>
      </w:r>
      <w:r>
        <w:rPr>
          <w:rFonts w:hint="eastAsia"/>
        </w:rPr>
        <w:t xml:space="preserve">の残差の季節×時刻別の中央値である。水準係数付きの版では、形状</w:t>
      </w:r>
      <w:r>
        <w:t xml:space="preserve"> </w:t>
      </w:r>
      <m:oMath>
        <m:r>
          <m:t>g</m:t>
        </m:r>
      </m:oMath>
      <w:r>
        <w:t xml:space="preserve">・</w:t>
      </w:r>
      <m:oMath>
        <m:r>
          <m:t>μ</m:t>
        </m:r>
      </m:oMath>
      <w:r>
        <w:t xml:space="preserve"> </w:t>
      </w:r>
      <w:r>
        <w:t xml:space="preserve">を</w:t>
      </w:r>
      <w:r>
        <w:t xml:space="preserve"> </w:t>
      </w:r>
      <m:oMath>
        <m:r>
          <m:t>θ</m:t>
        </m:r>
      </m:oMath>
      <w:r>
        <w:t xml:space="preserve"> </w:t>
      </w:r>
      <w:r>
        <w:rPr>
          <w:rFonts w:hint="eastAsia"/>
        </w:rPr>
        <w:t xml:space="preserve">で割り戻した価格に対して推定し、</w:t>
      </w:r>
      <m:oMath>
        <m:r>
          <m:t>θ</m:t>
        </m:r>
      </m:oMath>
      <w:r>
        <w:t xml:space="preserve"> </w:t>
      </w:r>
      <w:r>
        <w:rPr>
          <w:rFonts w:hint="eastAsia"/>
        </w:rPr>
        <w:t xml:space="preserve">と形状を交互に更新して、FY2023〜25</w:t>
      </w:r>
      <w:r>
        <w:t xml:space="preserve"> </w:t>
      </w:r>
      <w:r>
        <w:rPr>
          <w:rFonts w:hint="eastAsia"/>
        </w:rPr>
        <w:t xml:space="preserve">の時間加重平均の</w:t>
      </w:r>
      <w:r>
        <w:t xml:space="preserve"> </w:t>
      </w:r>
      <m:oMath>
        <m:r>
          <m:t>θ</m:t>
        </m:r>
      </m:oMath>
      <w:r>
        <w:t xml:space="preserve"> </w:t>
      </w:r>
      <w:r>
        <w:rPr>
          <w:rFonts w:hint="eastAsia"/>
        </w:rPr>
        <w:t xml:space="preserve">が1になるよう正規化する。年度別・月次の水準係数</w:t>
      </w:r>
      <w:r>
        <w:t xml:space="preserve"> </w:t>
      </w:r>
      <m:oMath>
        <m:r>
          <m:t>θ</m:t>
        </m:r>
      </m:oMath>
      <w:r>
        <w:t xml:space="preserve"> </w:t>
      </w:r>
      <w:r>
        <w:rPr>
          <w:rFonts w:hint="eastAsia"/>
        </w:rPr>
        <w:t xml:space="preserve">は、基準価格が3円/kWh</w:t>
      </w:r>
      <w:r>
        <w:t xml:space="preserve"> </w:t>
      </w:r>
      <w:r>
        <w:rPr>
          <w:rFonts w:hint="eastAsia"/>
        </w:rPr>
        <w:t xml:space="preserve">以上で下限価格に張り付いていない時間について、実績価格をモデル価格に原点回帰して推定する。外部の物価指数によらない価格水準指数である。限界参入者の粗収益は</w:t>
      </w:r>
      <w:r>
        <w:t xml:space="preserve"> </w:t>
      </w:r>
      <m:oMath>
        <m:r>
          <m:t>θ</m:t>
        </m:r>
      </m:oMath>
      <w:r>
        <w:t xml:space="preserve"> </w:t>
      </w:r>
      <w:r>
        <w:rPr>
          <w:rFonts w:hint="eastAsia"/>
        </w:rPr>
        <w:t xml:space="preserve">にほぼ比例し、</w:t>
      </w:r>
      <m:oMath>
        <m:r>
          <m:t>θ</m:t>
        </m:r>
      </m:oMath>
      <w:r>
        <w:t xml:space="preserve">=1.57・1.72・3.0 </w:t>
      </w:r>
      <w:r>
        <w:rPr>
          <w:rFonts w:hint="eastAsia"/>
        </w:rPr>
        <w:t xml:space="preserve">で直接計算した値と比例と置いた値の比は0.998〜1.002</w:t>
      </w:r>
      <w:r>
        <w:t xml:space="preserve"> </w:t>
      </w:r>
      <w:r>
        <w:rPr>
          <w:rFonts w:hint="eastAsia"/>
        </w:rPr>
        <w:t xml:space="preserve">である。比例と置いて求めた</w:t>
      </w:r>
      <w:r>
        <w:t xml:space="preserve"> </w:t>
      </w:r>
      <m:oMath>
        <m:sSup>
          <m:e>
            <m:r>
              <m:t>θ</m:t>
            </m:r>
          </m:e>
          <m:sup>
            <m:r>
              <m:rPr>
                <m:sty m:val="p"/>
              </m:rPr>
              <m:t>*</m:t>
            </m:r>
          </m:sup>
        </m:sSup>
      </m:oMath>
      <w:r>
        <w:t xml:space="preserve"> </w:t>
      </w:r>
      <w:r>
        <w:t xml:space="preserve">と、</w:t>
      </w:r>
      <m:oMath>
        <m:r>
          <m:t>θ</m:t>
        </m:r>
      </m:oMath>
      <w:r>
        <w:t xml:space="preserve"> </w:t>
      </w:r>
      <w:r>
        <w:rPr>
          <w:rFonts w:hint="eastAsia"/>
        </w:rPr>
        <w:t xml:space="preserve">ごとに戦略</w:t>
      </w:r>
      <w:r>
        <w:t xml:space="preserve"> c </w:t>
      </w:r>
      <w:r>
        <w:rPr>
          <w:rFonts w:hint="eastAsia"/>
        </w:rPr>
        <w:t xml:space="preserve">を計算し直して求めた直接解の差は、</w:t>
      </w:r>
      <m:oMath>
        <m:r>
          <m:t>K</m:t>
        </m:r>
        <m:r>
          <m:rPr>
            <m:sty m:val="p"/>
          </m:rPr>
          <m:t>=</m:t>
        </m:r>
        <m:r>
          <m:t>0</m:t>
        </m:r>
      </m:oMath>
      <w:r>
        <w:t xml:space="preserve"> </w:t>
      </w:r>
      <w:r>
        <w:rPr>
          <w:rFonts w:hint="eastAsia"/>
        </w:rPr>
        <w:t xml:space="preserve">では、式(4.8)の</w:t>
      </w:r>
      <w:r>
        <w:t xml:space="preserve"> WACC 6% の</w:t>
      </w:r>
      <w:r>
        <w:t xml:space="preserve"> </w:t>
      </w:r>
      <m:oMath>
        <m:sSup>
          <m:e>
            <m:r>
              <m:t>θ</m:t>
            </m:r>
          </m:e>
          <m:sup>
            <m:r>
              <m:rPr>
                <m:sty m:val="p"/>
              </m:rPr>
              <m:t>*</m:t>
            </m:r>
          </m:sup>
        </m:sSup>
      </m:oMath>
      <w:r>
        <w:rPr>
          <w:rFonts w:hint="eastAsia"/>
        </w:rPr>
        <w:t xml:space="preserve">（2.99）でも第7章の標準・楽観・保守ケースの</w:t>
      </w:r>
      <w:r>
        <w:t xml:space="preserve"> </w:t>
      </w:r>
      <m:oMath>
        <m:sSup>
          <m:e>
            <m:r>
              <m:t>θ</m:t>
            </m:r>
          </m:e>
          <m:sup>
            <m:r>
              <m:rPr>
                <m:sty m:val="p"/>
              </m:rPr>
              <m:t>*</m:t>
            </m:r>
          </m:sup>
        </m:sSup>
      </m:oMath>
      <w:r>
        <w:rPr>
          <w:rFonts w:hint="eastAsia"/>
        </w:rPr>
        <w:t xml:space="preserve">（2.82・2.52・3.61）でも0.001以下である。外生の契約型容量</w:t>
      </w:r>
      <w:r>
        <w:t xml:space="preserve"> </w:t>
      </w:r>
      <m:oMath>
        <m:sSub>
          <m:e>
            <m:r>
              <m:t>K</m:t>
            </m:r>
          </m:e>
          <m:sub>
            <m:r>
              <m:rPr>
                <m:sty m:val="p"/>
              </m:rPr>
              <m:t>e</m:t>
            </m:r>
            <m:r>
              <m:rPr>
                <m:sty m:val="p"/>
              </m:rPr>
              <m:t>x</m:t>
            </m:r>
            <m:r>
              <m:rPr>
                <m:sty m:val="p"/>
              </m:rPr>
              <m:t>o</m:t>
            </m:r>
          </m:sub>
        </m:sSub>
      </m:oMath>
      <w:r>
        <w:t xml:space="preserve"> </w:t>
      </w:r>
      <w:r>
        <w:rPr>
          <w:rFonts w:hint="eastAsia"/>
        </w:rPr>
        <w:t xml:space="preserve">の上で求めた</w:t>
      </w:r>
      <w:r>
        <w:t xml:space="preserve"> </w:t>
      </w:r>
      <m:oMath>
        <m:sSup>
          <m:e>
            <m:r>
              <m:t>θ</m:t>
            </m:r>
          </m:e>
          <m:sup>
            <m:r>
              <m:rPr>
                <m:sty m:val="p"/>
              </m:rPr>
              <m:t>*</m:t>
            </m:r>
          </m:sup>
        </m:sSup>
      </m:oMath>
      <w:r>
        <w:rPr>
          <w:rFonts w:hint="eastAsia"/>
        </w:rPr>
        <w:t xml:space="preserve">（付録B.4.4）では、差は大きくなるが0.03以下にとどまる。</w:t>
      </w:r>
    </w:p>
    <w:p>
      <w:pPr>
        <w:pStyle w:val="BodyText"/>
      </w:pPr>
      <w:r>
        <w:rPr>
          <w:rFonts w:hint="eastAsia"/>
          <w:b/>
          <w:bCs/>
        </w:rPr>
        <w:t xml:space="preserve">上端と下端の置き方</w:t>
      </w:r>
      <w:r>
        <w:t xml:space="preserve">　</w:t>
      </w:r>
      <w:r>
        <w:rPr>
          <w:rFonts w:hint="eastAsia"/>
        </w:rPr>
        <w:t xml:space="preserve">各季節の最上位ビンの中心より高い純需要では価格を一定とする。Kanamura</w:t>
      </w:r>
      <w:r>
        <w:t xml:space="preserve"> and </w:t>
      </w:r>
      <w:r>
        <w:rPr>
          <w:rFonts w:hint="eastAsia"/>
        </w:rPr>
        <w:t xml:space="preserve">Ohashi（2007）のホッケースティック型とは逆の、上端を平らにする仮定である。感応度として、上端を最上位8ビンの傾き、その2倍の傾き、実績の季節別の上位十分位の傾き、上端の傾きの上限（冬0.81・夏1.15円/kWh</w:t>
      </w:r>
      <w:r>
        <w:t xml:space="preserve"> per </w:t>
      </w:r>
      <w:r>
        <w:rPr>
          <w:rFonts w:hint="eastAsia"/>
        </w:rPr>
        <w:t xml:space="preserve">100MW）で線形外挿する場合を計算した（付録C.3.3）。各季節の最下位ビンの中心（冬1,460MW、春462MW、夏740MW、秋526MW）より低い純需要では</w:t>
      </w:r>
      <w:r>
        <w:t xml:space="preserve"> </w:t>
      </w:r>
      <m:oMath>
        <m:r>
          <m:t>g</m:t>
        </m:r>
      </m:oMath>
      <w:r>
        <w:t xml:space="preserve"> </w:t>
      </w:r>
      <w:r>
        <w:rPr>
          <w:rFonts w:hint="eastAsia"/>
        </w:rPr>
        <w:t xml:space="preserve">を識別できないので、基本の仕様はこの範囲を0.01円とする。感応度として、下端を最下位の打ち切られていない8ビン（各季節の時間の約1割）の傾きで線形外挿した仕様を、下限0.01円を残す場合と外す場合の二通りで計算した。後者と前者の差が、下限価格が削る価値である。下限を外した仕様の負の価格の深さは下端の傾きで決まる。</w:t>
      </w:r>
    </w:p>
    <w:p>
      <w:pPr>
        <w:pStyle w:val="BodyText"/>
      </w:pPr>
      <w:r>
        <w:rPr>
          <w:rFonts w:hint="eastAsia"/>
          <w:b/>
          <w:bCs/>
        </w:rPr>
        <w:t xml:space="preserve">市場分断のレジーム</w:t>
      </w:r>
      <w:r>
        <w:t xml:space="preserve">　</w:t>
      </w:r>
      <w:r>
        <w:rPr>
          <w:rFonts w:hint="eastAsia"/>
        </w:rPr>
        <w:t xml:space="preserve">システムプライスに対する安値・同価格・高値の3レジームの確率を、純需要の2次の多項ロジットで推定する。分断混合仕様では、レジームをこの確率で時間ごとに独立に引き（乱数種は固定し、シナリオ間は共通乱数とする）、同価格の時間にはシステムプライスを外生に当てる。乱数種による完全予見粗利の変化の標準偏差は約30〜50円/kW-年である。実績のレジームは持続する（次の時間も同じレジームである確率は、実績0.82に対し独立な抽出では0.52）ので、前の時間のレジームに条件づけたマルコフ型の抽出を感応度とする。レジームの構成を60分値（2コマの平均）で北海道エリアプライスとシステムプライスの差が±0.01円以内かどうかで分けると、安値分断29%・連系7%・高値分断64%であり、30分コマの構成（高値62%・同価格11%・安値27%）より連系が少ない。1時間のうち一方のコマだけが分断した時間が分断に数えられるためで、分断の方向の構成は第5章の結果と整合する。</w:t>
      </w:r>
    </w:p>
    <w:p>
      <w:pPr>
        <w:pStyle w:val="BodyText"/>
      </w:pPr>
      <w:r>
        <w:rPr>
          <w:rFonts w:hint="eastAsia"/>
          <w:b/>
          <w:bCs/>
        </w:rPr>
        <w:t xml:space="preserve">出力制御前の発電量</w:t>
      </w:r>
      <w:r>
        <w:t xml:space="preserve">　</w:t>
      </w:r>
      <w:r>
        <w:rPr>
          <w:rFonts w:hint="eastAsia"/>
        </w:rPr>
        <w:t xml:space="preserve">出力制御前の太陽光・風力は、設備利用率</w:t>
      </w:r>
      <w:r>
        <w:t xml:space="preserve"> </w:t>
      </w:r>
      <m:oMath>
        <m:r>
          <m:rPr>
            <m:sty m:val="p"/>
          </m:rPr>
          <m:t>c</m:t>
        </m:r>
        <m:r>
          <m:rPr>
            <m:sty m:val="p"/>
          </m:rPr>
          <m:t>f</m:t>
        </m:r>
      </m:oMath>
      <w:r>
        <w:t xml:space="preserve"> </w:t>
      </w:r>
      <w:r>
        <w:rPr>
          <w:rFonts w:hint="eastAsia"/>
        </w:rPr>
        <w:t xml:space="preserve">に導入量を掛けた形で表す。</w:t>
      </w:r>
      <m:oMath>
        <m:r>
          <m:rPr>
            <m:sty m:val="p"/>
          </m:rPr>
          <m:t>c</m:t>
        </m:r>
        <m:r>
          <m:rPr>
            <m:sty m:val="p"/>
          </m:rPr>
          <m:t>f</m:t>
        </m:r>
      </m:oMath>
      <w:r>
        <w:t xml:space="preserve"> </w:t>
      </w:r>
      <w:r>
        <w:rPr>
          <w:rFonts w:hint="eastAsia"/>
        </w:rPr>
        <w:t xml:space="preserve">の分母の導入量（固定価格買取制度・市場連動型の認定容量）は、計上の時期が出力に遅れる月がある。主の分析は補正前の系列を用い、計上時期を補正した系列による結果を感応度とする（現行の風力導入量は121万kW</w:t>
      </w:r>
      <w:r>
        <w:t xml:space="preserve"> </w:t>
      </w:r>
      <w:r>
        <w:rPr>
          <w:rFonts w:hint="eastAsia"/>
        </w:rPr>
        <w:t xml:space="preserve">から125万kW</w:t>
      </w:r>
      <w:r>
        <w:t xml:space="preserve"> </w:t>
      </w:r>
      <w:r>
        <w:rPr>
          <w:rFonts w:hint="eastAsia"/>
        </w:rPr>
        <w:t xml:space="preserve">になる）。</w:t>
      </w:r>
    </w:p>
    <w:p>
      <w:pPr>
        <w:pStyle w:val="BodyText"/>
      </w:pPr>
      <w:r>
        <w:rPr>
          <w:rFonts w:hint="eastAsia"/>
          <w:b/>
          <w:bCs/>
        </w:rPr>
        <w:t xml:space="preserve">期間外の検証</w:t>
      </w:r>
      <w:r>
        <w:t xml:space="preserve">　</w:t>
      </w:r>
      <w:r>
        <w:rPr>
          <w:rFonts w:hint="eastAsia"/>
        </w:rPr>
        <w:t xml:space="preserve">推定期間外の検証は、Lago</w:t>
      </w:r>
      <w:r>
        <w:t xml:space="preserve"> et </w:t>
      </w:r>
      <w:r>
        <w:rPr>
          <w:rFonts w:hint="eastAsia"/>
        </w:rPr>
        <w:t xml:space="preserve">al.（2021）の作法（最終区間・1年以上）に従うべきところ、FY2026上期は3か月分にとどまり、検証の対象も形状に限られる。したがってこの検証は暫定的なものである。</w:t>
      </w:r>
    </w:p>
    <w:p>
      <w:pPr>
        <w:pStyle w:val="BodyText"/>
      </w:pPr>
      <w:r>
        <w:rPr>
          <w:rFonts w:hint="eastAsia"/>
          <w:b/>
          <w:bCs/>
        </w:rPr>
        <w:t xml:space="preserve">条件付き応答の検証と仕様A′</w:t>
      </w:r>
      <w:r>
        <w:t xml:space="preserve">　FY2023〜25 </w:t>
      </w:r>
      <w:r>
        <w:rPr>
          <w:rFonts w:hint="eastAsia"/>
        </w:rPr>
        <w:t xml:space="preserve">の1,096日について、実績価格とモデル価格の日次の指標（日平均、上位4時間・下位4時間の平均価格、TB4h、完全予見粗利）に第5章の主仕様（季節×出力制御前の太陽光・風力発電量、需要、年度・季節の固定効果）と年月固定効果の仕様を当てる。差（モデル−実績）の系列を同じ右辺に回帰して差そのものを検定し、推論は</w:t>
      </w:r>
      <w:r>
        <w:t xml:space="preserve"> </w:t>
      </w:r>
      <w:r>
        <w:rPr>
          <w:rFonts w:hint="eastAsia"/>
        </w:rPr>
        <w:t xml:space="preserve">EWC（</w:t>
      </w:r>
      <m:oMath>
        <m:r>
          <m:t>ν</m:t>
        </m:r>
        <m:r>
          <m:rPr>
            <m:sty m:val="p"/>
          </m:rPr>
          <m:t>=</m:t>
        </m:r>
        <m:r>
          <m:t>42</m:t>
        </m:r>
      </m:oMath>
      <w:r>
        <w:t xml:space="preserve">、t </w:t>
      </w:r>
      <w:r>
        <w:rPr>
          <w:rFonts w:hint="eastAsia"/>
        </w:rPr>
        <w:t xml:space="preserve">分布）、風力の3季節の族には</w:t>
      </w:r>
      <w:r>
        <w:t xml:space="preserve"> </w:t>
      </w:r>
      <w:r>
        <w:rPr>
          <w:rFonts w:hint="eastAsia"/>
        </w:rPr>
        <w:t xml:space="preserve">Holm（1979）の補正を当てる。判定の基準は、両仕様のどちらでも全季節・全指標で差の</w:t>
      </w:r>
      <w:r>
        <w:t xml:space="preserve"> p </w:t>
      </w:r>
      <w:r>
        <w:rPr>
          <w:rFonts w:hint="eastAsia"/>
        </w:rPr>
        <w:t xml:space="preserve">が0.10を上回ることである。有意でないことは一致を意味しないので、差の点推定と区間も報告する。仕様A′</w:t>
      </w:r>
      <w:r>
        <w:t xml:space="preserve"> は、</w:t>
      </w:r>
      <m:oMath>
        <m:r>
          <m:t>μ</m:t>
        </m:r>
      </m:oMath>
      <w:r>
        <w:t xml:space="preserve"> </w:t>
      </w:r>
      <w:r>
        <w:rPr>
          <w:rFonts w:hint="eastAsia"/>
        </w:rPr>
        <w:t xml:space="preserve">を（季節、時刻、日次の出力制御前の風力発電量の三分位）に依存させる。三分位の境界は季節ごとに</w:t>
      </w:r>
      <w:r>
        <w:t xml:space="preserve"> FY2023〜25 </w:t>
      </w:r>
      <w:r>
        <w:rPr>
          <w:rFonts w:hint="eastAsia"/>
        </w:rPr>
        <w:t xml:space="preserve">で定め、</w:t>
      </w:r>
      <m:oMath>
        <m:r>
          <m:t>μ</m:t>
        </m:r>
      </m:oMath>
      <w:r>
        <w:t xml:space="preserve"> </w:t>
      </w:r>
      <w:r>
        <w:t xml:space="preserve">は</w:t>
      </w:r>
      <w:r>
        <w:t xml:space="preserve"> </w:t>
      </w:r>
      <m:oMath>
        <m:r>
          <m:t>θ</m:t>
        </m:r>
      </m:oMath>
      <w:r>
        <w:t xml:space="preserve"> </w:t>
      </w:r>
      <w:r>
        <w:rPr>
          <w:rFonts w:hint="eastAsia"/>
        </w:rPr>
        <w:t xml:space="preserve">で割り戻した価格の</w:t>
      </w:r>
      <w:r>
        <w:t xml:space="preserve"> </w:t>
      </w:r>
      <m:oMath>
        <m:r>
          <m:t>g</m:t>
        </m:r>
      </m:oMath>
      <w:r>
        <w:t xml:space="preserve"> </w:t>
      </w:r>
      <w:r>
        <w:rPr>
          <w:rFonts w:hint="eastAsia"/>
        </w:rPr>
        <w:t xml:space="preserve">の残差の平均とする。風力の反実仮想では、日次の風力が境界を越えると上の三分位の</w:t>
      </w:r>
      <w:r>
        <w:t xml:space="preserve"> </w:t>
      </w:r>
      <m:oMath>
        <m:r>
          <m:t>μ</m:t>
        </m:r>
      </m:oMath>
      <w:r>
        <w:t xml:space="preserve"> </w:t>
      </w:r>
      <w:r>
        <w:rPr>
          <w:rFonts w:hint="eastAsia"/>
        </w:rPr>
        <w:t xml:space="preserve">を使い、最上位の三分位より先へは外挿しない。仕様A′</w:t>
      </w:r>
      <w:r>
        <w:t xml:space="preserve"> </w:t>
      </w:r>
      <w:r>
        <w:rPr>
          <w:rFonts w:hint="eastAsia"/>
        </w:rPr>
        <w:t xml:space="preserve">は状態変数・分位数・統計量の組合せを試して選んだので、</w:t>
      </w:r>
      <m:oMath>
        <m:r>
          <m:t>μ</m:t>
        </m:r>
      </m:oMath>
      <w:r>
        <w:t xml:space="preserve"> </w:t>
      </w:r>
      <w:r>
        <w:rPr>
          <w:rFonts w:hint="eastAsia"/>
        </w:rPr>
        <w:t xml:space="preserve">を年度抜き取りで推定した版も示す。</w:t>
      </w:r>
    </w:p>
    <w:bookmarkEnd w:id="337"/>
    <w:bookmarkStart w:id="338" w:name="b.4.2-完全予見粗利の恒等式と下限価格"/>
    <w:p>
      <w:pPr>
        <w:pStyle w:val="Heading3"/>
      </w:pPr>
      <w:r>
        <w:t xml:space="preserve">B.4.2　</w:t>
      </w:r>
      <w:r>
        <w:rPr>
          <w:rFonts w:hint="eastAsia"/>
        </w:rPr>
        <w:t xml:space="preserve">完全予見粗利の恒等式と下限価格</w:t>
      </w:r>
    </w:p>
    <w:p>
      <w:pPr>
        <w:pStyle w:val="FirstParagraph"/>
      </w:pPr>
      <w:r>
        <w:rPr>
          <w:rFonts w:hint="eastAsia"/>
        </w:rPr>
        <w:t xml:space="preserve">稼働日の恒等式（本文の式(7.1)）の導出と、損失を上位4時間の価格で評価する別の分け方（4·ΔTB4h</w:t>
      </w:r>
      <w:r>
        <w:t xml:space="preserve"> と −0.6·Δ</w:t>
      </w:r>
      <m:oMath>
        <m:r>
          <m:t>T</m:t>
        </m:r>
      </m:oMath>
      <w:r>
        <w:rPr>
          <w:rFonts w:hint="eastAsia"/>
        </w:rPr>
        <w:t xml:space="preserve">）は、付録B.1.1</w:t>
      </w:r>
      <w:r>
        <w:t xml:space="preserve"> </w:t>
      </w:r>
      <w:r>
        <w:rPr>
          <w:rFonts w:hint="eastAsia"/>
        </w:rPr>
        <w:t xml:space="preserve">に示した。全時刻に同じ額を足すと、上位・下位の時間の選択は変わらず、稼働日の粗利は1円/kWh</w:t>
      </w:r>
      <w:r>
        <w:t xml:space="preserve"> </w:t>
      </w:r>
      <w:r>
        <w:rPr>
          <w:rFonts w:hint="eastAsia"/>
        </w:rPr>
        <w:t xml:space="preserve">あたり0.6円/kW-日だけ変わるので、実績価格を一様に</w:t>
      </w:r>
      <w:r>
        <w:t xml:space="preserve"> </w:t>
      </w:r>
      <m:oMath>
        <m:r>
          <m:rPr>
            <m:sty m:val="p"/>
          </m:rPr>
          <m:t>Δ</m:t>
        </m:r>
        <m:r>
          <m:t>p</m:t>
        </m:r>
      </m:oMath>
      <w:r>
        <w:t xml:space="preserve"> </w:t>
      </w:r>
      <w:r>
        <w:rPr>
          <w:rFonts w:hint="eastAsia"/>
        </w:rPr>
        <w:t xml:space="preserve">円/kWh</w:t>
      </w:r>
      <w:r>
        <w:t xml:space="preserve"> </w:t>
      </w:r>
      <w:r>
        <w:rPr>
          <w:rFonts w:hint="eastAsia"/>
        </w:rPr>
        <w:t xml:space="preserve">下げて打ち切らない場合の完全予見粗利の増分は、1円あたり</w:t>
      </w:r>
      <w:r>
        <w:t xml:space="preserve"> </w:t>
      </w:r>
      <m:oMath>
        <m:r>
          <m:t>0.6</m:t>
        </m:r>
        <m:r>
          <m:rPr>
            <m:sty m:val="p"/>
          </m:rPr>
          <m:t>×</m:t>
        </m:r>
        <m:r>
          <m:t>365</m:t>
        </m:r>
        <m:r>
          <m:rPr>
            <m:sty m:val="p"/>
          </m:rPr>
          <m:t>=</m:t>
        </m:r>
        <m:r>
          <m:t>219</m:t>
        </m:r>
      </m:oMath>
      <w:r>
        <w:t xml:space="preserve"> </w:t>
      </w:r>
      <w:r>
        <w:rPr>
          <w:rFonts w:hint="eastAsia"/>
        </w:rPr>
        <w:t xml:space="preserve">円/kW-年になる。約定価格は潜在価格</w:t>
      </w:r>
      <w:r>
        <w:t xml:space="preserve"> </w:t>
      </w:r>
      <m:oMath>
        <m:sSub>
          <m:e>
            <m:acc>
              <m:accPr>
                <m:chr m:val="̃"/>
              </m:accPr>
              <m:e>
                <m:r>
                  <m:t>p</m:t>
                </m:r>
              </m:e>
            </m:acc>
          </m:e>
          <m:sub>
            <m:r>
              <m:t>t</m:t>
            </m:r>
          </m:sub>
        </m:sSub>
      </m:oMath>
      <w:r>
        <w:t xml:space="preserve"> </w:t>
      </w:r>
      <w:r>
        <w:rPr>
          <w:rFonts w:hint="eastAsia"/>
        </w:rPr>
        <w:t xml:space="preserve">と0.01円の大きいほうであり、式(9.3)のように、潜在価格と行使価格0.01円のプットのペイオフの和に分けられる。したがって充電する蓄電池は、充電脚でこのプットを売った形になる。</w:t>
      </w:r>
    </w:p>
    <w:bookmarkEnd w:id="338"/>
    <w:bookmarkStart w:id="339" w:name="b.4.3-フリートの内生化と実績整合ケース"/>
    <w:p>
      <w:pPr>
        <w:pStyle w:val="Heading3"/>
      </w:pPr>
      <w:r>
        <w:t xml:space="preserve">B.4.3　</w:t>
      </w:r>
      <w:r>
        <w:rPr>
          <w:rFonts w:hint="eastAsia"/>
        </w:rPr>
        <w:t xml:space="preserve">フリートの内生化と実績整合ケース</w:t>
      </w:r>
    </w:p>
    <w:p>
      <w:pPr>
        <w:pStyle w:val="FirstParagraph"/>
      </w:pPr>
      <w:r>
        <w:rPr>
          <w:rFonts w:hint="eastAsia"/>
          <w:b/>
          <w:bCs/>
        </w:rPr>
        <w:t xml:space="preserve">増分貪欲ディスパッチ</w:t>
      </w:r>
      <w:r>
        <w:t xml:space="preserve">　</w:t>
      </w:r>
      <w:r>
        <w:rPr>
          <w:rFonts w:hint="eastAsia"/>
        </w:rPr>
        <w:t xml:space="preserve">フリート容量</w:t>
      </w:r>
      <w:r>
        <w:t xml:space="preserve"> </w:t>
      </w:r>
      <m:oMath>
        <m:r>
          <m:t>K</m:t>
        </m:r>
      </m:oMath>
      <w:r>
        <w:t xml:space="preserve"> </w:t>
      </w:r>
      <w:r>
        <w:rPr>
          <w:rFonts w:hint="eastAsia"/>
        </w:rPr>
        <w:t xml:space="preserve">は0〜150万kW</w:t>
      </w:r>
      <w:r>
        <w:t xml:space="preserve"> </w:t>
      </w:r>
      <w:r>
        <w:rPr>
          <w:rFonts w:hint="eastAsia"/>
        </w:rPr>
        <w:t xml:space="preserve">の各整数（万kW）で評価し、それより大きい</w:t>
      </w:r>
      <w:r>
        <w:t xml:space="preserve"> </w:t>
      </w:r>
      <m:oMath>
        <m:r>
          <m:t>K</m:t>
        </m:r>
      </m:oMath>
      <w:r>
        <w:t xml:space="preserve"> </w:t>
      </w:r>
      <w:r>
        <w:rPr>
          <w:rFonts w:hint="eastAsia"/>
        </w:rPr>
        <w:t xml:space="preserve">は10万kW</w:t>
      </w:r>
      <w:r>
        <w:t xml:space="preserve"> </w:t>
      </w:r>
      <w:r>
        <w:rPr>
          <w:rFonts w:hint="eastAsia"/>
        </w:rPr>
        <w:t xml:space="preserve">ごとに評価する。各増分は、その時点の価格で最安4時間に充電し、最高4時間に放電して（粗利が正の日のみ）、純需要と価格を更新する。1パスで充放電の窓を固定する近似では、大容量でフリートが安値の時間を高値に反転させ、</w:t>
      </w:r>
      <m:oMath>
        <m:r>
          <m:t>π</m:t>
        </m:r>
        <m:r>
          <m:rPr>
            <m:sty m:val="p"/>
          </m:rPr>
          <m:t>(</m:t>
        </m:r>
        <m:r>
          <m:t>K</m:t>
        </m:r>
        <m:r>
          <m:rPr>
            <m:sty m:val="p"/>
          </m:rPr>
          <m:t>)</m:t>
        </m:r>
      </m:oMath>
      <w:r>
        <w:t xml:space="preserve"> </w:t>
      </w:r>
      <w:r>
        <w:rPr>
          <w:rFonts w:hint="eastAsia"/>
        </w:rPr>
        <w:t xml:space="preserve">が偽の上昇を示したので、増分化によって単調な減衰を確保した。刻み幅の感応度（10・5・2.5・0.5万kW）は付録C.3.5</w:t>
      </w:r>
      <w:r>
        <w:t xml:space="preserve"> </w:t>
      </w:r>
      <w:r>
        <w:rPr>
          <w:rFonts w:hint="eastAsia"/>
        </w:rPr>
        <w:t xml:space="preserve">に示す。</w:t>
      </w:r>
    </w:p>
    <w:p>
      <w:pPr>
        <w:pStyle w:val="BodyText"/>
      </w:pPr>
      <w:r>
        <w:rPr>
          <w:rFonts w:hint="eastAsia"/>
          <w:b/>
          <w:bCs/>
        </w:rPr>
        <w:t xml:space="preserve">限界参入者の戦略</w:t>
      </w:r>
      <w:r>
        <w:rPr>
          <w:b/>
          <w:bCs/>
        </w:rPr>
        <w:t xml:space="preserve"> c</w:t>
      </w:r>
      <w:r>
        <w:t xml:space="preserve">　</w:t>
      </w:r>
      <w:r>
        <w:rPr>
          <w:rFonts w:hint="eastAsia"/>
        </w:rPr>
        <w:t xml:space="preserve">限界参入者の粗利</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は、フリート投入後のモデル価格の上で戦略</w:t>
      </w:r>
      <w:r>
        <w:t xml:space="preserve"> </w:t>
      </w:r>
      <w:r>
        <w:rPr>
          <w:rFonts w:hint="eastAsia"/>
        </w:rPr>
        <w:t xml:space="preserve">c（過去28日・同じ曜日区分の平均価格のランクで前日に窓を固定する）を実行して求める。最初の履歴には、FY2022</w:t>
      </w:r>
      <w:r>
        <w:t xml:space="preserve"> </w:t>
      </w:r>
      <w:r>
        <w:rPr>
          <w:rFonts w:hint="eastAsia"/>
        </w:rPr>
        <w:t xml:space="preserve">末のモデル価格を使う。実績の戦略</w:t>
      </w:r>
      <w:r>
        <w:t xml:space="preserve"> c </w:t>
      </w:r>
      <w:r>
        <w:rPr>
          <w:rFonts w:hint="eastAsia"/>
        </w:rPr>
        <w:t xml:space="preserve">の実現額8,427円/kW-年は、モデルの完全予見粗利8,265円の1.02倍にあたる（6.8節）。</w:t>
      </w:r>
    </w:p>
    <w:p>
      <w:pPr>
        <w:pStyle w:val="BodyText"/>
      </w:pPr>
      <w:r>
        <w:rPr>
          <w:rFonts w:hint="eastAsia"/>
          <w:b/>
          <w:bCs/>
        </w:rPr>
        <w:t xml:space="preserve">校正係数</w:t>
      </w:r>
      <w:r>
        <w:t xml:space="preserve">　</w:t>
      </w:r>
      <m:oMath>
        <m:r>
          <m:t>λ</m:t>
        </m:r>
      </m:oMath>
      <w:r>
        <w:t xml:space="preserve"> </w:t>
      </w:r>
      <w:r>
        <w:t xml:space="preserve">は、</w:t>
      </w:r>
      <m:oMath>
        <m:r>
          <m:t>K</m:t>
        </m:r>
        <m:r>
          <m:rPr>
            <m:sty m:val="p"/>
          </m:rPr>
          <m:t>=</m:t>
        </m:r>
        <m:r>
          <m:t>0</m:t>
        </m:r>
      </m:oMath>
      <w:r>
        <w:t xml:space="preserve">・</w:t>
      </w:r>
      <m:oMath>
        <m:r>
          <m:t>θ</m:t>
        </m:r>
        <m:r>
          <m:rPr>
            <m:sty m:val="p"/>
          </m:rPr>
          <m:t>=</m:t>
        </m:r>
        <m:r>
          <m:t>1</m:t>
        </m:r>
      </m:oMath>
      <w:r>
        <w:t xml:space="preserve"> </w:t>
      </w:r>
      <w:r>
        <w:rPr>
          <w:rFonts w:hint="eastAsia"/>
        </w:rPr>
        <w:t xml:space="preserve">での実績の戦略</w:t>
      </w:r>
      <w:r>
        <w:t xml:space="preserve"> c </w:t>
      </w:r>
      <w:r>
        <w:rPr>
          <w:rFonts w:hint="eastAsia"/>
        </w:rPr>
        <w:t xml:space="preserve">とモデル価格の上の戦略</w:t>
      </w:r>
      <w:r>
        <w:t xml:space="preserve"> c </w:t>
      </w:r>
      <w:r>
        <w:rPr>
          <w:rFonts w:hint="eastAsia"/>
        </w:rPr>
        <w:t xml:space="preserve">の比である。水準係数付きの仕様A</w:t>
      </w:r>
      <w:r>
        <w:t xml:space="preserve"> </w:t>
      </w:r>
      <w:r>
        <w:rPr>
          <w:rFonts w:hint="eastAsia"/>
        </w:rPr>
        <w:t xml:space="preserve">で1.108（8,427÷7,602。正確には1.1085）、水準固定の仕様A</w:t>
      </w:r>
      <w:r>
        <w:t xml:space="preserve"> </w:t>
      </w:r>
      <w:r>
        <w:rPr>
          <w:rFonts w:hint="eastAsia"/>
        </w:rPr>
        <w:t xml:space="preserve">で1.103、仕様A′</w:t>
      </w:r>
      <w:r>
        <w:t xml:space="preserve"> </w:t>
      </w:r>
      <w:r>
        <w:rPr>
          <w:rFonts w:hint="eastAsia"/>
        </w:rPr>
        <w:t xml:space="preserve">で1.0015、下端を線形外挿した仕様A</w:t>
      </w:r>
      <w:r>
        <w:t xml:space="preserve"> </w:t>
      </w:r>
      <w:r>
        <w:rPr>
          <w:rFonts w:hint="eastAsia"/>
        </w:rPr>
        <w:t xml:space="preserve">で1.114であり、どの版でも</w:t>
      </w:r>
      <w:r>
        <w:t xml:space="preserve"> </w:t>
      </w:r>
      <m:oMath>
        <m:r>
          <m:t>K</m:t>
        </m:r>
        <m:r>
          <m:rPr>
            <m:sty m:val="p"/>
          </m:rPr>
          <m:t>=</m:t>
        </m:r>
        <m:r>
          <m:t>0</m:t>
        </m:r>
      </m:oMath>
      <w:r>
        <w:t xml:space="preserve"> </w:t>
      </w:r>
      <w:r>
        <w:rPr>
          <w:rFonts w:hint="eastAsia"/>
        </w:rPr>
        <w:t xml:space="preserve">の実現可能収益は6,675円/kW-年になる。95%区間（1.03〜1.19）は、日次の組の定常ブートストラップによる。年度別の比は1.19・0.94・1.21である。</w:t>
      </w:r>
    </w:p>
    <w:p>
      <w:pPr>
        <w:pStyle w:val="BodyText"/>
      </w:pPr>
      <w:r>
        <w:rPr>
          <w:rFonts w:hint="eastAsia"/>
          <w:b/>
          <w:bCs/>
        </w:rPr>
        <w:t xml:space="preserve">フリートの情報の仮定</w:t>
      </w:r>
      <w:r>
        <w:t xml:space="preserve">　</w:t>
      </w:r>
      <w:r>
        <w:rPr>
          <w:rFonts w:hint="eastAsia"/>
        </w:rPr>
        <w:t xml:space="preserve">主仕様のフリートは完全予見の増分貪欲で配分し、限界参入者だけを戦略</w:t>
      </w:r>
      <w:r>
        <w:t xml:space="preserve"> c </w:t>
      </w:r>
      <w:r>
        <w:rPr>
          <w:rFonts w:hint="eastAsia"/>
        </w:rPr>
        <w:t xml:space="preserve">で評価する。この組合せは情報の仮定が一貫しないので、フリートも戦略</w:t>
      </w:r>
      <w:r>
        <w:t xml:space="preserve"> c </w:t>
      </w:r>
      <w:r>
        <w:rPr>
          <w:rFonts w:hint="eastAsia"/>
        </w:rPr>
        <w:t xml:space="preserve">の窓（気候値で期待粗利が正の日だけ稼働）で動く場合と、両者が半々の場合を感応度とする。</w:t>
      </w:r>
      <m:oMath>
        <m:r>
          <m:t>K</m:t>
        </m:r>
      </m:oMath>
      <w:r>
        <w:t xml:space="preserve"> </w:t>
      </w:r>
      <w:r>
        <w:rPr>
          <w:rFonts w:hint="eastAsia"/>
        </w:rPr>
        <w:t xml:space="preserve">が大きい領域（150万kW</w:t>
      </w:r>
      <w:r>
        <w:t xml:space="preserve"> </w:t>
      </w:r>
      <w:r>
        <w:rPr>
          <w:rFonts w:hint="eastAsia"/>
        </w:rPr>
        <w:t xml:space="preserve">以上）では休止しない戦略</w:t>
      </w:r>
      <w:r>
        <w:t xml:space="preserve"> c </w:t>
      </w:r>
      <w:r>
        <w:rPr>
          <w:rFonts w:hint="eastAsia"/>
        </w:rPr>
        <w:t xml:space="preserve">の年間粗利が負になるので、事前の期待粗利が負の日を休止する版も示す。</w:t>
      </w:r>
    </w:p>
    <w:bookmarkEnd w:id="339"/>
    <w:bookmarkStart w:id="340" w:name="b.4.4-均衡条件の導出と静学動学の関係"/>
    <w:p>
      <w:pPr>
        <w:pStyle w:val="Heading3"/>
      </w:pPr>
      <w:r>
        <w:t xml:space="preserve">B.4.4　</w:t>
      </w:r>
      <w:r>
        <w:rPr>
          <w:rFonts w:hint="eastAsia"/>
        </w:rPr>
        <w:t xml:space="preserve">均衡条件の導出と静学・動学の関係</w:t>
      </w:r>
    </w:p>
    <w:p>
      <w:pPr>
        <w:pStyle w:val="FirstParagraph"/>
      </w:pPr>
      <w:r>
        <w:rPr>
          <w:rFonts w:hint="eastAsia"/>
          <w:b/>
          <w:bCs/>
        </w:rPr>
        <w:t xml:space="preserve">損益分岐の水準係数</w:t>
      </w:r>
      <w:r>
        <w:t xml:space="preserve">　</w:t>
      </w:r>
      <w:r>
        <w:rPr>
          <w:rFonts w:hint="eastAsia"/>
        </w:rPr>
        <w:t xml:space="preserve">粗収益が</w:t>
      </w:r>
      <w:r>
        <w:t xml:space="preserve"> </w:t>
      </w:r>
      <m:oMath>
        <m:r>
          <m:t>θ</m:t>
        </m:r>
      </m:oMath>
      <w:r>
        <w:t xml:space="preserve"> </w:t>
      </w:r>
      <w:r>
        <w:rPr>
          <w:rFonts w:hint="eastAsia"/>
        </w:rPr>
        <w:t xml:space="preserve">に比例することから式(4.8)を導く手順と、</w:t>
      </w:r>
      <m:oMath>
        <m:sSup>
          <m:e>
            <m:r>
              <m:t>θ</m:t>
            </m:r>
          </m:e>
          <m:sup>
            <m:r>
              <m:rPr>
                <m:sty m:val="p"/>
              </m:rPr>
              <m:t>*</m:t>
            </m:r>
          </m:sup>
        </m:sSup>
        <m:r>
          <m:rPr>
            <m:sty m:val="p"/>
          </m:rPr>
          <m:t>=</m:t>
        </m:r>
        <m:r>
          <m:rPr>
            <m:sty m:val="p"/>
          </m:rPr>
          <m:t>[</m:t>
        </m:r>
        <m:r>
          <m:t>I</m:t>
        </m:r>
        <m:r>
          <m:rPr>
            <m:sty m:val="p"/>
          </m:rPr>
          <m:t>⋅</m:t>
        </m:r>
        <m:r>
          <m:rPr>
            <m:sty m:val="p"/>
          </m:rPr>
          <m:t>C</m:t>
        </m:r>
        <m:r>
          <m:rPr>
            <m:sty m:val="p"/>
          </m:rPr>
          <m:t>R</m:t>
        </m:r>
        <m:r>
          <m:rPr>
            <m:sty m:val="p"/>
          </m:rPr>
          <m:t>F</m:t>
        </m:r>
        <m:r>
          <m:rPr>
            <m:sty m:val="p"/>
          </m:rPr>
          <m:t>(</m:t>
        </m:r>
        <m:r>
          <m:t>r</m:t>
        </m:r>
        <m:r>
          <m:rPr>
            <m:sty m:val="p"/>
          </m:rPr>
          <m:t>,</m:t>
        </m:r>
        <m:r>
          <m:t>20</m:t>
        </m:r>
        <m:r>
          <m:rPr>
            <m:sty m:val="p"/>
          </m:rPr>
          <m:t>)</m:t>
        </m:r>
        <m:r>
          <m:rPr>
            <m:sty m:val="p"/>
          </m:rPr>
          <m:t>+</m:t>
        </m:r>
        <m:r>
          <m:t>F</m:t>
        </m:r>
        <m:r>
          <m:rPr>
            <m:sty m:val="p"/>
          </m:rPr>
          <m:t>]</m:t>
        </m:r>
        <m:r>
          <m:rPr>
            <m:sty m:val="p"/>
          </m:rPr>
          <m:t>/</m:t>
        </m:r>
        <m:r>
          <m:t>a</m:t>
        </m:r>
      </m:oMath>
      <w:r>
        <w:t xml:space="preserve"> </w:t>
      </w:r>
      <w:r>
        <w:rPr>
          <w:rFonts w:hint="eastAsia"/>
        </w:rPr>
        <w:t xml:space="preserve">への書き直しは付録B.1.3</w:t>
      </w:r>
      <w:r>
        <w:t xml:space="preserve"> </w:t>
      </w:r>
      <w:r>
        <w:rPr>
          <w:rFonts w:hint="eastAsia"/>
        </w:rPr>
        <w:t xml:space="preserve">に、標準・楽観・保守ケースの</w:t>
      </w:r>
      <w:r>
        <w:t xml:space="preserve"> </w:t>
      </w:r>
      <m:oMath>
        <m:sSub>
          <m:e>
            <m:r>
              <m:t>c</m:t>
            </m:r>
          </m:e>
          <m:sub>
            <m:r>
              <m:rPr>
                <m:sty m:val="p"/>
              </m:rPr>
              <m:t>r</m:t>
            </m:r>
            <m:r>
              <m:rPr>
                <m:sty m:val="p"/>
              </m:rPr>
              <m:t>e</m:t>
            </m:r>
            <m:r>
              <m:rPr>
                <m:sty m:val="p"/>
              </m:rPr>
              <m:t>q</m:t>
            </m:r>
          </m:sub>
        </m:sSub>
      </m:oMath>
      <w:r>
        <w:t xml:space="preserve"> </w:t>
      </w:r>
      <w:r>
        <w:rPr>
          <w:rFonts w:hint="eastAsia"/>
        </w:rPr>
        <w:t xml:space="preserve">と割引率の対応は付録B.1.2</w:t>
      </w:r>
      <w:r>
        <w:t xml:space="preserve"> </w:t>
      </w:r>
      <w:r>
        <w:rPr>
          <w:rFonts w:hint="eastAsia"/>
        </w:rPr>
        <w:t xml:space="preserve">に示した。WACC</w:t>
      </w:r>
      <w:r>
        <w:t xml:space="preserve"> </w:t>
      </w:r>
      <w:r>
        <w:rPr>
          <w:rFonts w:hint="eastAsia"/>
        </w:rPr>
        <w:t xml:space="preserve">6%（</w:t>
      </w:r>
      <m:oMath>
        <m:sSub>
          <m:e>
            <m:r>
              <m:t>c</m:t>
            </m:r>
          </m:e>
          <m:sub>
            <m:r>
              <m:rPr>
                <m:sty m:val="p"/>
              </m:rPr>
              <m:t>r</m:t>
            </m:r>
            <m:r>
              <m:rPr>
                <m:sty m:val="p"/>
              </m:rPr>
              <m:t>e</m:t>
            </m:r>
            <m:r>
              <m:rPr>
                <m:sty m:val="p"/>
              </m:rPr>
              <m:t>q</m:t>
            </m:r>
          </m:sub>
        </m:sSub>
        <m:r>
          <m:rPr>
            <m:sty m:val="p"/>
          </m:rPr>
          <m:t>=</m:t>
        </m:r>
        <m:r>
          <m:t>3.59</m:t>
        </m:r>
      </m:oMath>
      <w:r>
        <w:t xml:space="preserve"> </w:t>
      </w:r>
      <w:r>
        <w:rPr>
          <w:rFonts w:hint="eastAsia"/>
        </w:rPr>
        <w:t xml:space="preserve">万円/kW-年）の</w:t>
      </w:r>
      <w:r>
        <w:t xml:space="preserve"> </w:t>
      </w:r>
      <m:oMath>
        <m:sSup>
          <m:e>
            <m:r>
              <m:t>θ</m:t>
            </m:r>
          </m:e>
          <m:sup>
            <m:r>
              <m:rPr>
                <m:sty m:val="p"/>
              </m:rPr>
              <m:t>*</m:t>
            </m:r>
          </m:sup>
        </m:sSup>
        <m:r>
          <m:rPr>
            <m:sty m:val="p"/>
          </m:rPr>
          <m:t>=</m:t>
        </m:r>
        <m:r>
          <m:t>2.99</m:t>
        </m:r>
      </m:oMath>
      <w:r>
        <w:t xml:space="preserve"> </w:t>
      </w:r>
      <w:r>
        <w:rPr>
          <w:rFonts w:hint="eastAsia"/>
        </w:rPr>
        <w:t xml:space="preserve">と、標準ケース（</w:t>
      </w:r>
      <m:oMath>
        <m:sSub>
          <m:e>
            <m:r>
              <m:t>c</m:t>
            </m:r>
          </m:e>
          <m:sub>
            <m:r>
              <m:rPr>
                <m:sty m:val="p"/>
              </m:rPr>
              <m:t>r</m:t>
            </m:r>
            <m:r>
              <m:rPr>
                <m:sty m:val="p"/>
              </m:rPr>
              <m:t>e</m:t>
            </m:r>
            <m:r>
              <m:rPr>
                <m:sty m:val="p"/>
              </m:rPr>
              <m:t>q</m:t>
            </m:r>
          </m:sub>
        </m:sSub>
        <m:r>
          <m:rPr>
            <m:sty m:val="p"/>
          </m:rPr>
          <m:t>=</m:t>
        </m:r>
        <m:r>
          <m:t>3.45</m:t>
        </m:r>
      </m:oMath>
      <w:r>
        <w:t xml:space="preserve"> </w:t>
      </w:r>
      <w:r>
        <w:rPr>
          <w:rFonts w:hint="eastAsia"/>
        </w:rPr>
        <w:t xml:space="preserve">万円）の2.82</w:t>
      </w:r>
      <w:r>
        <w:t xml:space="preserve"> </w:t>
      </w:r>
      <w:r>
        <w:rPr>
          <w:rFonts w:hint="eastAsia"/>
        </w:rPr>
        <w:t xml:space="preserve">の違いは、</w:t>
      </w:r>
      <m:oMath>
        <m:sSub>
          <m:e>
            <m:r>
              <m:t>c</m:t>
            </m:r>
          </m:e>
          <m:sub>
            <m:r>
              <m:rPr>
                <m:sty m:val="p"/>
              </m:rPr>
              <m:t>r</m:t>
            </m:r>
            <m:r>
              <m:rPr>
                <m:sty m:val="p"/>
              </m:rPr>
              <m:t>e</m:t>
            </m:r>
            <m:r>
              <m:rPr>
                <m:sty m:val="p"/>
              </m:rPr>
              <m:t>q</m:t>
            </m:r>
          </m:sub>
        </m:sSub>
      </m:oMath>
      <w:r>
        <w:t xml:space="preserve"> </w:t>
      </w:r>
      <w:r>
        <w:rPr>
          <w:rFonts w:hint="eastAsia"/>
        </w:rPr>
        <w:t xml:space="preserve">の置き方だけによる。保守ケースは、</w:t>
      </w:r>
      <m:oMath>
        <m:sSub>
          <m:e>
            <m:r>
              <m:t>c</m:t>
            </m:r>
          </m:e>
          <m:sub>
            <m:r>
              <m:rPr>
                <m:sty m:val="p"/>
              </m:rPr>
              <m:t>r</m:t>
            </m:r>
            <m:r>
              <m:rPr>
                <m:sty m:val="p"/>
              </m:rPr>
              <m:t>e</m:t>
            </m:r>
            <m:r>
              <m:rPr>
                <m:sty m:val="p"/>
              </m:rPr>
              <m:t>q</m:t>
            </m:r>
          </m:sub>
        </m:sSub>
      </m:oMath>
      <w:r>
        <w:t xml:space="preserve"> </w:t>
      </w:r>
      <w:r>
        <w:rPr>
          <w:rFonts w:hint="eastAsia"/>
        </w:rPr>
        <w:t xml:space="preserve">を高く、容量収入を低く置く、参入に不利な側のケースである。</w:t>
      </w:r>
    </w:p>
    <w:p>
      <w:pPr>
        <w:pStyle w:val="BodyText"/>
      </w:pPr>
      <w:r>
        <w:rPr>
          <w:rFonts w:hint="eastAsia"/>
          <w:b/>
          <w:bCs/>
        </w:rPr>
        <w:t xml:space="preserve">外生の契約型容量</w:t>
      </w:r>
      <w:r>
        <w:t xml:space="preserve">　</w:t>
      </w:r>
      <w:r>
        <w:rPr>
          <w:rFonts w:hint="eastAsia"/>
        </w:rPr>
        <w:t xml:space="preserve">接続済みの約20万kW</w:t>
      </w:r>
      <w:r>
        <w:t xml:space="preserve"> と、これに LTDA </w:t>
      </w:r>
      <w:r>
        <w:rPr>
          <w:rFonts w:hint="eastAsia"/>
        </w:rPr>
        <w:t xml:space="preserve">の北海道分約67.4万kW</w:t>
      </w:r>
      <w:r>
        <w:t xml:space="preserve"> </w:t>
      </w:r>
      <w:r>
        <w:rPr>
          <w:rFonts w:hint="eastAsia"/>
        </w:rPr>
        <w:t xml:space="preserve">を加えた87.4万kW（第3回の別解では76.8万kW）を、価格テイカーとして同じ増分貪欲で動く外生の容量</w:t>
      </w:r>
      <w:r>
        <w:t xml:space="preserve"> </w:t>
      </w:r>
      <m:oMath>
        <m:sSub>
          <m:e>
            <m:r>
              <m:t>K</m:t>
            </m:r>
          </m:e>
          <m:sub>
            <m:r>
              <m:rPr>
                <m:sty m:val="p"/>
              </m:rPr>
              <m:t>e</m:t>
            </m:r>
            <m:r>
              <m:rPr>
                <m:sty m:val="p"/>
              </m:rPr>
              <m:t>x</m:t>
            </m:r>
            <m:r>
              <m:rPr>
                <m:sty m:val="p"/>
              </m:rPr>
              <m:t>o</m:t>
            </m:r>
          </m:sub>
        </m:sSub>
      </m:oMath>
      <w:r>
        <w:t xml:space="preserve"> </w:t>
      </w:r>
      <w:r>
        <w:rPr>
          <w:rFonts w:hint="eastAsia"/>
        </w:rPr>
        <w:t xml:space="preserve">として置き、</w:t>
      </w:r>
      <m:oMath>
        <m:sSub>
          <m:e>
            <m:r>
              <m:t>K</m:t>
            </m:r>
          </m:e>
          <m:sub>
            <m:r>
              <m:rPr>
                <m:sty m:val="p"/>
              </m:rPr>
              <m:t>e</m:t>
            </m:r>
            <m:r>
              <m:rPr>
                <m:sty m:val="p"/>
              </m:rPr>
              <m:t>x</m:t>
            </m:r>
            <m:r>
              <m:rPr>
                <m:sty m:val="p"/>
              </m:rPr>
              <m:t>o</m:t>
            </m:r>
          </m:sub>
        </m:sSub>
      </m:oMath>
      <w:r>
        <w:t xml:space="preserve"> </w:t>
      </w:r>
      <w:r>
        <w:rPr>
          <w:rFonts w:hint="eastAsia"/>
        </w:rPr>
        <w:t xml:space="preserve">の上の限界参入者の</w:t>
      </w:r>
      <w:r>
        <w:t xml:space="preserve"> </w:t>
      </w:r>
      <m:oMath>
        <m:sSup>
          <m:e>
            <m:r>
              <m:t>θ</m:t>
            </m:r>
          </m:e>
          <m:sup>
            <m:r>
              <m:rPr>
                <m:sty m:val="p"/>
              </m:rPr>
              <m:t>*</m:t>
            </m:r>
          </m:sup>
        </m:sSup>
      </m:oMath>
      <w:r>
        <w:t xml:space="preserve"> </w:t>
      </w:r>
      <w:r>
        <w:t xml:space="preserve">と</w:t>
      </w:r>
      <w:r>
        <w:t xml:space="preserve"> </w:t>
      </w:r>
      <m:oMath>
        <m:sSup>
          <m:e>
            <m:r>
              <m:t>K</m:t>
            </m:r>
          </m:e>
          <m:sup>
            <m:r>
              <m:rPr>
                <m:sty m:val="p"/>
              </m:rPr>
              <m:t>*</m:t>
            </m:r>
          </m:sup>
        </m:sSup>
      </m:oMath>
      <w:r>
        <w:t xml:space="preserve"> </w:t>
      </w:r>
      <w:r>
        <w:rPr>
          <w:rFonts w:hint="eastAsia"/>
        </w:rPr>
        <w:t xml:space="preserve">を求める。</w:t>
      </w:r>
      <m:oMath>
        <m:sSup>
          <m:e>
            <m:r>
              <m:t>K</m:t>
            </m:r>
          </m:e>
          <m:sup>
            <m:r>
              <m:rPr>
                <m:sty m:val="p"/>
              </m:rPr>
              <m:t>*</m:t>
            </m:r>
          </m:sup>
        </m:sSup>
      </m:oMath>
      <w:r>
        <w:t xml:space="preserve"> </w:t>
      </w:r>
      <w:r>
        <w:t xml:space="preserve">は</w:t>
      </w:r>
      <w:r>
        <w:t xml:space="preserve"> </w:t>
      </w:r>
      <m:oMath>
        <m:sSub>
          <m:e>
            <m:r>
              <m:t>K</m:t>
            </m:r>
          </m:e>
          <m:sub>
            <m:r>
              <m:rPr>
                <m:sty m:val="p"/>
              </m:rPr>
              <m:t>e</m:t>
            </m:r>
            <m:r>
              <m:rPr>
                <m:sty m:val="p"/>
              </m:rPr>
              <m:t>x</m:t>
            </m:r>
            <m:r>
              <m:rPr>
                <m:sty m:val="p"/>
              </m:rPr>
              <m:t>o</m:t>
            </m:r>
          </m:sub>
        </m:sSub>
      </m:oMath>
      <w:r>
        <w:t xml:space="preserve"> </w:t>
      </w:r>
      <w:r>
        <w:rPr>
          <w:rFonts w:hint="eastAsia"/>
        </w:rPr>
        <w:t xml:space="preserve">を含む総容量で、マーチャント分は</w:t>
      </w:r>
      <w:r>
        <w:t xml:space="preserve"> </w:t>
      </w:r>
      <m:oMath>
        <m:sSup>
          <m:e>
            <m:r>
              <m:t>K</m:t>
            </m:r>
          </m:e>
          <m:sup>
            <m:r>
              <m:rPr>
                <m:sty m:val="p"/>
              </m:rPr>
              <m:t>*</m:t>
            </m:r>
          </m:sup>
        </m:sSup>
        <m:r>
          <m:rPr>
            <m:sty m:val="p"/>
          </m:rPr>
          <m:t>−</m:t>
        </m:r>
        <m:sSub>
          <m:e>
            <m:r>
              <m:t>K</m:t>
            </m:r>
          </m:e>
          <m:sub>
            <m:r>
              <m:rPr>
                <m:sty m:val="p"/>
              </m:rPr>
              <m:t>e</m:t>
            </m:r>
            <m:r>
              <m:rPr>
                <m:sty m:val="p"/>
              </m:rPr>
              <m:t>x</m:t>
            </m:r>
            <m:r>
              <m:rPr>
                <m:sty m:val="p"/>
              </m:rPr>
              <m:t>o</m:t>
            </m:r>
          </m:sub>
        </m:sSub>
      </m:oMath>
      <w:r>
        <w:t xml:space="preserve"> </w:t>
      </w:r>
      <w:r>
        <w:t xml:space="preserve">である。FY2023〜25 </w:t>
      </w:r>
      <w:r>
        <w:rPr>
          <w:rFonts w:hint="eastAsia"/>
        </w:rPr>
        <w:t xml:space="preserve">の価格には当時稼働していた蓄電池の影響がすでに入っているので、</w:t>
      </w:r>
      <m:oMath>
        <m:sSub>
          <m:e>
            <m:r>
              <m:t>K</m:t>
            </m:r>
          </m:e>
          <m:sub>
            <m:r>
              <m:rPr>
                <m:sty m:val="p"/>
              </m:rPr>
              <m:t>e</m:t>
            </m:r>
            <m:r>
              <m:rPr>
                <m:sty m:val="p"/>
              </m:rPr>
              <m:t>x</m:t>
            </m:r>
            <m:r>
              <m:rPr>
                <m:sty m:val="p"/>
              </m:rPr>
              <m:t>o</m:t>
            </m:r>
          </m:sub>
        </m:sSub>
      </m:oMath>
      <w:r>
        <w:t xml:space="preserve"> </w:t>
      </w:r>
      <w:r>
        <w:rPr>
          <w:rFonts w:hint="eastAsia"/>
        </w:rPr>
        <w:t xml:space="preserve">を置いた値は二重計上を含み、参入に不利な側に偏る。LTDA</w:t>
      </w:r>
      <w:r>
        <w:t xml:space="preserve"> </w:t>
      </w:r>
      <w:r>
        <w:rPr>
          <w:rFonts w:hint="eastAsia"/>
        </w:rPr>
        <w:t xml:space="preserve">の電源は他市場収益の約9割を還付するが、スポットで裁定する限り価格を平らにする。</w:t>
      </w:r>
    </w:p>
    <w:p>
      <w:pPr>
        <w:pStyle w:val="BodyText"/>
      </w:pPr>
      <w:r>
        <w:rPr>
          <w:rFonts w:hint="eastAsia"/>
          <w:b/>
          <w:bCs/>
        </w:rPr>
        <w:t xml:space="preserve">容量市場価格の</w:t>
      </w:r>
      <w:r>
        <w:rPr>
          <w:b/>
          <w:bCs/>
        </w:rPr>
        <w:t xml:space="preserve"> </w:t>
      </w:r>
      <m:oMath>
        <m:r>
          <m:t>K</m:t>
        </m:r>
      </m:oMath>
      <w:r>
        <w:rPr>
          <w:b/>
          <w:bCs/>
        </w:rPr>
        <w:t xml:space="preserve"> </w:t>
      </w:r>
      <w:r>
        <w:rPr>
          <w:rFonts w:hint="eastAsia"/>
          <w:b/>
          <w:bCs/>
        </w:rPr>
        <w:t xml:space="preserve">依存</w:t>
      </w:r>
      <w:r>
        <w:t xml:space="preserve">　</w:t>
      </w:r>
      <w:r>
        <w:rPr>
          <w:rFonts w:hint="eastAsia"/>
        </w:rPr>
        <w:t xml:space="preserve">容量市場の需要曲線（2029年度向け：上限価格15,112.5円/kW、目標調達量における指標価格10,075円、調達価格ゼロとなる調達量）は公表されている。蓄電池フリート</w:t>
      </w:r>
      <w:r>
        <w:t xml:space="preserve"> </w:t>
      </w:r>
      <m:oMath>
        <m:r>
          <m:t>K</m:t>
        </m:r>
      </m:oMath>
      <w:r>
        <w:t xml:space="preserve"> </w:t>
      </w:r>
      <w:r>
        <w:rPr>
          <w:rFonts w:hint="eastAsia"/>
        </w:rPr>
        <w:t xml:space="preserve">が供給側に</w:t>
      </w:r>
      <w:r>
        <w:t xml:space="preserve"> </w:t>
      </w:r>
      <m:oMath>
        <m:r>
          <m:t>κ</m:t>
        </m:r>
        <m:r>
          <m:t>K</m:t>
        </m:r>
      </m:oMath>
      <w:r>
        <w:t xml:space="preserve"> </w:t>
      </w:r>
      <w:r>
        <w:rPr>
          <w:rFonts w:hint="eastAsia"/>
        </w:rPr>
        <w:t xml:space="preserve">を加えると、約定価格</w:t>
      </w:r>
      <w:r>
        <w:t xml:space="preserve"> </w:t>
      </w:r>
      <m:oMath>
        <m:sSub>
          <m:e>
            <m:r>
              <m:t>P</m:t>
            </m:r>
          </m:e>
          <m:sub>
            <m:r>
              <m:rPr>
                <m:sty m:val="p"/>
              </m:rPr>
              <m:t>c</m:t>
            </m:r>
            <m:r>
              <m:rPr>
                <m:sty m:val="p"/>
              </m:rPr>
              <m:t>a</m:t>
            </m:r>
            <m:r>
              <m:rPr>
                <m:sty m:val="p"/>
              </m:rPr>
              <m:t>p</m:t>
            </m:r>
          </m:sub>
        </m:sSub>
        <m:r>
          <m:rPr>
            <m:sty m:val="p"/>
          </m:rPr>
          <m:t>(</m:t>
        </m:r>
        <m:r>
          <m:t>K</m:t>
        </m:r>
        <m:r>
          <m:rPr>
            <m:sty m:val="p"/>
          </m:rPr>
          <m:t>)</m:t>
        </m:r>
      </m:oMath>
      <w:r>
        <w:t xml:space="preserve"> </w:t>
      </w:r>
      <w:r>
        <w:rPr>
          <w:rFonts w:hint="eastAsia"/>
        </w:rPr>
        <w:t xml:space="preserve">はこの折れ線に沿って下がる。北海道が単独のブロックとして分断される場合は、全国の曲線を北海道の需要シェア（529万kW／16,208万kW）で按分して近似し、全国と連系して約定する場合と比べる。2030年度向けからは指標価格（Net</w:t>
      </w:r>
      <w:r>
        <w:t xml:space="preserve"> </w:t>
      </w:r>
      <w:r>
        <w:rPr>
          <w:rFonts w:hint="eastAsia"/>
        </w:rPr>
        <w:t xml:space="preserve">CONE）が20,911円、上限価格がその1.5倍の31,366.5円になる（OCCTO,</w:t>
      </w:r>
      <w:r>
        <w:t xml:space="preserve"> </w:t>
      </w:r>
      <w:r>
        <w:rPr>
          <w:rFonts w:hint="eastAsia"/>
        </w:rPr>
        <w:t xml:space="preserve">2026c）。2030年度向けの数量の公表値は用いず、2029年度向けの数量の3点に2030年度向けの価格（上限約30,700円・指標価格20,911円）を当てた4点の折れ線の上で、現在点を実効容量収入の起点に置き、蓄電池の追加で右に動かす。LTDA</w:t>
      </w:r>
      <w:r>
        <w:t xml:space="preserve"> </w:t>
      </w:r>
      <w:r>
        <w:rPr>
          <w:rFonts w:hint="eastAsia"/>
        </w:rPr>
        <w:t xml:space="preserve">の電源は容量市場に参加しないので、接続済み容量とマーチャントだけを入れる。上限の約30,700円は公表値より約2%低いが、起点1.25万円の計算には効かず、起点2.5万円の計算でも実効容量収入が0になる</w:t>
      </w:r>
      <w:r>
        <w:t xml:space="preserve"> </w:t>
      </w:r>
      <m:oMath>
        <m:r>
          <m:t>K</m:t>
        </m:r>
      </m:oMath>
      <w:r>
        <w:t xml:space="preserve"> </w:t>
      </w:r>
      <w:r>
        <w:rPr>
          <w:rFonts w:hint="eastAsia"/>
        </w:rPr>
        <w:t xml:space="preserve">をわずかに大きく出すにとどまる。</w:t>
      </w:r>
    </w:p>
    <w:p>
      <w:pPr>
        <w:pStyle w:val="BodyText"/>
      </w:pPr>
      <w:r>
        <w:rPr>
          <w:rFonts w:hint="eastAsia"/>
          <w:b/>
          <w:bCs/>
        </w:rPr>
        <w:t xml:space="preserve">需給調整市場のレントの上限</w:t>
      </w:r>
      <w:r>
        <w:t xml:space="preserve">　</w:t>
      </w:r>
      <w:r>
        <w:rPr>
          <w:rFonts w:hint="eastAsia"/>
        </w:rPr>
        <w:t xml:space="preserve">移行期のレントの上限は、1kW</w:t>
      </w:r>
      <w:r>
        <w:t xml:space="preserve"> </w:t>
      </w:r>
      <w:r>
        <w:rPr>
          <w:rFonts w:hint="eastAsia"/>
        </w:rPr>
        <w:t xml:space="preserve">が年間に供出できる</w:t>
      </w:r>
      <w:r>
        <w:t xml:space="preserve"> ΔkW </w:t>
      </w:r>
      <w:r>
        <w:rPr>
          <w:rFonts w:hint="eastAsia"/>
        </w:rPr>
        <w:t xml:space="preserve">の物理的な上限で抑えた</w:t>
      </w:r>
      <w:r>
        <w:t xml:space="preserve"> </w:t>
      </w:r>
      <m:oMath>
        <m:r>
          <m:rPr>
            <m:sty m:val="p"/>
          </m:rPr>
          <m:t>min</m:t>
        </m:r>
        <m:r>
          <m:rPr>
            <m:sty m:val="p"/>
          </m:rPr>
          <m:t>(</m:t>
        </m:r>
        <m:r>
          <m:t>Q</m:t>
        </m:r>
        <m:r>
          <m:rPr>
            <m:sty m:val="p"/>
          </m:rPr>
          <m:t>/</m:t>
        </m:r>
        <m:r>
          <m:t>K</m:t>
        </m:r>
        <m:r>
          <m:rPr>
            <m:sty m:val="p"/>
          </m:rPr>
          <m:t>,</m:t>
        </m:r>
        <m:r>
          <m:t>1</m:t>
        </m:r>
        <m:r>
          <m:rPr>
            <m:sty m:val="p"/>
          </m:rPr>
          <m:t>)</m:t>
        </m:r>
        <m:r>
          <m:rPr>
            <m:sty m:val="p"/>
          </m:rPr>
          <m:t>×</m:t>
        </m:r>
        <m:r>
          <m:t>2</m:t>
        </m:r>
        <m:sSub>
          <m:e>
            <m:r>
              <m:t>p</m:t>
            </m:r>
          </m:e>
          <m:sub>
            <m:r>
              <m:rPr>
                <m:sty m:val="p"/>
              </m:rPr>
              <m:t>Δ</m:t>
            </m:r>
          </m:sub>
        </m:sSub>
        <m:r>
          <m:rPr>
            <m:sty m:val="p"/>
          </m:rPr>
          <m:t>×</m:t>
        </m:r>
        <m:r>
          <m:t>8</m:t>
        </m:r>
        <m:r>
          <m:rPr>
            <m:sty m:val="p"/>
          </m:rPr>
          <m:t>,</m:t>
        </m:r>
        <m:r>
          <m:t>760</m:t>
        </m:r>
      </m:oMath>
      <w:r>
        <w:t xml:space="preserve"> </w:t>
      </w:r>
      <w:r>
        <w:rPr>
          <w:rFonts w:hint="eastAsia"/>
        </w:rPr>
        <w:t xml:space="preserve">とする（</w:t>
      </w:r>
      <m:oMath>
        <m:sSub>
          <m:e>
            <m:r>
              <m:t>p</m:t>
            </m:r>
          </m:e>
          <m:sub>
            <m:r>
              <m:rPr>
                <m:sty m:val="p"/>
              </m:rPr>
              <m:t>Δ</m:t>
            </m:r>
          </m:sub>
        </m:sSub>
      </m:oMath>
      <w:r>
        <w:t xml:space="preserve"> </w:t>
      </w:r>
      <w:r>
        <w:t xml:space="preserve">は </w:t>
      </w:r>
      <w:r>
        <w:rPr>
          <w:rFonts w:hint="eastAsia"/>
        </w:rPr>
        <w:t xml:space="preserve">円/ΔkW・30分で公表されるので、1時間あたりは2倍になる）。</w:t>
      </w:r>
      <m:oMath>
        <m:r>
          <m:t>Q</m:t>
        </m:r>
      </m:oMath>
      <w:r>
        <w:t xml:space="preserve"> </w:t>
      </w:r>
      <w:r>
        <w:rPr>
          <w:rFonts w:hint="eastAsia"/>
        </w:rPr>
        <w:t xml:space="preserve">は北海道の調達量で、データを取得していないため10〜50万kW</w:t>
      </w:r>
      <w:r>
        <w:t xml:space="preserve"> </w:t>
      </w:r>
      <w:r>
        <w:rPr>
          <w:rFonts w:hint="eastAsia"/>
        </w:rPr>
        <w:t xml:space="preserve">の仮定の幅とする。ΔkW</w:t>
      </w:r>
      <w:r>
        <w:t xml:space="preserve"> </w:t>
      </w:r>
      <w:r>
        <w:rPr>
          <w:rFonts w:hint="eastAsia"/>
        </w:rPr>
        <w:t xml:space="preserve">価格</w:t>
      </w:r>
      <w:r>
        <w:t xml:space="preserve"> </w:t>
      </w:r>
      <m:oMath>
        <m:sSub>
          <m:e>
            <m:r>
              <m:t>p</m:t>
            </m:r>
          </m:e>
          <m:sub>
            <m:r>
              <m:rPr>
                <m:sty m:val="p"/>
              </m:rPr>
              <m:t>Δ</m:t>
            </m:r>
          </m:sub>
        </m:sSub>
      </m:oMath>
      <w:r>
        <w:t xml:space="preserve"> </w:t>
      </w:r>
      <w:r>
        <w:rPr>
          <w:rFonts w:hint="eastAsia"/>
        </w:rPr>
        <w:t xml:space="preserve">には、前日調達への移行後の一次調整力の上限価格15円/ΔkW・30分と火力並みの5円/ΔkW・30分を置く（二次以下の上限7.21円/ΔkW・30分はこの間にある）。ΔkW</w:t>
      </w:r>
      <w:r>
        <w:t xml:space="preserve"> </w:t>
      </w:r>
      <w:r>
        <w:rPr>
          <w:rFonts w:hint="eastAsia"/>
        </w:rPr>
        <w:t xml:space="preserve">を供出する時間はスポット裁定に使えないので、この上限は</w:t>
      </w:r>
      <w:r>
        <w:t xml:space="preserve"> </w:t>
      </w:r>
      <m:oMath>
        <m:r>
          <m:t>π</m:t>
        </m:r>
        <m:r>
          <m:rPr>
            <m:sty m:val="p"/>
          </m:rPr>
          <m:t>(</m:t>
        </m:r>
        <m:r>
          <m:t>K</m:t>
        </m:r>
        <m:r>
          <m:rPr>
            <m:sty m:val="p"/>
          </m:rPr>
          <m:t>)</m:t>
        </m:r>
      </m:oMath>
      <w:r>
        <w:t xml:space="preserve"> </w:t>
      </w:r>
      <w:r>
        <w:rPr>
          <w:rFonts w:hint="eastAsia"/>
        </w:rPr>
        <w:t xml:space="preserve">に足すものではなく、置き換えて比べるものである。</w:t>
      </w:r>
    </w:p>
    <w:p>
      <w:pPr>
        <w:pStyle w:val="BodyText"/>
      </w:pPr>
      <w:r>
        <w:rPr>
          <w:rFonts w:hint="eastAsia"/>
          <w:b/>
          <w:bCs/>
        </w:rPr>
        <w:t xml:space="preserve">静学の条件と動学的な参入閾値</w:t>
      </w:r>
      <w:r>
        <w:t xml:space="preserve">　</w:t>
      </w:r>
      <w:r>
        <w:rPr>
          <w:rFonts w:hint="eastAsia"/>
        </w:rPr>
        <w:t xml:space="preserve">価格水準が不確実で投資が不可逆な場合、自由参入の競争均衡でも、参入は静学の損益分岐を上回る価格水準になるまで起きない。競争が消すのは参入時点の超過</w:t>
      </w:r>
      <w:r>
        <w:t xml:space="preserve"> </w:t>
      </w:r>
      <w:r>
        <w:rPr>
          <w:rFonts w:hint="eastAsia"/>
        </w:rPr>
        <w:t xml:space="preserve">NPV（将来の参入で価格の上側が押さえられることを織り込んで計算した</w:t>
      </w:r>
      <w:r>
        <w:t xml:space="preserve"> </w:t>
      </w:r>
      <w:r>
        <w:rPr>
          <w:rFonts w:hint="eastAsia"/>
        </w:rPr>
        <w:t xml:space="preserve">NPV）であり、静学の損益分岐に対する閾値の上乗せは残る（Dixit</w:t>
      </w:r>
      <w:r>
        <w:t xml:space="preserve"> &amp; Pindyck, 1994, Chapter 8; Leahy, </w:t>
      </w:r>
      <w:r>
        <w:rPr>
          <w:rFonts w:hint="eastAsia"/>
        </w:rPr>
        <w:t xml:space="preserve">1993）。Leahy（1993）が「近視眼的」と呼んだのは、他社の参入が価格に与える効果を無視しつつ、自分の待機の価値は考慮する参入トリガーであり、それが無限寿命の競争均衡のトリガーと一致する。Grenadier（2002）の寡占の均衡で投資がゼロ</w:t>
      </w:r>
      <w:r>
        <w:t xml:space="preserve"> NPV </w:t>
      </w:r>
      <w:r>
        <w:rPr>
          <w:rFonts w:hint="eastAsia"/>
        </w:rPr>
        <w:t xml:space="preserve">の近くで起きるという結果も、競争者の将来の投資で価格の上側が押さえられることを織り込んだ</w:t>
      </w:r>
      <w:r>
        <w:t xml:space="preserve"> NPV </w:t>
      </w:r>
      <w:r>
        <w:rPr>
          <w:rFonts w:hint="eastAsia"/>
        </w:rPr>
        <w:t xml:space="preserve">についての命題である。先取りを含む均衡（Back</w:t>
      </w:r>
      <w:r>
        <w:t xml:space="preserve"> &amp; Paulsen, 2009; Fudenberg &amp; Tirole, 1985; Weeds, </w:t>
      </w:r>
      <w:r>
        <w:rPr>
          <w:rFonts w:hint="eastAsia"/>
        </w:rPr>
        <w:t xml:space="preserve">2002）でも、先行者の将来の参入を織り込んだ</w:t>
      </w:r>
      <w:r>
        <w:t xml:space="preserve"> NPV </w:t>
      </w:r>
      <w:r>
        <w:rPr>
          <w:rFonts w:hint="eastAsia"/>
        </w:rPr>
        <w:t xml:space="preserve">は追随者の価値（非負）に等しく、将来の参入を無視した</w:t>
      </w:r>
      <w:r>
        <w:t xml:space="preserve"> NPV </w:t>
      </w:r>
      <w:r>
        <w:rPr>
          <w:rFonts w:hint="eastAsia"/>
        </w:rPr>
        <w:t xml:space="preserve">はそれ以上になる。資本費の低下が見込まれる場合も、後から安く参入する者との競争が待つ理由になる。均衡で参入する者の将来の参入を織り込んだ</w:t>
      </w:r>
      <w:r>
        <w:t xml:space="preserve"> NPV </w:t>
      </w:r>
      <w:r>
        <w:rPr>
          <w:rFonts w:hint="eastAsia"/>
        </w:rPr>
        <w:t xml:space="preserve">は非負であり、将来の参入は収入を下げる方向にしか働かない。したがって、参入者が見込む価格経路で評価した静学のゼロレント条件は動学的な参入閾値の下限を与え、静学で求めた</w:t>
      </w:r>
      <w:r>
        <w:t xml:space="preserve"> </w:t>
      </w:r>
      <m:oMath>
        <m:sSup>
          <m:e>
            <m:r>
              <m:t>K</m:t>
            </m:r>
          </m:e>
          <m:sup>
            <m:r>
              <m:rPr>
                <m:sty m:val="p"/>
              </m:rPr>
              <m:t>*</m:t>
            </m:r>
          </m:sup>
        </m:sSup>
      </m:oMath>
      <w:r>
        <w:t xml:space="preserve"> </w:t>
      </w:r>
      <w:r>
        <w:rPr>
          <w:rFonts w:hint="eastAsia"/>
        </w:rPr>
        <w:t xml:space="preserve">は動学的な競争均衡の容量の上限にあたる。価格水準の期待成長を0と置く主仕様では、この下限は価格水準一定の条件そのものであり、静学の条件で参入が開かなければ、待機を考慮しても開かない。</w:t>
      </w:r>
    </w:p>
    <w:bookmarkEnd w:id="340"/>
    <w:bookmarkStart w:id="341" w:name="b.4.5-実物オプションの数値解法と検算"/>
    <w:p>
      <w:pPr>
        <w:pStyle w:val="Heading3"/>
      </w:pPr>
      <w:r>
        <w:t xml:space="preserve">B.4.5　</w:t>
      </w:r>
      <w:r>
        <w:rPr>
          <w:rFonts w:hint="eastAsia"/>
        </w:rPr>
        <w:t xml:space="preserve">実物オプションの数値解法と検算</w:t>
      </w:r>
    </w:p>
    <w:p>
      <w:pPr>
        <w:pStyle w:val="FirstParagraph"/>
      </w:pPr>
      <w:r>
        <w:rPr>
          <w:rFonts w:hint="eastAsia"/>
          <w:b/>
          <w:bCs/>
        </w:rPr>
        <w:t xml:space="preserve">2因子モデルの推定</w:t>
      </w:r>
      <w:r>
        <w:t xml:space="preserve">　</w:t>
      </w:r>
      <w:r>
        <w:rPr>
          <w:rFonts w:hint="eastAsia"/>
        </w:rPr>
        <w:t xml:space="preserve">価格水準の代理</w:t>
      </w:r>
      <w:r>
        <w:t xml:space="preserve"> </w:t>
      </w:r>
      <m:oMath>
        <m:sSub>
          <m:e>
            <m:r>
              <m:t>θ</m:t>
            </m:r>
          </m:e>
          <m:sub>
            <m:r>
              <m:t>m</m:t>
            </m:r>
          </m:sub>
        </m:sSub>
      </m:oMath>
      <w:r>
        <w:rPr>
          <w:rFonts w:hint="eastAsia"/>
        </w:rPr>
        <w:t xml:space="preserve">（月平均システムプライス÷FY2023〜25</w:t>
      </w:r>
      <w:r>
        <w:t xml:space="preserve"> </w:t>
      </w:r>
      <w:r>
        <w:rPr>
          <w:rFonts w:hint="eastAsia"/>
        </w:rPr>
        <w:t xml:space="preserve">の同月平均）の対数を</w:t>
      </w:r>
      <w:r>
        <w:t xml:space="preserve"> </w:t>
      </w:r>
      <m:oMath>
        <m:r>
          <m:rPr>
            <m:sty m:val="p"/>
          </m:rPr>
          <m:t>ln</m:t>
        </m:r>
        <m:sSub>
          <m:e>
            <m:r>
              <m:t>θ</m:t>
            </m:r>
          </m:e>
          <m:sub>
            <m:r>
              <m:t>m</m:t>
            </m:r>
          </m:sub>
        </m:sSub>
        <m:r>
          <m:rPr>
            <m:sty m:val="p"/>
          </m:rPr>
          <m:t>=</m:t>
        </m:r>
        <m:sSub>
          <m:e>
            <m:r>
              <m:t>ξ</m:t>
            </m:r>
          </m:e>
          <m:sub>
            <m:r>
              <m:t>m</m:t>
            </m:r>
          </m:sub>
        </m:sSub>
        <m:r>
          <m:rPr>
            <m:sty m:val="p"/>
          </m:rPr>
          <m:t>+</m:t>
        </m:r>
        <m:sSub>
          <m:e>
            <m:r>
              <m:t>χ</m:t>
            </m:r>
          </m:e>
          <m:sub>
            <m:r>
              <m:t>m</m:t>
            </m:r>
          </m:sub>
        </m:sSub>
      </m:oMath>
      <w:r>
        <w:t xml:space="preserve"> </w:t>
      </w:r>
      <w:r>
        <w:rPr>
          <w:rFonts w:hint="eastAsia"/>
        </w:rPr>
        <w:t xml:space="preserve">と分け、恒久成分</w:t>
      </w:r>
      <w:r>
        <w:t xml:space="preserve"> </w:t>
      </w:r>
      <m:oMath>
        <m:sSub>
          <m:e>
            <m:r>
              <m:t>ξ</m:t>
            </m:r>
          </m:e>
          <m:sub>
            <m:r>
              <m:t>m</m:t>
            </m:r>
          </m:sub>
        </m:sSub>
      </m:oMath>
      <w:r>
        <w:t xml:space="preserve"> </w:t>
      </w:r>
      <w:r>
        <w:rPr>
          <w:rFonts w:hint="eastAsia"/>
        </w:rPr>
        <w:t xml:space="preserve">をランダムウォーク、一時成分</w:t>
      </w:r>
      <w:r>
        <w:t xml:space="preserve"> </w:t>
      </w:r>
      <m:oMath>
        <m:sSub>
          <m:e>
            <m:r>
              <m:t>χ</m:t>
            </m:r>
          </m:e>
          <m:sub>
            <m:r>
              <m:t>m</m:t>
            </m:r>
          </m:sub>
        </m:sSub>
      </m:oMath>
      <w:r>
        <w:t xml:space="preserve"> </w:t>
      </w:r>
      <w:r>
        <w:t xml:space="preserve">を </w:t>
      </w:r>
      <w:r>
        <w:rPr>
          <w:rFonts w:hint="eastAsia"/>
        </w:rPr>
        <w:t xml:space="preserve">AR(1)（係数</w:t>
      </w:r>
      <w:r>
        <w:t xml:space="preserve"> </w:t>
      </w:r>
      <m:oMath>
        <m:sSub>
          <m:e>
            <m:r>
              <m:t>ϕ</m:t>
            </m:r>
          </m:e>
          <m:sub>
            <m:r>
              <m:t>χ</m:t>
            </m:r>
          </m:sub>
        </m:sSub>
      </m:oMath>
      <w:r>
        <w:rPr>
          <w:rFonts w:hint="eastAsia"/>
        </w:rPr>
        <w:t xml:space="preserve">）とする状態空間モデルを、カルマンフィルタによる最尤法で推定する。恒久成分のボラティリティ</w:t>
      </w:r>
      <w:r>
        <w:t xml:space="preserve"> </w:t>
      </w:r>
      <m:oMath>
        <m:sSub>
          <m:e>
            <m:r>
              <m:t>σ</m:t>
            </m:r>
          </m:e>
          <m:sub>
            <m:r>
              <m:t>ξ</m:t>
            </m:r>
          </m:sub>
        </m:sSub>
      </m:oMath>
      <w:r>
        <w:t xml:space="preserve"> </w:t>
      </w:r>
      <w:r>
        <w:rPr>
          <w:rFonts w:hint="eastAsia"/>
        </w:rPr>
        <w:t xml:space="preserve">の95%区間は、プロファイル尤度で尤度比統計量が3.84以下の範囲とする。この代理は、水準係数付き価格過程の月次の水準係数と、重複する51か月（2022年4月〜2026年6月）で対数0.93の相関を持つ。北海道エリアプライスで作った代理は相関が0.95とやや高いが、全期間の</w:t>
      </w:r>
      <w:r>
        <w:t xml:space="preserve"> </w:t>
      </w:r>
      <m:oMath>
        <m:sSub>
          <m:e>
            <m:r>
              <m:t>σ</m:t>
            </m:r>
          </m:e>
          <m:sub>
            <m:r>
              <m:t>ξ</m:t>
            </m:r>
          </m:sub>
        </m:sSub>
      </m:oMath>
      <w:r>
        <w:t xml:space="preserve"> </w:t>
      </w:r>
      <w:r>
        <w:rPr>
          <w:rFonts w:hint="eastAsia"/>
        </w:rPr>
        <w:t xml:space="preserve">は0と推定されるので、</w:t>
      </w:r>
      <m:oMath>
        <m:sSub>
          <m:e>
            <m:r>
              <m:t>σ</m:t>
            </m:r>
          </m:e>
          <m:sub>
            <m:r>
              <m:t>ξ</m:t>
            </m:r>
          </m:sub>
        </m:sSub>
      </m:oMath>
      <w:r>
        <w:t xml:space="preserve"> </w:t>
      </w:r>
      <w:r>
        <w:rPr>
          <w:rFonts w:hint="eastAsia"/>
        </w:rPr>
        <w:t xml:space="preserve">を大きく出し参入に有利な側にあたるシステムプライスの代理を主とする。ショックが恒久的か一時的かは、ADF</w:t>
      </w:r>
      <w:r>
        <w:t xml:space="preserve"> </w:t>
      </w:r>
      <w:r>
        <w:rPr>
          <w:rFonts w:hint="eastAsia"/>
        </w:rPr>
        <w:t xml:space="preserve">検定（Dickey</w:t>
      </w:r>
      <w:r>
        <w:t xml:space="preserve"> &amp; Fuller, </w:t>
      </w:r>
      <w:r>
        <w:rPr>
          <w:rFonts w:hint="eastAsia"/>
        </w:rPr>
        <w:t xml:space="preserve">1979）、KPSS</w:t>
      </w:r>
      <w:r>
        <w:t xml:space="preserve"> </w:t>
      </w:r>
      <w:r>
        <w:rPr>
          <w:rFonts w:hint="eastAsia"/>
        </w:rPr>
        <w:t xml:space="preserve">検定（Kwiatkowski</w:t>
      </w:r>
      <w:r>
        <w:t xml:space="preserve"> et al., </w:t>
      </w:r>
      <w:r>
        <w:rPr>
          <w:rFonts w:hint="eastAsia"/>
        </w:rPr>
        <w:t xml:space="preserve">1992）、不均一分散に頑健な分散比検定（Lo</w:t>
      </w:r>
      <w:r>
        <w:t xml:space="preserve"> &amp; MacKinlay, </w:t>
      </w:r>
      <w:r>
        <w:rPr>
          <w:rFonts w:hint="eastAsia"/>
        </w:rPr>
        <w:t xml:space="preserve">1988）で確かめる。</w:t>
      </w:r>
    </w:p>
    <w:p>
      <w:pPr>
        <w:pStyle w:val="BodyText"/>
      </w:pPr>
      <w:r>
        <w:rPr>
          <w:rFonts w:hint="eastAsia"/>
          <w:b/>
          <w:bCs/>
        </w:rPr>
        <w:t xml:space="preserve">キャッシュフローと割引</w:t>
      </w:r>
      <w:r>
        <w:t xml:space="preserve">　</w:t>
      </w:r>
      <w:r>
        <w:rPr>
          <w:rFonts w:hint="eastAsia"/>
        </w:rPr>
        <w:t xml:space="preserve">年間のキャッシュフローは本文の式(7.2)とし、</w:t>
      </w:r>
      <m:oMath>
        <m:r>
          <m:t>F</m:t>
        </m:r>
      </m:oMath>
      <w:r>
        <w:t xml:space="preserve"> </w:t>
      </w:r>
      <w:r>
        <w:rPr>
          <w:rFonts w:hint="eastAsia"/>
        </w:rPr>
        <w:t xml:space="preserve">は運転維持・廃止0.53万円、託送等固定0.69万円、充電従量負担1,752円の合計から実効容量収入1.25万円を引いた1,452円/kW-年である。</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は水準係数付きの仕様A・完全予見の増分貪欲フリート・1万kW</w:t>
      </w:r>
      <w:r>
        <w:t xml:space="preserve"> </w:t>
      </w:r>
      <w:r>
        <w:rPr>
          <w:rFonts w:hint="eastAsia"/>
        </w:rPr>
        <w:t xml:space="preserve">刻みの値で、粗収益は</w:t>
      </w:r>
      <w:r>
        <w:t xml:space="preserve"> </w:t>
      </w:r>
      <m:oMath>
        <m:r>
          <m:t>θ</m:t>
        </m:r>
      </m:oMath>
      <w:r>
        <w:t xml:space="preserve"> </w:t>
      </w:r>
      <w:r>
        <w:rPr>
          <w:rFonts w:hint="eastAsia"/>
        </w:rPr>
        <w:t xml:space="preserve">にほぼ比例する（</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t>1.567</m:t>
        </m:r>
        <m:r>
          <m:rPr>
            <m:sty m:val="p"/>
          </m:rPr>
          <m:t>)</m:t>
        </m:r>
        <m:r>
          <m:rPr>
            <m:sty m:val="p"/>
          </m:rPr>
          <m:t>/</m:t>
        </m:r>
        <m:r>
          <m:rPr>
            <m:sty m:val="p"/>
          </m:rPr>
          <m:t>[</m:t>
        </m:r>
        <m:r>
          <m:t>1.567</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t>1</m:t>
        </m:r>
        <m:r>
          <m:rPr>
            <m:sty m:val="p"/>
          </m:rPr>
          <m:t>)</m:t>
        </m:r>
        <m:r>
          <m:rPr>
            <m:sty m:val="p"/>
          </m:rPr>
          <m:t>]</m:t>
        </m:r>
      </m:oMath>
      <w:r>
        <w:t xml:space="preserve"> </w:t>
      </w:r>
      <w:r>
        <w:t xml:space="preserve">は</w:t>
      </w:r>
      <w:r>
        <w:t xml:space="preserve"> </w:t>
      </w:r>
      <m:oMath>
        <m:r>
          <m:t>K</m:t>
        </m:r>
      </m:oMath>
      <w:r>
        <w:rPr>
          <w:rFonts w:hint="eastAsia"/>
        </w:rPr>
        <w:t xml:space="preserve">≤100万kW</w:t>
      </w:r>
      <w:r>
        <w:t xml:space="preserve"> </w:t>
      </w:r>
      <w:r>
        <w:rPr>
          <w:rFonts w:hint="eastAsia"/>
        </w:rPr>
        <w:t xml:space="preserve">で0.999〜1.001）。</w:t>
      </w:r>
      <m:oMath>
        <m:r>
          <m:t>a</m:t>
        </m:r>
      </m:oMath>
      <w:r>
        <w:t xml:space="preserve"> </w:t>
      </w:r>
      <w:r>
        <w:t xml:space="preserve">は</w:t>
      </w:r>
      <w:r>
        <w:t xml:space="preserve"> </w:t>
      </w:r>
      <m:oMath>
        <m:r>
          <m:t>θ</m:t>
        </m:r>
      </m:oMath>
      <w:r>
        <w:t xml:space="preserve"> </w:t>
      </w:r>
      <w:r>
        <w:rPr>
          <w:rFonts w:hint="eastAsia"/>
        </w:rPr>
        <w:t xml:space="preserve">との積でしか入らないので、閾値はすべて</w:t>
      </w:r>
      <w:r>
        <w:t xml:space="preserve"> </w:t>
      </w:r>
      <m:oMath>
        <m:r>
          <m:t>a</m:t>
        </m:r>
      </m:oMath>
      <w:r>
        <w:t xml:space="preserve"> </w:t>
      </w:r>
      <w:r>
        <w:rPr>
          <w:rFonts w:hint="eastAsia"/>
        </w:rPr>
        <w:t xml:space="preserve">に反比例し、閾値の倍率と検算の</w:t>
      </w:r>
      <w:r>
        <w:t xml:space="preserve"> NPV は</w:t>
      </w:r>
      <w:r>
        <w:t xml:space="preserve"> </w:t>
      </w:r>
      <m:oMath>
        <m:r>
          <m:t>a</m:t>
        </m:r>
      </m:oMath>
      <w:r>
        <w:t xml:space="preserve"> </w:t>
      </w:r>
      <w:r>
        <w:rPr>
          <w:rFonts w:hint="eastAsia"/>
        </w:rPr>
        <w:t xml:space="preserve">の基準によらない。割引は実物確率の下で</w:t>
      </w:r>
      <w:r>
        <w:t xml:space="preserve"> WACC</w:t>
      </w:r>
      <w:r>
        <w:t xml:space="preserve"> </w:t>
      </w:r>
      <m:oMath>
        <m:r>
          <m:t>r</m:t>
        </m:r>
      </m:oMath>
      <w:r>
        <w:t xml:space="preserve"> </w:t>
      </w:r>
      <w:r>
        <w:rPr>
          <w:rFonts w:hint="eastAsia"/>
        </w:rPr>
        <w:t xml:space="preserve">によって行い、連続複利の割引率を</w:t>
      </w:r>
      <w:r>
        <w:t xml:space="preserve"> </w:t>
      </w:r>
      <m:oMath>
        <m:r>
          <m:rPr>
            <m:sty m:val="p"/>
          </m:rPr>
          <m:t>ln</m:t>
        </m:r>
        <m:r>
          <m:rPr>
            <m:sty m:val="p"/>
          </m:rPr>
          <m:t>(</m:t>
        </m:r>
        <m:r>
          <m:t>1</m:t>
        </m:r>
        <m:r>
          <m:rPr>
            <m:sty m:val="p"/>
          </m:rPr>
          <m:t>+</m:t>
        </m:r>
        <m:r>
          <m:t>r</m:t>
        </m:r>
        <m:r>
          <m:rPr>
            <m:sty m:val="p"/>
          </m:rPr>
          <m:t>)</m:t>
        </m:r>
      </m:oMath>
      <w:r>
        <w:t xml:space="preserve"> </w:t>
      </w:r>
      <w:r>
        <w:rPr>
          <w:rFonts w:hint="eastAsia"/>
        </w:rPr>
        <w:t xml:space="preserve">とする。金額、</w:t>
      </w:r>
      <m:oMath>
        <m:r>
          <m:t>r</m:t>
        </m:r>
      </m:oMath>
      <w:r>
        <w:rPr>
          <w:rFonts w:hint="eastAsia"/>
        </w:rPr>
        <w:t xml:space="preserve">、次に述べる期待成長率</w:t>
      </w:r>
      <w:r>
        <w:t xml:space="preserve"> </w:t>
      </w:r>
      <m:oMath>
        <m:r>
          <m:t>α</m:t>
        </m:r>
      </m:oMath>
      <w:r>
        <w:t xml:space="preserve"> </w:t>
      </w:r>
      <w:r>
        <w:rPr>
          <w:rFonts w:hint="eastAsia"/>
        </w:rPr>
        <w:t xml:space="preserve">は、付録B.5.3</w:t>
      </w:r>
      <w:r>
        <w:t xml:space="preserve"> </w:t>
      </w:r>
      <w:r>
        <w:rPr>
          <w:rFonts w:hint="eastAsia"/>
        </w:rPr>
        <w:t xml:space="preserve">と同じくいずれも実質である。ただし</w:t>
      </w:r>
      <w:r>
        <w:t xml:space="preserve"> </w:t>
      </w:r>
      <m:oMath>
        <m:r>
          <m:t>θ</m:t>
        </m:r>
      </m:oMath>
      <w:r>
        <w:t xml:space="preserve"> </w:t>
      </w:r>
      <w:r>
        <w:rPr>
          <w:rFonts w:hint="eastAsia"/>
        </w:rPr>
        <w:t xml:space="preserve">の過程は名目の価格から推定しており、出発点に置く恒久成分の推定値1.22</w:t>
      </w:r>
      <w:r>
        <w:t xml:space="preserve"> </w:t>
      </w:r>
      <w:r>
        <w:rPr>
          <w:rFonts w:hint="eastAsia"/>
        </w:rPr>
        <w:t xml:space="preserve">は、基準期間（FY2023〜25）以後の一般物価の上昇分を含みうる。実質の水準としては高めであり、参入に有利な側にあたる。Dixit</w:t>
      </w:r>
      <w:r>
        <w:t xml:space="preserve"> and </w:t>
      </w:r>
      <w:r>
        <w:rPr>
          <w:rFonts w:hint="eastAsia"/>
        </w:rPr>
        <w:t xml:space="preserve">Pindyck（1994）の記法で原資産の期待成長率を</w:t>
      </w:r>
      <w:r>
        <w:t xml:space="preserve"> </w:t>
      </w:r>
      <m:oMath>
        <m:r>
          <m:t>α</m:t>
        </m:r>
      </m:oMath>
      <w:r>
        <w:t xml:space="preserve"> </w:t>
      </w:r>
      <w:r>
        <w:rPr>
          <w:rFonts w:hint="eastAsia"/>
        </w:rPr>
        <w:t xml:space="preserve">とすると、価格水準に比例する収入の期待成長と割引率の差（配当利回りにあたる量）は</w:t>
      </w:r>
      <w:r>
        <w:t xml:space="preserve"> </w:t>
      </w:r>
      <m:oMath>
        <m:r>
          <m:rPr>
            <m:sty m:val="p"/>
          </m:rPr>
          <m:t>ln</m:t>
        </m:r>
        <m:r>
          <m:rPr>
            <m:sty m:val="p"/>
          </m:rPr>
          <m:t>(</m:t>
        </m:r>
        <m:r>
          <m:t>1</m:t>
        </m:r>
        <m:r>
          <m:rPr>
            <m:sty m:val="p"/>
          </m:rPr>
          <m:t>+</m:t>
        </m:r>
        <m:r>
          <m:t>r</m:t>
        </m:r>
        <m:r>
          <m:rPr>
            <m:sty m:val="p"/>
          </m:rPr>
          <m:t>)</m:t>
        </m:r>
        <m:r>
          <m:rPr>
            <m:sty m:val="p"/>
          </m:rPr>
          <m:t>−</m:t>
        </m:r>
        <m:r>
          <m:t>α</m:t>
        </m:r>
      </m:oMath>
      <w:r>
        <w:t xml:space="preserve"> </w:t>
      </w:r>
      <w:r>
        <w:rPr>
          <w:rFonts w:hint="eastAsia"/>
        </w:rPr>
        <w:t xml:space="preserve">であり、主仕様の</w:t>
      </w:r>
      <w:r>
        <w:t xml:space="preserve"> </w:t>
      </w:r>
      <m:oMath>
        <m:r>
          <m:t>α</m:t>
        </m:r>
        <m:r>
          <m:rPr>
            <m:sty m:val="p"/>
          </m:rPr>
          <m:t>=</m:t>
        </m:r>
        <m:r>
          <m:t>0</m:t>
        </m:r>
      </m:oMath>
      <w:r>
        <w:t xml:space="preserve"> </w:t>
      </w:r>
      <w:r>
        <w:rPr>
          <w:rFonts w:hint="eastAsia"/>
        </w:rPr>
        <w:t xml:space="preserve">ではこれが割引率に等しい。基本二次方程式</w:t>
      </w:r>
    </w:p>
    <w:p>
      <w:pPr>
        <w:pStyle w:val="BodyText"/>
        <w:tabs>
          <w:tab w:val="center" w:pos="4393"/>
          <w:tab w:val="right" w:pos="8787"/>
        </w:tabs>
        <w:spacing w:before="120" w:after="120" w:line="240" w:lineRule="auto"/>
        <w:ind w:firstLine="0"/>
      </w:pPr>
      <w:r>
        <w:tab/>
      </w:r>
      <m:oMath>
        <m:f>
          <m:fPr>
            <m:type m:val="lin"/>
          </m:fPr>
          <m:num>
            <m:r>
              <m:t>1</m:t>
            </m:r>
          </m:num>
          <m:den>
            <m:r>
              <m:t>2</m:t>
            </m:r>
          </m:den>
        </m:f>
        <m:sSup>
          <m:e>
            <m:r>
              <m:t>σ</m:t>
            </m:r>
          </m:e>
          <m:sup>
            <m:r>
              <m:t>2</m:t>
            </m:r>
          </m:sup>
        </m:sSup>
        <m:r>
          <m:t>β</m:t>
        </m:r>
        <m:r>
          <m:rPr>
            <m:sty m:val="p"/>
          </m:rPr>
          <m:t>(</m:t>
        </m:r>
        <m:r>
          <m:t>β</m:t>
        </m:r>
        <m:r>
          <m:rPr>
            <m:sty m:val="p"/>
          </m:rPr>
          <m:t>−</m:t>
        </m:r>
        <m:r>
          <m:t>1</m:t>
        </m:r>
        <m:r>
          <m:rPr>
            <m:sty m:val="p"/>
          </m:rPr>
          <m:t>)</m:t>
        </m:r>
        <m:r>
          <m:rPr>
            <m:sty m:val="p"/>
          </m:rPr>
          <m:t>+</m:t>
        </m:r>
        <m:r>
          <m:t>α</m:t>
        </m:r>
        <m:r>
          <m:t>β</m:t>
        </m:r>
        <m:r>
          <m:rPr>
            <m:sty m:val="p"/>
          </m:rPr>
          <m:t>−</m:t>
        </m:r>
        <m:r>
          <m:rPr>
            <m:sty m:val="p"/>
          </m:rPr>
          <m:t>ln</m:t>
        </m:r>
        <m:r>
          <m:rPr>
            <m:sty m:val="p"/>
          </m:rPr>
          <m:t>(</m:t>
        </m:r>
        <m:r>
          <m:t>1</m:t>
        </m:r>
        <m:r>
          <m:rPr>
            <m:sty m:val="p"/>
          </m:rPr>
          <m:t>+</m:t>
        </m:r>
        <m:r>
          <m:t>r</m:t>
        </m:r>
        <m:r>
          <m:rPr>
            <m:sty m:val="p"/>
          </m:rPr>
          <m:t>)</m:t>
        </m:r>
        <m:r>
          <m:rPr>
            <m:sty m:val="p"/>
          </m:rPr>
          <m:t>=</m:t>
        </m:r>
        <m:r>
          <m:t>0</m:t>
        </m:r>
      </m:oMath>
      <w:r>
        <w:tab/>
      </w:r>
      <w:r>
        <w:t>(B.17)</w:t>
      </w:r>
    </w:p>
    <w:p>
      <w:pPr>
        <w:pStyle w:val="BodyText"/>
      </w:pPr>
      <w:r>
        <w:rPr>
          <w:rFonts w:hint="eastAsia"/>
        </w:rPr>
        <w:t xml:space="preserve">の正の根</w:t>
      </w:r>
      <w:r>
        <w:t xml:space="preserve"> </w:t>
      </w:r>
      <m:oMath>
        <m:r>
          <m:t>β</m:t>
        </m:r>
      </m:oMath>
      <w:r>
        <w:t xml:space="preserve"> </w:t>
      </w:r>
      <w:r>
        <w:t xml:space="preserve">は、</w:t>
      </w:r>
      <m:oMath>
        <m:r>
          <m:t>α</m:t>
        </m:r>
        <m:r>
          <m:rPr>
            <m:sty m:val="p"/>
          </m:rPr>
          <m:t>=</m:t>
        </m:r>
        <m:r>
          <m:t>0</m:t>
        </m:r>
      </m:oMath>
      <w:r>
        <w:t xml:space="preserve"> </w:t>
      </w:r>
      <w:r>
        <w:t xml:space="preserve">では</w:t>
      </w:r>
      <w:r>
        <w:t xml:space="preserve"> </w:t>
      </w:r>
      <m:oMath>
        <m:r>
          <m:t>β</m:t>
        </m:r>
        <m:r>
          <m:rPr>
            <m:sty m:val="p"/>
          </m:rPr>
          <m:t>=</m:t>
        </m:r>
        <m:r>
          <m:t>1</m:t>
        </m:r>
        <m:r>
          <m:rPr>
            <m:sty m:val="p"/>
          </m:rPr>
          <m:t>/</m:t>
        </m:r>
        <m:r>
          <m:t>2</m:t>
        </m:r>
        <m:r>
          <m:rPr>
            <m:sty m:val="p"/>
          </m:rPr>
          <m:t>+</m:t>
        </m:r>
        <m:rad>
          <m:radPr>
            <m:degHide m:val="on"/>
          </m:radPr>
          <m:deg/>
          <m:e>
            <m:r>
              <m:t>1</m:t>
            </m:r>
            <m:r>
              <m:rPr>
                <m:sty m:val="p"/>
              </m:rPr>
              <m:t>/</m:t>
            </m:r>
            <m:r>
              <m:t>4</m:t>
            </m:r>
            <m:r>
              <m:rPr>
                <m:sty m:val="p"/>
              </m:rPr>
              <m:t>+</m:t>
            </m:r>
            <m:r>
              <m:t>2</m:t>
            </m:r>
            <m:r>
              <m:rPr>
                <m:sty m:val="p"/>
              </m:rPr>
              <m:t>ln</m:t>
            </m:r>
            <m:r>
              <m:rPr>
                <m:sty m:val="p"/>
              </m:rPr>
              <m:t>(</m:t>
            </m:r>
            <m:r>
              <m:t>1</m:t>
            </m:r>
            <m:r>
              <m:rPr>
                <m:sty m:val="p"/>
              </m:rPr>
              <m:t>+</m:t>
            </m:r>
            <m:r>
              <m:t>r</m:t>
            </m:r>
            <m:r>
              <m:rPr>
                <m:sty m:val="p"/>
              </m:rPr>
              <m:t>)</m:t>
            </m:r>
            <m:r>
              <m:rPr>
                <m:sty m:val="p"/>
              </m:rPr>
              <m:t>/</m:t>
            </m:r>
            <m:sSup>
              <m:e>
                <m:r>
                  <m:t>σ</m:t>
                </m:r>
              </m:e>
              <m:sup>
                <m:r>
                  <m:t>2</m:t>
                </m:r>
              </m:sup>
            </m:sSup>
          </m:e>
        </m:rad>
      </m:oMath>
      <w:r>
        <w:t xml:space="preserve"> </w:t>
      </w:r>
      <w:r>
        <w:t xml:space="preserve">である。ここでの</w:t>
      </w:r>
      <w:r>
        <w:t xml:space="preserve"> </w:t>
      </w:r>
      <m:oMath>
        <m:r>
          <m:t>β</m:t>
        </m:r>
      </m:oMath>
      <w:r>
        <w:t xml:space="preserve"> </w:t>
      </w:r>
      <w:r>
        <w:rPr>
          <w:rFonts w:hint="eastAsia"/>
        </w:rPr>
        <w:t xml:space="preserve">はこの節だけで用いる記号である。</w:t>
      </w:r>
    </w:p>
    <w:p>
      <w:pPr>
        <w:pStyle w:val="BodyText"/>
      </w:pPr>
      <w:r>
        <w:rPr>
          <w:rFonts w:hint="eastAsia"/>
          <w:b/>
          <w:bCs/>
        </w:rPr>
        <w:t xml:space="preserve">単独企業の閾値</w:t>
      </w:r>
      <w:r>
        <w:t xml:space="preserve">　</w:t>
      </w:r>
      <w:r>
        <w:rPr>
          <w:rFonts w:hint="eastAsia"/>
        </w:rPr>
        <w:t xml:space="preserve">対数</w:t>
      </w:r>
      <w:r>
        <w:t xml:space="preserve"> </w:t>
      </w:r>
      <m:oMath>
        <m:r>
          <m:t>θ</m:t>
        </m:r>
      </m:oMath>
      <w:r>
        <w:t xml:space="preserve"> </w:t>
      </w:r>
      <w:r>
        <w:rPr>
          <w:rFonts w:hint="eastAsia"/>
        </w:rPr>
        <w:t xml:space="preserve">の格子（2,001点）上で、年次の動的計画法を後ろ向きに解き、排他的な参入権の最適行使閾値</w:t>
      </w:r>
      <w:r>
        <w:t xml:space="preserve"> </w:t>
      </w:r>
      <m:oMath>
        <m:sSub>
          <m:e>
            <m:acc>
              <m:accPr>
                <m:chr m:val="‾"/>
              </m:accPr>
              <m:e>
                <m:r>
                  <m:t>θ</m:t>
                </m:r>
              </m:e>
            </m:acc>
          </m:e>
          <m:sub>
            <m:r>
              <m:t>t</m:t>
            </m:r>
          </m:sub>
        </m:sSub>
      </m:oMath>
      <w:r>
        <w:t xml:space="preserve"> </w:t>
      </w:r>
      <w:r>
        <w:rPr>
          <w:rFonts w:hint="eastAsia"/>
        </w:rPr>
        <w:t xml:space="preserve">を求める。投資額は4時間×資本費で、資本費は年率</w:t>
      </w:r>
      <w:r>
        <w:t xml:space="preserve"> </w:t>
      </w:r>
      <m:oMath>
        <m:sSub>
          <m:e>
            <m:r>
              <m:t>g</m:t>
            </m:r>
          </m:e>
          <m:sub>
            <m:r>
              <m:t>I</m:t>
            </m:r>
          </m:sub>
        </m:sSub>
      </m:oMath>
      <w:r>
        <w:t xml:space="preserve"> </w:t>
      </w:r>
      <w:r>
        <w:rPr>
          <w:rFonts w:hint="eastAsia"/>
        </w:rPr>
        <w:t xml:space="preserve">で下がって2.3万円/kWh</w:t>
      </w:r>
      <w:r>
        <w:t xml:space="preserve"> </w:t>
      </w:r>
      <w:r>
        <w:rPr>
          <w:rFonts w:hint="eastAsia"/>
        </w:rPr>
        <w:t xml:space="preserve">で止まる。資本費が下限に達した後は定常の問題になる。</w:t>
      </w:r>
    </w:p>
    <w:p>
      <w:pPr>
        <w:pStyle w:val="BodyText"/>
      </w:pPr>
      <w:r>
        <w:rPr>
          <w:rFonts w:hint="eastAsia"/>
          <w:b/>
          <w:bCs/>
        </w:rPr>
        <w:t xml:space="preserve">競争均衡の閾値</w:t>
      </w:r>
      <w:r>
        <w:t xml:space="preserve">　</w:t>
      </w:r>
      <w:r>
        <w:rPr>
          <w:rFonts w:hint="eastAsia"/>
        </w:rPr>
        <w:t xml:space="preserve">閾値</w:t>
      </w:r>
      <w:r>
        <w:t xml:space="preserve"> </w:t>
      </w:r>
      <m:oMath>
        <m:sSub>
          <m:e>
            <m:r>
              <m:t>θ</m:t>
            </m:r>
          </m:e>
          <m:sub>
            <m:r>
              <m:t>c</m:t>
            </m:r>
          </m:sub>
        </m:sSub>
      </m:oMath>
      <w:r>
        <w:t xml:space="preserve"> </w:t>
      </w:r>
      <w:r>
        <w:rPr>
          <w:rFonts w:hint="eastAsia"/>
        </w:rPr>
        <w:t xml:space="preserve">で参入した者の</w:t>
      </w:r>
      <w:r>
        <w:t xml:space="preserve"> NPV </w:t>
      </w:r>
      <w:r>
        <w:rPr>
          <w:rFonts w:hint="eastAsia"/>
        </w:rPr>
        <w:t xml:space="preserve">を、その後に他社が同じ規則で参入し、収入の水準</w:t>
      </w:r>
      <w:r>
        <w:t xml:space="preserve"> </w:t>
      </w:r>
      <m:oMath>
        <m:r>
          <m:rPr>
            <m:sty m:val="p"/>
          </m:rPr>
          <m:t>Θ</m:t>
        </m:r>
        <m:r>
          <m:rPr>
            <m:sty m:val="p"/>
          </m:rPr>
          <m:t>=</m:t>
        </m:r>
        <m:r>
          <m:t>θ</m:t>
        </m:r>
        <m:r>
          <m:rPr>
            <m:sty m:val="p"/>
          </m:rPr>
          <m:t>⋅</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r>
          <m:rPr>
            <m:sty m:val="p"/>
          </m:rPr>
          <m:t>/</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oMath>
      <w:r>
        <w:t xml:space="preserve"> </w:t>
      </w:r>
      <w:r>
        <w:rPr>
          <w:rFonts w:hint="eastAsia"/>
        </w:rPr>
        <w:t xml:space="preserve">が閾値に押さえられる（上側の反射壁）ことを織り込んで、モンテカルロ（5万本、共通乱数、建設ラグ1年）で計算する。この</w:t>
      </w:r>
      <w:r>
        <w:t xml:space="preserve"> NPV </w:t>
      </w:r>
      <w:r>
        <w:rPr>
          <w:rFonts w:hint="eastAsia"/>
        </w:rPr>
        <w:t xml:space="preserve">が0になる閾値を、資本費が下限に達する年から後ろ向きに求める。</w:t>
      </w:r>
    </w:p>
    <w:p>
      <w:pPr>
        <w:pStyle w:val="BodyText"/>
      </w:pPr>
      <w:r>
        <w:rPr>
          <w:rFonts w:hint="eastAsia"/>
          <w:b/>
          <w:bCs/>
        </w:rPr>
        <w:t xml:space="preserve">検算</w:t>
      </w:r>
      <w:r>
        <w:t xml:space="preserve">　</w:t>
      </w:r>
      <w:r>
        <w:rPr>
          <w:rFonts w:hint="eastAsia"/>
        </w:rPr>
        <w:t xml:space="preserve">第一に、資本費一定の単独企業の閾値の倍率</w:t>
      </w:r>
      <w:r>
        <w:t xml:space="preserve"> </w:t>
      </w:r>
      <m:oMath>
        <m:acc>
          <m:accPr>
            <m:chr m:val="‾"/>
          </m:accPr>
          <m:e>
            <m:r>
              <m:t>θ</m:t>
            </m:r>
          </m:e>
        </m:acc>
        <m:r>
          <m:rPr>
            <m:sty m:val="p"/>
          </m:rPr>
          <m:t>/</m:t>
        </m:r>
        <m:sSup>
          <m:e>
            <m:r>
              <m:t>θ</m:t>
            </m:r>
          </m:e>
          <m:sup>
            <m:r>
              <m:rPr>
                <m:sty m:val="p"/>
              </m:rPr>
              <m:t>*</m:t>
            </m:r>
          </m:sup>
        </m:sSup>
      </m:oMath>
      <w:r>
        <w:t xml:space="preserve"> </w:t>
      </w:r>
      <w:r>
        <w:rPr>
          <w:rFonts w:hint="eastAsia"/>
        </w:rPr>
        <w:t xml:space="preserve">を、連続時間の閉形式</w:t>
      </w:r>
      <w:r>
        <w:t xml:space="preserve"> </w:t>
      </w:r>
      <m:oMath>
        <m:r>
          <m:t>β</m:t>
        </m:r>
        <m:r>
          <m:rPr>
            <m:sty m:val="p"/>
          </m:rPr>
          <m:t>/</m:t>
        </m:r>
        <m:r>
          <m:rPr>
            <m:sty m:val="p"/>
          </m:rPr>
          <m:t>(</m:t>
        </m:r>
        <m:r>
          <m:t>β</m:t>
        </m:r>
        <m:r>
          <m:rPr>
            <m:sty m:val="p"/>
          </m:rPr>
          <m:t>−</m:t>
        </m:r>
        <m:r>
          <m:t>1</m:t>
        </m:r>
        <m:r>
          <m:rPr>
            <m:sty m:val="p"/>
          </m:rPr>
          <m:t>)</m:t>
        </m:r>
      </m:oMath>
      <w:r>
        <w:t xml:space="preserve"> </w:t>
      </w:r>
      <w:r>
        <w:rPr>
          <w:rFonts w:hint="eastAsia"/>
        </w:rPr>
        <w:t xml:space="preserve">に年1回判断の補正</w:t>
      </w:r>
      <w:r>
        <w:t xml:space="preserve"> </w:t>
      </w:r>
      <m:oMath>
        <m:r>
          <m:rPr>
            <m:sty m:val="p"/>
          </m:rPr>
          <m:t>exp</m:t>
        </m:r>
        <m:r>
          <m:rPr>
            <m:sty m:val="p"/>
          </m:rPr>
          <m:t>(</m:t>
        </m:r>
        <m:r>
          <m:rPr>
            <m:sty m:val="p"/>
          </m:rPr>
          <m:t>−</m:t>
        </m:r>
        <m:r>
          <m:t>0.5826</m:t>
        </m:r>
        <m:r>
          <m:t> </m:t>
        </m:r>
        <m:r>
          <m:t>σ</m:t>
        </m:r>
        <m:rad>
          <m:radPr>
            <m:degHide m:val="on"/>
          </m:radPr>
          <m:deg/>
          <m:e>
            <m:r>
              <m:rPr>
                <m:sty m:val="p"/>
              </m:rPr>
              <m:t>Δ</m:t>
            </m:r>
            <m:r>
              <m:t>t</m:t>
            </m:r>
          </m:e>
        </m:rad>
        <m:r>
          <m:rPr>
            <m:sty m:val="p"/>
          </m:rPr>
          <m:t>)</m:t>
        </m:r>
      </m:oMath>
      <w:r>
        <w:t xml:space="preserve"> </w:t>
      </w:r>
      <w:r>
        <w:rPr>
          <w:rFonts w:hint="eastAsia"/>
        </w:rPr>
        <w:t xml:space="preserve">を掛けた値と比べた。両者は0.05〜0.20%の差で一致した（</w:t>
      </w:r>
      <m:oMath>
        <m:r>
          <m:t>σ</m:t>
        </m:r>
      </m:oMath>
      <w:r>
        <w:rPr>
          <w:rFonts w:hint="eastAsia"/>
        </w:rPr>
        <w:t xml:space="preserve">=0.30・6%で1.973対1.970。補正前の閉形式は2.346）。補正の定数は、離散監視のバリア・オプションに対する</w:t>
      </w:r>
      <w:r>
        <w:t xml:space="preserve"> Broadie et </w:t>
      </w:r>
      <w:r>
        <w:rPr>
          <w:rFonts w:hint="eastAsia"/>
        </w:rPr>
        <w:t xml:space="preserve">al.（1997）のものである。Howison（2007）は、行使日が離散的なオプション（バミューダ型）の最適行使境界も、1次のオーダーで同じ定数だけ継続領域の側へずれることを示している。年1回しか判断できない投資家は、連続時間の閾値より低い水準で参入する。ただし</w:t>
      </w:r>
      <w:r>
        <w:t xml:space="preserve"> </w:t>
      </w:r>
      <m:oMath>
        <m:r>
          <m:rPr>
            <m:sty m:val="p"/>
          </m:rPr>
          <m:t>Δ</m:t>
        </m:r>
        <m:r>
          <m:t>t</m:t>
        </m:r>
        <m:r>
          <m:rPr>
            <m:sty m:val="p"/>
          </m:rPr>
          <m:t>=</m:t>
        </m:r>
        <m:r>
          <m:t>1</m:t>
        </m:r>
      </m:oMath>
      <w:r>
        <w:t xml:space="preserve"> </w:t>
      </w:r>
      <w:r>
        <w:rPr>
          <w:rFonts w:hint="eastAsia"/>
        </w:rPr>
        <w:t xml:space="preserve">年・</w:t>
      </w:r>
      <m:oMath>
        <m:r>
          <m:t>σ</m:t>
        </m:r>
        <m:r>
          <m:rPr>
            <m:sty m:val="p"/>
          </m:rPr>
          <m:t>=</m:t>
        </m:r>
        <m:r>
          <m:t>0.30</m:t>
        </m:r>
      </m:oMath>
      <w:r>
        <w:t xml:space="preserve"> </w:t>
      </w:r>
      <w:r>
        <w:t xml:space="preserve">では</w:t>
      </w:r>
      <w:r>
        <w:t xml:space="preserve"> </w:t>
      </w:r>
      <m:oMath>
        <m:r>
          <m:t>σ</m:t>
        </m:r>
        <m:rad>
          <m:radPr>
            <m:degHide m:val="on"/>
          </m:radPr>
          <m:deg/>
          <m:e>
            <m:r>
              <m:rPr>
                <m:sty m:val="p"/>
              </m:rPr>
              <m:t>Δ</m:t>
            </m:r>
            <m:r>
              <m:t>t</m:t>
            </m:r>
          </m:e>
        </m:rad>
      </m:oMath>
      <w:r>
        <w:t xml:space="preserve"> </w:t>
      </w:r>
      <w:r>
        <w:rPr>
          <w:rFonts w:hint="eastAsia"/>
        </w:rPr>
        <w:t xml:space="preserve">が小さいとは言えないので、この補正は数値解の確認にのみ用いた。第二に、Dixit</w:t>
      </w:r>
      <w:r>
        <w:t xml:space="preserve"> and </w:t>
      </w:r>
      <w:r>
        <w:rPr>
          <w:rFonts w:hint="eastAsia"/>
        </w:rPr>
        <w:t xml:space="preserve">Pindyck（1994,</w:t>
      </w:r>
      <w:r>
        <w:t xml:space="preserve"> Chapter </w:t>
      </w:r>
      <w:r>
        <w:rPr>
          <w:rFonts w:hint="eastAsia"/>
        </w:rPr>
        <w:t xml:space="preserve">8）の連続時間・無限寿命の競争均衡を、上側に反射壁を持つ価格の収入現在価値のモンテカルロ（2万本、区間内の最大値をブラウン橋で生成）で再現した。NPV</w:t>
      </w:r>
      <w:r>
        <w:t xml:space="preserve"> </w:t>
      </w:r>
      <w:r>
        <w:rPr>
          <w:rFonts w:hint="eastAsia"/>
        </w:rPr>
        <w:t xml:space="preserve">が0になる参入価格は、静学の損益分岐の1.551倍（</w:t>
      </w:r>
      <m:oMath>
        <m:r>
          <m:t>σ</m:t>
        </m:r>
        <m:r>
          <m:rPr>
            <m:sty m:val="p"/>
          </m:rPr>
          <m:t>=</m:t>
        </m:r>
        <m:r>
          <m:t>0.15</m:t>
        </m:r>
      </m:oMath>
      <w:r>
        <w:rPr>
          <w:rFonts w:hint="eastAsia"/>
        </w:rPr>
        <w:t xml:space="preserve">、理論値1.546）、2.358倍（</w:t>
      </w:r>
      <m:oMath>
        <m:r>
          <m:t>σ</m:t>
        </m:r>
        <m:r>
          <m:rPr>
            <m:sty m:val="p"/>
          </m:rPr>
          <m:t>=</m:t>
        </m:r>
        <m:r>
          <m:t>0.30</m:t>
        </m:r>
      </m:oMath>
      <w:r>
        <w:rPr>
          <w:rFonts w:hint="eastAsia"/>
        </w:rPr>
        <w:t xml:space="preserve">、理論値2.346）であった。第三に、</w:t>
      </w:r>
      <m:oMath>
        <m:r>
          <m:t>σ</m:t>
        </m:r>
        <m:r>
          <m:rPr>
            <m:sty m:val="p"/>
          </m:rPr>
          <m:t>→</m:t>
        </m:r>
        <m:r>
          <m:t>0</m:t>
        </m:r>
      </m:oMath>
      <w:r>
        <w:t xml:space="preserve"> </w:t>
      </w:r>
      <w:r>
        <w:rPr>
          <w:rFonts w:hint="eastAsia"/>
        </w:rPr>
        <w:t xml:space="preserve">の閾値を、資本費の年額に使用者費用の係数</w:t>
      </w:r>
      <w:r>
        <w:t xml:space="preserve"> </w:t>
      </w:r>
      <m:oMath>
        <m:r>
          <m:rPr>
            <m:sty m:val="p"/>
          </m:rPr>
          <m:t>(</m:t>
        </m:r>
        <m:r>
          <m:t>r</m:t>
        </m:r>
        <m:r>
          <m:rPr>
            <m:sty m:val="p"/>
          </m:rPr>
          <m:t>+</m:t>
        </m:r>
        <m:sSub>
          <m:e>
            <m:r>
              <m:t>g</m:t>
            </m:r>
          </m:e>
          <m:sub>
            <m:r>
              <m:t>I</m:t>
            </m:r>
          </m:sub>
        </m:sSub>
        <m:r>
          <m:rPr>
            <m:sty m:val="p"/>
          </m:rPr>
          <m:t>)</m:t>
        </m:r>
        <m:r>
          <m:rPr>
            <m:sty m:val="p"/>
          </m:rPr>
          <m:t>/</m:t>
        </m:r>
        <m:r>
          <m:t>r</m:t>
        </m:r>
      </m:oMath>
      <w:r>
        <w:t xml:space="preserve"> </w:t>
      </w:r>
      <w:r>
        <w:rPr>
          <w:rFonts w:hint="eastAsia"/>
        </w:rPr>
        <w:t xml:space="preserve">を掛けた</w:t>
      </w:r>
      <w:r>
        <w:t xml:space="preserve"> </w:t>
      </w:r>
      <w:r>
        <w:rPr>
          <w:rFonts w:hint="eastAsia"/>
        </w:rPr>
        <w:t xml:space="preserve">Jorgenson（1963）型の閉形式と比べ、</w:t>
      </w:r>
      <m:oMath>
        <m:sSub>
          <m:e>
            <m:r>
              <m:t>g</m:t>
            </m:r>
          </m:e>
          <m:sub>
            <m:r>
              <m:t>I</m:t>
            </m:r>
          </m:sub>
        </m:sSub>
        <m:r>
          <m:rPr>
            <m:sty m:val="p"/>
          </m:rPr>
          <m:t>=</m:t>
        </m:r>
        <m:r>
          <m:t>5</m:t>
        </m:r>
        <m:r>
          <m:rPr>
            <m:sty m:val="p"/>
          </m:rPr>
          <m:t>%</m:t>
        </m:r>
      </m:oMath>
      <w:r>
        <w:t xml:space="preserve"> </w:t>
      </w:r>
      <w:r>
        <w:rPr>
          <w:rFonts w:hint="eastAsia"/>
        </w:rPr>
        <w:t xml:space="preserve">の単独企業で一致した（5.33）。</w:t>
      </w:r>
    </w:p>
    <w:p>
      <w:pPr>
        <w:pStyle w:val="BodyText"/>
      </w:pPr>
      <w:r>
        <w:rPr>
          <w:rFonts w:hint="eastAsia"/>
          <w:b/>
          <w:bCs/>
        </w:rPr>
        <w:t xml:space="preserve">寿命と競争の効果</w:t>
      </w:r>
      <w:r>
        <w:t xml:space="preserve">　</w:t>
      </w:r>
      <w:r>
        <w:rPr>
          <w:rFonts w:hint="eastAsia"/>
        </w:rPr>
        <w:t xml:space="preserve">全社が単独企業の閾値</w:t>
      </w:r>
      <w:r>
        <w:t xml:space="preserve"> </w:t>
      </w:r>
      <m:oMath>
        <m:acc>
          <m:accPr>
            <m:chr m:val="‾"/>
          </m:accPr>
          <m:e>
            <m:r>
              <m:t>θ</m:t>
            </m:r>
          </m:e>
        </m:acc>
      </m:oMath>
      <w:r>
        <w:t xml:space="preserve"> </w:t>
      </w:r>
      <w:r>
        <w:rPr>
          <w:rFonts w:hint="eastAsia"/>
        </w:rPr>
        <w:t xml:space="preserve">で参入する場合、参入者の</w:t>
      </w:r>
      <w:r>
        <w:t xml:space="preserve"> NPV は</w:t>
      </w:r>
      <w:r>
        <w:t xml:space="preserve"> </w:t>
      </w:r>
      <m:oMath>
        <m:r>
          <m:t>σ</m:t>
        </m:r>
      </m:oMath>
      <w:r>
        <w:rPr>
          <w:rFonts w:hint="eastAsia"/>
        </w:rPr>
        <w:t xml:space="preserve">=0.10〜0.30で+2.4万〜+6.9万円/kW（投資額の9〜25%）残る。このため競争の下では閾値は</w:t>
      </w:r>
      <w:r>
        <w:t xml:space="preserve"> </w:t>
      </w:r>
      <m:oMath>
        <m:sSub>
          <m:e>
            <m:r>
              <m:t>θ</m:t>
            </m:r>
          </m:e>
          <m:sub>
            <m:r>
              <m:t>c</m:t>
            </m:r>
          </m:sub>
        </m:sSub>
      </m:oMath>
      <w:r>
        <w:t xml:space="preserve"> </w:t>
      </w:r>
      <w:r>
        <w:rPr>
          <w:rFonts w:hint="eastAsia"/>
        </w:rPr>
        <w:t xml:space="preserve">まで下がる。</w:t>
      </w:r>
      <m:oMath>
        <m:sSub>
          <m:e>
            <m:r>
              <m:t>θ</m:t>
            </m:r>
          </m:e>
          <m:sub>
            <m:r>
              <m:t>c</m:t>
            </m:r>
          </m:sub>
        </m:sSub>
      </m:oMath>
      <w:r>
        <w:t xml:space="preserve"> </w:t>
      </w:r>
      <w:r>
        <w:rPr>
          <w:rFonts w:hint="eastAsia"/>
        </w:rPr>
        <w:t xml:space="preserve">で参入した者の</w:t>
      </w:r>
      <w:r>
        <w:t xml:space="preserve"> NPV </w:t>
      </w:r>
      <w:r>
        <w:rPr>
          <w:rFonts w:hint="eastAsia"/>
        </w:rPr>
        <w:t xml:space="preserve">は、将来の参入を織り込めば0だが、静学で計算すれば+4.8万〜+17.1万円/kW（投資額の18〜63%）になる。寿命を100年に延ばすと、</w:t>
      </w:r>
      <m:oMath>
        <m:sSub>
          <m:e>
            <m:r>
              <m:t>θ</m:t>
            </m:r>
          </m:e>
          <m:sub>
            <m:r>
              <m:t>c</m:t>
            </m:r>
          </m:sub>
        </m:sSub>
      </m:oMath>
      <w:r>
        <w:t xml:space="preserve"> </w:t>
      </w:r>
      <w:r>
        <w:t xml:space="preserve">と</w:t>
      </w:r>
      <w:r>
        <w:t xml:space="preserve"> </w:t>
      </w:r>
      <m:oMath>
        <m:acc>
          <m:accPr>
            <m:chr m:val="‾"/>
          </m:accPr>
          <m:e>
            <m:r>
              <m:t>θ</m:t>
            </m:r>
          </m:e>
        </m:acc>
      </m:oMath>
      <w:r>
        <w:t xml:space="preserve"> </w:t>
      </w:r>
      <w:r>
        <w:rPr>
          <w:rFonts w:hint="eastAsia"/>
        </w:rPr>
        <w:t xml:space="preserve">は一致する（</w:t>
      </w:r>
      <m:oMath>
        <m:r>
          <m:t>σ</m:t>
        </m:r>
        <m:r>
          <m:rPr>
            <m:sty m:val="p"/>
          </m:rPr>
          <m:t>=</m:t>
        </m:r>
        <m:r>
          <m:t>0.15</m:t>
        </m:r>
      </m:oMath>
      <w:r>
        <w:t xml:space="preserve"> </w:t>
      </w:r>
      <w:r>
        <w:rPr>
          <w:rFonts w:hint="eastAsia"/>
        </w:rPr>
        <w:t xml:space="preserve">で2.998対2.999、</w:t>
      </w:r>
      <m:oMath>
        <m:r>
          <m:t>σ</m:t>
        </m:r>
        <m:r>
          <m:rPr>
            <m:sty m:val="p"/>
          </m:rPr>
          <m:t>=</m:t>
        </m:r>
        <m:r>
          <m:t>0.30</m:t>
        </m:r>
      </m:oMath>
      <w:r>
        <w:t xml:space="preserve"> </w:t>
      </w:r>
      <w:r>
        <w:rPr>
          <w:rFonts w:hint="eastAsia"/>
        </w:rPr>
        <w:t xml:space="preserve">で4.170対4.172）。20年寿命で</w:t>
      </w:r>
      <w:r>
        <w:t xml:space="preserve"> </w:t>
      </w:r>
      <m:oMath>
        <m:sSub>
          <m:e>
            <m:r>
              <m:t>θ</m:t>
            </m:r>
          </m:e>
          <m:sub>
            <m:r>
              <m:t>c</m:t>
            </m:r>
          </m:sub>
        </m:sSub>
      </m:oMath>
      <w:r>
        <w:t xml:space="preserve"> </w:t>
      </w:r>
      <w:r>
        <w:t xml:space="preserve">が</w:t>
      </w:r>
      <w:r>
        <w:t xml:space="preserve"> </w:t>
      </w:r>
      <m:oMath>
        <m:acc>
          <m:accPr>
            <m:chr m:val="‾"/>
          </m:accPr>
          <m:e>
            <m:r>
              <m:t>θ</m:t>
            </m:r>
          </m:e>
        </m:acc>
      </m:oMath>
      <w:r>
        <w:t xml:space="preserve"> </w:t>
      </w:r>
      <w:r>
        <w:rPr>
          <w:rFonts w:hint="eastAsia"/>
        </w:rPr>
        <w:t xml:space="preserve">を下回るのは、将来の参入による収入の押し下げが寿命の内側でしか効かないためである。上側の押さえによる収入の目減りは参入後の時間とともに大きくなるので、寿命が短いほど目減りの割合は小さく、競争均衡の倍率は下がる（</w:t>
      </w:r>
      <m:oMath>
        <m:r>
          <m:t>σ</m:t>
        </m:r>
        <m:r>
          <m:rPr>
            <m:sty m:val="p"/>
          </m:rPr>
          <m:t>=</m:t>
        </m:r>
        <m:r>
          <m:t>0.15</m:t>
        </m:r>
      </m:oMath>
      <w:r>
        <w:t xml:space="preserve"> </w:t>
      </w:r>
      <w:r>
        <w:rPr>
          <w:rFonts w:hint="eastAsia"/>
        </w:rPr>
        <w:t xml:space="preserve">で寿命20・40・100年に1.261・1.356・1.418倍）。単独企業の閾値の倍率は寿命によらない（</w:t>
      </w:r>
      <m:oMath>
        <m:r>
          <m:t>σ</m:t>
        </m:r>
        <m:r>
          <m:rPr>
            <m:sty m:val="p"/>
          </m:rPr>
          <m:t>=</m:t>
        </m:r>
        <m:r>
          <m:t>0.15</m:t>
        </m:r>
      </m:oMath>
      <w:r>
        <w:t xml:space="preserve"> </w:t>
      </w:r>
      <w:r>
        <w:rPr>
          <w:rFonts w:hint="eastAsia"/>
        </w:rPr>
        <w:t xml:space="preserve">で1.418倍）。</w:t>
      </w:r>
    </w:p>
    <w:p>
      <w:pPr>
        <w:pStyle w:val="BodyText"/>
      </w:pPr>
      <w:r>
        <w:rPr>
          <w:rFonts w:hint="eastAsia"/>
          <w:b/>
          <w:bCs/>
        </w:rPr>
        <w:t xml:space="preserve">参入が開く確率と期待容量</w:t>
      </w:r>
      <w:r>
        <w:t xml:space="preserve">　</w:t>
      </w:r>
      <w:r>
        <w:rPr>
          <w:rFonts w:hint="eastAsia"/>
        </w:rPr>
        <w:t xml:space="preserve">恒久成分の推定値1.22を出発点に、</w:t>
      </w:r>
      <m:oMath>
        <m:r>
          <m:t>θ</m:t>
        </m:r>
      </m:oMath>
      <w:r>
        <w:t xml:space="preserve"> </w:t>
      </w:r>
      <w:r>
        <w:rPr>
          <w:rFonts w:hint="eastAsia"/>
        </w:rPr>
        <w:t xml:space="preserve">を年次のマルチンゲールとして動かし、各年度までに</w:t>
      </w:r>
      <w:r>
        <w:t xml:space="preserve"> </w:t>
      </w:r>
      <m:oMath>
        <m:r>
          <m:t>θ</m:t>
        </m:r>
      </m:oMath>
      <w:r>
        <w:t xml:space="preserve"> </w:t>
      </w:r>
      <w:r>
        <w:rPr>
          <w:rFonts w:hint="eastAsia"/>
        </w:rPr>
        <w:t xml:space="preserve">が閾値を上回る確率を格子上の前進計算で求める。2040年度のフリート容量</w:t>
      </w:r>
      <w:r>
        <w:t xml:space="preserve"> </w:t>
      </w:r>
      <m:oMath>
        <m:r>
          <m:t>K</m:t>
        </m:r>
      </m:oMath>
      <w:r>
        <w:t xml:space="preserve"> </w:t>
      </w:r>
      <w:r>
        <w:rPr>
          <w:rFonts w:hint="eastAsia"/>
        </w:rPr>
        <w:t xml:space="preserve">の期待値はモンテカルロ20万本で求める。</w:t>
      </w:r>
      <m:oMath>
        <m:r>
          <m:t>K</m:t>
        </m:r>
      </m:oMath>
      <w:r>
        <w:t xml:space="preserve"> </w:t>
      </w:r>
      <w:r>
        <w:t xml:space="preserve">は</w:t>
      </w:r>
      <w:r>
        <w:t xml:space="preserve"> </w:t>
      </w:r>
      <m:oMath>
        <m:r>
          <m:rPr>
            <m:sty m:val="p"/>
          </m:rPr>
          <m:t>Θ</m:t>
        </m:r>
      </m:oMath>
      <w:r>
        <w:t xml:space="preserve"> </w:t>
      </w:r>
      <w:r>
        <w:rPr>
          <w:rFonts w:hint="eastAsia"/>
        </w:rPr>
        <w:t xml:space="preserve">を通じて</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から逆算し、減らないとする。</w:t>
      </w:r>
    </w:p>
    <w:p>
      <w:pPr>
        <w:pStyle w:val="BodyText"/>
      </w:pPr>
      <w:r>
        <w:rPr>
          <w:rFonts w:hint="eastAsia"/>
          <w:b/>
          <w:bCs/>
        </w:rPr>
        <w:t xml:space="preserve">感応度の設定</w:t>
      </w:r>
      <w:r>
        <w:t xml:space="preserve">　</w:t>
      </w:r>
      <w:r>
        <w:rPr>
          <w:rFonts w:hint="eastAsia"/>
        </w:rPr>
        <w:t xml:space="preserve">第一に、実効容量収入を年度ごとの列とし、FY2027〜29</w:t>
      </w:r>
      <w:r>
        <w:t xml:space="preserve"> </w:t>
      </w:r>
      <w:r>
        <w:rPr>
          <w:rFonts w:hint="eastAsia"/>
        </w:rPr>
        <w:t xml:space="preserve">を1.25万円、FY2030</w:t>
      </w:r>
      <w:r>
        <w:t xml:space="preserve"> </w:t>
      </w:r>
      <w:r>
        <w:rPr>
          <w:rFonts w:hint="eastAsia"/>
        </w:rPr>
        <w:t xml:space="preserve">以降を2030年度向けの指標価格による1.75万円、または上限近傍の2.5万円とする。競争均衡の境界は、資本費が下限に達する年と</w:t>
      </w:r>
      <w:r>
        <w:t xml:space="preserve"> FY2030 </w:t>
      </w:r>
      <w:r>
        <w:rPr>
          <w:rFonts w:hint="eastAsia"/>
        </w:rPr>
        <w:t xml:space="preserve">の遅い方から後ろ向きに解く。2.5万円に資本費の低下を重ねると静学の損益分岐が負になり、容量価格を一定とするこのモデルでは参入が際限なく続くので、資本費一定の場合だけを計算する。第二に、環境共創イニシアチブ（SII）の補助（上限なしの1/2、1/3、上限の効く実効29.4%）を受ける参入者について、資本費とその下限を（1−補助率）倍にする。競争均衡は後続の参入者も補助を受けると置いた近似なので、静学の規則の確率も併記し、期待容量は北海道の交付額で賄える容量で打ち切った版も示す。第三に、外生の契約型容量</w:t>
      </w:r>
      <w:r>
        <w:t xml:space="preserve"> </w:t>
      </w:r>
      <m:oMath>
        <m:sSub>
          <m:e>
            <m:r>
              <m:t>K</m:t>
            </m:r>
          </m:e>
          <m:sub>
            <m:r>
              <m:rPr>
                <m:sty m:val="p"/>
              </m:rPr>
              <m:t>e</m:t>
            </m:r>
            <m:r>
              <m:rPr>
                <m:sty m:val="p"/>
              </m:rPr>
              <m:t>x</m:t>
            </m:r>
            <m:r>
              <m:rPr>
                <m:sty m:val="p"/>
              </m:rPr>
              <m:t>o</m:t>
            </m:r>
          </m:sub>
        </m:sSub>
      </m:oMath>
      <w:r>
        <w:rPr>
          <w:rFonts w:hint="eastAsia"/>
        </w:rPr>
        <w:t xml:space="preserve">（20・76.8・87.4万kW）を出発点に置き、</w:t>
      </w:r>
      <m:oMath>
        <m:r>
          <m:t>a</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sSub>
          <m:e>
            <m:r>
              <m:t>K</m:t>
            </m:r>
          </m:e>
          <m:sub>
            <m:r>
              <m:rPr>
                <m:sty m:val="p"/>
              </m:rPr>
              <m:t>e</m:t>
            </m:r>
            <m:r>
              <m:rPr>
                <m:sty m:val="p"/>
              </m:rPr>
              <m:t>x</m:t>
            </m:r>
            <m:r>
              <m:rPr>
                <m:sty m:val="p"/>
              </m:rPr>
              <m:t>o</m:t>
            </m:r>
          </m:sub>
        </m:sSub>
        <m:r>
          <m:rPr>
            <m:sty m:val="p"/>
          </m:rPr>
          <m:t>)</m:t>
        </m:r>
      </m:oMath>
      <w:r>
        <w:t xml:space="preserve">、</w:t>
      </w:r>
      <m:oMath>
        <m:r>
          <m:rPr>
            <m:sty m:val="p"/>
          </m:rPr>
          <m:t>Θ</m:t>
        </m:r>
        <m:r>
          <m:rPr>
            <m:sty m:val="p"/>
          </m:rPr>
          <m:t>=</m:t>
        </m:r>
        <m:r>
          <m:t>θ</m:t>
        </m:r>
        <m:r>
          <m:rPr>
            <m:sty m:val="p"/>
          </m:rPr>
          <m:t>⋅</m:t>
        </m:r>
        <m:sSub>
          <m:e>
            <m:r>
              <m:t>c</m:t>
            </m:r>
          </m:e>
          <m:sub>
            <m:r>
              <m:rPr>
                <m:sty m:val="p"/>
              </m:rPr>
              <m:t>m</m:t>
            </m:r>
            <m:r>
              <m:rPr>
                <m:sty m:val="p"/>
              </m:rPr>
              <m:t>o</m:t>
            </m:r>
            <m:r>
              <m:rPr>
                <m:sty m:val="p"/>
              </m:rPr>
              <m:t>d</m:t>
            </m:r>
            <m:r>
              <m:rPr>
                <m:sty m:val="p"/>
              </m:rPr>
              <m:t>e</m:t>
            </m:r>
            <m:r>
              <m:rPr>
                <m:sty m:val="p"/>
              </m:rPr>
              <m:t>l</m:t>
            </m:r>
          </m:sub>
        </m:sSub>
        <m:r>
          <m:rPr>
            <m:sty m:val="p"/>
          </m:rPr>
          <m:t>(</m:t>
        </m:r>
        <m:sSub>
          <m:e>
            <m:r>
              <m:t>K</m:t>
            </m:r>
          </m:e>
          <m:sub>
            <m:r>
              <m:rPr>
                <m:sty m:val="p"/>
              </m:rPr>
              <m:t>e</m:t>
            </m:r>
            <m:r>
              <m:rPr>
                <m:sty m:val="p"/>
              </m:rPr>
              <m:t>x</m:t>
            </m:r>
            <m:r>
              <m:rPr>
                <m:sty m:val="p"/>
              </m:rPr>
              <m:t>o</m:t>
            </m:r>
          </m:sub>
        </m:sSub>
        <m:r>
          <m:rPr>
            <m:sty m:val="p"/>
          </m:rPr>
          <m:t>+</m:t>
        </m:r>
        <m:r>
          <m:t>K</m:t>
        </m:r>
        <m:r>
          <m:rPr>
            <m:sty m:val="p"/>
          </m:rPr>
          <m:t>)</m:t>
        </m:r>
        <m:r>
          <m:rPr>
            <m:sty m:val="p"/>
          </m:rPr>
          <m:t>/</m:t>
        </m:r>
        <m:sSub>
          <m:e>
            <m:r>
              <m:t>c</m:t>
            </m:r>
          </m:e>
          <m:sub>
            <m:r>
              <m:rPr>
                <m:sty m:val="p"/>
              </m:rPr>
              <m:t>m</m:t>
            </m:r>
            <m:r>
              <m:rPr>
                <m:sty m:val="p"/>
              </m:rPr>
              <m:t>o</m:t>
            </m:r>
            <m:r>
              <m:rPr>
                <m:sty m:val="p"/>
              </m:rPr>
              <m:t>d</m:t>
            </m:r>
            <m:r>
              <m:rPr>
                <m:sty m:val="p"/>
              </m:rPr>
              <m:t>e</m:t>
            </m:r>
            <m:r>
              <m:rPr>
                <m:sty m:val="p"/>
              </m:rPr>
              <m:t>l</m:t>
            </m:r>
          </m:sub>
        </m:sSub>
        <m:r>
          <m:rPr>
            <m:sty m:val="p"/>
          </m:rPr>
          <m:t>(</m:t>
        </m:r>
        <m:sSub>
          <m:e>
            <m:r>
              <m:t>K</m:t>
            </m:r>
          </m:e>
          <m:sub>
            <m:r>
              <m:rPr>
                <m:sty m:val="p"/>
              </m:rPr>
              <m:t>e</m:t>
            </m:r>
            <m:r>
              <m:rPr>
                <m:sty m:val="p"/>
              </m:rPr>
              <m:t>x</m:t>
            </m:r>
            <m:r>
              <m:rPr>
                <m:sty m:val="p"/>
              </m:rPr>
              <m:t>o</m:t>
            </m:r>
          </m:sub>
        </m:sSub>
        <m:r>
          <m:rPr>
            <m:sty m:val="p"/>
          </m:rPr>
          <m:t>)</m:t>
        </m:r>
      </m:oMath>
      <w:r>
        <w:t xml:space="preserve"> </w:t>
      </w:r>
      <w:r>
        <w:rPr>
          <w:rFonts w:hint="eastAsia"/>
        </w:rPr>
        <w:t xml:space="preserve">として閾値と確率を計算する。第四に、実質の期待成長として、</w:t>
      </w:r>
      <m:oMath>
        <m:r>
          <m:t>α</m:t>
        </m:r>
        <m:r>
          <m:rPr>
            <m:sty m:val="p"/>
          </m:rPr>
          <m:t>=</m:t>
        </m:r>
        <m:r>
          <m:t>2</m:t>
        </m:r>
      </m:oMath>
      <w:r>
        <w:rPr>
          <w:rFonts w:hint="eastAsia"/>
        </w:rPr>
        <w:t xml:space="preserve">%/年と</w:t>
      </w:r>
      <w:r>
        <w:t xml:space="preserve"> </w:t>
      </w:r>
      <m:oMath>
        <m:r>
          <m:t>α</m:t>
        </m:r>
        <m:r>
          <m:rPr>
            <m:sty m:val="p"/>
          </m:rPr>
          <m:t>=</m:t>
        </m:r>
        <m:r>
          <m:rPr>
            <m:sty m:val="p"/>
          </m:rPr>
          <m:t>exp</m:t>
        </m:r>
        <m:r>
          <m:rPr>
            <m:sty m:val="p"/>
          </m:rPr>
          <m:t>(</m:t>
        </m:r>
        <m:sSup>
          <m:e>
            <m:r>
              <m:t>σ</m:t>
            </m:r>
          </m:e>
          <m:sup>
            <m:r>
              <m:t>2</m:t>
            </m:r>
          </m:sup>
        </m:sSup>
        <m:r>
          <m:rPr>
            <m:sty m:val="p"/>
          </m:rPr>
          <m:t>/</m:t>
        </m:r>
        <m:r>
          <m:t>2</m:t>
        </m:r>
        <m:r>
          <m:rPr>
            <m:sty m:val="p"/>
          </m:rPr>
          <m:t>)</m:t>
        </m:r>
        <m:r>
          <m:rPr>
            <m:sty m:val="p"/>
          </m:rPr>
          <m:t>−</m:t>
        </m:r>
        <m:r>
          <m:t>1</m:t>
        </m:r>
      </m:oMath>
      <w:r>
        <w:rPr>
          <w:rFonts w:hint="eastAsia"/>
        </w:rPr>
        <w:t xml:space="preserve">（2因子モデルどおり対数のドリフトを0とする場合）を置く。</w:t>
      </w:r>
      <m:oMath>
        <m:r>
          <m:t>α</m:t>
        </m:r>
      </m:oMath>
      <w:r>
        <w:t xml:space="preserve"> </w:t>
      </w:r>
      <w:r>
        <w:rPr>
          <w:rFonts w:hint="eastAsia"/>
        </w:rPr>
        <w:t xml:space="preserve">は一般物価を上回る価格水準の上昇率であり、物価上昇そのものは期待成長に含めない。恒久成分にドリフトを加えた状態空間モデルでは、対数のドリフトは年+5.7%（標準誤差11.8%）と推定される。この推定は名目の</w:t>
      </w:r>
      <w:r>
        <w:t xml:space="preserve"> </w:t>
      </w:r>
      <m:oMath>
        <m:r>
          <m:t>θ</m:t>
        </m:r>
      </m:oMath>
      <w:r>
        <w:t xml:space="preserve"> </w:t>
      </w:r>
      <w:r>
        <w:rPr>
          <w:rFonts w:hint="eastAsia"/>
        </w:rPr>
        <w:t xml:space="preserve">によるが、物価上昇分を差し引いても0と区別できない。2%は、0と区別できないこの推定の範囲にあり、2因子モデルが含意する成長（</w:t>
      </w:r>
      <m:oMath>
        <m:r>
          <m:t>σ</m:t>
        </m:r>
        <m:r>
          <m:rPr>
            <m:sty m:val="p"/>
          </m:rPr>
          <m:t>=</m:t>
        </m:r>
        <m:r>
          <m:t>0.30</m:t>
        </m:r>
      </m:oMath>
      <w:r>
        <w:t xml:space="preserve"> </w:t>
      </w:r>
      <w:r>
        <w:rPr>
          <w:rFonts w:hint="eastAsia"/>
        </w:rPr>
        <w:t xml:space="preserve">で4.6%）より小さい、控えめな正の値として置いた。費用</w:t>
      </w:r>
      <w:r>
        <w:t xml:space="preserve"> </w:t>
      </w:r>
      <m:oMath>
        <m:r>
          <m:t>F</m:t>
        </m:r>
      </m:oMath>
      <w:r>
        <w:t xml:space="preserve"> </w:t>
      </w:r>
      <w:r>
        <w:rPr>
          <w:rFonts w:hint="eastAsia"/>
        </w:rPr>
        <w:t xml:space="preserve">は実質で一定とする。このほか、FY2026（4〜6月）の水準1.57をすべて恒久と置く場合、WACC</w:t>
      </w:r>
      <w:r>
        <w:t xml:space="preserve"> </w:t>
      </w:r>
      <w:r>
        <w:rPr>
          <w:rFonts w:hint="eastAsia"/>
        </w:rPr>
        <w:t xml:space="preserve">8%の場合、</w:t>
      </w:r>
      <m:oMath>
        <m:r>
          <m:t>λ</m:t>
        </m:r>
      </m:oMath>
      <w:r>
        <w:t xml:space="preserve"> </w:t>
      </w:r>
      <w:r>
        <w:rPr>
          <w:rFonts w:hint="eastAsia"/>
        </w:rPr>
        <w:t xml:space="preserve">を95%区間の両端に置く場合、フリートを戦略</w:t>
      </w:r>
      <w:r>
        <w:t xml:space="preserve"> c </w:t>
      </w:r>
      <w:r>
        <w:rPr>
          <w:rFonts w:hint="eastAsia"/>
        </w:rPr>
        <w:t xml:space="preserve">の窓に従って配分した</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を使う場合（期待容量だけが変わる）を計算する。</w:t>
      </w:r>
    </w:p>
    <w:p>
      <w:pPr>
        <w:pStyle w:val="BodyText"/>
      </w:pPr>
      <w:r>
        <w:rPr>
          <w:rFonts w:hint="eastAsia"/>
          <w:b/>
          <w:bCs/>
        </w:rPr>
        <w:t xml:space="preserve">接続枠の待機価値</w:t>
      </w:r>
      <w:r>
        <w:t xml:space="preserve">　</w:t>
      </w:r>
      <w:r>
        <w:rPr>
          <w:rFonts w:hint="eastAsia"/>
        </w:rPr>
        <w:t xml:space="preserve">接続枠（契約申込）の価値も同じ枠組みで評価する。マーチャント収入（スポット裁定と容量収入）だけで評価した排他的な接続枠の待機価値を、単独企業の動的計画法で、期限5年と期限なし（80年で打ち切り）について求め、契約申込時の保証金（概算工事費負担金の5%）と比べる（8.4.2項）。この待機価値は他社の参入を無視した上限である。</w:t>
      </w:r>
    </w:p>
    <w:bookmarkEnd w:id="341"/>
    <w:bookmarkEnd w:id="342"/>
    <w:bookmarkStart w:id="349" w:name="b.5-乖離の勘定と契約の評価の方法第8章"/>
    <w:p>
      <w:pPr>
        <w:pStyle w:val="Heading2"/>
      </w:pPr>
      <w:r>
        <w:t xml:space="preserve">B.5　</w:t>
      </w:r>
      <w:r>
        <w:rPr>
          <w:rFonts w:hint="eastAsia"/>
        </w:rPr>
        <w:t xml:space="preserve">乖離の勘定と契約の評価の方法（第8章）</w:t>
      </w:r>
    </w:p>
    <w:p>
      <w:pPr>
        <w:pStyle w:val="FirstParagraph"/>
      </w:pPr>
      <w:r>
        <w:rPr>
          <w:rFonts w:hint="eastAsia"/>
        </w:rPr>
        <w:t xml:space="preserve">本節は、第8章の方法（8.1節）の詳細であり、乖離の勘定（付録B.5.1）、併設蓄電池の増分価値（付録B.5.2）、事業</w:t>
      </w:r>
      <w:r>
        <w:t xml:space="preserve"> </w:t>
      </w:r>
      <w:r>
        <w:rPr>
          <w:rFonts w:hint="eastAsia"/>
        </w:rPr>
        <w:t xml:space="preserve">IRR・資本コスト・APV</w:t>
      </w:r>
      <w:r>
        <w:t xml:space="preserve"> </w:t>
      </w:r>
      <w:r>
        <w:rPr>
          <w:rFonts w:hint="eastAsia"/>
        </w:rPr>
        <w:t xml:space="preserve">の計算の前提（付録B.5.3）、確実性等価（付録B.5.4）、多因子</w:t>
      </w:r>
      <w:r>
        <w:t xml:space="preserve"> </w:t>
      </w:r>
      <w:r>
        <w:rPr>
          <w:rFonts w:hint="eastAsia"/>
        </w:rPr>
        <w:t xml:space="preserve">CFaR（付録B.5.5）、ヘッジ有効性（付録B.5.6）の順に示す。</w:t>
      </w:r>
    </w:p>
    <w:bookmarkStart w:id="343" w:name="b.5.1-乖離の勘定の推定方法"/>
    <w:p>
      <w:pPr>
        <w:pStyle w:val="Heading3"/>
      </w:pPr>
      <w:r>
        <w:t xml:space="preserve">B.5.1　</w:t>
      </w:r>
      <w:r>
        <w:rPr>
          <w:rFonts w:hint="eastAsia"/>
        </w:rPr>
        <w:t xml:space="preserve">乖離の勘定の推定方法</w:t>
      </w:r>
    </w:p>
    <w:p>
      <w:pPr>
        <w:pStyle w:val="FirstParagraph"/>
      </w:pPr>
      <w:r>
        <w:rPr>
          <w:rFonts w:hint="eastAsia"/>
          <w:b/>
          <w:bCs/>
        </w:rPr>
        <w:t xml:space="preserve">目的</w:t>
      </w:r>
      <w:r>
        <w:t xml:space="preserve">　</w:t>
      </w:r>
      <w:r>
        <w:rPr>
          <w:rFonts w:hint="eastAsia"/>
        </w:rPr>
        <w:t xml:space="preserve">乖離が「いくらで、何に帰属するか」を、1kWあたりの価値だけでなく容量でも示すため、北海道エリアの系統用蓄電池の接続済み約20万kW</w:t>
      </w:r>
      <w:r>
        <w:t xml:space="preserve"> </w:t>
      </w:r>
      <w:r>
        <w:rPr>
          <w:rFonts w:hint="eastAsia"/>
        </w:rPr>
        <w:t xml:space="preserve">と契約申込約234万kW</w:t>
      </w:r>
      <w:r>
        <w:t xml:space="preserve"> </w:t>
      </w:r>
      <w:r>
        <w:rPr>
          <w:rFonts w:hint="eastAsia"/>
        </w:rPr>
        <w:t xml:space="preserve">の合計254万kW（2026年5月末）を、案件の属性別の</w:t>
      </w:r>
      <w:r>
        <w:t xml:space="preserve"> kW </w:t>
      </w:r>
      <w:r>
        <w:rPr>
          <w:rFonts w:hint="eastAsia"/>
        </w:rPr>
        <w:t xml:space="preserve">に割り当てる。属性は、LTDA、補助（SII</w:t>
      </w:r>
      <w:r>
        <w:t xml:space="preserve"> </w:t>
      </w:r>
      <w:r>
        <w:rPr>
          <w:rFonts w:hint="eastAsia"/>
        </w:rPr>
        <w:t xml:space="preserve">の交付決定のうち北海道の12件）、マーチャント（事業者の発表で確認できる案件）、併設、不明の五つである。</w:t>
      </w:r>
    </w:p>
    <w:p>
      <w:pPr>
        <w:pStyle w:val="BodyText"/>
      </w:pPr>
      <w:r>
        <w:rPr>
          <w:b/>
          <w:bCs/>
        </w:rPr>
        <w:t xml:space="preserve">LTDA </w:t>
      </w:r>
      <w:r>
        <w:rPr>
          <w:rFonts w:hint="eastAsia"/>
          <w:b/>
          <w:bCs/>
        </w:rPr>
        <w:t xml:space="preserve">の北海道分</w:t>
      </w:r>
      <w:r>
        <w:t xml:space="preserve">　</w:t>
      </w:r>
      <w:r>
        <w:rPr>
          <w:rFonts w:hint="eastAsia"/>
        </w:rPr>
        <w:t xml:space="preserve">所在エリアは付録A.6</w:t>
      </w:r>
      <w:r>
        <w:t xml:space="preserve"> </w:t>
      </w:r>
      <w:r>
        <w:rPr>
          <w:rFonts w:hint="eastAsia"/>
        </w:rPr>
        <w:t xml:space="preserve">の方法で推定する（北海道は約67.4万kW、第3回の別解では56.8万kW）。LTDA</w:t>
      </w:r>
      <w:r>
        <w:t xml:space="preserve"> </w:t>
      </w:r>
      <w:r>
        <w:rPr>
          <w:rFonts w:hint="eastAsia"/>
        </w:rPr>
        <w:t xml:space="preserve">は落札容量（契約容量。期待容量以下）で数え、設備容量に換算した値を上限側として併記する。設備容量換算では66.4〜77.8万kW（254万kW</w:t>
      </w:r>
      <w:r>
        <w:t xml:space="preserve"> </w:t>
      </w:r>
      <w:r>
        <w:rPr>
          <w:rFonts w:hint="eastAsia"/>
        </w:rPr>
        <w:t xml:space="preserve">の26〜31%）で、このとき不明は144.3〜167.9万kW（57〜66%）になる。LTDA</w:t>
      </w:r>
      <w:r>
        <w:t xml:space="preserve"> </w:t>
      </w:r>
      <w:r>
        <w:rPr>
          <w:rFonts w:hint="eastAsia"/>
        </w:rPr>
        <w:t xml:space="preserve">の落札分は契約申込に含まれると仮定する。LTDA</w:t>
      </w:r>
      <w:r>
        <w:t xml:space="preserve"> </w:t>
      </w:r>
      <w:r>
        <w:rPr>
          <w:rFonts w:hint="eastAsia"/>
        </w:rPr>
        <w:t xml:space="preserve">案件の物理的な連系が接続済み約20万kW</w:t>
      </w:r>
      <w:r>
        <w:t xml:space="preserve"> </w:t>
      </w:r>
      <w:r>
        <w:rPr>
          <w:rFonts w:hint="eastAsia"/>
        </w:rPr>
        <w:t xml:space="preserve">に先行して含まれているかは、公表資料では確認できない。</w:t>
      </w:r>
    </w:p>
    <w:p>
      <w:pPr>
        <w:pStyle w:val="BodyText"/>
      </w:pPr>
      <w:r>
        <w:rPr>
          <w:rFonts w:hint="eastAsia"/>
          <w:b/>
          <w:bCs/>
        </w:rPr>
        <w:t xml:space="preserve">補助の</w:t>
      </w:r>
      <w:r>
        <w:rPr>
          <w:b/>
          <w:bCs/>
        </w:rPr>
        <w:t xml:space="preserve"> kW</w:t>
      </w:r>
      <w:r>
        <w:t xml:space="preserve">　SII </w:t>
      </w:r>
      <w:r>
        <w:rPr>
          <w:rFonts w:hint="eastAsia"/>
        </w:rPr>
        <w:t xml:space="preserve">の交付決定の一覧には容量の記載がないので、北海道の交付額（2024・2025年度の計約181億円）を（補助率×資本費6.8万円/kWh）で割り、2〜4時間の</w:t>
      </w:r>
      <w:r>
        <w:t xml:space="preserve"> duration で kW </w:t>
      </w:r>
      <w:r>
        <w:rPr>
          <w:rFonts w:hint="eastAsia"/>
        </w:rPr>
        <w:t xml:space="preserve">に換算して、14.7〜26.9万kW</w:t>
      </w:r>
      <w:r>
        <w:t xml:space="preserve"> </w:t>
      </w:r>
      <w:r>
        <w:rPr>
          <w:rFonts w:hint="eastAsia"/>
        </w:rPr>
        <w:t xml:space="preserve">の幅で推定する。交付額で賄える容量は、4時間換算で13万〜23万kW（上限のない1/2補助から、上限の効く実効29%まで）である。補助案件の段階（接続済みか契約申込か）と、LTDA</w:t>
      </w:r>
      <w:r>
        <w:t xml:space="preserve"> </w:t>
      </w:r>
      <w:r>
        <w:rPr>
          <w:rFonts w:hint="eastAsia"/>
        </w:rPr>
        <w:t xml:space="preserve">の落札事業者と特別目的会社を通じて重なるかは、公表資料から特定できない（交付先と落札事業者の名称は重ならない）。</w:t>
      </w:r>
    </w:p>
    <w:p>
      <w:pPr>
        <w:pStyle w:val="BodyText"/>
      </w:pPr>
      <w:r>
        <w:rPr>
          <w:rFonts w:hint="eastAsia"/>
          <w:b/>
          <w:bCs/>
        </w:rPr>
        <w:t xml:space="preserve">属性別の</w:t>
      </w:r>
      <w:r>
        <w:rPr>
          <w:b/>
          <w:bCs/>
        </w:rPr>
        <w:t xml:space="preserve"> APV </w:t>
      </w:r>
      <w:r>
        <w:rPr>
          <w:rFonts w:hint="eastAsia"/>
          <w:b/>
          <w:bCs/>
        </w:rPr>
        <w:t xml:space="preserve">と残差</w:t>
      </w:r>
      <w:r>
        <w:t xml:space="preserve">　</w:t>
      </w:r>
      <w:r>
        <w:rPr>
          <w:rFonts w:hint="eastAsia"/>
        </w:rPr>
        <w:t xml:space="preserve">各属性に、8.7.3項と同じ方法による1kWあたりの</w:t>
      </w:r>
      <w:r>
        <w:t xml:space="preserve"> </w:t>
      </w:r>
      <w:r>
        <w:rPr>
          <w:rFonts w:hint="eastAsia"/>
        </w:rPr>
        <w:t xml:space="preserve">APV（マーチャントの資産の資本コスト</w:t>
      </w:r>
      <w:r>
        <w:t xml:space="preserve"> </w:t>
      </w:r>
      <m:oMath>
        <m:sSubSup>
          <m:e>
            <m:r>
              <m:t>r</m:t>
            </m:r>
          </m:e>
          <m:sub>
            <m:r>
              <m:t>A</m:t>
            </m:r>
          </m:sub>
          <m:sup>
            <m:r>
              <m:t>M</m:t>
            </m:r>
          </m:sup>
        </m:sSubSup>
        <m:r>
          <m:rPr>
            <m:sty m:val="p"/>
          </m:rPr>
          <m:t>=</m:t>
        </m:r>
        <m:r>
          <m:t>9</m:t>
        </m:r>
        <m:r>
          <m:rPr>
            <m:sty m:val="p"/>
          </m:rPr>
          <m:t>%</m:t>
        </m:r>
      </m:oMath>
      <w:r>
        <w:rPr>
          <w:rFonts w:hint="eastAsia"/>
        </w:rPr>
        <w:t xml:space="preserve">、実績整合ケース。8%の値を併記）を対応させ、「市場外収入で</w:t>
      </w:r>
      <w:r>
        <w:t xml:space="preserve"> APV </w:t>
      </w:r>
      <w:r>
        <w:rPr>
          <w:rFonts w:hint="eastAsia"/>
        </w:rPr>
        <w:t xml:space="preserve">が正になる</w:t>
      </w:r>
      <w:r>
        <w:t xml:space="preserve"> kW」「APV </w:t>
      </w:r>
      <w:r>
        <w:rPr>
          <w:rFonts w:hint="eastAsia"/>
        </w:rPr>
        <w:t xml:space="preserve">が負のまま参入を決めた</w:t>
      </w:r>
      <w:r>
        <w:t xml:space="preserve"> </w:t>
      </w:r>
      <w:r>
        <w:rPr>
          <w:rFonts w:hint="eastAsia"/>
        </w:rPr>
        <w:t xml:space="preserve">kW」「属性が不明な</w:t>
      </w:r>
      <w:r>
        <w:t xml:space="preserve"> </w:t>
      </w:r>
      <w:r>
        <w:rPr>
          <w:rFonts w:hint="eastAsia"/>
        </w:rPr>
        <w:t xml:space="preserve">kW」に分ける。マーチャントは確認できた</w:t>
      </w:r>
      <w:r>
        <w:t xml:space="preserve"> </w:t>
      </w:r>
      <w:r>
        <w:rPr>
          <w:rFonts w:hint="eastAsia"/>
        </w:rPr>
        <w:t xml:space="preserve">Helios（5.0万kW、接続済み）だけで、併設（北豊富の24万kW）は系統用の統計の外にあるので0とする。残差は、不明の</w:t>
      </w:r>
      <w:r>
        <w:t xml:space="preserve"> kW と、その kW </w:t>
      </w:r>
      <w:r>
        <w:rPr>
          <w:rFonts w:hint="eastAsia"/>
        </w:rPr>
        <w:t xml:space="preserve">をマーチャントの4時間蓄電池とみなしたときの1kWあたりの</w:t>
      </w:r>
      <w:r>
        <w:t xml:space="preserve"> APV </w:t>
      </w:r>
      <w:r>
        <w:rPr>
          <w:rFonts w:hint="eastAsia"/>
        </w:rPr>
        <w:t xml:space="preserve">の不足（</w:t>
      </w:r>
      <m:oMath>
        <m:r>
          <m:t>K</m:t>
        </m:r>
        <m:r>
          <m:rPr>
            <m:sty m:val="p"/>
          </m:rPr>
          <m:t>=</m:t>
        </m:r>
        <m:r>
          <m:t>0</m:t>
        </m:r>
      </m:oMath>
      <w:r>
        <w:t xml:space="preserve"> </w:t>
      </w:r>
      <w:r>
        <w:rPr>
          <w:rFonts w:hint="eastAsia"/>
        </w:rPr>
        <w:t xml:space="preserve">での値。</w:t>
      </w:r>
      <m:oMath>
        <m:sSubSup>
          <m:e>
            <m:r>
              <m:t>r</m:t>
            </m:r>
          </m:e>
          <m:sub>
            <m:r>
              <m:t>A</m:t>
            </m:r>
          </m:sub>
          <m:sup>
            <m:r>
              <m:t>M</m:t>
            </m:r>
          </m:sup>
        </m:sSubSup>
        <m:r>
          <m:rPr>
            <m:sty m:val="p"/>
          </m:rPr>
          <m:t>=</m:t>
        </m:r>
        <m:r>
          <m:t>9</m:t>
        </m:r>
        <m:r>
          <m:rPr>
            <m:sty m:val="p"/>
          </m:rPr>
          <m:t>%</m:t>
        </m:r>
      </m:oMath>
      <w:r>
        <w:t xml:space="preserve"> </w:t>
      </w:r>
      <w:r>
        <w:rPr>
          <w:rFonts w:hint="eastAsia"/>
        </w:rPr>
        <w:t xml:space="preserve">で−20.8万円/kW、FY2026上期の水準で−16.5万円/kW）の積として円で示す。</w:t>
      </w:r>
      <m:oMath>
        <m:r>
          <m:t>K</m:t>
        </m:r>
        <m:r>
          <m:rPr>
            <m:sty m:val="p"/>
          </m:rPr>
          <m:t>=</m:t>
        </m:r>
        <m:r>
          <m:t>0</m:t>
        </m:r>
      </m:oMath>
      <w:r>
        <w:t xml:space="preserve"> </w:t>
      </w:r>
      <w:r>
        <w:rPr>
          <w:rFonts w:hint="eastAsia"/>
        </w:rPr>
        <w:t xml:space="preserve">は参入に最も有利な評価なので、全量が建設されれば1kWあたりの不足は</w:t>
      </w:r>
      <w:r>
        <w:t xml:space="preserve"> </w:t>
      </w:r>
      <m:oMath>
        <m:r>
          <m:t>π</m:t>
        </m:r>
        <m:r>
          <m:rPr>
            <m:sty m:val="p"/>
          </m:rPr>
          <m:t>(</m:t>
        </m:r>
        <m:r>
          <m:t>K</m:t>
        </m:r>
        <m:r>
          <m:rPr>
            <m:sty m:val="p"/>
          </m:rPr>
          <m:t>)</m:t>
        </m:r>
      </m:oMath>
      <w:r>
        <w:t xml:space="preserve"> </w:t>
      </w:r>
      <w:r>
        <w:rPr>
          <w:rFonts w:hint="eastAsia"/>
        </w:rPr>
        <w:t xml:space="preserve">と容量価格の低下でさらに大きくなる（実績整合ケースの</w:t>
      </w:r>
      <w:r>
        <w:t xml:space="preserve"> </w:t>
      </w:r>
      <m:oMath>
        <m:r>
          <m:t>π</m:t>
        </m:r>
      </m:oMath>
      <w:r>
        <w:t xml:space="preserve"> </w:t>
      </w:r>
      <w:r>
        <w:t xml:space="preserve">は</w:t>
      </w:r>
      <w:r>
        <w:t xml:space="preserve"> </w:t>
      </w:r>
      <m:oMath>
        <m:r>
          <m:t>K</m:t>
        </m:r>
        <m:r>
          <m:rPr>
            <m:sty m:val="p"/>
          </m:rPr>
          <m:t>=</m:t>
        </m:r>
        <m:r>
          <m:t>100</m:t>
        </m:r>
      </m:oMath>
      <w:r>
        <w:t xml:space="preserve"> </w:t>
      </w:r>
      <w:r>
        <w:rPr>
          <w:rFonts w:hint="eastAsia"/>
        </w:rPr>
        <w:t xml:space="preserve">万kW</w:t>
      </w:r>
      <w:r>
        <w:t xml:space="preserve"> </w:t>
      </w:r>
      <w:r>
        <w:rPr>
          <w:rFonts w:hint="eastAsia"/>
        </w:rPr>
        <w:t xml:space="preserve">で−1,202円/kW-年）。一方、kW</w:t>
      </w:r>
      <w:r>
        <w:t xml:space="preserve"> </w:t>
      </w:r>
      <w:r>
        <w:rPr>
          <w:rFonts w:hint="eastAsia"/>
        </w:rPr>
        <w:t xml:space="preserve">は全量が建設される場合の上限である。したがって総額は上限でも下限でもなく、規模の目安である。接続済み・契約申込の総量は第3章の集計により、送配電事業者の公表値との個別の照合は行っていない。</w:t>
      </w:r>
    </w:p>
    <w:bookmarkEnd w:id="343"/>
    <w:bookmarkStart w:id="344" w:name="b.5.2-併設蓄電池の増分価値と参入条件の計算"/>
    <w:p>
      <w:pPr>
        <w:pStyle w:val="Heading3"/>
      </w:pPr>
      <w:r>
        <w:t xml:space="preserve">B.5.2　</w:t>
      </w:r>
      <w:r>
        <w:rPr>
          <w:rFonts w:hint="eastAsia"/>
        </w:rPr>
        <w:t xml:space="preserve">併設蓄電池の増分価値と参入条件の計算</w:t>
      </w:r>
    </w:p>
    <w:p>
      <w:pPr>
        <w:pStyle w:val="FirstParagraph"/>
      </w:pPr>
      <w:r>
        <w:rPr>
          <w:rFonts w:hint="eastAsia"/>
          <w:b/>
          <w:bCs/>
        </w:rPr>
        <w:t xml:space="preserve">価値の分解</w:t>
      </w:r>
      <w:r>
        <w:t xml:space="preserve">　</w:t>
      </w:r>
      <w:r>
        <w:rPr>
          <w:rFonts w:hint="eastAsia"/>
        </w:rPr>
        <w:t xml:space="preserve">蓄電池の私的価値を、エリア価格での裁定</w:t>
      </w:r>
      <w:r>
        <w:t xml:space="preserve"> </w:t>
      </w:r>
      <m:oMath>
        <m:sSub>
          <m:e>
            <m:r>
              <m:t>π</m:t>
            </m:r>
          </m:e>
          <m:sub>
            <m:r>
              <m:rPr>
                <m:sty m:val="p"/>
              </m:rPr>
              <m:t>s</m:t>
            </m:r>
            <m:r>
              <m:rPr>
                <m:sty m:val="p"/>
              </m:rPr>
              <m:t>p</m:t>
            </m:r>
            <m:r>
              <m:rPr>
                <m:sty m:val="p"/>
              </m:rPr>
              <m:t>o</m:t>
            </m:r>
            <m:r>
              <m:rPr>
                <m:sty m:val="p"/>
              </m:rPr>
              <m:t>t</m:t>
            </m:r>
          </m:sub>
        </m:sSub>
      </m:oMath>
      <w:r>
        <w:rPr>
          <w:rFonts w:hint="eastAsia"/>
        </w:rPr>
        <w:t xml:space="preserve">（系統用と併設に共通）、抑制回避</w:t>
      </w:r>
      <w:r>
        <w:t xml:space="preserve"> </w:t>
      </w:r>
      <m:oMath>
        <m:sSub>
          <m:e>
            <m:r>
              <m:t>π</m:t>
            </m:r>
          </m:e>
          <m:sub>
            <m:r>
              <m:rPr>
                <m:sty m:val="p"/>
              </m:rPr>
              <m:t>l</m:t>
            </m:r>
            <m:r>
              <m:rPr>
                <m:sty m:val="p"/>
              </m:rPr>
              <m:t>o</m:t>
            </m:r>
            <m:r>
              <m:rPr>
                <m:sty m:val="p"/>
              </m:rPr>
              <m:t>c</m:t>
            </m:r>
            <m:r>
              <m:rPr>
                <m:sty m:val="p"/>
              </m:rPr>
              <m:t>a</m:t>
            </m:r>
            <m:r>
              <m:rPr>
                <m:sty m:val="p"/>
              </m:rPr>
              <m:t>l</m:t>
            </m:r>
          </m:sub>
        </m:sSub>
      </m:oMath>
      <w:r>
        <w:rPr>
          <w:rFonts w:hint="eastAsia"/>
        </w:rPr>
        <w:t xml:space="preserve">（併設に固有で、エリア価格に映らない）、容量市場等の収入</w:t>
      </w:r>
      <w:r>
        <w:t xml:space="preserve"> </w:t>
      </w:r>
      <m:oMath>
        <m:r>
          <m:t>κ</m:t>
        </m:r>
        <m:sSub>
          <m:e>
            <m:r>
              <m:t>P</m:t>
            </m:r>
          </m:e>
          <m:sub>
            <m:r>
              <m:rPr>
                <m:sty m:val="p"/>
              </m:rPr>
              <m:t>c</m:t>
            </m:r>
            <m:r>
              <m:rPr>
                <m:sty m:val="p"/>
              </m:rPr>
              <m:t>a</m:t>
            </m:r>
            <m:r>
              <m:rPr>
                <m:sty m:val="p"/>
              </m:rPr>
              <m:t>p</m:t>
            </m:r>
          </m:sub>
        </m:sSub>
      </m:oMath>
      <w:r>
        <w:rPr>
          <w:rFonts w:hint="eastAsia"/>
        </w:rPr>
        <w:t xml:space="preserve">（系統用が中心）の3成分に分ける。均衡容量</w:t>
      </w:r>
      <w:r>
        <w:t xml:space="preserve"> </w:t>
      </w:r>
      <m:oMath>
        <m:sSup>
          <m:e>
            <m:r>
              <m:t>K</m:t>
            </m:r>
          </m:e>
          <m:sup>
            <m:r>
              <m:rPr>
                <m:sty m:val="p"/>
              </m:rPr>
              <m:t>*</m:t>
            </m:r>
          </m:sup>
        </m:sSup>
      </m:oMath>
      <w:r>
        <w:t xml:space="preserve"> </w:t>
      </w:r>
      <w:r>
        <w:rPr>
          <w:rFonts w:hint="eastAsia"/>
        </w:rPr>
        <w:t xml:space="preserve">の主結果は、第1と第3の成分の系統用マーチャント容量で立てる。</w:t>
      </w:r>
    </w:p>
    <w:p>
      <w:pPr>
        <w:pStyle w:val="BodyText"/>
      </w:pPr>
      <w:r>
        <w:rPr>
          <w:rFonts w:hint="eastAsia"/>
          <w:b/>
          <w:bCs/>
        </w:rPr>
        <w:t xml:space="preserve">増分の定義</w:t>
      </w:r>
      <w:r>
        <w:t xml:space="preserve">　</w:t>
      </w:r>
      <w:r>
        <w:rPr>
          <w:rFonts w:hint="eastAsia"/>
        </w:rPr>
        <w:t xml:space="preserve">抑制回避の価値は、系統から充電する場合に比べた増分として定義する。FIP</w:t>
      </w:r>
      <w:r>
        <w:t xml:space="preserve"> </w:t>
      </w:r>
      <w:r>
        <w:rPr>
          <w:rFonts w:hint="eastAsia"/>
        </w:rPr>
        <w:t xml:space="preserve">基準価格（14円/kWh）×抑制電力量で評価すると、放電した電力量の市場価値まで含むことになり、スポット裁定と加算できない。抑制電力量の71.8%は下限張り付きの時間に生じ、系統用として裁定する蓄電池も同じ時間に充電するからである。そこで、日ごとの線形計画でスポット裁定と抑制回避を同時に最適化した価値（両方を許した価値）と、系統からだけ充電する価値の差を増分とする。0.01円のコマではプレミアムが交付されないとされるので、貯めた電力のプレミアムは放電時に付くとした。吸収1kWh</w:t>
      </w:r>
      <w:r>
        <w:t xml:space="preserve"> </w:t>
      </w:r>
      <w:r>
        <w:rPr>
          <w:rFonts w:hint="eastAsia"/>
        </w:rPr>
        <w:t xml:space="preserve">あたりの増分は4.3〜4.6円（プレミアム3円）で、0.85×プレミアム＋吸収時のエリア価格＋充電従量負担による近似（4.8〜5.6円）より1〜2割小さい。FIP</w:t>
      </w:r>
      <w:r>
        <w:t xml:space="preserve"> </w:t>
      </w:r>
      <w:r>
        <w:rPr>
          <w:rFonts w:hint="eastAsia"/>
        </w:rPr>
        <w:t xml:space="preserve">電源の併設ではスポット裁定に増分が加わり、FIT</w:t>
      </w:r>
      <w:r>
        <w:t xml:space="preserve"> </w:t>
      </w:r>
      <w:r>
        <w:rPr>
          <w:rFonts w:hint="eastAsia"/>
        </w:rPr>
        <w:t xml:space="preserve">電源の併設は系統から充電できないのでスポット裁定がなく、抑制回避の価値は0.85×FIT</w:t>
      </w:r>
      <w:r>
        <w:t xml:space="preserve"> </w:t>
      </w:r>
      <w:r>
        <w:rPr>
          <w:rFonts w:hint="eastAsia"/>
        </w:rPr>
        <w:t xml:space="preserve">価格×吸収量になる。</w:t>
      </w:r>
    </w:p>
    <w:p>
      <w:pPr>
        <w:pStyle w:val="BodyText"/>
      </w:pPr>
      <w:r>
        <w:rPr>
          <w:rFonts w:hint="eastAsia"/>
          <w:b/>
          <w:bCs/>
        </w:rPr>
        <w:t xml:space="preserve">粗い上限</w:t>
      </w:r>
      <w:r>
        <w:t xml:space="preserve">　</w:t>
      </w:r>
      <w:r>
        <w:rPr>
          <w:rFonts w:hint="eastAsia"/>
        </w:rPr>
        <w:t xml:space="preserve">参考として、14円×抑制電力量は、設備利用率26%・抑制率1.35〜8%で430〜2,551円/kW風力-年である。次世代電力系統ワーキンググループの出力制御の見通しが置く併設の前提（風力1kWあたり0.64kWh。資源エネルギー庁，2026a）で蓄電池容量あたりに換算すると673〜3,986円/kWh-年で、資本費6.8万円/kWh</w:t>
      </w:r>
      <w:r>
        <w:t xml:space="preserve"> </w:t>
      </w:r>
      <w:r>
        <w:rPr>
          <w:rFonts w:hint="eastAsia"/>
        </w:rPr>
        <w:t xml:space="preserve">に対して年1.0〜5.9%にあたる。抑制率1.35%では2,393円/kW蓄電池-年で、増分の約3.2倍である。</w:t>
      </w:r>
    </w:p>
    <w:p>
      <w:pPr>
        <w:pStyle w:val="BodyText"/>
      </w:pPr>
      <w:r>
        <w:rPr>
          <w:rFonts w:hint="eastAsia"/>
          <w:b/>
          <w:bCs/>
        </w:rPr>
        <w:t xml:space="preserve">回避可能率</w:t>
      </w:r>
      <w:r>
        <w:t xml:space="preserve">　</w:t>
      </w:r>
      <w:r>
        <w:rPr>
          <w:rFonts w:hint="eastAsia"/>
        </w:rPr>
        <w:t xml:space="preserve">併設容量の制約の下での回避可能率を、2025年4月〜2026年6月の時間値（抑制電力量13,184MWh、344時間、53イベント）を用いたフリート集約の充電状態のシミュレーションで評価した。抑制はすべて6〜17時に発生し（8〜15時に電力量の約8割）、イベントの持続時間は中央値8時間・最大10時間、電力量加重平均で7.5時間である。抑制量はフリート設備容量比で中央値1.4%、平均2.7%、90パーセンタイルでも6.0%にとどまる。併設の前提（4時間なら0.16kW/kW</w:t>
      </w:r>
      <w:r>
        <w:t xml:space="preserve"> </w:t>
      </w:r>
      <w:r>
        <w:rPr>
          <w:rFonts w:hint="eastAsia"/>
        </w:rPr>
        <w:t xml:space="preserve">風力）の蓄電池は、フリート全体に一様に分布する限り抑制の96.8%を吸収できる。集中のケースは、Maji</w:t>
      </w:r>
      <w:r>
        <w:t xml:space="preserve"> et </w:t>
      </w:r>
      <w:r>
        <w:rPr>
          <w:rFonts w:hint="eastAsia"/>
        </w:rPr>
        <w:t xml:space="preserve">al.（2025）の</w:t>
      </w:r>
      <w:r>
        <w:t xml:space="preserve"> ERCOT </w:t>
      </w:r>
      <w:r>
        <w:rPr>
          <w:rFonts w:hint="eastAsia"/>
        </w:rPr>
        <w:t xml:space="preserve">の分布（20%のノードが抑制電力量の77%）を当てはめ、容量シェア20%のサイト群に抑制の77%が集中すると仮定した。北海道の出力制御の大半はエリア全体の需給バランス制約（下げ代の不足）によるもので、エリア全体の制御は、供給力の余剰分と平均的な予測誤差をオフライン事業者に先に配分し、残りをオンライン事業者に配分する。したがって抑制がどこに偏るかは地点ではなく制御の配分規則（オフライン優先、見直し後は</w:t>
      </w:r>
      <w:r>
        <w:t xml:space="preserve"> FIT </w:t>
      </w:r>
      <w:r>
        <w:rPr>
          <w:rFonts w:hint="eastAsia"/>
        </w:rPr>
        <w:t xml:space="preserve">優先）で決まり、検証資料はサイト別の内訳を示さないので、偏りの大きさは定量化できない。一様と集中は、この範囲を示す境界である。</w:t>
      </w:r>
    </w:p>
    <w:p>
      <w:pPr>
        <w:pStyle w:val="BodyText"/>
      </w:pPr>
      <w:r>
        <w:rPr>
          <w:rFonts w:hint="eastAsia"/>
          <w:b/>
          <w:bCs/>
        </w:rPr>
        <w:t xml:space="preserve">抑制率の上げ方</w:t>
      </w:r>
      <w:r>
        <w:t xml:space="preserve">　</w:t>
      </w:r>
      <w:r>
        <w:rPr>
          <w:rFonts w:hint="eastAsia"/>
        </w:rPr>
        <w:t xml:space="preserve">2通りとする。比例拡大は、FY2026</w:t>
      </w:r>
      <w:r>
        <w:t xml:space="preserve"> </w:t>
      </w:r>
      <w:r>
        <w:rPr>
          <w:rFonts w:hint="eastAsia"/>
        </w:rPr>
        <w:t xml:space="preserve">の4〜6月の時間別の抑制を比例的に拡大する方法で、容量（kWh）の制約で回避率が下がる下限側である。観察された抑制の時間帯では、出力をすべて抑制しても年率約12%で頭打ちになる。回避率一定は、表C.36</w:t>
      </w:r>
      <w:r>
        <w:t xml:space="preserve"> </w:t>
      </w:r>
      <w:r>
        <w:rPr>
          <w:rFonts w:hint="eastAsia"/>
        </w:rPr>
        <w:t xml:space="preserve">の回避率を保つ上限側で、1日1サイクルの上限（約7,000円/kW-年）で頭打ちになる。比例拡大は4〜6月の時間構造を通年に延ばしたもので、価格は実績のまま（併設蓄電池は価格を動かさない）と置いた。抑制回避の増分は完全予見の線形計画による上界で、戦略</w:t>
      </w:r>
      <w:r>
        <w:t xml:space="preserve"> c </w:t>
      </w:r>
      <w:r>
        <w:rPr>
          <w:rFonts w:hint="eastAsia"/>
        </w:rPr>
        <w:t xml:space="preserve">によるスポット裁定とは予見の前提が違う。</w:t>
      </w:r>
    </w:p>
    <w:p>
      <w:pPr>
        <w:pStyle w:val="BodyText"/>
      </w:pPr>
      <w:r>
        <w:rPr>
          <w:rFonts w:hint="eastAsia"/>
          <w:b/>
          <w:bCs/>
        </w:rPr>
        <w:t xml:space="preserve">参入条件の格子</w:t>
      </w:r>
      <w:r>
        <w:t xml:space="preserve">　</w:t>
      </w:r>
      <w:r>
        <w:rPr>
          <w:rFonts w:hint="eastAsia"/>
        </w:rPr>
        <w:t xml:space="preserve">参入条件</w:t>
      </w:r>
      <w:r>
        <w:t xml:space="preserve"> </w:t>
      </w:r>
      <m:oMath>
        <m:sSubSup>
          <m:e>
            <m:r>
              <m:t>π</m:t>
            </m:r>
          </m:e>
          <m:sub>
            <m:r>
              <m:rPr>
                <m:sty m:val="p"/>
              </m:rPr>
              <m:t>s</m:t>
            </m:r>
            <m:r>
              <m:rPr>
                <m:sty m:val="p"/>
              </m:rPr>
              <m:t>p</m:t>
            </m:r>
            <m:r>
              <m:rPr>
                <m:sty m:val="p"/>
              </m:rPr>
              <m:t>o</m:t>
            </m:r>
            <m:r>
              <m:rPr>
                <m:sty m:val="p"/>
              </m:rPr>
              <m:t>t</m:t>
            </m:r>
          </m:sub>
          <m:sup>
            <m:r>
              <m:rPr>
                <m:sty m:val="p"/>
              </m:rPr>
              <m:t>′</m:t>
            </m:r>
          </m:sup>
        </m:sSubSup>
        <m:r>
          <m:rPr>
            <m:sty m:val="p"/>
          </m:rPr>
          <m:t>+</m:t>
        </m:r>
        <m:sSub>
          <m:e>
            <m:r>
              <m:t>π</m:t>
            </m:r>
          </m:e>
          <m:sub>
            <m:r>
              <m:rPr>
                <m:sty m:val="p"/>
              </m:rPr>
              <m:t>l</m:t>
            </m:r>
            <m:r>
              <m:rPr>
                <m:sty m:val="p"/>
              </m:rPr>
              <m:t>o</m:t>
            </m:r>
            <m:r>
              <m:rPr>
                <m:sty m:val="p"/>
              </m:rPr>
              <m:t>c</m:t>
            </m:r>
            <m:r>
              <m:rPr>
                <m:sty m:val="p"/>
              </m:rPr>
              <m:t>a</m:t>
            </m:r>
            <m:r>
              <m:rPr>
                <m:sty m:val="p"/>
              </m:rPr>
              <m:t>l</m:t>
            </m:r>
          </m:sub>
        </m:sSub>
        <m:r>
          <m:rPr>
            <m:sty m:val="p"/>
          </m:rPr>
          <m:t>+</m:t>
        </m:r>
        <m:r>
          <m:t>κ</m:t>
        </m:r>
        <m:sSub>
          <m:e>
            <m:r>
              <m:t>P</m:t>
            </m:r>
          </m:e>
          <m:sub>
            <m:r>
              <m:rPr>
                <m:sty m:val="p"/>
              </m:rPr>
              <m:t>c</m:t>
            </m:r>
            <m:r>
              <m:rPr>
                <m:sty m:val="p"/>
              </m:rPr>
              <m:t>a</m:t>
            </m:r>
            <m:r>
              <m:rPr>
                <m:sty m:val="p"/>
              </m:rPr>
              <m:t>p</m:t>
            </m:r>
          </m:sub>
        </m:sSub>
        <m:r>
          <m:rPr>
            <m:sty m:val="p"/>
          </m:rPr>
          <m:t>≥</m:t>
        </m:r>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を、資本費（2.3・4.0・6.8万円/kWh）、割引率（6・8%）、duration（4・2時間）、容量収入（1.25万円）の有無、</w:t>
      </w:r>
      <m:oMath>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の2定義、回避率の4方式（一様・集中×比例拡大・回避率一定）、プレミアム（2〜4円）の格子で評価した。スポット裁定は実績整合ケース、抑制回避は増分である。</w:t>
      </w:r>
      <m:oMath>
        <m:sSubSup>
          <m:e>
            <m:r>
              <m:t>c</m:t>
            </m:r>
          </m:e>
          <m:sub>
            <m:r>
              <m:rPr>
                <m:sty m:val="p"/>
              </m:rPr>
              <m:t>r</m:t>
            </m:r>
            <m:r>
              <m:rPr>
                <m:sty m:val="p"/>
              </m:rPr>
              <m:t>e</m:t>
            </m:r>
            <m:r>
              <m:rPr>
                <m:sty m:val="p"/>
              </m:rPr>
              <m:t>q</m:t>
            </m:r>
          </m:sub>
          <m:sup>
            <m:r>
              <m:rPr>
                <m:sty m:val="p"/>
              </m:rPr>
              <m:t>c</m:t>
            </m:r>
            <m:r>
              <m:rPr>
                <m:sty m:val="p"/>
              </m:rPr>
              <m:t>o</m:t>
            </m:r>
          </m:sup>
        </m:sSubSup>
      </m:oMath>
      <w:r>
        <w:t xml:space="preserve"> </w:t>
      </w:r>
      <w:r>
        <w:rPr>
          <w:rFonts w:hint="eastAsia"/>
        </w:rPr>
        <w:t xml:space="preserve">の「系統用と同じ」定義は、4時間分の資本費×CRF＋運転維持・廃止（廃止費は資本費に比例）＋託送等固定0.69万円である。「併設」の定義は、託送等の固定費を発電所と共有し系統から充電しない定義で、このときのスポット裁定は、自社の発電の時間移動が系統裁定を再現できるとした上限側である。併設の仕様は0.64・1.28・2.0kWh/kW、期間は</w:t>
      </w:r>
      <w:r>
        <w:t xml:space="preserve"> FY2025 と FY2026 </w:t>
      </w:r>
      <w:r>
        <w:rPr>
          <w:rFonts w:hint="eastAsia"/>
        </w:rPr>
        <w:t xml:space="preserve">の4〜6月とした。</w:t>
      </w:r>
    </w:p>
    <w:bookmarkEnd w:id="344"/>
    <w:bookmarkStart w:id="345" w:name="b.5.3-事業-irr資本コスト調整現在価値の計算の前提"/>
    <w:p>
      <w:pPr>
        <w:pStyle w:val="Heading3"/>
      </w:pPr>
      <w:r>
        <w:t xml:space="preserve">B.5.3　</w:t>
      </w:r>
      <w:r>
        <w:rPr>
          <w:rFonts w:hint="eastAsia"/>
        </w:rPr>
        <w:t xml:space="preserve">事業</w:t>
      </w:r>
      <w:r>
        <w:t xml:space="preserve"> </w:t>
      </w:r>
      <w:r>
        <w:rPr>
          <w:rFonts w:hint="eastAsia"/>
        </w:rPr>
        <w:t xml:space="preserve">IRR・資本コスト・調整現在価値の計算の前提</w:t>
      </w:r>
    </w:p>
    <w:p>
      <w:pPr>
        <w:pStyle w:val="FirstParagraph"/>
      </w:pPr>
      <w:r>
        <w:rPr>
          <w:b/>
          <w:bCs/>
        </w:rPr>
        <w:t xml:space="preserve">キャッシュフロー</w:t>
      </w:r>
      <w:r>
        <w:t xml:space="preserve">　</w:t>
      </w:r>
      <w:r>
        <w:rPr>
          <w:rFonts w:hint="eastAsia"/>
        </w:rPr>
        <w:t xml:space="preserve">計算はすべて無レバレッジ・税前・20年で、期末に毎年同額のキャッシュフローが生じるとする。金額は、価格水準係数の基準期間（FY2023〜25）の価格水準による実質の一定額とみなし、一般物価の上昇は織り込まない（調達価格等算定委員会の想定</w:t>
      </w:r>
      <w:r>
        <w:t xml:space="preserve"> IRR </w:t>
      </w:r>
      <w:r>
        <w:rPr>
          <w:rFonts w:hint="eastAsia"/>
        </w:rPr>
        <w:t xml:space="preserve">の算定と同じ扱い）。したがって</w:t>
      </w:r>
      <w:r>
        <w:t xml:space="preserve"> </w:t>
      </w:r>
      <w:r>
        <w:rPr>
          <w:rFonts w:hint="eastAsia"/>
        </w:rPr>
        <w:t xml:space="preserve">IRR、割引率、価格水準の期待成長率（付録B.4.5</w:t>
      </w:r>
      <w:r>
        <w:t xml:space="preserve"> の</w:t>
      </w:r>
      <w:r>
        <w:t xml:space="preserve"> </w:t>
      </w:r>
      <m:oMath>
        <m:r>
          <m:t>α</m:t>
        </m:r>
      </m:oMath>
      <w:r>
        <w:rPr>
          <w:rFonts w:hint="eastAsia"/>
        </w:rPr>
        <w:t xml:space="preserve">）はすべて実質と読む。期待物価上昇率を0とおけば、これらは名目の値とも一致する。費用は運転維持・廃止0.53万円＋託送等固定0.69万円/kW-年とし、6時間仕様では廃止費を資本費に比例させて運転維持・廃止を0.545万円とする。スポット収入は実績整合ケース（</w:t>
      </w:r>
      <m:oMath>
        <m:r>
          <m:t>K</m:t>
        </m:r>
        <m:r>
          <m:rPr>
            <m:sty m:val="p"/>
          </m:rPr>
          <m:t>=</m:t>
        </m:r>
        <m:r>
          <m:t>0</m:t>
        </m:r>
      </m:oMath>
      <w:r>
        <w:t xml:space="preserve">・</w:t>
      </w:r>
      <m:oMath>
        <m:r>
          <m:t>θ</m:t>
        </m:r>
        <m:r>
          <m:rPr>
            <m:sty m:val="p"/>
          </m:rPr>
          <m:t>=</m:t>
        </m:r>
        <m:r>
          <m:t>1</m:t>
        </m:r>
      </m:oMath>
      <w:r>
        <w:t xml:space="preserve"> </w:t>
      </w:r>
      <w:r>
        <w:t xml:space="preserve">で</w:t>
      </w:r>
      <w:r>
        <w:t xml:space="preserve"> </w:t>
      </w:r>
      <m:oMath>
        <m:r>
          <m:t>π</m:t>
        </m:r>
        <m:r>
          <m:rPr>
            <m:sty m:val="p"/>
          </m:rPr>
          <m:t>(</m:t>
        </m:r>
        <m:r>
          <m:t>0</m:t>
        </m:r>
        <m:r>
          <m:rPr>
            <m:sty m:val="p"/>
          </m:rPr>
          <m:t>)</m:t>
        </m:r>
        <m:r>
          <m:rPr>
            <m:sty m:val="p"/>
          </m:rPr>
          <m:t>=</m:t>
        </m:r>
        <m:r>
          <m:t>6</m:t>
        </m:r>
        <m:r>
          <m:rPr>
            <m:sty m:val="p"/>
          </m:rPr>
          <m:t>,</m:t>
        </m:r>
        <m:r>
          <m:t>675</m:t>
        </m:r>
      </m:oMath>
      <w:r>
        <w:t xml:space="preserve"> </w:t>
      </w:r>
      <w:r>
        <w:rPr>
          <w:rFonts w:hint="eastAsia"/>
        </w:rPr>
        <w:t xml:space="preserve">円/kW-年）を主とし、モデル直値を併記する。</w:t>
      </w:r>
      <m:oMath>
        <m:r>
          <m:t>θ</m:t>
        </m:r>
        <m:r>
          <m:rPr>
            <m:sty m:val="p"/>
          </m:rPr>
          <m:t>=</m:t>
        </m:r>
        <m:r>
          <m:t>1.22</m:t>
        </m:r>
      </m:oMath>
      <w:r>
        <w:t xml:space="preserve"> </w:t>
      </w:r>
      <w:r>
        <w:rPr>
          <w:rFonts w:hint="eastAsia"/>
        </w:rPr>
        <w:t xml:space="preserve">以上は、実績整合ケースを</w:t>
      </w:r>
      <w:r>
        <w:t xml:space="preserve"> </w:t>
      </w:r>
      <m:oMath>
        <m:r>
          <m:t>θ</m:t>
        </m:r>
      </m:oMath>
      <w:r>
        <w:t xml:space="preserve"> </w:t>
      </w:r>
      <w:r>
        <w:rPr>
          <w:rFonts w:hint="eastAsia"/>
        </w:rPr>
        <w:t xml:space="preserve">に比例させる。LTDA</w:t>
      </w:r>
      <w:r>
        <w:t xml:space="preserve"> </w:t>
      </w:r>
      <w:r>
        <w:rPr>
          <w:rFonts w:hint="eastAsia"/>
        </w:rPr>
        <w:t xml:space="preserve">の6時間蓄電池のスポット純収入は、実績価格（FY2023〜25）の上で戦略</w:t>
      </w:r>
      <w:r>
        <w:t xml:space="preserve"> c </w:t>
      </w:r>
      <w:r>
        <w:rPr>
          <w:rFonts w:hint="eastAsia"/>
        </w:rPr>
        <w:t xml:space="preserve">を6時間で直接計算した粗利から充電従量負担を引いた値（7,738円/kW-年）で、モデル値（5,848円）を使っても</w:t>
      </w:r>
      <w:r>
        <w:t xml:space="preserve"> IRR </w:t>
      </w:r>
      <w:r>
        <w:rPr>
          <w:rFonts w:hint="eastAsia"/>
        </w:rPr>
        <w:t xml:space="preserve">の差は0.1ポイント未満である。</w:t>
      </w:r>
    </w:p>
    <w:p>
      <w:pPr>
        <w:pStyle w:val="BodyText"/>
      </w:pPr>
      <w:r>
        <w:rPr>
          <w:rFonts w:hint="eastAsia"/>
          <w:b/>
          <w:bCs/>
        </w:rPr>
        <w:t xml:space="preserve">実質と名目</w:t>
      </w:r>
      <w:r>
        <w:t xml:space="preserve">　</w:t>
      </w:r>
      <w:r>
        <w:rPr>
          <w:rFonts w:hint="eastAsia"/>
        </w:rPr>
        <w:t xml:space="preserve">入力のうち次の三つは、実質に換算せずにそのまま用いている。第一に、価格水準係数</w:t>
      </w:r>
      <w:r>
        <w:t xml:space="preserve"> </w:t>
      </w:r>
      <m:oMath>
        <m:r>
          <m:t>θ</m:t>
        </m:r>
      </m:oMath>
      <w:r>
        <w:t xml:space="preserve"> </w:t>
      </w:r>
      <w:r>
        <w:rPr>
          <w:rFonts w:hint="eastAsia"/>
        </w:rPr>
        <w:t xml:space="preserve">は名目の約定価格から作った指数で、物価指数で実質化していない。基準期間より後の値（恒久成分の推定値1.22、FY2026上期の1.567）は、その間の一般物価の上昇分を含みうるので、実質の水準としては高めであり、参入に有利な側にあたる。第二に、資本費と固定費は各資料の時点の値であり、基準期間の価格に換算していない。第三に、契約型の割引率の根拠とした制度値と国債の利回りは、実質の率として定められたものではない。これらを実質の率として用いる理由と、その限界は後の「契約型の率と物価補正」で述べる。</w:t>
      </w:r>
    </w:p>
    <w:p>
      <w:pPr>
        <w:pStyle w:val="BodyText"/>
      </w:pPr>
      <w:r>
        <w:rPr>
          <w:rFonts w:hint="eastAsia"/>
          <w:b/>
          <w:bCs/>
        </w:rPr>
        <w:t xml:space="preserve">容量収入</w:t>
      </w:r>
      <w:r>
        <w:t xml:space="preserve">　</w:t>
      </w:r>
      <w:r>
        <w:rPr>
          <w:rFonts w:hint="eastAsia"/>
        </w:rPr>
        <w:t xml:space="preserve">実効容量収入1.25万円は、2029年度向けの北海道の約定価格14,972円に調整係数0.836を掛けた12,517円/kW-年である（式(4.8)と表C.39</w:t>
      </w:r>
      <w:r>
        <w:t xml:space="preserve"> </w:t>
      </w:r>
      <w:r>
        <w:rPr>
          <w:rFonts w:hint="eastAsia"/>
        </w:rPr>
        <w:t xml:space="preserve">では12,500円に丸める）。容量収入は、2029年度向けの1.25万円一定（主）、2026年度向けの0.73万円、2030年度向けの</w:t>
      </w:r>
      <w:r>
        <w:t xml:space="preserve"> Net CONE </w:t>
      </w:r>
      <w:r>
        <w:rPr>
          <w:rFonts w:hint="eastAsia"/>
        </w:rPr>
        <w:t xml:space="preserve">による1.75万円一定、FY2027〜29</w:t>
      </w:r>
      <w:r>
        <w:t xml:space="preserve"> </w:t>
      </w:r>
      <w:r>
        <w:rPr>
          <w:rFonts w:hint="eastAsia"/>
        </w:rPr>
        <w:t xml:space="preserve">を既約定の値（0.836×13,287・14,812・14,972円）とし</w:t>
      </w:r>
      <w:r>
        <w:t xml:space="preserve"> FY2030 </w:t>
      </w:r>
      <w:r>
        <w:rPr>
          <w:rFonts w:hint="eastAsia"/>
        </w:rPr>
        <w:t xml:space="preserve">以降を1.75万円または上限価格（1.5×Net</w:t>
      </w:r>
      <w:r>
        <w:t xml:space="preserve"> CONE </w:t>
      </w:r>
      <w:r>
        <w:rPr>
          <w:rFonts w:hint="eastAsia"/>
        </w:rPr>
        <w:t xml:space="preserve">の実効値2.62万円）とする経路、上限近傍の2.5万円一定の各通りで計算し、IRR</w:t>
      </w:r>
      <w:r>
        <w:t xml:space="preserve"> </w:t>
      </w:r>
      <w:r>
        <w:rPr>
          <w:rFonts w:hint="eastAsia"/>
        </w:rPr>
        <w:t xml:space="preserve">が0・6%・8%となる価格水準も求める。モデルの価格過程で与える価格水準（</w:t>
      </w:r>
      <m:oMath>
        <m:r>
          <m:t>θ</m:t>
        </m:r>
      </m:oMath>
      <w:r>
        <w:rPr>
          <w:rFonts w:hint="eastAsia"/>
        </w:rPr>
        <w:t xml:space="preserve">=1〜1.72）に加え、FY2022</w:t>
      </w:r>
      <w:r>
        <w:t xml:space="preserve"> </w:t>
      </w:r>
      <w:r>
        <w:rPr>
          <w:rFonts w:hint="eastAsia"/>
        </w:rPr>
        <w:t xml:space="preserve">の実績価格そのもの（連系線増強前の分断構造）でも計算する。</w:t>
      </w:r>
    </w:p>
    <w:p>
      <w:pPr>
        <w:pStyle w:val="BodyText"/>
      </w:pPr>
      <w:r>
        <w:rPr>
          <w:rFonts w:hint="eastAsia"/>
          <w:b/>
          <w:bCs/>
        </w:rPr>
        <w:t xml:space="preserve">資本コスト</w:t>
      </w:r>
      <w:r>
        <w:t xml:space="preserve">　</w:t>
      </w:r>
      <w:r>
        <w:rPr>
          <w:rFonts w:hint="eastAsia"/>
        </w:rPr>
        <w:t xml:space="preserve">契約型には、LTDA</w:t>
      </w:r>
      <w:r>
        <w:t xml:space="preserve"> </w:t>
      </w:r>
      <w:r>
        <w:rPr>
          <w:rFonts w:hint="eastAsia"/>
        </w:rPr>
        <w:t xml:space="preserve">の事業報酬率（第1・2回で5%、第3回の案では建設リードタイムに応じて4〜6%。工藤，2025）や調達価格等算定委員会（2026）の想定</w:t>
      </w:r>
      <w:r>
        <w:t xml:space="preserve"> </w:t>
      </w:r>
      <w:r>
        <w:rPr>
          <w:rFonts w:hint="eastAsia"/>
        </w:rPr>
        <w:t xml:space="preserve">IRR（税引前で陸上風力6%、事業用太陽光4%）にあたる4〜6%を対応させる。マーチャントには、Gohdes</w:t>
      </w:r>
      <w:r>
        <w:t xml:space="preserve"> et </w:t>
      </w:r>
      <w:r>
        <w:rPr>
          <w:rFonts w:hint="eastAsia"/>
        </w:rPr>
        <w:t xml:space="preserve">al.（2022）の豪州</w:t>
      </w:r>
      <w:r>
        <w:t xml:space="preserve"> NEM </w:t>
      </w:r>
      <w:r>
        <w:rPr>
          <w:rFonts w:hint="eastAsia"/>
        </w:rPr>
        <w:t xml:space="preserve">の再エネ案件の資本構成の調査値から計算した差を足す。調査値は、マーチャント案件の株式の期待収益率12.25%・負債比率40%・信用スプレッド260bp、全量を政府の</w:t>
      </w:r>
      <w:r>
        <w:t xml:space="preserve"> CfD </w:t>
      </w:r>
      <w:r>
        <w:rPr>
          <w:rFonts w:hint="eastAsia"/>
        </w:rPr>
        <w:t xml:space="preserve">で売る案件の6.25%・72%・140bp</w:t>
      </w:r>
      <w:r>
        <w:t xml:space="preserve"> </w:t>
      </w:r>
      <w:r>
        <w:rPr>
          <w:rFonts w:hint="eastAsia"/>
        </w:rPr>
        <w:t xml:space="preserve">である（同論文のワーキングペーパー版の表による）。負債の節税効果を含めない加重平均は、借入金利2.5〜4.2%で、マーチャント8.4〜9.0%、全量のコーポレートPPA</w:t>
      </w:r>
      <w:r>
        <w:t xml:space="preserve"> </w:t>
      </w:r>
      <w:r>
        <w:rPr>
          <w:rFonts w:hint="eastAsia"/>
        </w:rPr>
        <w:t xml:space="preserve">4.3〜4.9%、政府</w:t>
      </w:r>
      <w:r>
        <w:t xml:space="preserve"> CfD </w:t>
      </w:r>
      <w:r>
        <w:rPr>
          <w:rFonts w:hint="eastAsia"/>
        </w:rPr>
        <w:t xml:space="preserve">3.6〜3.9%である。調査値は名目なので水準は用いず、差（マーチャントの上乗せ4.0〜5.1%ポイント）だけを使う。契約型の4〜6%に足すと8〜11%になり、その下限側の8〜9%を</w:t>
      </w:r>
      <w:r>
        <w:t xml:space="preserve"> </w:t>
      </w:r>
      <m:oMath>
        <m:sSubSup>
          <m:e>
            <m:r>
              <m:t>r</m:t>
            </m:r>
          </m:e>
          <m:sub>
            <m:r>
              <m:t>A</m:t>
            </m:r>
          </m:sub>
          <m:sup>
            <m:r>
              <m:t>M</m:t>
            </m:r>
          </m:sup>
        </m:sSubSup>
      </m:oMath>
      <w:r>
        <w:t xml:space="preserve"> </w:t>
      </w:r>
      <w:r>
        <w:t xml:space="preserve">とする。APV </w:t>
      </w:r>
      <w:r>
        <w:rPr>
          <w:rFonts w:hint="eastAsia"/>
        </w:rPr>
        <w:t xml:space="preserve">の主の組合せ</w:t>
      </w:r>
      <w:r>
        <w:t xml:space="preserve"> </w:t>
      </w:r>
      <m:oMath>
        <m:sSub>
          <m:e>
            <m:r>
              <m:t>r</m:t>
            </m:r>
          </m:e>
          <m:sub>
            <m:r>
              <m:t>C</m:t>
            </m:r>
          </m:sub>
        </m:sSub>
        <m:r>
          <m:rPr>
            <m:sty m:val="p"/>
          </m:rPr>
          <m:t>=</m:t>
        </m:r>
        <m:r>
          <m:t>5</m:t>
        </m:r>
        <m:r>
          <m:rPr>
            <m:sty m:val="p"/>
          </m:rPr>
          <m:t>%</m:t>
        </m:r>
      </m:oMath>
      <w:r>
        <w:t xml:space="preserve">・</w:t>
      </w:r>
      <m:oMath>
        <m:sSubSup>
          <m:e>
            <m:r>
              <m:t>r</m:t>
            </m:r>
          </m:e>
          <m:sub>
            <m:r>
              <m:t>A</m:t>
            </m:r>
          </m:sub>
          <m:sup>
            <m:r>
              <m:t>M</m:t>
            </m:r>
          </m:sup>
        </m:sSubSup>
        <m:r>
          <m:rPr>
            <m:sty m:val="p"/>
          </m:rPr>
          <m:t>=</m:t>
        </m:r>
        <m:r>
          <m:t>9</m:t>
        </m:r>
        <m:r>
          <m:rPr>
            <m:sty m:val="p"/>
          </m:rPr>
          <m:t>%</m:t>
        </m:r>
      </m:oMath>
      <w:r>
        <w:t xml:space="preserve"> </w:t>
      </w:r>
      <w:r>
        <w:rPr>
          <w:rFonts w:hint="eastAsia"/>
        </w:rPr>
        <w:t xml:space="preserve">は、この上乗せの下端と整合する。固定側は、制度が支払う固定収入の系統的リスクが小さいとみれば無リスク金利に近い率で割り引けるので、</w:t>
      </w:r>
      <m:oMath>
        <m:sSub>
          <m:e>
            <m:r>
              <m:t>r</m:t>
            </m:r>
          </m:e>
          <m:sub>
            <m:r>
              <m:t>C</m:t>
            </m:r>
          </m:sub>
        </m:sSub>
      </m:oMath>
      <w:r>
        <w:t xml:space="preserve"> </w:t>
      </w:r>
      <w:r>
        <w:rPr>
          <w:rFonts w:hint="eastAsia"/>
        </w:rPr>
        <w:t xml:space="preserve">を20年国債程度の2.5%まで動かす。2.5%は名目の利回りであり、期待物価上昇率が正なら、物価に連動する固定収入に対応する実質の無リスク金利はこれより低い。したがってこの感応度は、固定側の現在価値を小さめに出す側の値である。</w:t>
      </w:r>
    </w:p>
    <w:p>
      <w:pPr>
        <w:pStyle w:val="BodyText"/>
      </w:pPr>
      <w:r>
        <w:rPr>
          <w:rFonts w:hint="eastAsia"/>
          <w:b/>
          <w:bCs/>
        </w:rPr>
        <w:t xml:space="preserve">契約型の率と物価補正</w:t>
      </w:r>
      <w:r>
        <w:t xml:space="preserve">　</w:t>
      </w:r>
      <w:r>
        <w:rPr>
          <w:rFonts w:hint="eastAsia"/>
        </w:rPr>
        <w:t xml:space="preserve">契約型の4〜6%を実質の率として用いる根拠は次のとおりである。LTDA</w:t>
      </w:r>
      <w:r>
        <w:t xml:space="preserve"> </w:t>
      </w:r>
      <w:r>
        <w:rPr>
          <w:rFonts w:hint="eastAsia"/>
        </w:rPr>
        <w:t xml:space="preserve">の第1回・第2回の容量確保契約約款（第6条）は、契約単価に、応札年度の前年に対する対象実需給年度の前年のコア</w:t>
      </w:r>
      <w:r>
        <w:t xml:space="preserve"> CPI </w:t>
      </w:r>
      <w:r>
        <w:rPr>
          <w:rFonts w:hint="eastAsia"/>
        </w:rPr>
        <w:t xml:space="preserve">の比を掛け、制度適用期間の毎年度補正する。したがって事業報酬率は物価に連動する固定収入に対する率であり、実質の率に近い。固定収入を実質で一定と置く本研究の扱いも、この約款と整合する。第3回の約款は、このコア</w:t>
      </w:r>
      <w:r>
        <w:t xml:space="preserve"> CPI </w:t>
      </w:r>
      <w:r>
        <w:rPr>
          <w:rFonts w:hint="eastAsia"/>
        </w:rPr>
        <w:t xml:space="preserve">による毎年度の補正と、費用項目別の補正のいずれかを応札者に選ばせる（OCCTO,</w:t>
      </w:r>
      <w:r>
        <w:t xml:space="preserve"> </w:t>
      </w:r>
      <w:r>
        <w:rPr>
          <w:rFonts w:hint="eastAsia"/>
        </w:rPr>
        <w:t xml:space="preserve">2025a）。費用項目別の補正では、資本費と資本コストは制度適用期間の開始時に建設工事費デフレーターで1回だけ補正され（資本コストは金利の変化による補正も選べる）、運転維持費は企業物価指数で毎年度補正される。こちらを選んだ案件では、固定収入のうち資本費と資本コストにあたる部分が制度適用期間中は名目で固定されるので、物価が上昇すれば実質で目減りする。その場合、固定収入を実質で一定と置く本研究の計算は、LTDA</w:t>
      </w:r>
      <w:r>
        <w:t xml:space="preserve"> </w:t>
      </w:r>
      <w:r>
        <w:rPr>
          <w:rFonts w:hint="eastAsia"/>
        </w:rPr>
        <w:t xml:space="preserve">電源の</w:t>
      </w:r>
      <w:r>
        <w:t xml:space="preserve"> APV </w:t>
      </w:r>
      <w:r>
        <w:rPr>
          <w:rFonts w:hint="eastAsia"/>
        </w:rPr>
        <w:t xml:space="preserve">と期待値の移転（式(8.1)の第1項）を大きめに出す。落札電源一覧には補正方法の選択が記載されていないので、どの案件がこちらに当たるかは特定できない。調達価格等算定委員会の想定</w:t>
      </w:r>
      <w:r>
        <w:t xml:space="preserve"> IRR </w:t>
      </w:r>
      <w:r>
        <w:rPr>
          <w:rFonts w:hint="eastAsia"/>
        </w:rPr>
        <w:t xml:space="preserve">は、物価上昇を見込まない一定額のキャッシュフローについて求めた率であり、期待物価上昇率を0とおく本研究の扱いと同じ前提に立つ。</w:t>
      </w:r>
    </w:p>
    <w:p>
      <w:pPr>
        <w:pStyle w:val="BodyText"/>
      </w:pPr>
      <w:r>
        <w:rPr>
          <w:rFonts w:hint="eastAsia"/>
          <w:b/>
          <w:bCs/>
        </w:rPr>
        <w:t xml:space="preserve">節税効果</w:t>
      </w:r>
      <w:r>
        <w:t xml:space="preserve">　</w:t>
      </w:r>
      <w:r>
        <w:rPr>
          <w:rFonts w:hint="eastAsia"/>
        </w:rPr>
        <w:t xml:space="preserve">資本構成の効果は法人税の節税効果だけとし、倒産費用やプロジェクトファイナンスで借りられる額の制約は扱わない。法人実効税率30.64%（財務省，n.d.。標準税率ベースで、2026年4月1日以後に開始する事業年度から課される防衛特別法人税を含む値）、借入金利2.5%、負債比率30〜60%とし、負債比率を一定に保つ資金調達を置くと、Miles</w:t>
      </w:r>
      <w:r>
        <w:t xml:space="preserve"> and </w:t>
      </w:r>
      <w:r>
        <w:rPr>
          <w:rFonts w:hint="eastAsia"/>
        </w:rPr>
        <w:t xml:space="preserve">Ezzell（1980）の式で加重平均資本コストは0.24〜0.49%ポイント下がり、</w:t>
      </w:r>
      <m:oMath>
        <m:sSup>
          <m:e>
            <m:r>
              <m:t>θ</m:t>
            </m:r>
          </m:e>
          <m:sup>
            <m:r>
              <m:rPr>
                <m:sty m:val="p"/>
              </m:rPr>
              <m:t>*</m:t>
            </m:r>
          </m:sup>
        </m:sSup>
      </m:oMath>
      <w:r>
        <w:t xml:space="preserve"> </w:t>
      </w:r>
      <w:r>
        <w:t xml:space="preserve">は0.05〜0.12 </w:t>
      </w:r>
      <w:r>
        <w:rPr>
          <w:rFonts w:hint="eastAsia"/>
        </w:rPr>
        <w:t xml:space="preserve">下がる（</w:t>
      </w:r>
      <m:oMath>
        <m:sSub>
          <m:e>
            <m:r>
              <m:t>r</m:t>
            </m:r>
          </m:e>
          <m:sub>
            <m:r>
              <m:t>A</m:t>
            </m:r>
          </m:sub>
        </m:sSub>
      </m:oMath>
      <w:r>
        <w:rPr>
          <w:rFonts w:hint="eastAsia"/>
        </w:rPr>
        <w:t xml:space="preserve">=6〜9%）。返済計画が決まった負債の節税効果は、支払利息×法人実効税率を借入金利で割り引いて別に示す（元利均等返済で、4時間は15年、6時間は18年）。マーチャント4時間で負債を補助後の投資額の60%とすると+4,598円/kW、LTDA</w:t>
      </w:r>
      <w:r>
        <w:t xml:space="preserve"> </w:t>
      </w:r>
      <w:r>
        <w:rPr>
          <w:rFonts w:hint="eastAsia"/>
        </w:rPr>
        <w:t xml:space="preserve">6時間で負債比率80%とすると+21,557円/kW</w:t>
      </w:r>
      <w:r>
        <w:t xml:space="preserve"> </w:t>
      </w:r>
      <w:r>
        <w:rPr>
          <w:rFonts w:hint="eastAsia"/>
        </w:rPr>
        <w:t xml:space="preserve">である。ただし補助金のないマーチャントの4時間蓄電池は、FY2026上期の水準でも、定額法20年で償却すると課税所得が毎年負になり（−1,831円/kW-年）、事業会社単体では節税効果を使えない。計算は税前なので、節税効果は</w:t>
      </w:r>
      <w:r>
        <w:t xml:space="preserve"> APV </w:t>
      </w:r>
      <w:r>
        <w:rPr>
          <w:rFonts w:hint="eastAsia"/>
        </w:rPr>
        <w:t xml:space="preserve">の合計に含めない。税前のキャッシュフローに節税効果だけを足すと、営業利益への課税を無視した分だけ価値を大きく見せるからである。借入を増やすと株式の</w:t>
      </w:r>
      <w:r>
        <w:t xml:space="preserve"> IRR </w:t>
      </w:r>
      <w:r>
        <w:rPr>
          <w:rFonts w:hint="eastAsia"/>
        </w:rPr>
        <w:t xml:space="preserve">は上がるが、それは株式のリスクが上がった分の見返りであり（MM</w:t>
      </w:r>
      <w:r>
        <w:t xml:space="preserve"> </w:t>
      </w:r>
      <w:r>
        <w:rPr>
          <w:rFonts w:hint="eastAsia"/>
        </w:rPr>
        <w:t xml:space="preserve">の第2命題）、事業の価値は生まない。税引後の</w:t>
      </w:r>
      <w:r>
        <w:t xml:space="preserve"> IRR </w:t>
      </w:r>
      <w:r>
        <w:rPr>
          <w:rFonts w:hint="eastAsia"/>
        </w:rPr>
        <w:t xml:space="preserve">の参考値は、法人実効税率30.64%、定額法20年、借入なしで計算する。</w:t>
      </w:r>
    </w:p>
    <w:p>
      <w:pPr>
        <w:pStyle w:val="BodyText"/>
      </w:pPr>
      <w:r>
        <w:rPr>
          <w:b/>
          <w:bCs/>
        </w:rPr>
        <w:t xml:space="preserve">APV</w:t>
      </w:r>
      <w:r>
        <w:t xml:space="preserve">　</w:t>
      </w:r>
      <w:r>
        <w:rPr>
          <w:rFonts w:hint="eastAsia"/>
        </w:rPr>
        <w:t xml:space="preserve">基礎ケースは借入のないマーチャント事業の</w:t>
      </w:r>
      <w:r>
        <w:t xml:space="preserve"> NPV で、</w:t>
      </w:r>
      <m:oMath>
        <m:sSubSup>
          <m:e>
            <m:r>
              <m:t>r</m:t>
            </m:r>
          </m:e>
          <m:sub>
            <m:r>
              <m:t>A</m:t>
            </m:r>
          </m:sub>
          <m:sup>
            <m:r>
              <m:t>M</m:t>
            </m:r>
          </m:sup>
        </m:sSubSup>
      </m:oMath>
      <w:r>
        <w:t xml:space="preserve"> </w:t>
      </w:r>
      <w:r>
        <w:rPr>
          <w:rFonts w:hint="eastAsia"/>
        </w:rPr>
        <w:t xml:space="preserve">で割り引く。容量市場の収入は、市場に連動する収入として同じ率で割り引く。補助金は建設時の受取として割り引かない。LTDA</w:t>
      </w:r>
      <w:r>
        <w:t xml:space="preserve"> </w:t>
      </w:r>
      <w:r>
        <w:rPr>
          <w:rFonts w:hint="eastAsia"/>
        </w:rPr>
        <w:t xml:space="preserve">は、他市場収益の約9割の還付と容量市場への参加（合わせて年2.09万円/kW。容量収入1.40万円が66.7%、スポット純収入0.77万円の9割が33.3%）を手放し、固定収入を受け取るスワップとして、式(8.1)で評価する。固定側は</w:t>
      </w:r>
      <w:r>
        <w:t xml:space="preserve"> </w:t>
      </w:r>
      <m:oMath>
        <m:sSub>
          <m:e>
            <m:r>
              <m:t>r</m:t>
            </m:r>
          </m:e>
          <m:sub>
            <m:r>
              <m:t>C</m:t>
            </m:r>
          </m:sub>
        </m:sSub>
      </m:oMath>
      <w:r>
        <w:t xml:space="preserve"> </w:t>
      </w:r>
      <w:r>
        <w:rPr>
          <w:rFonts w:hint="eastAsia"/>
        </w:rPr>
        <w:t xml:space="preserve">で、手放す側は</w:t>
      </w:r>
      <w:r>
        <w:t xml:space="preserve"> </w:t>
      </w:r>
      <m:oMath>
        <m:sSubSup>
          <m:e>
            <m:r>
              <m:t>r</m:t>
            </m:r>
          </m:e>
          <m:sub>
            <m:r>
              <m:t>A</m:t>
            </m:r>
          </m:sub>
          <m:sup>
            <m:r>
              <m:t>M</m:t>
            </m:r>
          </m:sup>
        </m:sSubSup>
      </m:oMath>
      <w:r>
        <w:t xml:space="preserve"> </w:t>
      </w:r>
      <w:r>
        <w:rPr>
          <w:rFonts w:hint="eastAsia"/>
        </w:rPr>
        <w:t xml:space="preserve">で割り引く。基礎ケースは運転費用も</w:t>
      </w:r>
      <w:r>
        <w:t xml:space="preserve"> </w:t>
      </w:r>
      <m:oMath>
        <m:sSubSup>
          <m:e>
            <m:r>
              <m:t>r</m:t>
            </m:r>
          </m:e>
          <m:sub>
            <m:r>
              <m:t>A</m:t>
            </m:r>
          </m:sub>
          <m:sup>
            <m:r>
              <m:t>M</m:t>
            </m:r>
          </m:sup>
        </m:sSubSup>
      </m:oMath>
      <w:r>
        <w:t xml:space="preserve"> </w:t>
      </w:r>
      <w:r>
        <w:rPr>
          <w:rFonts w:hint="eastAsia"/>
        </w:rPr>
        <w:t xml:space="preserve">で割り引くので、LTDA</w:t>
      </w:r>
      <w:r>
        <w:t xml:space="preserve"> </w:t>
      </w:r>
      <w:r>
        <w:rPr>
          <w:rFonts w:hint="eastAsia"/>
        </w:rPr>
        <w:t xml:space="preserve">電源の</w:t>
      </w:r>
      <w:r>
        <w:t xml:space="preserve"> APV </w:t>
      </w:r>
      <w:r>
        <w:rPr>
          <w:rFonts w:hint="eastAsia"/>
        </w:rPr>
        <w:t xml:space="preserve">は全体を</w:t>
      </w:r>
      <w:r>
        <w:t xml:space="preserve"> </w:t>
      </w:r>
      <m:oMath>
        <m:sSub>
          <m:e>
            <m:r>
              <m:t>r</m:t>
            </m:r>
          </m:e>
          <m:sub>
            <m:r>
              <m:t>C</m:t>
            </m:r>
          </m:sub>
        </m:sSub>
      </m:oMath>
      <w:r>
        <w:t xml:space="preserve"> </w:t>
      </w:r>
      <w:r>
        <w:rPr>
          <w:rFonts w:hint="eastAsia"/>
        </w:rPr>
        <w:t xml:space="preserve">で割り引いた</w:t>
      </w:r>
      <w:r>
        <w:t xml:space="preserve"> NPV </w:t>
      </w:r>
      <w:r>
        <w:rPr>
          <w:rFonts w:hint="eastAsia"/>
        </w:rPr>
        <w:t xml:space="preserve">より大きい。スワップの価値をゼロにする固定価格（公正な固定価格）は、手放す側の現在価値（</w:t>
      </w:r>
      <m:oMath>
        <m:sSubSup>
          <m:e>
            <m:r>
              <m:t>r</m:t>
            </m:r>
          </m:e>
          <m:sub>
            <m:r>
              <m:t>A</m:t>
            </m:r>
          </m:sub>
          <m:sup>
            <m:r>
              <m:t>M</m:t>
            </m:r>
          </m:sup>
        </m:sSubSup>
      </m:oMath>
      <w:r>
        <w:t xml:space="preserve"> </w:t>
      </w:r>
      <w:r>
        <w:rPr>
          <w:rFonts w:hint="eastAsia"/>
        </w:rPr>
        <w:t xml:space="preserve">で割引）を</w:t>
      </w:r>
      <w:r>
        <w:t xml:space="preserve"> </w:t>
      </w:r>
      <m:oMath>
        <m:sSub>
          <m:e>
            <m:r>
              <m:t>r</m:t>
            </m:r>
          </m:e>
          <m:sub>
            <m:r>
              <m:t>C</m:t>
            </m:r>
          </m:sub>
        </m:sSub>
      </m:oMath>
      <w:r>
        <w:t xml:space="preserve"> </w:t>
      </w:r>
      <w:r>
        <w:rPr>
          <w:rFonts w:hint="eastAsia"/>
        </w:rPr>
        <w:t xml:space="preserve">の年金現価係数で割って求め、契約容量1kWあたりの年額で示す。APV</w:t>
      </w:r>
      <w:r>
        <w:t xml:space="preserve"> </w:t>
      </w:r>
      <w:r>
        <w:rPr>
          <w:rFonts w:hint="eastAsia"/>
        </w:rPr>
        <w:t xml:space="preserve">が0になる割引率は、補助後の投資額と、スポット・容量の収入から固定費を引いたキャッシュフローの</w:t>
      </w:r>
      <w:r>
        <w:t xml:space="preserve"> IRR </w:t>
      </w:r>
      <w:r>
        <w:rPr>
          <w:rFonts w:hint="eastAsia"/>
        </w:rPr>
        <w:t xml:space="preserve">であり、これより低い割引率で評価すれば</w:t>
      </w:r>
      <w:r>
        <w:t xml:space="preserve"> APV </w:t>
      </w:r>
      <w:r>
        <w:rPr>
          <w:rFonts w:hint="eastAsia"/>
        </w:rPr>
        <w:t xml:space="preserve">は正になる。</w:t>
      </w:r>
    </w:p>
    <w:bookmarkEnd w:id="345"/>
    <w:bookmarkStart w:id="346" w:name="b.5.4-確実性等価によるリスク調整"/>
    <w:p>
      <w:pPr>
        <w:pStyle w:val="Heading3"/>
      </w:pPr>
      <w:r>
        <w:t xml:space="preserve">B.5.4　</w:t>
      </w:r>
      <w:r>
        <w:rPr>
          <w:rFonts w:hint="eastAsia"/>
        </w:rPr>
        <w:t xml:space="preserve">確実性等価によるリスク調整</w:t>
      </w:r>
    </w:p>
    <w:p>
      <w:pPr>
        <w:pStyle w:val="FirstParagraph"/>
      </w:pPr>
      <w:r>
        <w:rPr>
          <w:rFonts w:hint="eastAsia"/>
          <w:b/>
          <w:bCs/>
        </w:rPr>
        <w:t xml:space="preserve">手順</w:t>
      </w:r>
      <w:r>
        <w:t xml:space="preserve">　</w:t>
      </w:r>
      <w:r>
        <w:rPr>
          <w:rFonts w:hint="eastAsia"/>
        </w:rPr>
        <w:t xml:space="preserve">価格水準係数</w:t>
      </w:r>
      <w:r>
        <w:t xml:space="preserve"> </w:t>
      </w:r>
      <m:oMath>
        <m:r>
          <m:t>θ</m:t>
        </m:r>
      </m:oMath>
      <w:r>
        <w:t xml:space="preserve"> </w:t>
      </w:r>
      <w:r>
        <w:rPr>
          <w:rFonts w:hint="eastAsia"/>
        </w:rPr>
        <w:t xml:space="preserve">の対数の過程を2通りとする。一つは定常</w:t>
      </w:r>
      <w:r>
        <w:t xml:space="preserve"> </w:t>
      </w:r>
      <w:r>
        <w:rPr>
          <w:rFonts w:hint="eastAsia"/>
        </w:rPr>
        <w:t xml:space="preserve">AR(1)（持続性</w:t>
      </w:r>
      <w:r>
        <w:t xml:space="preserve"> </w:t>
      </w:r>
      <m:oMath>
        <m:r>
          <m:t>ϕ</m:t>
        </m:r>
      </m:oMath>
      <w:r>
        <w:rPr>
          <w:rFonts w:hint="eastAsia"/>
        </w:rPr>
        <w:t xml:space="preserve">=0〜0.9）、もう一つは第7章の主仕様と同じ恒久成分のランダムウォーク（</w:t>
      </w:r>
      <m:oMath>
        <m:r>
          <m:t>ϕ</m:t>
        </m:r>
        <m:r>
          <m:rPr>
            <m:sty m:val="p"/>
          </m:rPr>
          <m:t>=</m:t>
        </m:r>
        <m:r>
          <m:t>1</m:t>
        </m:r>
      </m:oMath>
      <w:r>
        <w:rPr>
          <w:rFonts w:hint="eastAsia"/>
        </w:rPr>
        <w:t xml:space="preserve">、革新の標準偏差</w:t>
      </w:r>
      <w:r>
        <w:t xml:space="preserve"> </w:t>
      </w:r>
      <m:oMath>
        <m:sSub>
          <m:e>
            <m:r>
              <m:t>σ</m:t>
            </m:r>
          </m:e>
          <m:sub>
            <m:r>
              <m:t>ξ</m:t>
            </m:r>
          </m:sub>
        </m:sSub>
      </m:oMath>
      <w:r>
        <w:rPr>
          <w:rFonts w:hint="eastAsia"/>
        </w:rPr>
        <w:t xml:space="preserve">=0.10〜0.30）である。各年に生じる価値の更新（その年の価格ショックが、残り期間の期待キャッシュフローに与える影響の現在価値）の標準偏差に、リスクの価格</w:t>
      </w:r>
      <w:r>
        <w:t xml:space="preserve"> </w:t>
      </w:r>
      <m:oMath>
        <m:r>
          <m:rPr>
            <m:sty m:val="p"/>
          </m:rPr>
          <m:t>Λ</m:t>
        </m:r>
      </m:oMath>
      <w:r>
        <w:t xml:space="preserve"> </w:t>
      </w:r>
      <w:r>
        <w:rPr>
          <w:rFonts w:hint="eastAsia"/>
        </w:rPr>
        <w:t xml:space="preserve">を掛けてリスク調整し、6%で割り引いて積み上げる（Fama,</w:t>
      </w:r>
      <w:r>
        <w:t xml:space="preserve"> </w:t>
      </w:r>
      <w:r>
        <w:rPr>
          <w:rFonts w:hint="eastAsia"/>
        </w:rPr>
        <w:t xml:space="preserve">1977）。</w:t>
      </w:r>
      <m:oMath>
        <m:r>
          <m:rPr>
            <m:sty m:val="p"/>
          </m:rPr>
          <m:t>Λ</m:t>
        </m:r>
      </m:oMath>
      <w:r>
        <w:t xml:space="preserve"> </w:t>
      </w:r>
      <w:r>
        <w:rPr>
          <w:rFonts w:hint="eastAsia"/>
        </w:rPr>
        <w:t xml:space="preserve">は、市場ポートフォリオのシャープ・レシオ（0.2〜0.4）と、市場収益率との相関（0.3〜1）の積であり、いずれも仮定として幅で示す。ランダムウォークでは各年のショックが残り期間のすべてに効くので、リスク調整は大きくなる。</w:t>
      </w:r>
      <m:oMath>
        <m:sSub>
          <m:e>
            <m:r>
              <m:t>σ</m:t>
            </m:r>
          </m:e>
          <m:sub>
            <m:r>
              <m:t>ξ</m:t>
            </m:r>
          </m:sub>
        </m:sSub>
      </m:oMath>
      <w:r>
        <w:t xml:space="preserve"> </w:t>
      </w:r>
      <w:r>
        <w:t xml:space="preserve">と</w:t>
      </w:r>
      <w:r>
        <w:t xml:space="preserve"> </w:t>
      </w:r>
      <m:oMath>
        <m:r>
          <m:rPr>
            <m:sty m:val="p"/>
          </m:rPr>
          <m:t>Λ</m:t>
        </m:r>
      </m:oMath>
      <w:r>
        <w:t xml:space="preserve"> </w:t>
      </w:r>
      <w:r>
        <w:rPr>
          <w:rFonts w:hint="eastAsia"/>
        </w:rPr>
        <w:t xml:space="preserve">が大きいとリスク調整が期待粗収入を上回り、線形の確実性等価は使えなくなるので、その組合せは定義できないものとして示す。</w:t>
      </w:r>
    </w:p>
    <w:p>
      <w:pPr>
        <w:pStyle w:val="BodyText"/>
      </w:pPr>
      <w:r>
        <w:rPr>
          <w:rFonts w:hint="eastAsia"/>
          <w:b/>
          <w:bCs/>
        </w:rPr>
        <w:t xml:space="preserve">標準偏差</w:t>
      </w:r>
      <w:r>
        <w:t xml:space="preserve">　</w:t>
      </w:r>
      <w:r>
        <w:rPr>
          <w:rFonts w:hint="eastAsia"/>
        </w:rPr>
        <w:t xml:space="preserve">定常</w:t>
      </w:r>
      <w:r>
        <w:t xml:space="preserve"> AR(1) の</w:t>
      </w:r>
      <w:r>
        <w:t xml:space="preserve"> </w:t>
      </w:r>
      <m:oMath>
        <m:r>
          <m:t>θ</m:t>
        </m:r>
      </m:oMath>
      <w:r>
        <w:t xml:space="preserve"> </w:t>
      </w:r>
      <w:r>
        <w:rPr>
          <w:rFonts w:hint="eastAsia"/>
        </w:rPr>
        <w:t xml:space="preserve">の年次の標準偏差（対数）は、FY2016〜25</w:t>
      </w:r>
      <w:r>
        <w:t xml:space="preserve"> </w:t>
      </w:r>
      <w:r>
        <w:rPr>
          <w:rFonts w:hint="eastAsia"/>
        </w:rPr>
        <w:t xml:space="preserve">のシステムプライスの年平均の、FY2023〜25</w:t>
      </w:r>
      <w:r>
        <w:t xml:space="preserve"> </w:t>
      </w:r>
      <w:r>
        <w:rPr>
          <w:rFonts w:hint="eastAsia"/>
        </w:rPr>
        <w:t xml:space="preserve">平均に対する比から求め、0.267</w:t>
      </w:r>
      <w:r>
        <w:t xml:space="preserve"> </w:t>
      </w:r>
      <w:r>
        <w:rPr>
          <w:rFonts w:hint="eastAsia"/>
        </w:rPr>
        <w:t xml:space="preserve">である（FY2022</w:t>
      </w:r>
      <w:r>
        <w:t xml:space="preserve"> </w:t>
      </w:r>
      <w:r>
        <w:rPr>
          <w:rFonts w:hint="eastAsia"/>
        </w:rPr>
        <w:t xml:space="preserve">を除くと0.169）。北海道エリアプライスで測ると0.202（同0.104）で、システムプライスで測る方がリスク調整を大きく出す側の選択である。FY2022</w:t>
      </w:r>
      <w:r>
        <w:t xml:space="preserve"> </w:t>
      </w:r>
      <w:r>
        <w:rPr>
          <w:rFonts w:hint="eastAsia"/>
        </w:rPr>
        <w:t xml:space="preserve">を除いた値と、他者の参入と容量価格のリスクの代用としての2倍のストレスも示す。</w:t>
      </w:r>
    </w:p>
    <w:p>
      <w:pPr>
        <w:pStyle w:val="BodyText"/>
      </w:pPr>
      <w:r>
        <w:rPr>
          <w:rFonts w:hint="eastAsia"/>
          <w:b/>
          <w:bCs/>
        </w:rPr>
        <w:t xml:space="preserve">埋まる比率</w:t>
      </w:r>
      <w:r>
        <w:t xml:space="preserve">　</w:t>
      </w:r>
      <w:r>
        <w:rPr>
          <w:rFonts w:hint="eastAsia"/>
        </w:rPr>
        <w:t xml:space="preserve">期待スポット収入は実績整合ケースを主とし、モデル直値を併記する。不足額（参入必要収益から期待スポット収入を引いた額）は割引率6%（契約型の水準）で測るので、マーチャントにとって足りない額は、不足額にリスク調整を足したものになる。そこで、スポット収入のリスクを全部移したときに埋まる比率を、リスク調整÷（不足額＋リスク調整）で測る。不足額は、式(4.8)の基準（割引率6%）で1.67万〜1.75万円/kW-年、第7章の標準ケースの基準で1.53万〜1.62万円/kW-年である。</w:t>
      </w:r>
    </w:p>
    <w:p>
      <w:pPr>
        <w:pStyle w:val="BodyText"/>
      </w:pPr>
      <w:r>
        <w:rPr>
          <w:rFonts w:hint="eastAsia"/>
          <w:b/>
          <w:bCs/>
        </w:rPr>
        <w:t xml:space="preserve">割引率の選択</w:t>
      </w:r>
      <w:r>
        <w:t xml:space="preserve">　</w:t>
      </w:r>
      <w:r>
        <w:rPr>
          <w:rFonts w:hint="eastAsia"/>
        </w:rPr>
        <w:t xml:space="preserve">確実性等価は本来は無リスク金利で割り引くが、ここでは不足額を測る割引率（6%）にそろえた。無リスク金利で割り引くと、持続性</w:t>
      </w:r>
      <w:r>
        <w:t xml:space="preserve"> </w:t>
      </w:r>
      <m:oMath>
        <m:r>
          <m:t>ϕ</m:t>
        </m:r>
      </m:oMath>
      <w:r>
        <w:t xml:space="preserve"> </w:t>
      </w:r>
      <w:r>
        <w:rPr>
          <w:rFonts w:hint="eastAsia"/>
        </w:rPr>
        <w:t xml:space="preserve">が大きいときにリスク調整は大きくなる。したがってこの選択は、リスク調整と、リスクを移して埋まる比率を小さめに出す側、すなわち「リスク移転は小さい」という結論に有利な側に働く。比率の範囲の上端（式(4.8)の基準で、定常</w:t>
      </w:r>
      <w:r>
        <w:t xml:space="preserve"> AR(1) </w:t>
      </w:r>
      <w:r>
        <w:rPr>
          <w:rFonts w:hint="eastAsia"/>
        </w:rPr>
        <w:t xml:space="preserve">で11.0%、ランダムウォークで34.2%）は上限ではなく割引率6%での値であり、無リスク金利で割り引けばいくらか大きくなる。また、市場収益率との相関を正とする仮定は保険価値を大きく出す側である。燃料価格の上昇が株価を下げる局面では相関は負となりえ、その場合マーチャントの収入はむしろ市場のヘッジになる。</w:t>
      </w:r>
    </w:p>
    <w:p>
      <w:pPr>
        <w:pStyle w:val="BodyText"/>
      </w:pPr>
      <w:r>
        <w:rPr>
          <w:rFonts w:hint="eastAsia"/>
          <w:b/>
          <w:bCs/>
        </w:rPr>
        <w:t xml:space="preserve">用いない方法</w:t>
      </w:r>
      <w:r>
        <w:t xml:space="preserve">　</w:t>
      </w:r>
      <w:r>
        <w:rPr>
          <w:rFonts w:hint="eastAsia"/>
        </w:rPr>
        <w:t xml:space="preserve">20年分のキャッシュフローの現在価値の標準偏差に</w:t>
      </w:r>
      <w:r>
        <w:t xml:space="preserve"> </w:t>
      </w:r>
      <m:oMath>
        <m:r>
          <m:rPr>
            <m:sty m:val="p"/>
          </m:rPr>
          <m:t>Λ</m:t>
        </m:r>
      </m:oMath>
      <w:r>
        <w:t xml:space="preserve"> </w:t>
      </w:r>
      <w:r>
        <w:rPr>
          <w:rFonts w:hint="eastAsia"/>
        </w:rPr>
        <w:t xml:space="preserve">を一度だけ掛ける方法は、リスク調整を期ごとの計算の、定常</w:t>
      </w:r>
      <w:r>
        <w:t xml:space="preserve"> AR(1) で1/3.9〜1/4.2、ランダムウォークで1/3.7 </w:t>
      </w:r>
      <w:r>
        <w:rPr>
          <w:rFonts w:hint="eastAsia"/>
        </w:rPr>
        <w:t xml:space="preserve">に出す。</w:t>
      </w:r>
      <m:oMath>
        <m:r>
          <m:rPr>
            <m:sty m:val="p"/>
          </m:rPr>
          <m:t>Λ</m:t>
        </m:r>
      </m:oMath>
      <w:r>
        <w:t xml:space="preserve"> </w:t>
      </w:r>
      <w:r>
        <w:rPr>
          <w:rFonts w:hint="eastAsia"/>
        </w:rPr>
        <w:t xml:space="preserve">は1年あたりのリスクの価格なので、20年分の不確実性にまとめて1回だけ掛けると、各年に解消するリスクへの調整を過小に出す。リスク調整は各年に解消する不確実性ごとに行う必要があり（Fama,</w:t>
      </w:r>
      <w:r>
        <w:t xml:space="preserve"> </w:t>
      </w:r>
      <w:r>
        <w:rPr>
          <w:rFonts w:hint="eastAsia"/>
        </w:rPr>
        <w:t xml:space="preserve">1977）、この方法はリスクの解消の時点を無視した調整（投資期間が長いほどリスクが小さくなるとみなす時間分散の誤謬と同じ型の誤り）にあたるので、用いない。</w:t>
      </w:r>
    </w:p>
    <w:bookmarkEnd w:id="346"/>
    <w:bookmarkStart w:id="347" w:name="b.5.5-多因子-cfar-の構成"/>
    <w:p>
      <w:pPr>
        <w:pStyle w:val="Heading3"/>
      </w:pPr>
      <w:r>
        <w:t xml:space="preserve">B.5.5　</w:t>
      </w:r>
      <w:r>
        <w:rPr>
          <w:rFonts w:hint="eastAsia"/>
        </w:rPr>
        <w:t xml:space="preserve">多因子</w:t>
      </w:r>
      <w:r>
        <w:t xml:space="preserve"> CFaR </w:t>
      </w:r>
      <w:r>
        <w:rPr>
          <w:rFonts w:hint="eastAsia"/>
        </w:rPr>
        <w:t xml:space="preserve">の構成</w:t>
      </w:r>
    </w:p>
    <w:p>
      <w:pPr>
        <w:pStyle w:val="FirstParagraph"/>
      </w:pPr>
      <w:r>
        <w:rPr>
          <w:rFonts w:hint="eastAsia"/>
          <w:b/>
          <w:bCs/>
        </w:rPr>
        <w:t xml:space="preserve">対象</w:t>
      </w:r>
      <w:r>
        <w:t xml:space="preserve">　</w:t>
      </w:r>
      <w:r>
        <w:rPr>
          <w:rFonts w:hint="eastAsia"/>
        </w:rPr>
        <w:t xml:space="preserve">マーチャント4時間蓄電池の年間の市場収入</w:t>
      </w:r>
      <w:r>
        <w:t xml:space="preserve"> </w:t>
      </w:r>
      <m:oMath>
        <m:r>
          <m:t>R</m:t>
        </m:r>
        <m:r>
          <m:rPr>
            <m:sty m:val="p"/>
          </m:rPr>
          <m:t>=</m:t>
        </m:r>
        <m:r>
          <m:t>θ</m:t>
        </m:r>
        <m:r>
          <m:t> </m:t>
        </m:r>
        <m:r>
          <m:t>S</m:t>
        </m:r>
        <m:r>
          <m:t> </m:t>
        </m:r>
        <m:r>
          <m:t>ω</m:t>
        </m:r>
        <m:r>
          <m:t> </m:t>
        </m:r>
        <m:r>
          <m:t>a</m:t>
        </m:r>
        <m:r>
          <m:rPr>
            <m:sty m:val="p"/>
          </m:rPr>
          <m:t>(</m:t>
        </m:r>
        <m:r>
          <m:t>K</m:t>
        </m:r>
        <m:r>
          <m:rPr>
            <m:sty m:val="p"/>
          </m:rPr>
          <m:t>)</m:t>
        </m:r>
        <m:r>
          <m:rPr>
            <m:sty m:val="p"/>
          </m:rPr>
          <m:t>−</m:t>
        </m:r>
        <m:sSub>
          <m:e>
            <m:r>
              <m:t>w</m:t>
            </m:r>
          </m:e>
          <m:sub>
            <m:r>
              <m:rPr>
                <m:sty m:val="p"/>
              </m:rPr>
              <m:t>c</m:t>
            </m:r>
            <m:r>
              <m:rPr>
                <m:sty m:val="p"/>
              </m:rPr>
              <m:t>h</m:t>
            </m:r>
            <m:r>
              <m:rPr>
                <m:sty m:val="p"/>
              </m:rPr>
              <m:t>g</m:t>
            </m:r>
          </m:sub>
        </m:sSub>
        <m:r>
          <m:rPr>
            <m:sty m:val="p"/>
          </m:rPr>
          <m:t>+</m:t>
        </m:r>
        <m:r>
          <m:t>κ</m:t>
        </m:r>
        <m:sSub>
          <m:e>
            <m:r>
              <m:t>P</m:t>
            </m:r>
          </m:e>
          <m:sub>
            <m:r>
              <m:rPr>
                <m:sty m:val="p"/>
              </m:rPr>
              <m:t>c</m:t>
            </m:r>
            <m:r>
              <m:rPr>
                <m:sty m:val="p"/>
              </m:rPr>
              <m:t>a</m:t>
            </m:r>
            <m:r>
              <m:rPr>
                <m:sty m:val="p"/>
              </m:rPr>
              <m:t>p</m:t>
            </m:r>
          </m:sub>
        </m:sSub>
        <m:r>
          <m:rPr>
            <m:sty m:val="p"/>
          </m:rPr>
          <m:t>(</m:t>
        </m:r>
        <m:r>
          <m:t>K</m:t>
        </m:r>
        <m:r>
          <m:rPr>
            <m:sty m:val="p"/>
          </m:rPr>
          <m:t>;</m:t>
        </m:r>
        <m:r>
          <m:t>L</m:t>
        </m:r>
        <m:r>
          <m:rPr>
            <m:sty m:val="p"/>
          </m:rPr>
          <m:t>)</m:t>
        </m:r>
      </m:oMath>
      <w:r>
        <w:rPr>
          <w:rFonts w:hint="eastAsia"/>
        </w:rPr>
        <w:t xml:space="preserve">（式(8.2)）である。</w:t>
      </w:r>
      <m:oMath>
        <m:r>
          <m:t>a</m:t>
        </m:r>
        <m:r>
          <m:rPr>
            <m:sty m:val="p"/>
          </m:rPr>
          <m:t>(</m:t>
        </m:r>
        <m:r>
          <m:t>K</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K</m:t>
        </m:r>
        <m:r>
          <m:rPr>
            <m:sty m:val="p"/>
          </m:rPr>
          <m:t>)</m:t>
        </m:r>
      </m:oMath>
      <w:r>
        <w:t xml:space="preserve"> </w:t>
      </w:r>
      <w:r>
        <w:rPr>
          <w:rFonts w:hint="eastAsia"/>
        </w:rPr>
        <w:t xml:space="preserve">は、フリート容量</w:t>
      </w:r>
      <w:r>
        <w:t xml:space="preserve"> </w:t>
      </w:r>
      <m:oMath>
        <m:r>
          <m:t>K</m:t>
        </m:r>
      </m:oMath>
      <w:r>
        <w:t xml:space="preserve"> </w:t>
      </w:r>
      <w:r>
        <w:rPr>
          <w:rFonts w:hint="eastAsia"/>
        </w:rPr>
        <w:t xml:space="preserve">の下での限界参入者の粗収益（</w:t>
      </w:r>
      <m:oMath>
        <m:r>
          <m:t>θ</m:t>
        </m:r>
        <m:r>
          <m:rPr>
            <m:sty m:val="p"/>
          </m:rPr>
          <m:t>=</m:t>
        </m:r>
        <m:r>
          <m:t>1</m:t>
        </m:r>
      </m:oMath>
      <w:r>
        <w:rPr>
          <w:rFonts w:hint="eastAsia"/>
        </w:rPr>
        <w:t xml:space="preserve">）で、実績整合ケース（水準係数付きの価格過程・完全予見の増分貪欲フリート・1万kW</w:t>
      </w:r>
      <w:r>
        <w:t xml:space="preserve"> </w:t>
      </w:r>
      <w:r>
        <w:rPr>
          <w:rFonts w:hint="eastAsia"/>
        </w:rPr>
        <w:t xml:space="preserve">刻み）の値である（</w:t>
      </w:r>
      <m:oMath>
        <m:r>
          <m:t>K</m:t>
        </m:r>
      </m:oMath>
      <w:r>
        <w:t xml:space="preserve"> </w:t>
      </w:r>
      <w:r>
        <w:rPr>
          <w:rFonts w:hint="eastAsia"/>
        </w:rPr>
        <w:t xml:space="preserve">の間は単調な3次補間）。</w:t>
      </w:r>
      <m:oMath>
        <m:sSub>
          <m:e>
            <m:r>
              <m:t>w</m:t>
            </m:r>
          </m:e>
          <m:sub>
            <m:r>
              <m:rPr>
                <m:sty m:val="p"/>
              </m:rPr>
              <m:t>c</m:t>
            </m:r>
            <m:r>
              <m:rPr>
                <m:sty m:val="p"/>
              </m:rPr>
              <m:t>h</m:t>
            </m:r>
            <m:r>
              <m:rPr>
                <m:sty m:val="p"/>
              </m:rPr>
              <m:t>g</m:t>
            </m:r>
          </m:sub>
        </m:sSub>
      </m:oMath>
      <w:r>
        <w:t xml:space="preserve"> </w:t>
      </w:r>
      <w:r>
        <w:rPr>
          <w:rFonts w:hint="eastAsia"/>
        </w:rPr>
        <w:t xml:space="preserve">は1,752円/kW-年である。モデル直値を感応度とする。</w:t>
      </w:r>
      <m:oMath>
        <m:r>
          <m:t>R</m:t>
        </m:r>
      </m:oMath>
      <w:r>
        <w:t xml:space="preserve"> </w:t>
      </w:r>
      <w:r>
        <w:rPr>
          <w:rFonts w:hint="eastAsia"/>
        </w:rPr>
        <w:t xml:space="preserve">は投資判断の時点から見た運転期間中の代表的な1年の市場収入であり、翌年度の予算に対する</w:t>
      </w:r>
      <w:r>
        <w:t xml:space="preserve"> CFaR ではない。とくに</w:t>
      </w:r>
      <w:r>
        <w:t xml:space="preserve"> </w:t>
      </w:r>
      <m:oMath>
        <m:r>
          <m:t>K</m:t>
        </m:r>
      </m:oMath>
      <w:r>
        <w:t xml:space="preserve"> </w:t>
      </w:r>
      <w:r>
        <w:t xml:space="preserve">と</w:t>
      </w:r>
      <w:r>
        <w:t xml:space="preserve"> </w:t>
      </w:r>
      <m:oMath>
        <m:r>
          <m:t>L</m:t>
        </m:r>
      </m:oMath>
      <w:r>
        <w:t xml:space="preserve"> </w:t>
      </w:r>
      <w:r>
        <w:rPr>
          <w:rFonts w:hint="eastAsia"/>
        </w:rPr>
        <w:t xml:space="preserve">は年々独立に振れるショックではなく、投資時点で分からない状態の不確実性として扱う。</w:t>
      </w:r>
    </w:p>
    <w:p>
      <w:pPr>
        <w:pStyle w:val="BodyText"/>
      </w:pPr>
      <w:r>
        <w:rPr>
          <w:rFonts w:hint="eastAsia"/>
          <w:b/>
          <w:bCs/>
        </w:rPr>
        <w:t xml:space="preserve">因子</w:t>
      </w:r>
      <w:r>
        <w:t xml:space="preserve">　</w:t>
      </w:r>
      <w:r>
        <w:rPr>
          <w:rFonts w:hint="eastAsia"/>
        </w:rPr>
        <w:t xml:space="preserve">因子は互いに独立とし、</w:t>
      </w:r>
      <m:oMath>
        <m:r>
          <m:t>θ</m:t>
        </m:r>
      </m:oMath>
      <w:r>
        <w:t xml:space="preserve"> </w:t>
      </w:r>
      <w:r>
        <w:rPr>
          <w:rFonts w:hint="eastAsia"/>
        </w:rPr>
        <w:t xml:space="preserve">と形状を年度の組で同時に経験分布から引く場合を感応度とする。</w:t>
      </w:r>
    </w:p>
    <w:p>
      <w:pPr>
        <w:pStyle w:val="Compact"/>
        <w:numPr>
          <w:ilvl w:val="0"/>
          <w:numId w:val="1008"/>
        </w:numPr>
      </w:pPr>
      <w:r>
        <w:rPr>
          <w:rFonts w:hint="eastAsia"/>
        </w:rPr>
        <w:t xml:space="preserve">価格水準</w:t>
      </w:r>
      <w:r>
        <w:t xml:space="preserve"> </w:t>
      </w:r>
      <m:oMath>
        <m:r>
          <m:t>θ</m:t>
        </m:r>
      </m:oMath>
      <w:r>
        <w:rPr>
          <w:rFonts w:hint="eastAsia"/>
        </w:rPr>
        <w:t xml:space="preserve">：FY2016〜25</w:t>
      </w:r>
      <w:r>
        <w:t xml:space="preserve"> </w:t>
      </w:r>
      <w:r>
        <w:rPr>
          <w:rFonts w:hint="eastAsia"/>
        </w:rPr>
        <w:t xml:space="preserve">の年平均システムプライスの、FY2023〜25</w:t>
      </w:r>
      <w:r>
        <w:t xml:space="preserve"> </w:t>
      </w:r>
      <w:r>
        <w:rPr>
          <w:rFonts w:hint="eastAsia"/>
        </w:rPr>
        <w:t xml:space="preserve">平均に対する比を代理とし、対数正規（中央値1、対数標準偏差</w:t>
      </w:r>
      <w:r>
        <w:t xml:space="preserve"> </w:t>
      </w:r>
      <m:oMath>
        <m:sSub>
          <m:e>
            <m:r>
              <m:t>σ</m:t>
            </m:r>
          </m:e>
          <m:sub>
            <m:r>
              <m:t>θ</m:t>
            </m:r>
          </m:sub>
        </m:sSub>
        <m:r>
          <m:rPr>
            <m:sty m:val="p"/>
          </m:rPr>
          <m:t>=</m:t>
        </m:r>
        <m:r>
          <m:t>0.267</m:t>
        </m:r>
      </m:oMath>
      <w:r>
        <w:t xml:space="preserve">。FY2022 </w:t>
      </w:r>
      <w:r>
        <w:rPr>
          <w:rFonts w:hint="eastAsia"/>
        </w:rPr>
        <w:t xml:space="preserve">を除くと0.169）または経験分布から引く。水準係数付きの価格過程では、粗収益は</w:t>
      </w:r>
      <w:r>
        <w:t xml:space="preserve"> </w:t>
      </w:r>
      <m:oMath>
        <m:r>
          <m:t>θ</m:t>
        </m:r>
      </m:oMath>
      <w:r>
        <w:t xml:space="preserve"> </w:t>
      </w:r>
      <w:r>
        <w:rPr>
          <w:rFonts w:hint="eastAsia"/>
        </w:rPr>
        <w:t xml:space="preserve">にほぼ比例する（</w:t>
      </w:r>
      <m:oMath>
        <m:r>
          <m:t>a</m:t>
        </m:r>
        <m:r>
          <m:rPr>
            <m:sty m:val="p"/>
          </m:rPr>
          <m:t>(</m:t>
        </m:r>
        <m:r>
          <m:t>K</m:t>
        </m:r>
        <m:r>
          <m:rPr>
            <m:sty m:val="p"/>
          </m:rPr>
          <m:t>;</m:t>
        </m:r>
        <m:r>
          <m:t>θ</m:t>
        </m:r>
        <m:r>
          <m:rPr>
            <m:sty m:val="p"/>
          </m:rPr>
          <m:t>)</m:t>
        </m:r>
        <m:r>
          <m:rPr>
            <m:sty m:val="p"/>
          </m:rPr>
          <m:t>≈</m:t>
        </m:r>
        <m:r>
          <m:t>θ</m:t>
        </m:r>
        <m:r>
          <m:t> </m:t>
        </m:r>
        <m:r>
          <m:t>a</m:t>
        </m:r>
        <m:r>
          <m:rPr>
            <m:sty m:val="p"/>
          </m:rPr>
          <m:t>(</m:t>
        </m:r>
        <m:r>
          <m:t>K</m:t>
        </m:r>
        <m:r>
          <m:rPr>
            <m:sty m:val="p"/>
          </m:rPr>
          <m:t>;</m:t>
        </m:r>
        <m:r>
          <m:t>1</m:t>
        </m:r>
        <m:r>
          <m:rPr>
            <m:sty m:val="p"/>
          </m:rPr>
          <m:t>)</m:t>
        </m:r>
      </m:oMath>
      <w:r>
        <w:rPr>
          <w:rFonts w:hint="eastAsia"/>
        </w:rPr>
        <w:t xml:space="preserve">）。</w:t>
      </w:r>
    </w:p>
    <w:p>
      <w:pPr>
        <w:pStyle w:val="Compact"/>
        <w:numPr>
          <w:ilvl w:val="0"/>
          <w:numId w:val="1008"/>
        </w:numPr>
      </w:pPr>
      <w:r>
        <w:rPr>
          <w:rFonts w:hint="eastAsia"/>
        </w:rPr>
        <w:t xml:space="preserve">他者の参入</w:t>
      </w:r>
      <w:r>
        <w:t xml:space="preserve"> </w:t>
      </w:r>
      <m:oMath>
        <m:r>
          <m:t>K</m:t>
        </m:r>
      </m:oMath>
      <w:r>
        <w:rPr>
          <w:rFonts w:hint="eastAsia"/>
        </w:rPr>
        <w:t xml:space="preserve">：主ケースでは、接続済みの約20万kW</w:t>
      </w:r>
      <w:r>
        <w:t xml:space="preserve"> から、LTDA </w:t>
      </w:r>
      <w:r>
        <w:rPr>
          <w:rFonts w:hint="eastAsia"/>
        </w:rPr>
        <w:t xml:space="preserve">の北海道落札分約67.4万kW</w:t>
      </w:r>
      <w:r>
        <w:t xml:space="preserve"> </w:t>
      </w:r>
      <w:r>
        <w:rPr>
          <w:rFonts w:hint="eastAsia"/>
        </w:rPr>
        <w:t xml:space="preserve">が加わった87.4万kW</w:t>
      </w:r>
      <w:r>
        <w:t xml:space="preserve"> </w:t>
      </w:r>
      <w:r>
        <w:rPr>
          <w:rFonts w:hint="eastAsia"/>
        </w:rPr>
        <w:t xml:space="preserve">までの一様分布とする。LTDA</w:t>
      </w:r>
      <w:r>
        <w:t xml:space="preserve"> </w:t>
      </w:r>
      <w:r>
        <w:rPr>
          <w:rFonts w:hint="eastAsia"/>
        </w:rPr>
        <w:t xml:space="preserve">の供給力の提供は2027年度以降なので、接続済みの容量とは提供時期が重ならない（物理的な連系が先行して接続済みに含まれていれば、上端は過大である）。感応度は、第3回の別解による20〜76.8万kW、6時間級（約23.3万kW）の</w:t>
      </w:r>
      <w:r>
        <w:t xml:space="preserve"> kWh </w:t>
      </w:r>
      <w:r>
        <w:rPr>
          <w:rFonts w:hint="eastAsia"/>
        </w:rPr>
        <w:t xml:space="preserve">を4時間で割った20〜99.1万kW、20〜120万kW</w:t>
      </w:r>
      <w:r>
        <w:t xml:space="preserve"> である。</w:t>
      </w:r>
    </w:p>
    <w:p>
      <w:pPr>
        <w:pStyle w:val="Compact"/>
        <w:numPr>
          <w:ilvl w:val="0"/>
          <w:numId w:val="1008"/>
        </w:numPr>
      </w:pPr>
      <w:r>
        <w:rPr>
          <w:rFonts w:hint="eastAsia"/>
        </w:rPr>
        <w:t xml:space="preserve">容量価格の約定水準</w:t>
      </w:r>
      <w:r>
        <w:t xml:space="preserve"> </w:t>
      </w:r>
      <m:oMath>
        <m:r>
          <m:t>L</m:t>
        </m:r>
      </m:oMath>
      <w:r>
        <w:rPr>
          <w:rFonts w:hint="eastAsia"/>
        </w:rPr>
        <w:t xml:space="preserve">：2026〜2029年度向けの北海道の約定価格に調整係数0.836を掛けた4値（7,314〜12,517円/kW-年）から等確率で引く。調整係数は2029年度向けの値を各年度に共通に用いる。感応度は、2026年度向けを除く3値と、3値・4値に2030年度向けの指標価格（0.836×20,911円）を加えた分布である。</w:t>
      </w:r>
      <m:oMath>
        <m:r>
          <m:t>K</m:t>
        </m:r>
      </m:oMath>
      <w:r>
        <w:t xml:space="preserve"> </w:t>
      </w:r>
      <w:r>
        <w:rPr>
          <w:rFonts w:hint="eastAsia"/>
        </w:rPr>
        <w:t xml:space="preserve">への依存は、第7章の容量価格の需要曲線（7.6節）の全国連系（主）と北海道ブロック按分の2つの境界で与え、約定水準の違いは加法で移す。LTDA</w:t>
      </w:r>
      <w:r>
        <w:t xml:space="preserve"> </w:t>
      </w:r>
      <w:r>
        <w:rPr>
          <w:rFonts w:hint="eastAsia"/>
        </w:rPr>
        <w:t xml:space="preserve">電源を容量価格の</w:t>
      </w:r>
      <w:r>
        <w:t xml:space="preserve"> </w:t>
      </w:r>
      <m:oMath>
        <m:r>
          <m:t>K</m:t>
        </m:r>
      </m:oMath>
      <w:r>
        <w:t xml:space="preserve"> </w:t>
      </w:r>
      <w:r>
        <w:rPr>
          <w:rFonts w:hint="eastAsia"/>
        </w:rPr>
        <w:t xml:space="preserve">依存に含めるかは制度上の扱いによるので、非</w:t>
      </w:r>
      <w:r>
        <w:t xml:space="preserve"> LTDA </w:t>
      </w:r>
      <w:r>
        <w:rPr>
          <w:rFonts w:hint="eastAsia"/>
        </w:rPr>
        <w:t xml:space="preserve">分（接続済みの容量）だけを含める場合も感応度とする。</w:t>
      </w:r>
    </w:p>
    <w:p>
      <w:pPr>
        <w:pStyle w:val="Compact"/>
        <w:numPr>
          <w:ilvl w:val="0"/>
          <w:numId w:val="1008"/>
        </w:numPr>
      </w:pPr>
      <w:r>
        <w:rPr>
          <w:rFonts w:hint="eastAsia"/>
        </w:rPr>
        <w:t xml:space="preserve">年度単位の形状</w:t>
      </w:r>
      <w:r>
        <w:t xml:space="preserve"> </w:t>
      </w:r>
      <m:oMath>
        <m:r>
          <m:t>S</m:t>
        </m:r>
      </m:oMath>
      <w:r>
        <w:rPr>
          <w:rFonts w:hint="eastAsia"/>
        </w:rPr>
        <w:t xml:space="preserve">：FY2016〜25</w:t>
      </w:r>
      <w:r>
        <w:t xml:space="preserve"> の </w:t>
      </w:r>
      <w:r>
        <w:rPr>
          <w:rFonts w:hint="eastAsia"/>
        </w:rPr>
        <w:t xml:space="preserve">log（完全予見粗利/</w:t>
      </w:r>
      <m:oMath>
        <m:r>
          <m:t>θ</m:t>
        </m:r>
      </m:oMath>
      <w:r>
        <w:rPr>
          <w:rFonts w:hint="eastAsia"/>
        </w:rPr>
        <w:t xml:space="preserve">）の標準偏差0.234</w:t>
      </w:r>
      <w:r>
        <w:t xml:space="preserve"> </w:t>
      </w:r>
      <w:r>
        <w:rPr>
          <w:rFonts w:hint="eastAsia"/>
        </w:rPr>
        <w:t xml:space="preserve">から日々の天候の分を除き、対数標準偏差</w:t>
      </w:r>
      <w:r>
        <w:t xml:space="preserve"> </w:t>
      </w:r>
      <m:oMath>
        <m:sSub>
          <m:e>
            <m:r>
              <m:t>σ</m:t>
            </m:r>
          </m:e>
          <m:sub>
            <m:r>
              <m:t>S</m:t>
            </m:r>
          </m:sub>
        </m:sSub>
        <m:r>
          <m:rPr>
            <m:sty m:val="p"/>
          </m:rPr>
          <m:t>=</m:t>
        </m:r>
        <m:r>
          <m:t>0.23</m:t>
        </m:r>
      </m:oMath>
      <w:r>
        <w:t xml:space="preserve"> </w:t>
      </w:r>
      <w:r>
        <w:rPr>
          <w:rFonts w:hint="eastAsia"/>
        </w:rPr>
        <w:t xml:space="preserve">の対数正規（平均1）とする。現行構造（FY2023〜25）の</w:t>
      </w:r>
      <w:r>
        <w:t xml:space="preserve"> </w:t>
      </w:r>
      <m:oMath>
        <m:sSub>
          <m:e>
            <m:r>
              <m:t>σ</m:t>
            </m:r>
          </m:e>
          <m:sub>
            <m:r>
              <m:t>S</m:t>
            </m:r>
          </m:sub>
        </m:sSub>
        <m:r>
          <m:rPr>
            <m:sty m:val="p"/>
          </m:rPr>
          <m:t>=</m:t>
        </m:r>
        <m:r>
          <m:t>0.14</m:t>
        </m:r>
      </m:oMath>
      <w:r>
        <w:t xml:space="preserve"> </w:t>
      </w:r>
      <w:r>
        <w:rPr>
          <w:rFonts w:hint="eastAsia"/>
        </w:rPr>
        <w:t xml:space="preserve">を感応度とする。</w:t>
      </w:r>
    </w:p>
    <w:p>
      <w:pPr>
        <w:pStyle w:val="Compact"/>
        <w:numPr>
          <w:ilvl w:val="0"/>
          <w:numId w:val="1008"/>
        </w:numPr>
      </w:pPr>
      <w:r>
        <w:rPr>
          <w:rFonts w:hint="eastAsia"/>
        </w:rPr>
        <w:t xml:space="preserve">日々の天候</w:t>
      </w:r>
      <w:r>
        <w:t xml:space="preserve"> </w:t>
      </w:r>
      <m:oMath>
        <m:r>
          <m:t>ω</m:t>
        </m:r>
      </m:oMath>
      <w:r>
        <w:rPr>
          <w:rFonts w:hint="eastAsia"/>
        </w:rPr>
        <w:t xml:space="preserve">：FY2023〜25</w:t>
      </w:r>
      <w:r>
        <w:t xml:space="preserve"> </w:t>
      </w:r>
      <w:r>
        <w:rPr>
          <w:rFonts w:hint="eastAsia"/>
        </w:rPr>
        <w:t xml:space="preserve">の価格を</w:t>
      </w:r>
      <w:r>
        <w:t xml:space="preserve"> </w:t>
      </w:r>
      <m:oMath>
        <m:r>
          <m:t>θ</m:t>
        </m:r>
        <m:r>
          <m:rPr>
            <m:sty m:val="p"/>
          </m:rPr>
          <m:t>=</m:t>
        </m:r>
        <m:r>
          <m:t>1</m:t>
        </m:r>
      </m:oMath>
      <w:r>
        <w:t xml:space="preserve"> </w:t>
      </w:r>
      <w:r>
        <w:rPr>
          <w:rFonts w:hint="eastAsia"/>
        </w:rPr>
        <w:t xml:space="preserve">に割り戻した日次の完全予見粗利を、暦月で層別して再標本化する。各ブロックでは同じ暦月の3年から1年を選び、月内で循環させた長さ7日の連続ブロックを取る（循環ブロック・ブートストラップ。Politis</w:t>
      </w:r>
      <w:r>
        <w:t xml:space="preserve"> &amp; Romano, </w:t>
      </w:r>
      <w:r>
        <w:rPr>
          <w:rFonts w:hint="eastAsia"/>
        </w:rPr>
        <w:t xml:space="preserve">1992）。これで4,000年分をつくる。ブロック長1・14・31日を感応度とする。</w:t>
      </w:r>
    </w:p>
    <w:p>
      <w:pPr>
        <w:pStyle w:val="FirstParagraph"/>
      </w:pPr>
      <w:r>
        <w:rPr>
          <w:rFonts w:hint="eastAsia"/>
          <w:b/>
          <w:bCs/>
        </w:rPr>
        <w:t xml:space="preserve">指標と寄与</w:t>
      </w:r>
      <w:r>
        <w:t xml:space="preserve">　</w:t>
      </w:r>
      <w:r>
        <w:rPr>
          <w:rFonts w:hint="eastAsia"/>
        </w:rPr>
        <w:t xml:space="preserve">20万回のモンテカルロで、5%</w:t>
      </w:r>
      <w:r>
        <w:t xml:space="preserve"> </w:t>
      </w:r>
      <w:r>
        <w:rPr>
          <w:rFonts w:hint="eastAsia"/>
        </w:rPr>
        <w:t xml:space="preserve">CFaR（期待値と5%分位点の差）と5%期待ショートフォール（期待値と、5%分位点以下の条件付き期待値の差。Acerbi</w:t>
      </w:r>
      <w:r>
        <w:t xml:space="preserve"> &amp; Tasche, 2002; Artzner et al., </w:t>
      </w:r>
      <w:r>
        <w:rPr>
          <w:rFonts w:hint="eastAsia"/>
        </w:rPr>
        <w:t xml:space="preserve">1999）を求める。因子別の寄与は二通りで示す。第一は、基準</w:t>
      </w:r>
      <w:r>
        <w:t xml:space="preserve"> </w:t>
      </w:r>
      <m:oMath>
        <m:sSub>
          <m:e>
            <m:r>
              <m:t>R</m:t>
            </m:r>
          </m:e>
          <m:sub>
            <m:r>
              <m:rPr>
                <m:sty m:val="p"/>
              </m:rPr>
              <m:t>r</m:t>
            </m:r>
            <m:r>
              <m:rPr>
                <m:sty m:val="p"/>
              </m:rPr>
              <m:t>e</m:t>
            </m:r>
            <m:r>
              <m:rPr>
                <m:sty m:val="p"/>
              </m:rPr>
              <m:t>f</m:t>
            </m:r>
          </m:sub>
        </m:sSub>
      </m:oMath>
      <w:r>
        <w:t xml:space="preserve"> </w:t>
      </w:r>
      <w:r>
        <w:rPr>
          <w:rFonts w:hint="eastAsia"/>
        </w:rPr>
        <w:t xml:space="preserve">から1因子だけを確率変数にしたときの5%点までの下振れである。</w:t>
      </w:r>
      <m:oMath>
        <m:sSub>
          <m:e>
            <m:r>
              <m:t>R</m:t>
            </m:r>
          </m:e>
          <m:sub>
            <m:r>
              <m:rPr>
                <m:sty m:val="p"/>
              </m:rPr>
              <m:t>r</m:t>
            </m:r>
            <m:r>
              <m:rPr>
                <m:sty m:val="p"/>
              </m:rPr>
              <m:t>e</m:t>
            </m:r>
            <m:r>
              <m:rPr>
                <m:sty m:val="p"/>
              </m:rPr>
              <m:t>f</m:t>
            </m:r>
          </m:sub>
        </m:sSub>
      </m:oMath>
      <w:r>
        <w:t xml:space="preserve"> </w:t>
      </w:r>
      <w:r>
        <w:rPr>
          <w:rFonts w:hint="eastAsia"/>
        </w:rPr>
        <w:t xml:space="preserve">は、他者の参入がない</w:t>
      </w:r>
      <w:r>
        <w:t xml:space="preserve"> </w:t>
      </w:r>
      <m:oMath>
        <m:r>
          <m:t>K</m:t>
        </m:r>
        <m:r>
          <m:rPr>
            <m:sty m:val="p"/>
          </m:rPr>
          <m:t>=</m:t>
        </m:r>
        <m:r>
          <m:t>0</m:t>
        </m:r>
      </m:oMath>
      <w:r>
        <w:t xml:space="preserve">・</w:t>
      </w:r>
      <m:oMath>
        <m:r>
          <m:t>θ</m:t>
        </m:r>
        <m:r>
          <m:rPr>
            <m:sty m:val="p"/>
          </m:rPr>
          <m:t>=</m:t>
        </m:r>
        <m:r>
          <m:t>1</m:t>
        </m:r>
      </m:oMath>
      <w:r>
        <w:t xml:space="preserve"> </w:t>
      </w:r>
      <w:r>
        <w:t xml:space="preserve">での</w:t>
      </w:r>
      <w:r>
        <w:t xml:space="preserve"> </w:t>
      </w:r>
      <m:oMath>
        <m:r>
          <m:t>π</m:t>
        </m:r>
        <m:r>
          <m:rPr>
            <m:sty m:val="p"/>
          </m:rPr>
          <m:t>(</m:t>
        </m:r>
        <m:r>
          <m:t>0</m:t>
        </m:r>
        <m:r>
          <m:rPr>
            <m:sty m:val="p"/>
          </m:rPr>
          <m:t>)</m:t>
        </m:r>
        <m:r>
          <m:rPr>
            <m:sty m:val="p"/>
          </m:rPr>
          <m:t>=</m:t>
        </m:r>
        <m:r>
          <m:t>6</m:t>
        </m:r>
        <m:r>
          <m:rPr>
            <m:sty m:val="p"/>
          </m:rPr>
          <m:t>,</m:t>
        </m:r>
        <m:r>
          <m:t>675</m:t>
        </m:r>
      </m:oMath>
      <w:r>
        <w:t xml:space="preserve"> </w:t>
      </w:r>
      <w:r>
        <w:rPr>
          <w:rFonts w:hint="eastAsia"/>
        </w:rPr>
        <w:t xml:space="preserve">円に、過去4回の約定水準で最も高い2029年度向けの容量収入12,517円を足した19,192円/kW-年で、参入条件の左辺を</w:t>
      </w:r>
      <w:r>
        <w:t xml:space="preserve"> </w:t>
      </w:r>
      <m:oMath>
        <m:r>
          <m:t>θ</m:t>
        </m:r>
        <m:r>
          <m:rPr>
            <m:sty m:val="p"/>
          </m:rPr>
          <m:t>=</m:t>
        </m:r>
        <m:r>
          <m:t>1</m:t>
        </m:r>
      </m:oMath>
      <w:r>
        <w:t xml:space="preserve"> </w:t>
      </w:r>
      <w:r>
        <w:rPr>
          <w:rFonts w:hint="eastAsia"/>
        </w:rPr>
        <w:t xml:space="preserve">で評価した値である。第二は、5因子同時の</w:t>
      </w:r>
      <w:r>
        <w:t xml:space="preserve"> CFaR の Shapley </w:t>
      </w:r>
      <w:r>
        <w:rPr>
          <w:rFonts w:hint="eastAsia"/>
        </w:rPr>
        <w:t xml:space="preserve">配分（Shapley,</w:t>
      </w:r>
      <w:r>
        <w:t xml:space="preserve"> 1953; Shorrocks, 2013 </w:t>
      </w:r>
      <w:r>
        <w:rPr>
          <w:rFonts w:hint="eastAsia"/>
        </w:rPr>
        <w:t xml:space="preserve">の要因分解）である。価値関数には全32通りの部分集合の</w:t>
      </w:r>
      <w:r>
        <w:t xml:space="preserve"> CFaR </w:t>
      </w:r>
      <w:r>
        <w:rPr>
          <w:rFonts w:hint="eastAsia"/>
        </w:rPr>
        <w:t xml:space="preserve">を用い、含めない因子は基準値（</w:t>
      </w:r>
      <m:oMath>
        <m:r>
          <m:t>θ</m:t>
        </m:r>
      </m:oMath>
      <w:r>
        <w:t xml:space="preserve"> </w:t>
      </w:r>
      <w:r>
        <w:rPr>
          <w:rFonts w:hint="eastAsia"/>
        </w:rPr>
        <w:t xml:space="preserve">は中央値1、</w:t>
      </w:r>
      <m:oMath>
        <m:r>
          <m:t>S</m:t>
        </m:r>
      </m:oMath>
      <w:r>
        <w:t xml:space="preserve"> </w:t>
      </w:r>
      <w:r>
        <w:t xml:space="preserve">と</w:t>
      </w:r>
      <w:r>
        <w:t xml:space="preserve"> </w:t>
      </w:r>
      <m:oMath>
        <m:r>
          <m:t>ω</m:t>
        </m:r>
      </m:oMath>
      <w:r>
        <w:t xml:space="preserve"> </w:t>
      </w:r>
      <w:r>
        <w:t xml:space="preserve">は1、</w:t>
      </w:r>
      <m:oMath>
        <m:r>
          <m:t>K</m:t>
        </m:r>
        <m:r>
          <m:rPr>
            <m:sty m:val="p"/>
          </m:rPr>
          <m:t>=</m:t>
        </m:r>
        <m:r>
          <m:t>53.7</m:t>
        </m:r>
      </m:oMath>
      <w:r>
        <w:t xml:space="preserve"> </w:t>
      </w:r>
      <w:r>
        <w:rPr>
          <w:rFonts w:hint="eastAsia"/>
        </w:rPr>
        <w:t xml:space="preserve">万kW、</w:t>
      </w:r>
      <m:oMath>
        <m:r>
          <m:t>L</m:t>
        </m:r>
        <m:r>
          <m:rPr>
            <m:sty m:val="p"/>
          </m:rPr>
          <m:t>=</m:t>
        </m:r>
        <m:r>
          <m:t>10</m:t>
        </m:r>
        <m:r>
          <m:rPr>
            <m:sty m:val="p"/>
          </m:rPr>
          <m:t>,</m:t>
        </m:r>
        <m:r>
          <m:t>830</m:t>
        </m:r>
      </m:oMath>
      <w:r>
        <w:t xml:space="preserve"> </w:t>
      </w:r>
      <w:r>
        <w:rPr>
          <w:rFonts w:hint="eastAsia"/>
        </w:rPr>
        <w:t xml:space="preserve">円）に固定して、共通乱数で計算する。</w:t>
      </w:r>
    </w:p>
    <w:p>
      <w:pPr>
        <w:pStyle w:val="BodyText"/>
      </w:pPr>
      <w:r>
        <w:rPr>
          <w:b/>
          <w:bCs/>
        </w:rPr>
        <w:t xml:space="preserve">LTDA</w:t>
      </w:r>
      <w:r>
        <w:t xml:space="preserve">　</w:t>
      </w:r>
      <w:r>
        <w:rPr>
          <w:rFonts w:hint="eastAsia"/>
        </w:rPr>
        <w:t xml:space="preserve">容量確保契約の収入は、固定の容量収入に他市場収益の約1割を加えたものになる。同じ因子分布の下でこの収入の</w:t>
      </w:r>
      <w:r>
        <w:t xml:space="preserve"> CFaR </w:t>
      </w:r>
      <w:r>
        <w:rPr>
          <w:rFonts w:hint="eastAsia"/>
        </w:rPr>
        <w:t xml:space="preserve">を計算し、契約がどの因子をどれだけ移転するかを、マーチャントと</w:t>
      </w:r>
      <w:r>
        <w:t xml:space="preserve"> LTDA の Shapley </w:t>
      </w:r>
      <w:r>
        <w:rPr>
          <w:rFonts w:hint="eastAsia"/>
        </w:rPr>
        <w:t xml:space="preserve">寄与の差で測る。</w:t>
      </w:r>
    </w:p>
    <w:p>
      <w:pPr>
        <w:pStyle w:val="BodyText"/>
      </w:pPr>
      <w:r>
        <w:rPr>
          <w:rFonts w:hint="eastAsia"/>
          <w:b/>
          <w:bCs/>
        </w:rPr>
        <w:t xml:space="preserve">位置づけ</w:t>
      </w:r>
      <w:r>
        <w:t xml:space="preserve">　CFaR </w:t>
      </w:r>
      <w:r>
        <w:rPr>
          <w:rFonts w:hint="eastAsia"/>
        </w:rPr>
        <w:t xml:space="preserve">は期待値で書いたゼロレント条件には入らないので、</w:t>
      </w:r>
      <m:oMath>
        <m:sSup>
          <m:e>
            <m:r>
              <m:t>K</m:t>
            </m:r>
          </m:e>
          <m:sup>
            <m:r>
              <m:rPr>
                <m:sty m:val="p"/>
              </m:rPr>
              <m:t>*</m:t>
            </m:r>
          </m:sup>
        </m:sSup>
        <m:r>
          <m:rPr>
            <m:sty m:val="p"/>
          </m:rPr>
          <m:t>=</m:t>
        </m:r>
        <m:r>
          <m:t>0</m:t>
        </m:r>
      </m:oMath>
      <w:r>
        <w:t xml:space="preserve"> </w:t>
      </w:r>
      <w:r>
        <w:rPr>
          <w:rFonts w:hint="eastAsia"/>
        </w:rPr>
        <w:t xml:space="preserve">の判定を直接は動かさない。リスクが参入判断に効くのは、リスク調整後の割引率や資金調達の条件を通じてである。</w:t>
      </w:r>
    </w:p>
    <w:bookmarkEnd w:id="347"/>
    <w:bookmarkStart w:id="348" w:name="b.5.6-ヘッジ有効性と期間の不一致の計算"/>
    <w:p>
      <w:pPr>
        <w:pStyle w:val="Heading3"/>
      </w:pPr>
      <w:r>
        <w:t xml:space="preserve">B.5.6　</w:t>
      </w:r>
      <w:r>
        <w:rPr>
          <w:rFonts w:hint="eastAsia"/>
        </w:rPr>
        <w:t xml:space="preserve">ヘッジ有効性と期間の不一致の計算</w:t>
      </w:r>
    </w:p>
    <w:p>
      <w:pPr>
        <w:pStyle w:val="FirstParagraph"/>
      </w:pPr>
      <w:r>
        <w:rPr>
          <w:rFonts w:hint="eastAsia"/>
          <w:b/>
          <w:bCs/>
        </w:rPr>
        <w:t xml:space="preserve">代理変数</w:t>
      </w:r>
      <w:r>
        <w:t xml:space="preserve">　</w:t>
      </w:r>
      <w:r>
        <w:rPr>
          <w:rFonts w:hint="eastAsia"/>
        </w:rPr>
        <w:t xml:space="preserve">国内の電力先物は</w:t>
      </w:r>
      <w:r>
        <w:t xml:space="preserve"> EEX と JPX </w:t>
      </w:r>
      <w:r>
        <w:rPr>
          <w:rFonts w:hint="eastAsia"/>
        </w:rPr>
        <w:t xml:space="preserve">に上場しているが、対象は東京・関西などのエリアで、北海道の商品はない。東京などの商品は受渡期間の</w:t>
      </w:r>
      <w:r>
        <w:t xml:space="preserve"> JEPX </w:t>
      </w:r>
      <w:r>
        <w:rPr>
          <w:rFonts w:hint="eastAsia"/>
        </w:rPr>
        <w:t xml:space="preserve">エリアプライスの平均で最終決済されるので、実現した月平均は最終決済価格そのものである。先物価格は予見可能な季節性を織り込むとみなし、暦月平均を標本の中で除いた値を先物の損益の代理とする。式(8.3)の</w:t>
      </w:r>
      <w:r>
        <w:t xml:space="preserve"> </w:t>
      </w:r>
      <m:oMath>
        <m:r>
          <m:t>G</m:t>
        </m:r>
      </m:oMath>
      <w:r>
        <w:t xml:space="preserve"> </w:t>
      </w:r>
      <w:r>
        <w:rPr>
          <w:rFonts w:hint="eastAsia"/>
        </w:rPr>
        <w:t xml:space="preserve">は北海道の月間の完全予見粗利、</w:t>
      </w:r>
      <m:oMath>
        <m:sSup>
          <m:e>
            <m:r>
              <m:t>P</m:t>
            </m:r>
          </m:e>
          <m:sup>
            <m:r>
              <m:rPr>
                <m:sty m:val="p"/>
              </m:rPr>
              <m:t>f</m:t>
            </m:r>
            <m:r>
              <m:rPr>
                <m:sty m:val="p"/>
              </m:rPr>
              <m:t>u</m:t>
            </m:r>
            <m:r>
              <m:rPr>
                <m:sty m:val="p"/>
              </m:rPr>
              <m:t>t</m:t>
            </m:r>
          </m:sup>
        </m:sSup>
      </m:oMath>
      <w:r>
        <w:t xml:space="preserve"> </w:t>
      </w:r>
      <w:r>
        <w:rPr>
          <w:rFonts w:hint="eastAsia"/>
        </w:rPr>
        <w:t xml:space="preserve">は東京エリアの月平均価格（ベースと、平日8〜20時・祝日除くのピーク）である。ピークは</w:t>
      </w:r>
      <w:r>
        <w:t xml:space="preserve"> EEX </w:t>
      </w:r>
      <w:r>
        <w:rPr>
          <w:rFonts w:hint="eastAsia"/>
        </w:rPr>
        <w:t xml:space="preserve">のピーク商品と同じ平日8〜20時とし、日本の祝日を除く（European</w:t>
      </w:r>
      <w:r>
        <w:t xml:space="preserve"> Energy Exchange [EEX], </w:t>
      </w:r>
      <w:r>
        <w:rPr>
          <w:rFonts w:hint="eastAsia"/>
        </w:rPr>
        <w:t xml:space="preserve">2026）。</w:t>
      </w:r>
    </w:p>
    <w:p>
      <w:pPr>
        <w:pStyle w:val="BodyText"/>
      </w:pPr>
      <w:r>
        <w:rPr>
          <w:rFonts w:hint="eastAsia"/>
          <w:b/>
          <w:bCs/>
        </w:rPr>
        <w:t xml:space="preserve">標本内と標本外</w:t>
      </w:r>
      <w:r>
        <w:t xml:space="preserve">　HE は</w:t>
      </w:r>
      <w:r>
        <w:t xml:space="preserve"> </w:t>
      </w:r>
      <m:oMath>
        <m:sSup>
          <m:e>
            <m:r>
              <m:t>h</m:t>
            </m:r>
          </m:e>
          <m:sup>
            <m:r>
              <m:rPr>
                <m:sty m:val="p"/>
              </m:rPr>
              <m:t>*</m:t>
            </m:r>
          </m:sup>
        </m:sSup>
      </m:oMath>
      <w:r>
        <w:t xml:space="preserve"> </w:t>
      </w:r>
      <w:r>
        <w:rPr>
          <w:rFonts w:hint="eastAsia"/>
        </w:rPr>
        <w:t xml:space="preserve">を同じ標本で推定する標本内の値なので、上限側である。そこで、</w:t>
      </w:r>
      <m:oMath>
        <m:sSup>
          <m:e>
            <m:r>
              <m:t>h</m:t>
            </m:r>
          </m:e>
          <m:sup>
            <m:r>
              <m:rPr>
                <m:sty m:val="p"/>
              </m:rPr>
              <m:t>*</m:t>
            </m:r>
          </m:sup>
        </m:sSup>
      </m:oMath>
      <w:r>
        <w:t xml:space="preserve"> </w:t>
      </w:r>
      <w:r>
        <w:rPr>
          <w:rFonts w:hint="eastAsia"/>
        </w:rPr>
        <w:t xml:space="preserve">を先行期間（FY2016〜19、FY2016〜22）で推定して2023年4月〜2026年6月に当てた標本外の</w:t>
      </w:r>
      <w:r>
        <w:t xml:space="preserve"> HE </w:t>
      </w:r>
      <w:r>
        <w:rPr>
          <w:rFonts w:hint="eastAsia"/>
        </w:rPr>
        <w:t xml:space="preserve">も求める。事前のヘッジに近づけるため、1・3・6・12か月前からの変化でも計算する。水準の</w:t>
      </w:r>
      <w:r>
        <w:t xml:space="preserve"> HE </w:t>
      </w:r>
      <w:r>
        <w:rPr>
          <w:rFonts w:hint="eastAsia"/>
        </w:rPr>
        <w:t xml:space="preserve">には、月の移動ブロック・ブートストラップ（Künsch,</w:t>
      </w:r>
      <w:r>
        <w:t xml:space="preserve"> </w:t>
      </w:r>
      <w:r>
        <w:rPr>
          <w:rFonts w:hint="eastAsia"/>
        </w:rPr>
        <w:t xml:space="preserve">1989。長さ6か月、2,000回）の90%区間を付す。</w:t>
      </w:r>
    </w:p>
    <w:p>
      <w:pPr>
        <w:pStyle w:val="BodyText"/>
      </w:pPr>
      <w:r>
        <w:rPr>
          <w:rFonts w:hint="eastAsia"/>
          <w:b/>
          <w:bCs/>
        </w:rPr>
        <w:t xml:space="preserve">期間の不一致</w:t>
      </w:r>
      <w:r>
        <w:t xml:space="preserve">　</w:t>
      </w:r>
      <w:r>
        <w:rPr>
          <w:rFonts w:hint="eastAsia"/>
        </w:rPr>
        <w:t xml:space="preserve">上場先物が固定できる期間と20年の資産寿命の不一致（満期構造の不一致。Mello</w:t>
      </w:r>
      <w:r>
        <w:t xml:space="preserve"> &amp; Parsons, </w:t>
      </w:r>
      <w:r>
        <w:rPr>
          <w:rFonts w:hint="eastAsia"/>
        </w:rPr>
        <w:t xml:space="preserve">1995）を評価する。</w:t>
      </w:r>
      <m:oMath>
        <m:r>
          <m:rPr>
            <m:sty m:val="p"/>
          </m:rPr>
          <m:t>log</m:t>
        </m:r>
        <m:r>
          <m:t>θ</m:t>
        </m:r>
      </m:oMath>
      <w:r>
        <w:t xml:space="preserve"> </w:t>
      </w:r>
      <w:r>
        <w:t xml:space="preserve">を AR(1) </w:t>
      </w:r>
      <w:r>
        <w:rPr>
          <w:rFonts w:hint="eastAsia"/>
        </w:rPr>
        <w:t xml:space="preserve">とした線形近似で、直近の数年度分の収入を完全に固定したときに消せる、20年の収入の現在価値（割引率6%）の分散の割合を求める。固定する年度数は、JPX・EEX</w:t>
      </w:r>
      <w:r>
        <w:t xml:space="preserve"> </w:t>
      </w:r>
      <w:r>
        <w:rPr>
          <w:rFonts w:hint="eastAsia"/>
        </w:rPr>
        <w:t xml:space="preserve">の年度物の上場期間に合わせて1・2・5・6年度とする。5年度は、2027年4月26日施行の業務規程の改正で</w:t>
      </w:r>
      <w:r>
        <w:t xml:space="preserve"> JPX </w:t>
      </w:r>
      <w:r>
        <w:rPr>
          <w:rFonts w:hint="eastAsia"/>
        </w:rPr>
        <w:t xml:space="preserve">の年度物が5限月制に拡充されることによる（東京商品取引所，2026）。結果は、2年度で8〜23%、5年度で30〜49%、6年度で38〜56%（持続性</w:t>
      </w:r>
      <w:r>
        <w:t xml:space="preserve"> </w:t>
      </w:r>
      <m:oMath>
        <m:r>
          <m:t>ϕ</m:t>
        </m:r>
      </m:oMath>
      <w:r>
        <w:rPr>
          <w:rFonts w:hint="eastAsia"/>
        </w:rPr>
        <w:t xml:space="preserve">=1〜0。ベーシスのない完全ヘッジを置いた上限）である。持続的な水準の変化ほど遠い年度に効くので、ヘッジできない割合は大きくなる。</w:t>
      </w:r>
    </w:p>
    <w:bookmarkEnd w:id="348"/>
    <w:bookmarkEnd w:id="349"/>
    <w:bookmarkStart w:id="352" w:name="b.6-負の価格の段差モデルの導出第9章"/>
    <w:p>
      <w:pPr>
        <w:pStyle w:val="Heading2"/>
      </w:pPr>
      <w:r>
        <w:t xml:space="preserve">B.6　</w:t>
      </w:r>
      <w:r>
        <w:rPr>
          <w:rFonts w:hint="eastAsia"/>
        </w:rPr>
        <w:t xml:space="preserve">負の価格の段差モデルの導出（第9章）</w:t>
      </w:r>
    </w:p>
    <w:p>
      <w:pPr>
        <w:pStyle w:val="FirstParagraph"/>
      </w:pPr>
      <w:r>
        <w:rPr>
          <w:rFonts w:hint="eastAsia"/>
        </w:rPr>
        <w:t xml:space="preserve">本節は、第9章の方法（9.1節）のうち、損益分岐の直接解と、第7章の供給曲線の下端の線形外挿との関係を導く。記号は式(9.1)〜(9.3)と第4章の共通の定義に従う。</w:t>
      </w:r>
    </w:p>
    <w:bookmarkStart w:id="350" w:name="b.6.1-負の価格の下での損益分岐の水準係数の直接解"/>
    <w:p>
      <w:pPr>
        <w:pStyle w:val="Heading3"/>
      </w:pPr>
      <w:r>
        <w:t xml:space="preserve">B.6.1　</w:t>
      </w:r>
      <w:r>
        <w:rPr>
          <w:rFonts w:hint="eastAsia"/>
        </w:rPr>
        <w:t xml:space="preserve">負の価格の下での損益分岐の水準係数の直接解</w:t>
      </w:r>
    </w:p>
    <w:p>
      <w:pPr>
        <w:pStyle w:val="FirstParagraph"/>
      </w:pPr>
      <w:r>
        <w:rPr>
          <w:rFonts w:hint="eastAsia"/>
        </w:rPr>
        <w:t xml:space="preserve">フリート容量</w:t>
      </w:r>
      <w:r>
        <w:t xml:space="preserve"> </w:t>
      </w:r>
      <m:oMath>
        <m:r>
          <m:t>K</m:t>
        </m:r>
        <m:r>
          <m:rPr>
            <m:sty m:val="p"/>
          </m:rPr>
          <m:t>=</m:t>
        </m:r>
        <m:r>
          <m:t>0</m:t>
        </m:r>
      </m:oMath>
      <w:r>
        <w:t xml:space="preserve"> </w:t>
      </w:r>
      <w:r>
        <w:rPr>
          <w:rFonts w:hint="eastAsia"/>
        </w:rPr>
        <w:t xml:space="preserve">の限界参入者の粗収益を、水準係数</w:t>
      </w:r>
      <w:r>
        <w:t xml:space="preserve"> </w:t>
      </w:r>
      <m:oMath>
        <m:r>
          <m:t>θ</m:t>
        </m:r>
      </m:oMath>
      <w:r>
        <w:t xml:space="preserve"> </w:t>
      </w:r>
      <w:r>
        <w:rPr>
          <w:rFonts w:hint="eastAsia"/>
        </w:rPr>
        <w:t xml:space="preserve">と負の価格の深さ</w:t>
      </w:r>
      <w:r>
        <w:t xml:space="preserve"> </w:t>
      </w:r>
      <m:oMath>
        <m:r>
          <m:t>δ</m:t>
        </m:r>
      </m:oMath>
      <w:r>
        <w:t xml:space="preserve"> </w:t>
      </w:r>
      <w:r>
        <w:rPr>
          <w:rFonts w:hint="eastAsia"/>
        </w:rPr>
        <w:t xml:space="preserve">の関数として</w:t>
      </w:r>
      <w:r>
        <w:t xml:space="preserve"> </w:t>
      </w:r>
      <m:oMath>
        <m:r>
          <m:t>a</m:t>
        </m:r>
        <m:r>
          <m:rPr>
            <m:sty m:val="p"/>
          </m:rPr>
          <m:t>(</m:t>
        </m:r>
        <m:r>
          <m:t>θ</m:t>
        </m:r>
        <m:r>
          <m:rPr>
            <m:sty m:val="p"/>
          </m:rPr>
          <m:t>,</m:t>
        </m:r>
        <m:r>
          <m:t>δ</m:t>
        </m:r>
        <m:r>
          <m:rPr>
            <m:sty m:val="p"/>
          </m:rPr>
          <m:t>)</m:t>
        </m:r>
        <m:r>
          <m:rPr>
            <m:sty m:val="p"/>
          </m:rPr>
          <m:t>≡</m:t>
        </m:r>
        <m:r>
          <m:t>λ</m:t>
        </m:r>
        <m:r>
          <m:t> </m:t>
        </m:r>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r>
          <m:t>θ</m:t>
        </m:r>
        <m:r>
          <m:rPr>
            <m:sty m:val="p"/>
          </m:rPr>
          <m:t>,</m:t>
        </m:r>
        <m:r>
          <m:t>δ</m:t>
        </m:r>
        <m:r>
          <m:rPr>
            <m:sty m:val="p"/>
          </m:rPr>
          <m:t>)</m:t>
        </m:r>
      </m:oMath>
      <w:r>
        <w:t xml:space="preserve"> </w:t>
      </w:r>
      <w:r>
        <w:rPr>
          <w:rFonts w:hint="eastAsia"/>
        </w:rPr>
        <w:t xml:space="preserve">と書く。段差モデル（式(9.1)）では、下限張り付きの時間の集合</w:t>
      </w:r>
      <w:r>
        <w:t xml:space="preserve"> </w:t>
      </w:r>
      <m:oMath>
        <m:r>
          <m:rPr>
            <m:scr m:val="script"/>
            <m:sty m:val="p"/>
          </m:rPr>
          <m:t>F</m:t>
        </m:r>
      </m:oMath>
      <w:r>
        <w:t xml:space="preserve"> </w:t>
      </w:r>
      <w:r>
        <w:rPr>
          <w:rFonts w:hint="eastAsia"/>
        </w:rPr>
        <w:t xml:space="preserve">の外の価格は、下限価格0.01円より上の部分が</w:t>
      </w:r>
      <w:r>
        <w:t xml:space="preserve"> </w:t>
      </w:r>
      <m:oMath>
        <m:r>
          <m:t>θ</m:t>
        </m:r>
      </m:oMath>
      <w:r>
        <w:t xml:space="preserve"> </w:t>
      </w:r>
      <w:r>
        <w:rPr>
          <w:rFonts w:hint="eastAsia"/>
        </w:rPr>
        <w:t xml:space="preserve">に比例して伸縮する。他方、</w:t>
      </w:r>
      <m:oMath>
        <m:r>
          <m:rPr>
            <m:scr m:val="script"/>
            <m:sty m:val="p"/>
          </m:rPr>
          <m:t>F</m:t>
        </m:r>
      </m:oMath>
      <w:r>
        <w:t xml:space="preserve"> </w:t>
      </w:r>
      <w:r>
        <w:rPr>
          <w:rFonts w:hint="eastAsia"/>
        </w:rPr>
        <w:t xml:space="preserve">の中の価格</w:t>
      </w:r>
      <w:r>
        <w:t xml:space="preserve"> </w:t>
      </w:r>
      <m:oMath>
        <m:r>
          <m:rPr>
            <m:sty m:val="p"/>
          </m:rPr>
          <m:t>−</m:t>
        </m:r>
        <m:r>
          <m:t>δ</m:t>
        </m:r>
      </m:oMath>
      <w:r>
        <w:t xml:space="preserve"> </w:t>
      </w:r>
      <w:r>
        <w:t xml:space="preserve">は</w:t>
      </w:r>
      <w:r>
        <w:t xml:space="preserve"> </w:t>
      </w:r>
      <m:oMath>
        <m:r>
          <m:t>θ</m:t>
        </m:r>
      </m:oMath>
      <w:r>
        <w:t xml:space="preserve"> </w:t>
      </w:r>
      <w:r>
        <w:rPr>
          <w:rFonts w:hint="eastAsia"/>
        </w:rPr>
        <w:t xml:space="preserve">で伸縮させない。戦略</w:t>
      </w:r>
      <w:r>
        <w:t xml:space="preserve"> c </w:t>
      </w:r>
      <w:r>
        <w:rPr>
          <w:rFonts w:hint="eastAsia"/>
        </w:rPr>
        <w:t xml:space="preserve">の粗利は、</w:t>
      </w:r>
      <m:oMath>
        <m:r>
          <m:rPr>
            <m:scr m:val="script"/>
            <m:sty m:val="p"/>
          </m:rPr>
          <m:t>F</m:t>
        </m:r>
      </m:oMath>
      <w:r>
        <w:t xml:space="preserve"> </w:t>
      </w:r>
      <w:r>
        <w:rPr>
          <w:rFonts w:hint="eastAsia"/>
        </w:rPr>
        <w:t xml:space="preserve">の外で放電・充電する部分が</w:t>
      </w:r>
      <w:r>
        <w:t xml:space="preserve"> </w:t>
      </w:r>
      <m:oMath>
        <m:r>
          <m:t>θ</m:t>
        </m:r>
      </m:oMath>
      <w:r>
        <w:t xml:space="preserve"> </w:t>
      </w:r>
      <w:r>
        <w:rPr>
          <w:rFonts w:hint="eastAsia"/>
        </w:rPr>
        <w:t xml:space="preserve">にほぼ比例し、</w:t>
      </w:r>
      <m:oMath>
        <m:r>
          <m:rPr>
            <m:scr m:val="script"/>
            <m:sty m:val="p"/>
          </m:rPr>
          <m:t>F</m:t>
        </m:r>
      </m:oMath>
      <w:r>
        <w:t xml:space="preserve"> </w:t>
      </w:r>
      <w:r>
        <w:rPr>
          <w:rFonts w:hint="eastAsia"/>
        </w:rPr>
        <w:t xml:space="preserve">の中で充電する部分は</w:t>
      </w:r>
      <w:r>
        <w:t xml:space="preserve"> </w:t>
      </w:r>
      <m:oMath>
        <m:r>
          <m:t>θ</m:t>
        </m:r>
      </m:oMath>
      <w:r>
        <w:t xml:space="preserve"> </w:t>
      </w:r>
      <w:r>
        <w:rPr>
          <w:rFonts w:hint="eastAsia"/>
        </w:rPr>
        <w:t xml:space="preserve">によらない。したがって粗収益は、</w:t>
      </w:r>
      <m:oMath>
        <m:r>
          <m:t>θ</m:t>
        </m:r>
      </m:oMath>
      <w:r>
        <w:t xml:space="preserve"> </w:t>
      </w:r>
      <w:r>
        <w:rPr>
          <w:rFonts w:hint="eastAsia"/>
        </w:rPr>
        <w:t xml:space="preserve">について近似的に</w:t>
      </w:r>
    </w:p>
    <w:p>
      <w:pPr>
        <w:pStyle w:val="BodyText"/>
        <w:tabs>
          <w:tab w:val="center" w:pos="4393"/>
          <w:tab w:val="right" w:pos="8787"/>
        </w:tabs>
        <w:spacing w:before="120" w:after="120" w:line="240" w:lineRule="auto"/>
        <w:ind w:firstLine="0"/>
      </w:pPr>
      <w:r>
        <w:tab/>
      </w:r>
      <m:oMath>
        <m:r>
          <m:t>a</m:t>
        </m:r>
        <m:r>
          <m:rPr>
            <m:sty m:val="p"/>
          </m:rPr>
          <m:t>(</m:t>
        </m:r>
        <m:r>
          <m:t>θ</m:t>
        </m:r>
        <m:r>
          <m:rPr>
            <m:sty m:val="p"/>
          </m:rPr>
          <m:t>,</m:t>
        </m:r>
        <m:r>
          <m:t>δ</m:t>
        </m:r>
        <m:r>
          <m:rPr>
            <m:sty m:val="p"/>
          </m:rPr>
          <m:t>)</m:t>
        </m:r>
        <m:r>
          <m:rPr>
            <m:sty m:val="p"/>
          </m:rPr>
          <m:t>≈</m:t>
        </m:r>
        <m:sSub>
          <m:e>
            <m:r>
              <m:t>a</m:t>
            </m:r>
          </m:e>
          <m:sub>
            <m:r>
              <m:t>0</m:t>
            </m:r>
          </m:sub>
        </m:sSub>
        <m:r>
          <m:rPr>
            <m:sty m:val="p"/>
          </m:rPr>
          <m:t>(</m:t>
        </m:r>
        <m:r>
          <m:t>δ</m:t>
        </m:r>
        <m:r>
          <m:rPr>
            <m:sty m:val="p"/>
          </m:rPr>
          <m:t>)</m:t>
        </m:r>
        <m:r>
          <m:rPr>
            <m:sty m:val="p"/>
          </m:rPr>
          <m:t>+</m:t>
        </m:r>
        <m:sSub>
          <m:e>
            <m:r>
              <m:t>a</m:t>
            </m:r>
          </m:e>
          <m:sub>
            <m:r>
              <m:t>1</m:t>
            </m:r>
          </m:sub>
        </m:sSub>
        <m:r>
          <m:rPr>
            <m:sty m:val="p"/>
          </m:rPr>
          <m:t>(</m:t>
        </m:r>
        <m:r>
          <m:t>δ</m:t>
        </m:r>
        <m:r>
          <m:rPr>
            <m:sty m:val="p"/>
          </m:rPr>
          <m:t>)</m:t>
        </m:r>
        <m:r>
          <m:t> </m:t>
        </m:r>
        <m:r>
          <m:t>θ</m:t>
        </m:r>
      </m:oMath>
      <w:r>
        <w:tab/>
      </w:r>
      <w:r>
        <w:t>(B.18)</w:t>
      </w:r>
    </w:p>
    <w:p>
      <w:pPr>
        <w:pStyle w:val="BodyText"/>
      </w:pPr>
      <w:r>
        <w:rPr>
          <w:rFonts w:hint="eastAsia"/>
        </w:rPr>
        <w:t xml:space="preserve">と書ける。</w:t>
      </w:r>
      <m:oMath>
        <m:sSub>
          <m:e>
            <m:r>
              <m:t>a</m:t>
            </m:r>
          </m:e>
          <m:sub>
            <m:r>
              <m:t>0</m:t>
            </m:r>
          </m:sub>
        </m:sSub>
        <m:r>
          <m:rPr>
            <m:sty m:val="p"/>
          </m:rPr>
          <m:t>(</m:t>
        </m:r>
        <m:r>
          <m:t>δ</m:t>
        </m:r>
        <m:r>
          <m:rPr>
            <m:sty m:val="p"/>
          </m:rPr>
          <m:t>)</m:t>
        </m:r>
      </m:oMath>
      <w:r>
        <w:t xml:space="preserve"> </w:t>
      </w:r>
      <w:r>
        <w:rPr>
          <w:rFonts w:hint="eastAsia"/>
        </w:rPr>
        <w:t xml:space="preserve">は主に負の価格の時間に充電して受け取る支払いにあたり、</w:t>
      </w:r>
      <m:oMath>
        <m:r>
          <m:t>δ</m:t>
        </m:r>
        <m:r>
          <m:rPr>
            <m:sty m:val="p"/>
          </m:rPr>
          <m:t>&gt;</m:t>
        </m:r>
        <m:r>
          <m:t>0</m:t>
        </m:r>
      </m:oMath>
      <w:r>
        <w:t xml:space="preserve"> </w:t>
      </w:r>
      <w:r>
        <w:rPr>
          <w:rFonts w:hint="eastAsia"/>
        </w:rPr>
        <w:t xml:space="preserve">で正になる。</w:t>
      </w:r>
    </w:p>
    <w:p>
      <w:pPr>
        <w:pStyle w:val="BodyText"/>
      </w:pPr>
      <w:r>
        <w:rPr>
          <w:rFonts w:hint="eastAsia"/>
        </w:rPr>
        <w:t xml:space="preserve">参入に必要な粗収益を</w:t>
      </w:r>
      <w:r>
        <w:t xml:space="preserve"> </w:t>
      </w:r>
      <m:oMath>
        <m:sSup>
          <m:e>
            <m:r>
              <m:t>a</m:t>
            </m:r>
          </m:e>
          <m:sup>
            <m:r>
              <m:rPr>
                <m:sty m:val="p"/>
              </m:rPr>
              <m:t>r</m:t>
            </m:r>
            <m:r>
              <m:rPr>
                <m:sty m:val="p"/>
              </m:rPr>
              <m:t>e</m:t>
            </m:r>
            <m:r>
              <m:rPr>
                <m:sty m:val="p"/>
              </m:rPr>
              <m:t>q</m:t>
            </m:r>
          </m:sup>
        </m:sSup>
        <m:r>
          <m:rPr>
            <m:sty m:val="p"/>
          </m:rPr>
          <m:t>≡</m:t>
        </m:r>
        <m:sSub>
          <m:e>
            <m:r>
              <m:t>c</m:t>
            </m:r>
          </m:e>
          <m:sub>
            <m:r>
              <m:rPr>
                <m:sty m:val="p"/>
              </m:rPr>
              <m:t>r</m:t>
            </m:r>
            <m:r>
              <m:rPr>
                <m:sty m:val="p"/>
              </m:rPr>
              <m:t>e</m:t>
            </m:r>
            <m:r>
              <m:rPr>
                <m:sty m:val="p"/>
              </m:rPr>
              <m:t>q</m:t>
            </m:r>
          </m:sub>
        </m:sSub>
        <m:r>
          <m:rPr>
            <m:sty m:val="p"/>
          </m:rPr>
          <m:t>−</m:t>
        </m:r>
        <m:r>
          <m:t>κ</m:t>
        </m:r>
        <m:sSub>
          <m:e>
            <m:r>
              <m:t>P</m:t>
            </m:r>
          </m:e>
          <m:sub>
            <m:r>
              <m:rPr>
                <m:sty m:val="p"/>
              </m:rPr>
              <m:t>c</m:t>
            </m:r>
            <m:r>
              <m:rPr>
                <m:sty m:val="p"/>
              </m:rPr>
              <m:t>a</m:t>
            </m:r>
            <m:r>
              <m:rPr>
                <m:sty m:val="p"/>
              </m:rPr>
              <m:t>p</m:t>
            </m:r>
          </m:sub>
        </m:sSub>
        <m:r>
          <m:rPr>
            <m:sty m:val="p"/>
          </m:rPr>
          <m:t>+</m:t>
        </m:r>
        <m:sSub>
          <m:e>
            <m:r>
              <m:t>w</m:t>
            </m:r>
          </m:e>
          <m:sub>
            <m:r>
              <m:rPr>
                <m:sty m:val="p"/>
              </m:rPr>
              <m:t>c</m:t>
            </m:r>
            <m:r>
              <m:rPr>
                <m:sty m:val="p"/>
              </m:rPr>
              <m:t>h</m:t>
            </m:r>
            <m:r>
              <m:rPr>
                <m:sty m:val="p"/>
              </m:rPr>
              <m:t>g</m:t>
            </m:r>
          </m:sub>
        </m:sSub>
      </m:oMath>
      <w:r>
        <w:t xml:space="preserve"> </w:t>
      </w:r>
      <w:r>
        <w:t xml:space="preserve">とおくと、</w:t>
      </w:r>
      <m:oMath>
        <m:r>
          <m:t>K</m:t>
        </m:r>
        <m:r>
          <m:rPr>
            <m:sty m:val="p"/>
          </m:rPr>
          <m:t>=</m:t>
        </m:r>
        <m:r>
          <m:t>0</m:t>
        </m:r>
      </m:oMath>
      <w:r>
        <w:t xml:space="preserve"> </w:t>
      </w:r>
      <w:r>
        <w:rPr>
          <w:rFonts w:hint="eastAsia"/>
        </w:rPr>
        <w:t xml:space="preserve">のゼロレント条件（式(9.2)）は</w:t>
      </w:r>
      <w:r>
        <w:t xml:space="preserve"> </w:t>
      </w:r>
      <m:oMath>
        <m:r>
          <m:t>a</m:t>
        </m:r>
        <m:r>
          <m:rPr>
            <m:sty m:val="p"/>
          </m:rPr>
          <m:t>(</m:t>
        </m:r>
        <m:r>
          <m:t>θ</m:t>
        </m:r>
        <m:r>
          <m:rPr>
            <m:sty m:val="p"/>
          </m:rPr>
          <m:t>,</m:t>
        </m:r>
        <m:r>
          <m:t>δ</m:t>
        </m:r>
        <m:r>
          <m:rPr>
            <m:sty m:val="p"/>
          </m:rPr>
          <m:t>)</m:t>
        </m:r>
        <m:r>
          <m:rPr>
            <m:sty m:val="p"/>
          </m:rPr>
          <m:t>=</m:t>
        </m:r>
        <m:sSup>
          <m:e>
            <m:r>
              <m:t>a</m:t>
            </m:r>
          </m:e>
          <m:sup>
            <m:r>
              <m:rPr>
                <m:sty m:val="p"/>
              </m:rPr>
              <m:t>r</m:t>
            </m:r>
            <m:r>
              <m:rPr>
                <m:sty m:val="p"/>
              </m:rPr>
              <m:t>e</m:t>
            </m:r>
            <m:r>
              <m:rPr>
                <m:sty m:val="p"/>
              </m:rPr>
              <m:t>q</m:t>
            </m:r>
          </m:sup>
        </m:sSup>
      </m:oMath>
      <w:r>
        <w:t xml:space="preserve"> </w:t>
      </w:r>
      <w:r>
        <w:rPr>
          <w:rFonts w:hint="eastAsia"/>
        </w:rPr>
        <w:t xml:space="preserve">である。式(B.18)の近似の下での直接解は</w:t>
      </w:r>
      <w:r>
        <w:t xml:space="preserve"> </w:t>
      </w:r>
      <m:oMath>
        <m:sSup>
          <m:e>
            <m:r>
              <m:t>θ</m:t>
            </m:r>
          </m:e>
          <m:sup>
            <m:r>
              <m:rPr>
                <m:sty m:val="p"/>
              </m:rPr>
              <m:t>*</m:t>
            </m:r>
          </m:sup>
        </m:sSup>
        <m:r>
          <m:rPr>
            <m:sty m:val="p"/>
          </m:rPr>
          <m:t>=</m:t>
        </m:r>
        <m:r>
          <m:rPr>
            <m:sty m:val="p"/>
          </m:rPr>
          <m:t>(</m:t>
        </m:r>
        <m:sSup>
          <m:e>
            <m:r>
              <m:t>a</m:t>
            </m:r>
          </m:e>
          <m:sup>
            <m:r>
              <m:rPr>
                <m:sty m:val="p"/>
              </m:rPr>
              <m:t>r</m:t>
            </m:r>
            <m:r>
              <m:rPr>
                <m:sty m:val="p"/>
              </m:rPr>
              <m:t>e</m:t>
            </m:r>
            <m:r>
              <m:rPr>
                <m:sty m:val="p"/>
              </m:rPr>
              <m:t>q</m:t>
            </m:r>
          </m:sup>
        </m:sSup>
        <m:r>
          <m:rPr>
            <m:sty m:val="p"/>
          </m:rPr>
          <m:t>−</m:t>
        </m:r>
        <m:sSub>
          <m:e>
            <m:r>
              <m:t>a</m:t>
            </m:r>
          </m:e>
          <m:sub>
            <m:r>
              <m:t>0</m:t>
            </m:r>
          </m:sub>
        </m:sSub>
        <m:r>
          <m:rPr>
            <m:sty m:val="p"/>
          </m:rPr>
          <m:t>)</m:t>
        </m:r>
        <m:r>
          <m:rPr>
            <m:sty m:val="p"/>
          </m:rPr>
          <m:t>/</m:t>
        </m:r>
        <m:sSub>
          <m:e>
            <m:r>
              <m:t>a</m:t>
            </m:r>
          </m:e>
          <m:sub>
            <m:r>
              <m:t>1</m:t>
            </m:r>
          </m:sub>
        </m:sSub>
      </m:oMath>
      <w:r>
        <w:t xml:space="preserve"> </w:t>
      </w:r>
      <w:r>
        <w:rPr>
          <w:rFonts w:hint="eastAsia"/>
        </w:rPr>
        <w:t xml:space="preserve">である。これに対し、粗収益が</w:t>
      </w:r>
      <w:r>
        <w:t xml:space="preserve"> </w:t>
      </w:r>
      <m:oMath>
        <m:r>
          <m:t>θ</m:t>
        </m:r>
      </m:oMath>
      <w:r>
        <w:t xml:space="preserve"> </w:t>
      </w:r>
      <w:r>
        <w:rPr>
          <w:rFonts w:hint="eastAsia"/>
        </w:rPr>
        <w:t xml:space="preserve">に比例すると置く第4章の閉じた式は、</w:t>
      </w:r>
      <m:oMath>
        <m:r>
          <m:t>θ</m:t>
        </m:r>
        <m:r>
          <m:rPr>
            <m:sty m:val="p"/>
          </m:rPr>
          <m:t>=</m:t>
        </m:r>
        <m:r>
          <m:t>1</m:t>
        </m:r>
      </m:oMath>
      <w:r>
        <w:t xml:space="preserve"> </w:t>
      </w:r>
      <w:r>
        <w:rPr>
          <w:rFonts w:hint="eastAsia"/>
        </w:rPr>
        <w:t xml:space="preserve">の粗収益で割った</w:t>
      </w:r>
      <w:r>
        <w:t xml:space="preserve"> </w:t>
      </w:r>
      <m:oMath>
        <m:sSubSup>
          <m:e>
            <m:r>
              <m:t>θ</m:t>
            </m:r>
          </m:e>
          <m:sub>
            <m:r>
              <m:rPr>
                <m:sty m:val="p"/>
              </m:rPr>
              <m:t>p</m:t>
            </m:r>
            <m:r>
              <m:rPr>
                <m:sty m:val="p"/>
              </m:rPr>
              <m:t>r</m:t>
            </m:r>
            <m:r>
              <m:rPr>
                <m:sty m:val="p"/>
              </m:rPr>
              <m:t>o</m:t>
            </m:r>
            <m:r>
              <m:rPr>
                <m:sty m:val="p"/>
              </m:rPr>
              <m:t>p</m:t>
            </m:r>
          </m:sub>
          <m:sup>
            <m:r>
              <m:rPr>
                <m:sty m:val="p"/>
              </m:rPr>
              <m:t>*</m:t>
            </m:r>
          </m:sup>
        </m:sSubSup>
        <m:r>
          <m:rPr>
            <m:sty m:val="p"/>
          </m:rPr>
          <m:t>=</m:t>
        </m:r>
        <m:sSup>
          <m:e>
            <m:r>
              <m:t>a</m:t>
            </m:r>
          </m:e>
          <m:sup>
            <m:r>
              <m:rPr>
                <m:sty m:val="p"/>
              </m:rPr>
              <m:t>r</m:t>
            </m:r>
            <m:r>
              <m:rPr>
                <m:sty m:val="p"/>
              </m:rPr>
              <m:t>e</m:t>
            </m:r>
            <m:r>
              <m:rPr>
                <m:sty m:val="p"/>
              </m:rPr>
              <m:t>q</m:t>
            </m:r>
          </m:sup>
        </m:sSup>
        <m:r>
          <m:rPr>
            <m:sty m:val="p"/>
          </m:rPr>
          <m:t>/</m:t>
        </m:r>
        <m:r>
          <m:rPr>
            <m:sty m:val="p"/>
          </m:rPr>
          <m:t>(</m:t>
        </m:r>
        <m:sSub>
          <m:e>
            <m:r>
              <m:t>a</m:t>
            </m:r>
          </m:e>
          <m:sub>
            <m:r>
              <m:t>0</m:t>
            </m:r>
          </m:sub>
        </m:sSub>
        <m:r>
          <m:rPr>
            <m:sty m:val="p"/>
          </m:rPr>
          <m:t>+</m:t>
        </m:r>
        <m:sSub>
          <m:e>
            <m:r>
              <m:t>a</m:t>
            </m:r>
          </m:e>
          <m:sub>
            <m:r>
              <m:t>1</m:t>
            </m:r>
          </m:sub>
        </m:sSub>
        <m:r>
          <m:rPr>
            <m:sty m:val="p"/>
          </m:rPr>
          <m:t>)</m:t>
        </m:r>
      </m:oMath>
      <w:r>
        <w:t xml:space="preserve"> </w:t>
      </w:r>
      <w:r>
        <w:rPr>
          <w:rFonts w:hint="eastAsia"/>
        </w:rPr>
        <w:t xml:space="preserve">を与える。両者の差は</w:t>
      </w:r>
    </w:p>
    <w:p>
      <w:pPr>
        <w:pStyle w:val="BodyText"/>
        <w:tabs>
          <w:tab w:val="center" w:pos="4393"/>
          <w:tab w:val="right" w:pos="8787"/>
        </w:tabs>
        <w:spacing w:before="120" w:after="120" w:line="240" w:lineRule="auto"/>
        <w:ind w:firstLine="0"/>
      </w:pPr>
      <w:r>
        <w:tab/>
      </w:r>
      <m:oMath>
        <m:sSup>
          <m:e>
            <m:r>
              <m:t>θ</m:t>
            </m:r>
          </m:e>
          <m:sup>
            <m:r>
              <m:rPr>
                <m:sty m:val="p"/>
              </m:rPr>
              <m:t>*</m:t>
            </m:r>
          </m:sup>
        </m:sSup>
        <m:r>
          <m:rPr>
            <m:sty m:val="p"/>
          </m:rPr>
          <m:t>−</m:t>
        </m:r>
        <m:sSubSup>
          <m:e>
            <m:r>
              <m:t>θ</m:t>
            </m:r>
          </m:e>
          <m:sub>
            <m:r>
              <m:rPr>
                <m:sty m:val="p"/>
              </m:rPr>
              <m:t>p</m:t>
            </m:r>
            <m:r>
              <m:rPr>
                <m:sty m:val="p"/>
              </m:rPr>
              <m:t>r</m:t>
            </m:r>
            <m:r>
              <m:rPr>
                <m:sty m:val="p"/>
              </m:rPr>
              <m:t>o</m:t>
            </m:r>
            <m:r>
              <m:rPr>
                <m:sty m:val="p"/>
              </m:rPr>
              <m:t>p</m:t>
            </m:r>
          </m:sub>
          <m:sup>
            <m:r>
              <m:rPr>
                <m:sty m:val="p"/>
              </m:rPr>
              <m:t>*</m:t>
            </m:r>
          </m:sup>
        </m:sSubSup>
        <m:r>
          <m:rPr>
            <m:sty m:val="p"/>
          </m:rPr>
          <m:t>=</m:t>
        </m:r>
        <m:f>
          <m:fPr>
            <m:type m:val="bar"/>
          </m:fPr>
          <m:num>
            <m:sSub>
              <m:e>
                <m:r>
                  <m:t>a</m:t>
                </m:r>
              </m:e>
              <m:sub>
                <m:r>
                  <m:t>0</m:t>
                </m:r>
              </m:sub>
            </m:sSub>
            <m:r>
              <m:t> </m:t>
            </m:r>
            <m:r>
              <m:rPr>
                <m:sty m:val="p"/>
              </m:rPr>
              <m:t>(</m:t>
            </m:r>
            <m:sSup>
              <m:e>
                <m:r>
                  <m:t>a</m:t>
                </m:r>
              </m:e>
              <m:sup>
                <m:r>
                  <m:rPr>
                    <m:sty m:val="p"/>
                  </m:rPr>
                  <m:t>r</m:t>
                </m:r>
                <m:r>
                  <m:rPr>
                    <m:sty m:val="p"/>
                  </m:rPr>
                  <m:t>e</m:t>
                </m:r>
                <m:r>
                  <m:rPr>
                    <m:sty m:val="p"/>
                  </m:rPr>
                  <m:t>q</m:t>
                </m:r>
              </m:sup>
            </m:sSup>
            <m:r>
              <m:rPr>
                <m:sty m:val="p"/>
              </m:rPr>
              <m:t>−</m:t>
            </m:r>
            <m:sSub>
              <m:e>
                <m:r>
                  <m:t>a</m:t>
                </m:r>
              </m:e>
              <m:sub>
                <m:r>
                  <m:t>0</m:t>
                </m:r>
              </m:sub>
            </m:sSub>
            <m:r>
              <m:rPr>
                <m:sty m:val="p"/>
              </m:rPr>
              <m:t>−</m:t>
            </m:r>
            <m:sSub>
              <m:e>
                <m:r>
                  <m:t>a</m:t>
                </m:r>
              </m:e>
              <m:sub>
                <m:r>
                  <m:t>1</m:t>
                </m:r>
              </m:sub>
            </m:sSub>
            <m:r>
              <m:rPr>
                <m:sty m:val="p"/>
              </m:rPr>
              <m:t>)</m:t>
            </m:r>
          </m:num>
          <m:den>
            <m:sSub>
              <m:e>
                <m:r>
                  <m:t>a</m:t>
                </m:r>
              </m:e>
              <m:sub>
                <m:r>
                  <m:t>1</m:t>
                </m:r>
              </m:sub>
            </m:sSub>
            <m:r>
              <m:t> </m:t>
            </m:r>
            <m:r>
              <m:rPr>
                <m:sty m:val="p"/>
              </m:rPr>
              <m:t>(</m:t>
            </m:r>
            <m:sSub>
              <m:e>
                <m:r>
                  <m:t>a</m:t>
                </m:r>
              </m:e>
              <m:sub>
                <m:r>
                  <m:t>0</m:t>
                </m:r>
              </m:sub>
            </m:sSub>
            <m:r>
              <m:rPr>
                <m:sty m:val="p"/>
              </m:rPr>
              <m:t>+</m:t>
            </m:r>
            <m:sSub>
              <m:e>
                <m:r>
                  <m:t>a</m:t>
                </m:r>
              </m:e>
              <m:sub>
                <m:r>
                  <m:t>1</m:t>
                </m:r>
              </m:sub>
            </m:sSub>
            <m:r>
              <m:rPr>
                <m:sty m:val="p"/>
              </m:rPr>
              <m:t>)</m:t>
            </m:r>
          </m:den>
        </m:f>
      </m:oMath>
      <w:r>
        <w:tab/>
      </w:r>
      <w:r>
        <w:t>(B.19)</w:t>
      </w:r>
    </w:p>
    <w:p>
      <w:pPr>
        <w:pStyle w:val="BodyText"/>
      </w:pPr>
      <w:r>
        <w:t xml:space="preserve">であり、</w:t>
      </w:r>
      <m:oMath>
        <m:sSup>
          <m:e>
            <m:r>
              <m:t>a</m:t>
            </m:r>
          </m:e>
          <m:sup>
            <m:r>
              <m:rPr>
                <m:sty m:val="p"/>
              </m:rPr>
              <m:t>r</m:t>
            </m:r>
            <m:r>
              <m:rPr>
                <m:sty m:val="p"/>
              </m:rPr>
              <m:t>e</m:t>
            </m:r>
            <m:r>
              <m:rPr>
                <m:sty m:val="p"/>
              </m:rPr>
              <m:t>q</m:t>
            </m:r>
          </m:sup>
        </m:sSup>
        <m:r>
          <m:rPr>
            <m:sty m:val="p"/>
          </m:rPr>
          <m:t>&gt;</m:t>
        </m:r>
        <m:r>
          <m:t>a</m:t>
        </m:r>
        <m:r>
          <m:rPr>
            <m:sty m:val="p"/>
          </m:rPr>
          <m:t>(</m:t>
        </m:r>
        <m:r>
          <m:t>1</m:t>
        </m:r>
        <m:r>
          <m:rPr>
            <m:sty m:val="p"/>
          </m:rPr>
          <m:t>,</m:t>
        </m:r>
        <m:r>
          <m:t>δ</m:t>
        </m:r>
        <m:r>
          <m:rPr>
            <m:sty m:val="p"/>
          </m:rPr>
          <m:t>)</m:t>
        </m:r>
      </m:oMath>
      <w:r>
        <w:t xml:space="preserve">、すなわち</w:t>
      </w:r>
      <w:r>
        <w:t xml:space="preserve"> </w:t>
      </w:r>
      <m:oMath>
        <m:sSup>
          <m:e>
            <m:r>
              <m:t>θ</m:t>
            </m:r>
          </m:e>
          <m:sup>
            <m:r>
              <m:rPr>
                <m:sty m:val="p"/>
              </m:rPr>
              <m:t>*</m:t>
            </m:r>
          </m:sup>
        </m:sSup>
        <m:r>
          <m:rPr>
            <m:sty m:val="p"/>
          </m:rPr>
          <m:t>&gt;</m:t>
        </m:r>
        <m:r>
          <m:t>1</m:t>
        </m:r>
      </m:oMath>
      <w:r>
        <w:t xml:space="preserve"> </w:t>
      </w:r>
      <w:r>
        <w:rPr>
          <w:rFonts w:hint="eastAsia"/>
        </w:rPr>
        <w:t xml:space="preserve">のとき正になる。比例の式は、</w:t>
      </w:r>
      <m:oMath>
        <m:r>
          <m:rPr>
            <m:sty m:val="p"/>
          </m:rPr>
          <m:t>−</m:t>
        </m:r>
        <m:r>
          <m:t>δ</m:t>
        </m:r>
      </m:oMath>
      <w:r>
        <w:t xml:space="preserve"> </w:t>
      </w:r>
      <w:r>
        <w:t xml:space="preserve">も</w:t>
      </w:r>
      <w:r>
        <w:t xml:space="preserve"> </w:t>
      </w:r>
      <m:oMath>
        <m:r>
          <m:t>θ</m:t>
        </m:r>
      </m:oMath>
      <w:r>
        <w:t xml:space="preserve"> </w:t>
      </w:r>
      <w:r>
        <w:rPr>
          <w:rFonts w:hint="eastAsia"/>
        </w:rPr>
        <w:t xml:space="preserve">とともに伸縮すると置いたことになり、</w:t>
      </w:r>
      <m:oMath>
        <m:sSup>
          <m:e>
            <m:r>
              <m:t>θ</m:t>
            </m:r>
          </m:e>
          <m:sup>
            <m:r>
              <m:rPr>
                <m:sty m:val="p"/>
              </m:rPr>
              <m:t>*</m:t>
            </m:r>
          </m:sup>
        </m:sSup>
      </m:oMath>
      <w:r>
        <w:t xml:space="preserve"> </w:t>
      </w:r>
      <w:r>
        <w:rPr>
          <w:rFonts w:hint="eastAsia"/>
        </w:rPr>
        <w:t xml:space="preserve">が1を超える局面では</w:t>
      </w:r>
      <w:r>
        <w:t xml:space="preserve"> </w:t>
      </w:r>
      <m:oMath>
        <m:sSup>
          <m:e>
            <m:r>
              <m:t>θ</m:t>
            </m:r>
          </m:e>
          <m:sup>
            <m:r>
              <m:rPr>
                <m:sty m:val="p"/>
              </m:rPr>
              <m:t>*</m:t>
            </m:r>
          </m:sup>
        </m:sSup>
      </m:oMath>
      <w:r>
        <w:t xml:space="preserve"> </w:t>
      </w:r>
      <w:r>
        <w:rPr>
          <w:rFonts w:hint="eastAsia"/>
        </w:rPr>
        <w:t xml:space="preserve">を過小に出す。本文の現行の資本費（6.8万円/kWh）と容量収入（1.25万円/kW-年）の下では、すべてのシナリオで</w:t>
      </w:r>
      <w:r>
        <w:t xml:space="preserve"> </w:t>
      </w:r>
      <m:oMath>
        <m:sSup>
          <m:e>
            <m:r>
              <m:t>θ</m:t>
            </m:r>
          </m:e>
          <m:sup>
            <m:r>
              <m:rPr>
                <m:sty m:val="p"/>
              </m:rPr>
              <m:t>*</m:t>
            </m:r>
          </m:sup>
        </m:sSup>
        <m:r>
          <m:rPr>
            <m:sty m:val="p"/>
          </m:rPr>
          <m:t>&gt;</m:t>
        </m:r>
        <m:r>
          <m:t>1</m:t>
        </m:r>
      </m:oMath>
      <w:r>
        <w:t xml:space="preserve"> </w:t>
      </w:r>
      <w:r>
        <w:rPr>
          <w:rFonts w:hint="eastAsia"/>
        </w:rPr>
        <w:t xml:space="preserve">である。例えば</w:t>
      </w:r>
      <w:r>
        <w:t xml:space="preserve"> </w:t>
      </w:r>
      <m:oMath>
        <m:r>
          <m:t>δ</m:t>
        </m:r>
        <m:r>
          <m:rPr>
            <m:sty m:val="p"/>
          </m:rPr>
          <m:t>=</m:t>
        </m:r>
        <m:r>
          <m:t>10</m:t>
        </m:r>
      </m:oMath>
      <w:r>
        <w:t xml:space="preserve"> </w:t>
      </w:r>
      <w:r>
        <w:rPr>
          <w:rFonts w:hint="eastAsia"/>
        </w:rPr>
        <w:t xml:space="preserve">円では、泊3号の直接解2.28</w:t>
      </w:r>
      <w:r>
        <w:t xml:space="preserve"> </w:t>
      </w:r>
      <w:r>
        <w:rPr>
          <w:rFonts w:hint="eastAsia"/>
        </w:rPr>
        <w:t xml:space="preserve">に対して比例の式は1.83、泊＋風力2倍（仕様A）の直接解2.00</w:t>
      </w:r>
      <w:r>
        <w:t xml:space="preserve"> </w:t>
      </w:r>
      <w:r>
        <w:rPr>
          <w:rFonts w:hint="eastAsia"/>
        </w:rPr>
        <w:t xml:space="preserve">に対して1.54</w:t>
      </w:r>
      <w:r>
        <w:t xml:space="preserve"> </w:t>
      </w:r>
      <w:r>
        <w:rPr>
          <w:rFonts w:hint="eastAsia"/>
        </w:rPr>
        <w:t xml:space="preserve">を与える。</w:t>
      </w:r>
    </w:p>
    <w:p>
      <w:pPr>
        <w:pStyle w:val="BodyText"/>
      </w:pPr>
      <w:r>
        <w:rPr>
          <w:rFonts w:hint="eastAsia"/>
        </w:rPr>
        <w:t xml:space="preserve">実際の計算では、式(B.18)の近似は用いず、各</w:t>
      </w:r>
      <w:r>
        <w:t xml:space="preserve"> </w:t>
      </w:r>
      <m:oMath>
        <m:r>
          <m:t>θ</m:t>
        </m:r>
      </m:oMath>
      <w:r>
        <w:t xml:space="preserve"> </w:t>
      </w:r>
      <w:r>
        <w:rPr>
          <w:rFonts w:hint="eastAsia"/>
        </w:rPr>
        <w:t xml:space="preserve">でモデル価格を作り直して戦略</w:t>
      </w:r>
      <w:r>
        <w:t xml:space="preserve"> c </w:t>
      </w:r>
      <w:r>
        <w:rPr>
          <w:rFonts w:hint="eastAsia"/>
        </w:rPr>
        <w:t xml:space="preserve">を計算し、</w:t>
      </w:r>
      <m:oMath>
        <m:r>
          <m:t>a</m:t>
        </m:r>
        <m:r>
          <m:rPr>
            <m:sty m:val="p"/>
          </m:rPr>
          <m:t>(</m:t>
        </m:r>
        <m:r>
          <m:t>θ</m:t>
        </m:r>
        <m:r>
          <m:rPr>
            <m:sty m:val="p"/>
          </m:rPr>
          <m:t>,</m:t>
        </m:r>
        <m:r>
          <m:t>δ</m:t>
        </m:r>
        <m:r>
          <m:rPr>
            <m:sty m:val="p"/>
          </m:rPr>
          <m:t>)</m:t>
        </m:r>
        <m:r>
          <m:rPr>
            <m:sty m:val="p"/>
          </m:rPr>
          <m:t>=</m:t>
        </m:r>
        <m:sSup>
          <m:e>
            <m:r>
              <m:t>a</m:t>
            </m:r>
          </m:e>
          <m:sup>
            <m:r>
              <m:rPr>
                <m:sty m:val="p"/>
              </m:rPr>
              <m:t>r</m:t>
            </m:r>
            <m:r>
              <m:rPr>
                <m:sty m:val="p"/>
              </m:rPr>
              <m:t>e</m:t>
            </m:r>
            <m:r>
              <m:rPr>
                <m:sty m:val="p"/>
              </m:rPr>
              <m:t>q</m:t>
            </m:r>
          </m:sup>
        </m:sSup>
      </m:oMath>
      <w:r>
        <w:t xml:space="preserve"> </w:t>
      </w:r>
      <w:r>
        <w:t xml:space="preserve">を</w:t>
      </w:r>
      <w:r>
        <w:t xml:space="preserve"> </w:t>
      </w:r>
      <m:oMath>
        <m:r>
          <m:t>θ</m:t>
        </m:r>
      </m:oMath>
      <w:r>
        <w:t xml:space="preserve"> </w:t>
      </w:r>
      <w:r>
        <w:rPr>
          <w:rFonts w:hint="eastAsia"/>
        </w:rPr>
        <w:t xml:space="preserve">について数値的に解く。対象は、現状・泊3号・泊＋風力2倍の3シナリオ×下限4通り（現行の0.01円と</w:t>
      </w:r>
      <w:r>
        <w:t xml:space="preserve"> </w:t>
      </w:r>
      <m:oMath>
        <m:r>
          <m:t>δ</m:t>
        </m:r>
      </m:oMath>
      <w:r>
        <w:rPr>
          <w:rFonts w:hint="eastAsia"/>
        </w:rPr>
        <w:t xml:space="preserve">=0・5・10円）×資本費（2.3・4.0・6.8万円/kWh）×容量収入（1.25・1.75・2.5万円/kW-年）の格子である。FY2026上期の水準のシナリオは</w:t>
      </w:r>
      <w:r>
        <w:t xml:space="preserve"> </w:t>
      </w:r>
      <m:oMath>
        <m:r>
          <m:t>θ</m:t>
        </m:r>
      </m:oMath>
      <w:r>
        <w:t xml:space="preserve"> </w:t>
      </w:r>
      <w:r>
        <w:t xml:space="preserve">を1.57 </w:t>
      </w:r>
      <w:r>
        <w:rPr>
          <w:rFonts w:hint="eastAsia"/>
        </w:rPr>
        <w:t xml:space="preserve">に固定しているので、</w:t>
      </w:r>
      <m:oMath>
        <m:sSup>
          <m:e>
            <m:r>
              <m:t>θ</m:t>
            </m:r>
          </m:e>
          <m:sup>
            <m:r>
              <m:rPr>
                <m:sty m:val="p"/>
              </m:rPr>
              <m:t>*</m:t>
            </m:r>
          </m:sup>
        </m:sSup>
      </m:oMath>
      <w:r>
        <w:t xml:space="preserve"> </w:t>
      </w:r>
      <w:r>
        <w:rPr>
          <w:rFonts w:hint="eastAsia"/>
        </w:rPr>
        <w:t xml:space="preserve">を解く対象から除く。解いた</w:t>
      </w:r>
      <w:r>
        <w:t xml:space="preserve"> </w:t>
      </w:r>
      <m:oMath>
        <m:sSup>
          <m:e>
            <m:r>
              <m:t>θ</m:t>
            </m:r>
          </m:e>
          <m:sup>
            <m:r>
              <m:rPr>
                <m:sty m:val="p"/>
              </m:rPr>
              <m:t>*</m:t>
            </m:r>
          </m:sup>
        </m:sSup>
      </m:oMath>
      <w:r>
        <w:t xml:space="preserve"> </w:t>
      </w:r>
      <w:r>
        <w:rPr>
          <w:rFonts w:hint="eastAsia"/>
        </w:rPr>
        <w:t xml:space="preserve">で増分ディスパッチを回し直し、ゼロレント条件が満たされることを確かめた。</w:t>
      </w:r>
    </w:p>
    <w:bookmarkEnd w:id="350"/>
    <w:bookmarkStart w:id="351" w:name="b.6.2-段差モデルと供給曲線の下端の線形外挿"/>
    <w:p>
      <w:pPr>
        <w:pStyle w:val="Heading3"/>
      </w:pPr>
      <w:r>
        <w:t xml:space="preserve">B.6.2　</w:t>
      </w:r>
      <w:r>
        <w:rPr>
          <w:rFonts w:hint="eastAsia"/>
        </w:rPr>
        <w:t xml:space="preserve">段差モデルと供給曲線の下端の線形外挿</w:t>
      </w:r>
    </w:p>
    <w:p>
      <w:pPr>
        <w:pStyle w:val="FirstParagraph"/>
      </w:pPr>
      <w:r>
        <w:rPr>
          <w:rFonts w:hint="eastAsia"/>
        </w:rPr>
        <w:t xml:space="preserve">第7章（7.7節）は、供給曲線の下端を線形に延ばして下限価格を外す反実仮想を示した。そこで生じる負の価格は下端の傾きで決まる浅いもので、仕様A（水準固定）では、泊3号の再稼働の下で年587時間、平均−5.0円である。水準係数付きの版では577時間、平均−5.1円である。</w:t>
      </w:r>
    </w:p>
    <w:p>
      <w:pPr>
        <w:pStyle w:val="BodyText"/>
      </w:pPr>
      <w:r>
        <w:rPr>
          <w:rFonts w:hint="eastAsia"/>
        </w:rPr>
        <w:t xml:space="preserve">下限価格が泊3号の増分から削る価値は、仕様A（水準固定）の線形外挿で1,723円/kW-年であり、段差モデルの深さ</w:t>
      </w:r>
      <w:r>
        <w:t xml:space="preserve"> </w:t>
      </w:r>
      <m:oMath>
        <m:r>
          <m:t>δ</m:t>
        </m:r>
        <m:r>
          <m:rPr>
            <m:sty m:val="p"/>
          </m:rPr>
          <m:t>≈</m:t>
        </m:r>
        <m:r>
          <m:t>4.5</m:t>
        </m:r>
      </m:oMath>
      <w:r>
        <w:t xml:space="preserve"> </w:t>
      </w:r>
      <w:r>
        <w:rPr>
          <w:rFonts w:hint="eastAsia"/>
        </w:rPr>
        <w:t xml:space="preserve">円にあたる。同じ価格過程に段差を当てると、</w:t>
      </w:r>
      <m:oMath>
        <m:r>
          <m:t>δ</m:t>
        </m:r>
        <m:r>
          <m:rPr>
            <m:sty m:val="p"/>
          </m:rPr>
          <m:t>=</m:t>
        </m:r>
        <m:r>
          <m:t>10</m:t>
        </m:r>
      </m:oMath>
      <w:r>
        <w:t xml:space="preserve"> </w:t>
      </w:r>
      <w:r>
        <w:rPr>
          <w:rFonts w:hint="eastAsia"/>
        </w:rPr>
        <w:t xml:space="preserve">円では3,847円を削る。したがって線形外挿で求めた額は、下限価格が削る価値の上限ではない。本文の段差モデルは、負の価格の深さを外生に置く別の反実仮想であり、価格過程には水準係数付きの仕様A</w:t>
      </w:r>
      <w:r>
        <w:t xml:space="preserve"> </w:t>
      </w:r>
      <w:r>
        <w:rPr>
          <w:rFonts w:hint="eastAsia"/>
        </w:rPr>
        <w:t xml:space="preserve">を用いる。</w:t>
      </w:r>
    </w:p>
    <w:bookmarkEnd w:id="351"/>
    <w:bookmarkEnd w:id="352"/>
    <w:bookmarkEnd w:id="353"/>
    <w:bookmarkStart w:id="398" w:name="付録c-頑健性の追加結果"/>
    <w:p>
      <w:pPr>
        <w:pStyle w:val="Heading1"/>
        <w:pageBreakBefore/>
      </w:pPr>
      <w:r>
        <w:rPr>
          <w:rFonts w:hint="eastAsia"/>
        </w:rPr>
        <w:t xml:space="preserve">付録C</w:t>
      </w:r>
      <w:r>
        <w:t xml:space="preserve">　</w:t>
      </w:r>
      <w:r>
        <w:rPr>
          <w:rFonts w:hint="eastAsia"/>
        </w:rPr>
        <w:t xml:space="preserve">頑健性の追加結果</w:t>
      </w:r>
    </w:p>
    <w:p>
      <w:pPr>
        <w:pStyle w:val="FirstParagraph"/>
      </w:pPr>
      <w:r>
        <w:rPr>
          <w:rFonts w:hint="eastAsia"/>
        </w:rPr>
        <w:t xml:space="preserve">本付録は、本文の各章の頑健性の確認で要約した結果の詳細と、追加の変種を、本文の章の順に示す。付録C.1〜C.5</w:t>
      </w:r>
      <w:r>
        <w:t xml:space="preserve"> </w:t>
      </w:r>
      <w:r>
        <w:rPr>
          <w:rFonts w:hint="eastAsia"/>
        </w:rPr>
        <w:t xml:space="preserve">は第5〜9章、付録C.6</w:t>
      </w:r>
      <w:r>
        <w:t xml:space="preserve"> </w:t>
      </w:r>
      <w:r>
        <w:rPr>
          <w:rFonts w:hint="eastAsia"/>
        </w:rPr>
        <w:t xml:space="preserve">は第10章の主要な前提・捨象の詳細と、推定と計算の細部に関する注記である。各節の中もおおむね本文の節の順に並べ、表の番号は付録の中の掲載順に振った。本文の結論は、これらの変種の結果を踏まえて述べている。</w:t>
      </w:r>
    </w:p>
    <w:bookmarkStart w:id="364" w:name="c.1-再生可能エネルギーと価格形成第5章"/>
    <w:p>
      <w:pPr>
        <w:pStyle w:val="Heading2"/>
      </w:pPr>
      <w:r>
        <w:t xml:space="preserve">C.1　</w:t>
      </w:r>
      <w:r>
        <w:rPr>
          <w:rFonts w:hint="eastAsia"/>
        </w:rPr>
        <w:t xml:space="preserve">再生可能エネルギーと価格形成（第5章）</w:t>
      </w:r>
    </w:p>
    <w:p>
      <w:pPr>
        <w:pStyle w:val="FirstParagraph"/>
      </w:pPr>
      <w:r>
        <w:rPr>
          <w:rFonts w:hint="eastAsia"/>
        </w:rPr>
        <w:t xml:space="preserve">本節は、第5章の結論を支える追加の結果を示す。付録C.1.1</w:t>
      </w:r>
      <w:r>
        <w:t xml:space="preserve"> </w:t>
      </w:r>
      <w:r>
        <w:rPr>
          <w:rFonts w:hint="eastAsia"/>
        </w:rPr>
        <w:t xml:space="preserve">は記述統計の補足（本文5.2節）、付録C.1.2</w:t>
      </w:r>
      <w:r>
        <w:t xml:space="preserve"> </w:t>
      </w:r>
      <w:r>
        <w:rPr>
          <w:rFonts w:hint="eastAsia"/>
        </w:rPr>
        <w:t xml:space="preserve">は冬の</w:t>
      </w:r>
      <w:r>
        <w:t xml:space="preserve"> TB4h </w:t>
      </w:r>
      <w:r>
        <w:rPr>
          <w:rFonts w:hint="eastAsia"/>
        </w:rPr>
        <w:t xml:space="preserve">の上位・下位4時間への分解（本文5.3.2項）、付録C.1.3</w:t>
      </w:r>
      <w:r>
        <w:t xml:space="preserve"> </w:t>
      </w:r>
      <w:r>
        <w:rPr>
          <w:rFonts w:hint="eastAsia"/>
        </w:rPr>
        <w:t xml:space="preserve">は分位点回帰と市場分断の補足（本文5.4節・5.5節）、付録C.1.4</w:t>
      </w:r>
      <w:r>
        <w:t xml:space="preserve"> </w:t>
      </w:r>
      <w:r>
        <w:rPr>
          <w:rFonts w:hint="eastAsia"/>
        </w:rPr>
        <w:t xml:space="preserve">は空間分散の反実仮想の詳細（本文5.6節）、付録C.1.5</w:t>
      </w:r>
      <w:r>
        <w:t xml:space="preserve"> </w:t>
      </w:r>
      <w:r>
        <w:rPr>
          <w:rFonts w:hint="eastAsia"/>
        </w:rPr>
        <w:t xml:space="preserve">は主成分分解の補足（本文5.7節）である。付録C.1.6〜C.1.8</w:t>
      </w:r>
      <w:r>
        <w:t xml:space="preserve"> </w:t>
      </w:r>
      <w:r>
        <w:rPr>
          <w:rFonts w:hint="eastAsia"/>
        </w:rPr>
        <w:t xml:space="preserve">は先行研究の仕様との比較（本文5.8節）、付録C.1.9</w:t>
      </w:r>
      <w:r>
        <w:t xml:space="preserve"> と C.1.10 </w:t>
      </w:r>
      <w:r>
        <w:rPr>
          <w:rFonts w:hint="eastAsia"/>
        </w:rPr>
        <w:t xml:space="preserve">は標本・推論法・識別の変種（本文5.9節）である。</w:t>
      </w:r>
    </w:p>
    <w:bookmarkStart w:id="354" w:name="c.1.1-記述統計の補足"/>
    <w:p>
      <w:pPr>
        <w:pStyle w:val="Heading3"/>
      </w:pPr>
      <w:r>
        <w:t xml:space="preserve">C.1.1　</w:t>
      </w:r>
      <w:r>
        <w:rPr>
          <w:rFonts w:hint="eastAsia"/>
        </w:rPr>
        <w:t xml:space="preserve">記述統計の補足</w:t>
      </w:r>
    </w:p>
    <w:p>
      <w:pPr>
        <w:pStyle w:val="FirstParagraph"/>
      </w:pPr>
      <w:r>
        <w:rPr>
          <w:rFonts w:hint="eastAsia"/>
          <w:b/>
          <w:bCs/>
        </w:rPr>
        <w:t xml:space="preserve">時刻別の価格カーブ</w:t>
      </w:r>
      <w:r>
        <w:t xml:space="preserve">　</w:t>
      </w:r>
      <w:r>
        <w:rPr>
          <w:rFonts w:hint="eastAsia"/>
        </w:rPr>
        <w:t xml:space="preserve">三分位は季節内の3年分の日をまとめて作っているので、太陽光の多寡には月の構成（日射の季節変化と需要の違い）が混じる（不需要期の上位三分位には11月の日が含まれない）。夕方のピークは、夏18時に約19〜20円、冬17時に約14〜15円/kWh</w:t>
      </w:r>
      <w:r>
        <w:t xml:space="preserve"> </w:t>
      </w:r>
      <w:r>
        <w:rPr>
          <w:rFonts w:hint="eastAsia"/>
        </w:rPr>
        <w:t xml:space="preserve">である。太陽光の多い日と少ない日の正午前後の差は、夏−3.8、冬−1.8円/kWh</w:t>
      </w:r>
      <w:r>
        <w:t xml:space="preserve"> </w:t>
      </w:r>
      <w:r>
        <w:rPr>
          <w:rFonts w:hint="eastAsia"/>
        </w:rPr>
        <w:t xml:space="preserve">である。年度×月の中で三分位を作ると、昼（11〜13時）の差は夏−2.8、冬−1.8、不需要期−3.9円/kWh</w:t>
      </w:r>
      <w:r>
        <w:t xml:space="preserve"> </w:t>
      </w:r>
      <w:r>
        <w:rPr>
          <w:rFonts w:hint="eastAsia"/>
        </w:rPr>
        <w:t xml:space="preserve">で、夕方（17〜19時）の差は−0.5〜+0.5円/kWh</w:t>
      </w:r>
      <w:r>
        <w:t xml:space="preserve"> </w:t>
      </w:r>
      <w:r>
        <w:rPr>
          <w:rFonts w:hint="eastAsia"/>
        </w:rPr>
        <w:t xml:space="preserve">である。風力の多い日と少ない日の全時間平均の差は、年度×月の中で三分位を作ると1.0〜1.9円/kWh</w:t>
      </w:r>
      <w:r>
        <w:t xml:space="preserve"> である。</w:t>
      </w:r>
    </w:p>
    <w:p>
      <w:pPr>
        <w:pStyle w:val="BodyText"/>
      </w:pPr>
      <w:r>
        <w:rPr>
          <w:rFonts w:hint="eastAsia"/>
          <w:b/>
          <w:bCs/>
        </w:rPr>
        <w:t xml:space="preserve">帯域分解</w:t>
      </w:r>
      <w:r>
        <w:t xml:space="preserve">　</w:t>
      </w:r>
      <w:r>
        <w:rPr>
          <w:rFonts w:hint="eastAsia"/>
        </w:rPr>
        <w:t xml:space="preserve">発電量（MWh）の系列をプールして分解すると、導入量の趨勢（北海道の風力の認定容量は</w:t>
      </w:r>
      <w:r>
        <w:t xml:space="preserve"> FY2022〜25 </w:t>
      </w:r>
      <w:r>
        <w:rPr>
          <w:rFonts w:hint="eastAsia"/>
        </w:rPr>
        <w:t xml:space="preserve">に約2.3倍）が7日超の帯域に入る。FY2022〜25</w:t>
      </w:r>
      <w:r>
        <w:t xml:space="preserve"> の MWh </w:t>
      </w:r>
      <w:r>
        <w:rPr>
          <w:rFonts w:hint="eastAsia"/>
        </w:rPr>
        <w:t xml:space="preserve">の系列による北海道の風力の分散シェアは、6時間未満から順に1.7%・7.9%・35.7%・38.6%で、7日超の帯域は九州の27.7%より大きいが、差の大半は導入量の趨勢による。設備利用率の系列（FY2023〜25）では、7日超の帯域は北海道31.2%、九州29.2%と近い。年度別の分解では、FY2016〜25</w:t>
      </w:r>
      <w:r>
        <w:t xml:space="preserve"> </w:t>
      </w:r>
      <w:r>
        <w:rPr>
          <w:rFonts w:hint="eastAsia"/>
        </w:rPr>
        <w:t xml:space="preserve">の北海道の風力の帯域シェアは1〜7日38〜45%、7日超26〜36%で、九州・北海道の太陽光の6〜24時間の帯域も63〜66%で安定している。太陽光の6時間未満の帯域は、年月×時刻の平均に置き換えた系列でも北海道5.9%、九州6.3%で、ほぼ日周の決定的な形から生じる。60分平均のデータでは分単位の変動が消えることも、この帯域を小さくしうる。</w:t>
      </w:r>
    </w:p>
    <w:p>
      <w:pPr>
        <w:pStyle w:val="BodyText"/>
      </w:pPr>
      <w:r>
        <w:rPr>
          <w:rFonts w:hint="eastAsia"/>
          <w:b/>
          <w:bCs/>
        </w:rPr>
        <w:t xml:space="preserve">発電量の五分位</w:t>
      </w:r>
      <w:r>
        <w:t xml:space="preserve">　FY2023〜25 </w:t>
      </w:r>
      <w:r>
        <w:rPr>
          <w:rFonts w:hint="eastAsia"/>
        </w:rPr>
        <w:t xml:space="preserve">の第1五分位から第5五分位への変化は次のとおりである。風力の水準は夏−0.9、冬−2.0、不需要期−2.1円/kWh（区間は冬−3.3〜−0.7、不需要期−2.9〜−1.0、夏−2.8〜+0.5）、TB4h</w:t>
      </w:r>
      <w:r>
        <w:t xml:space="preserve"> </w:t>
      </w:r>
      <w:r>
        <w:rPr>
          <w:rFonts w:hint="eastAsia"/>
        </w:rPr>
        <w:t xml:space="preserve">は夏+1.3、冬−1.3、不需要期−1.2円/kWh（区間は夏−1.5〜+3.7、冬−3.9〜+0.6、不需要期−2.7〜+0.4）である。夏の</w:t>
      </w:r>
      <w:r>
        <w:t xml:space="preserve"> TB4h </w:t>
      </w:r>
      <w:r>
        <w:rPr>
          <w:rFonts w:hint="eastAsia"/>
        </w:rPr>
        <w:t xml:space="preserve">は五分位に沿って10.3、11.2、11.5、10.3、11.7円/kWh</w:t>
      </w:r>
      <w:r>
        <w:t xml:space="preserve"> </w:t>
      </w:r>
      <w:r>
        <w:rPr>
          <w:rFonts w:hint="eastAsia"/>
        </w:rPr>
        <w:t xml:space="preserve">と単調でなく、各月の中で五分位を作ると+0.8円、7〜8月に限ると−0.1円である。太陽光の水準は夏−1.5、冬−0.9、不需要期−2.8円/kWh、TB4h</w:t>
      </w:r>
      <w:r>
        <w:t xml:space="preserve"> </w:t>
      </w:r>
      <w:r>
        <w:rPr>
          <w:rFonts w:hint="eastAsia"/>
        </w:rPr>
        <w:t xml:space="preserve">は+2.9、+0.6、+3.9円/kWh（区間は夏+0.9〜+4.6、冬−1.7〜+2.5、不需要期+2.4〜+4.8）である。本文5.7節の時刻別回帰によれば、冬と不需要期の風力の</w:t>
      </w:r>
      <w:r>
        <w:t xml:space="preserve"> TB4h </w:t>
      </w:r>
      <w:r>
        <w:rPr>
          <w:rFonts w:hint="eastAsia"/>
        </w:rPr>
        <w:t xml:space="preserve">の縮小の方向は、主に風力が価格の高い時間ほど円建てでやや大きく下げることによる。不需要期では、夜（0〜5時）を他の時間ほど下げないことも効く。統制した回帰（式(5.2)）では、夏の風力の</w:t>
      </w:r>
      <w:r>
        <w:t xml:space="preserve"> TB4h </w:t>
      </w:r>
      <w:r>
        <w:rPr>
          <w:rFonts w:hint="eastAsia"/>
        </w:rPr>
        <w:t xml:space="preserve">への係数は</w:t>
      </w:r>
      <w:r>
        <w:t xml:space="preserve"> FY2016〜25 で−0.16、FY2023〜25 </w:t>
      </w:r>
      <w:r>
        <w:rPr>
          <w:rFonts w:hint="eastAsia"/>
        </w:rPr>
        <w:t xml:space="preserve">で+0.09、年月固定効果では−0.08、+0.05</w:t>
      </w:r>
      <w:r>
        <w:t xml:space="preserve"> </w:t>
      </w:r>
      <w:r>
        <w:rPr>
          <w:rFonts w:hint="eastAsia"/>
        </w:rPr>
        <w:t xml:space="preserve">で、いずれも有意でない。太陽光・冬の</w:t>
      </w:r>
      <w:r>
        <w:t xml:space="preserve"> FY2023〜25 </w:t>
      </w:r>
      <w:r>
        <w:rPr>
          <w:rFonts w:hint="eastAsia"/>
        </w:rPr>
        <w:t xml:space="preserve">の係数も+0.04</w:t>
      </w:r>
      <w:r>
        <w:t xml:space="preserve"> </w:t>
      </w:r>
      <w:r>
        <w:rPr>
          <w:rFonts w:hint="eastAsia"/>
        </w:rPr>
        <w:t xml:space="preserve">で有意でない。</w:t>
      </w:r>
    </w:p>
    <w:p>
      <w:pPr>
        <w:pStyle w:val="BodyText"/>
      </w:pPr>
      <w:r>
        <w:rPr>
          <w:rFonts w:hint="eastAsia"/>
          <w:b/>
          <w:bCs/>
        </w:rPr>
        <w:t xml:space="preserve">九州の水準への効果</w:t>
      </w:r>
      <w:r>
        <w:t xml:space="preserve">　</w:t>
      </w:r>
      <w:r>
        <w:rPr>
          <w:rFonts w:hint="eastAsia"/>
        </w:rPr>
        <w:t xml:space="preserve">九州の太陽光の水準への効果は1GWh</w:t>
      </w:r>
      <w:r>
        <w:t xml:space="preserve"> </w:t>
      </w:r>
      <w:r>
        <w:rPr>
          <w:rFonts w:hint="eastAsia"/>
        </w:rPr>
        <w:t xml:space="preserve">あたり−0.06〜−0.10円で、北海道より小さい。九州の太陽光の夏の</w:t>
      </w:r>
      <w:r>
        <w:t xml:space="preserve"> TB4h </w:t>
      </w:r>
      <w:r>
        <w:rPr>
          <w:rFonts w:hint="eastAsia"/>
        </w:rPr>
        <w:t xml:space="preserve">への係数は、FY2023〜25</w:t>
      </w:r>
      <w:r>
        <w:t xml:space="preserve"> </w:t>
      </w:r>
      <w:r>
        <w:rPr>
          <w:rFonts w:hint="eastAsia"/>
        </w:rPr>
        <w:t xml:space="preserve">に限ると+0.072（5%水準で有意）である。</w:t>
      </w:r>
    </w:p>
    <w:bookmarkEnd w:id="354"/>
    <w:bookmarkStart w:id="355" w:name="c.1.2-冬の-tb4h-の上位下位4時間への分解"/>
    <w:p>
      <w:pPr>
        <w:pStyle w:val="Heading3"/>
      </w:pPr>
      <w:r>
        <w:t xml:space="preserve">C.1.2　</w:t>
      </w:r>
      <w:r>
        <w:rPr>
          <w:rFonts w:hint="eastAsia"/>
        </w:rPr>
        <w:t xml:space="preserve">冬の</w:t>
      </w:r>
      <w:r>
        <w:t xml:space="preserve"> TB4h </w:t>
      </w:r>
      <w:r>
        <w:rPr>
          <w:rFonts w:hint="eastAsia"/>
        </w:rPr>
        <w:t xml:space="preserve">の上位・下位4時間への分解</w:t>
      </w:r>
    </w:p>
    <w:p>
      <w:pPr>
        <w:pStyle w:val="FirstParagraph"/>
      </w:pPr>
      <w:r>
        <w:rPr>
          <w:rFonts w:hint="eastAsia"/>
        </w:rPr>
        <w:t xml:space="preserve">表C.1</w:t>
      </w:r>
      <w:r>
        <w:t xml:space="preserve"> </w:t>
      </w:r>
      <w:r>
        <w:rPr>
          <w:rFonts w:hint="eastAsia"/>
        </w:rPr>
        <w:t xml:space="preserve">は、本文5.3.2項の冬の</w:t>
      </w:r>
      <w:r>
        <w:t xml:space="preserve"> TB4h </w:t>
      </w:r>
      <w:r>
        <w:rPr>
          <w:rFonts w:hint="eastAsia"/>
        </w:rPr>
        <w:t xml:space="preserve">の上位・下位4時間への分解の全結果である。仕様は付録C.1.10</w:t>
      </w:r>
      <w:r>
        <w:t xml:space="preserve"> </w:t>
      </w:r>
      <w:r>
        <w:rPr>
          <w:rFonts w:hint="eastAsia"/>
        </w:rPr>
        <w:t xml:space="preserve">の変種と同じで、年月FE</w:t>
      </w:r>
      <w:r>
        <w:t xml:space="preserve"> </w:t>
      </w:r>
      <w:r>
        <w:rPr>
          <w:rFonts w:hint="eastAsia"/>
        </w:rPr>
        <w:t xml:space="preserve">は年度・季節の固定効果を年月固定効果（120セル）に置き換えて曜日・祝日を加えた仕様、価格のラグは日平均価格の1〜7日前、2021年1月を除く標本はその31日を除いた3,601日である。</w:t>
      </w:r>
    </w:p>
    <w:p>
      <w:pPr>
        <w:pStyle w:val="BodyText"/>
      </w:pPr>
      <w:r>
        <w:rPr>
          <w:rFonts w:hint="eastAsia"/>
        </w:rPr>
        <w:t xml:space="preserve">冬の風力は、点推定では上位4時間の価格を下位4時間より多く下げる。上位の係数が「平均価格の比</w:t>
      </w:r>
      <w:r>
        <w:t xml:space="preserve"> </w:t>
      </w:r>
      <m:oMath>
        <m:sSub>
          <m:e>
            <m:r>
              <m:t>ρ</m:t>
            </m:r>
          </m:e>
          <m:sub>
            <m:r>
              <m:t>0</m:t>
            </m:r>
          </m:sub>
        </m:sSub>
      </m:oMath>
      <w:r>
        <w:rPr>
          <w:rFonts w:hint="eastAsia"/>
        </w:rPr>
        <w:t xml:space="preserve">×下位の係数」に等しいという比例の仮説は、主仕様、年月固定効果、FY2023〜25、2021年1月を除く標本のいずれでも棄却されない（EWC</w:t>
      </w:r>
      <w:r>
        <w:t xml:space="preserve"> の </w:t>
      </w:r>
      <w:r>
        <w:rPr>
          <w:rFonts w:hint="eastAsia"/>
        </w:rPr>
        <w:t xml:space="preserve">p=0.52〜0.99、補正</w:t>
      </w:r>
      <w:r>
        <w:t xml:space="preserve"> p </w:t>
      </w:r>
      <w:r>
        <w:rPr>
          <w:rFonts w:hint="eastAsia"/>
        </w:rPr>
        <w:t xml:space="preserve">値0.57〜0.99）。ただし平行移動とも頑健には区別できない。係数の比</w:t>
      </w:r>
      <w:r>
        <w:t xml:space="preserve"> </w:t>
      </w:r>
      <m:oMath>
        <m:r>
          <m:t>ρ</m:t>
        </m:r>
      </m:oMath>
      <w:r>
        <w:t xml:space="preserve"> </w:t>
      </w:r>
      <w:r>
        <w:rPr>
          <w:rFonts w:hint="eastAsia"/>
        </w:rPr>
        <w:t xml:space="preserve">の95%集合は、主仕様で</w:t>
      </w:r>
      <w:r>
        <w:t xml:space="preserve"> FY2016〜25 [1.10, 3.95]、FY2023〜25 [0.63, </w:t>
      </w:r>
      <w:r>
        <w:rPr>
          <w:rFonts w:hint="eastAsia"/>
        </w:rPr>
        <w:t xml:space="preserve">3.99]、2021年1月を除く標本</w:t>
      </w:r>
      <w:r>
        <w:t xml:space="preserve"> [0.93, </w:t>
      </w:r>
      <w:r>
        <w:rPr>
          <w:rFonts w:hint="eastAsia"/>
        </w:rPr>
        <w:t xml:space="preserve">3.53]、年月固定効果では</w:t>
      </w:r>
      <w:r>
        <w:t xml:space="preserve"> [1.01, 3.23]、[0.83, 3.91]、[0.99, 3.34] である。FY2023〜25 </w:t>
      </w:r>
      <w:r>
        <w:rPr>
          <w:rFonts w:hint="eastAsia"/>
        </w:rPr>
        <w:t xml:space="preserve">と2021年1月を除く標本の集合は平行（</w:t>
      </w:r>
      <m:oMath>
        <m:r>
          <m:t>ρ</m:t>
        </m:r>
        <m:r>
          <m:rPr>
            <m:sty m:val="p"/>
          </m:rPr>
          <m:t>=</m:t>
        </m:r>
        <m:r>
          <m:t>1</m:t>
        </m:r>
      </m:oMath>
      <w:r>
        <w:rPr>
          <w:rFonts w:hint="eastAsia"/>
        </w:rPr>
        <w:t xml:space="preserve">）を含む。FY2016〜25</w:t>
      </w:r>
      <w:r>
        <w:t xml:space="preserve"> </w:t>
      </w:r>
      <w:r>
        <w:rPr>
          <w:rFonts w:hint="eastAsia"/>
        </w:rPr>
        <w:t xml:space="preserve">の主仕様・年月固定効果の集合は</w:t>
      </w:r>
      <w:r>
        <w:t xml:space="preserve"> </w:t>
      </w:r>
      <m:oMath>
        <m:r>
          <m:t>ρ</m:t>
        </m:r>
        <m:r>
          <m:rPr>
            <m:sty m:val="p"/>
          </m:rPr>
          <m:t>=</m:t>
        </m:r>
        <m:r>
          <m:t>1</m:t>
        </m:r>
      </m:oMath>
      <w:r>
        <w:t xml:space="preserve"> </w:t>
      </w:r>
      <w:r>
        <w:rPr>
          <w:rFonts w:hint="eastAsia"/>
        </w:rPr>
        <w:t xml:space="preserve">をわずかに外れる（EWC</w:t>
      </w:r>
      <w:r>
        <w:t xml:space="preserve"> の </w:t>
      </w:r>
      <w:r>
        <w:rPr>
          <w:rFonts w:hint="eastAsia"/>
        </w:rPr>
        <w:t xml:space="preserve">p=0.040・0.047）が、補正</w:t>
      </w:r>
      <w:r>
        <w:t xml:space="preserve"> p </w:t>
      </w:r>
      <w:r>
        <w:rPr>
          <w:rFonts w:hint="eastAsia"/>
        </w:rPr>
        <w:t xml:space="preserve">値では平行を5%水準で棄却しない（0.099・0.073）。どの集合も比例（</w:t>
      </w:r>
      <m:oMath>
        <m:r>
          <m:t>ρ</m:t>
        </m:r>
        <m:r>
          <m:rPr>
            <m:sty m:val="p"/>
          </m:rPr>
          <m:t>=</m:t>
        </m:r>
        <m:sSub>
          <m:e>
            <m:r>
              <m:t>ρ</m:t>
            </m:r>
          </m:e>
          <m:sub>
            <m:r>
              <m:t>0</m:t>
            </m:r>
          </m:sub>
        </m:sSub>
      </m:oMath>
      <w:r>
        <w:rPr>
          <w:rFonts w:hint="eastAsia"/>
        </w:rPr>
        <w:t xml:space="preserve">）を含む。真が比例のときにこの2点検定が平行を棄却する検出力は、主仕様の</w:t>
      </w:r>
      <w:r>
        <w:t xml:space="preserve"> FY2016〜25 で34%、FY2023〜25 </w:t>
      </w:r>
      <w:r>
        <w:rPr>
          <w:rFonts w:hint="eastAsia"/>
        </w:rPr>
        <w:t xml:space="preserve">で23%（年月固定効果の</w:t>
      </w:r>
      <w:r>
        <w:t xml:space="preserve"> FY2016〜25 </w:t>
      </w:r>
      <w:r>
        <w:rPr>
          <w:rFonts w:hint="eastAsia"/>
        </w:rPr>
        <w:t xml:space="preserve">では81%）にとどまる。</w:t>
      </w:r>
      <m:oMath>
        <m:sSub>
          <m:e>
            <m:r>
              <m:t>ρ</m:t>
            </m:r>
          </m:e>
          <m:sub>
            <m:r>
              <m:t>0</m:t>
            </m:r>
          </m:sub>
        </m:sSub>
      </m:oMath>
      <w:r>
        <w:t xml:space="preserve"> </w:t>
      </w:r>
      <w:r>
        <w:rPr>
          <w:rFonts w:hint="eastAsia"/>
        </w:rPr>
        <w:t xml:space="preserve">と係数を同時に再標本化したブロック・ブートストラップでは、上位−下位の95%区間は</w:t>
      </w:r>
      <w:r>
        <w:t xml:space="preserve"> FY2016〜25 で [−0.65, </w:t>
      </w:r>
      <w:r>
        <w:rPr>
          <w:rFonts w:hint="eastAsia"/>
        </w:rPr>
        <w:t xml:space="preserve">−0.10]（2021年1月を除くと</w:t>
      </w:r>
      <w:r>
        <w:t xml:space="preserve"> [−0.41, </w:t>
      </w:r>
      <w:r>
        <w:rPr>
          <w:rFonts w:hint="eastAsia"/>
        </w:rPr>
        <w:t xml:space="preserve">−0.05]）と0を含まないが、FY2023〜25</w:t>
      </w:r>
      <w:r>
        <w:t xml:space="preserve"> では [−0.26, +0.03] </w:t>
      </w:r>
      <w:r>
        <w:rPr>
          <w:rFonts w:hint="eastAsia"/>
        </w:rPr>
        <w:t xml:space="preserve">である。比例からのずれ（上位−</w:t>
      </w:r>
      <m:oMath>
        <m:sSub>
          <m:e>
            <m:r>
              <m:t>ρ</m:t>
            </m:r>
          </m:e>
          <m:sub>
            <m:r>
              <m:t>0</m:t>
            </m:r>
          </m:sub>
        </m:sSub>
      </m:oMath>
      <w:r>
        <w:rPr>
          <w:rFonts w:hint="eastAsia"/>
        </w:rPr>
        <w:t xml:space="preserve">×下位）の区間は、どの標本でも0を含む。</w:t>
      </w:r>
    </w:p>
    <w:p>
      <w:pPr>
        <w:pStyle w:val="BodyText"/>
      </w:pPr>
      <w:r>
        <w:rPr>
          <w:rFonts w:hint="eastAsia"/>
        </w:rPr>
        <w:t xml:space="preserve">太陽光は、同じ月の中では冬の下位4時間の価格を下げ（年月固定効果で−0.332、5%水準）、上位4時間はほとんど動かさない（+0.039）。この非対称は、比例的な引下げとは有意に異なる（EWC</w:t>
      </w:r>
      <w:r>
        <w:t xml:space="preserve"> の </w:t>
      </w:r>
      <w:r>
        <w:rPr>
          <w:rFonts w:hint="eastAsia"/>
        </w:rPr>
        <w:t xml:space="preserve">p=0.027）。</w:t>
      </w:r>
    </w:p>
    <w:p>
      <w:pPr>
        <w:pStyle w:val="TableCaption"/>
      </w:pPr>
      <w:r>
        <w:rPr>
          <w:rFonts w:hint="eastAsia"/>
        </w:rPr>
        <w:t xml:space="preserve">表C.1</w:t>
      </w:r>
      <w:r>
        <w:t xml:space="preserve">　</w:t>
      </w:r>
      <w:r>
        <w:rPr>
          <w:rFonts w:hint="eastAsia"/>
        </w:rPr>
        <w:t xml:space="preserve">北海道・冬の</w:t>
      </w:r>
      <w:r>
        <w:t xml:space="preserve"> TB4h </w:t>
      </w:r>
      <w:r>
        <w:rPr>
          <w:rFonts w:hint="eastAsia"/>
        </w:rPr>
        <w:t xml:space="preserve">の上位・下位4時間への分解</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　北海道・冬の TB4h の上位・下位4時間への分解"/>
      </w:tblPr>
      <w:tblGrid>
        <w:gridCol w:w="609"/>
        <w:gridCol w:w="812"/>
        <w:gridCol w:w="812"/>
        <w:gridCol w:w="812"/>
        <w:gridCol w:w="812"/>
        <w:gridCol w:w="812"/>
        <w:gridCol w:w="812"/>
        <w:gridCol w:w="812"/>
        <w:gridCol w:w="812"/>
        <w:gridCol w:w="812"/>
      </w:tblGrid>
      <w:tr>
        <w:trPr>
          <w:tblHeader w:val="on"/>
        </w:trPr>
        <w:tc>
          <w:tcPr>
            <w:tcBorders>
              <w:bottom w:val="single" w:sz="6" w:color="000000"/>
            </w:tcBorders>
          </w:tcPr>
          <w:p>
            <w:pPr>
              <w:pStyle w:val="Compact"/>
            </w:pPr>
            <w:r>
              <w:rPr>
                <w:rFonts w:hint="eastAsia"/>
                <w:sz w:val="18"/>
              </w:rPr>
              <w:t xml:space="preserve">仕様</w:t>
            </w:r>
          </w:p>
        </w:tc>
        <w:tc>
          <w:tcPr>
            <w:tcBorders>
              <w:bottom w:val="single" w:sz="6" w:color="000000"/>
            </w:tcBorders>
          </w:tcPr>
          <w:p>
            <w:pPr>
              <w:pStyle w:val="Compact"/>
              <w:jc w:val="right"/>
            </w:pPr>
            <w:r>
              <w:rPr>
                <w:rFonts w:hint="eastAsia"/>
                <w:sz w:val="18"/>
              </w:rPr>
              <w:t xml:space="preserve">太陽光</w:t>
            </w:r>
            <w:r>
              <w:rPr>
                <w:sz w:val="18"/>
              </w:rPr>
              <w:t xml:space="preserve"> </w:t>
            </w:r>
            <w:r>
              <w:rPr>
                <w:rFonts w:hint="eastAsia"/>
                <w:sz w:val="18"/>
              </w:rPr>
              <w:t xml:space="preserve">上位4時間</w:t>
            </w:r>
          </w:p>
        </w:tc>
        <w:tc>
          <w:tcPr>
            <w:tcBorders>
              <w:bottom w:val="single" w:sz="6" w:color="000000"/>
            </w:tcBorders>
          </w:tcPr>
          <w:p>
            <w:pPr>
              <w:pStyle w:val="Compact"/>
              <w:jc w:val="right"/>
            </w:pPr>
            <w:r>
              <w:rPr>
                <w:rFonts w:hint="eastAsia"/>
                <w:sz w:val="18"/>
              </w:rPr>
              <w:t xml:space="preserve">太陽光</w:t>
            </w:r>
            <w:r>
              <w:rPr>
                <w:sz w:val="18"/>
              </w:rPr>
              <w:t xml:space="preserve"> </w:t>
            </w:r>
            <w:r>
              <w:rPr>
                <w:rFonts w:hint="eastAsia"/>
                <w:sz w:val="18"/>
              </w:rPr>
              <w:t xml:space="preserve">下位4時間</w:t>
            </w:r>
          </w:p>
        </w:tc>
        <w:tc>
          <w:tcPr>
            <w:tcBorders>
              <w:bottom w:val="single" w:sz="6" w:color="000000"/>
            </w:tcBorders>
          </w:tcPr>
          <w:p>
            <w:pPr>
              <w:pStyle w:val="Compact"/>
              <w:jc w:val="right"/>
            </w:pPr>
            <w:r>
              <w:rPr>
                <w:rFonts w:hint="eastAsia"/>
                <w:sz w:val="18"/>
              </w:rPr>
              <w:t xml:space="preserve">太陽光</w:t>
            </w:r>
            <w:r>
              <w:rPr>
                <w:sz w:val="18"/>
              </w:rPr>
              <w:t xml:space="preserve"> TB4h</w:t>
            </w:r>
          </w:p>
        </w:tc>
        <w:tc>
          <w:tcPr>
            <w:tcBorders>
              <w:bottom w:val="single" w:sz="6" w:color="000000"/>
            </w:tcBorders>
          </w:tcPr>
          <w:p>
            <w:pPr>
              <w:pStyle w:val="Compact"/>
              <w:jc w:val="right"/>
            </w:pPr>
            <w:r>
              <w:rPr>
                <w:rFonts w:hint="eastAsia"/>
                <w:sz w:val="18"/>
              </w:rPr>
              <w:t xml:space="preserve">風力</w:t>
            </w:r>
            <w:r>
              <w:rPr>
                <w:sz w:val="18"/>
              </w:rPr>
              <w:t xml:space="preserve"> </w:t>
            </w:r>
            <w:r>
              <w:rPr>
                <w:rFonts w:hint="eastAsia"/>
                <w:sz w:val="18"/>
              </w:rPr>
              <w:t xml:space="preserve">上位4時間</w:t>
            </w:r>
          </w:p>
        </w:tc>
        <w:tc>
          <w:tcPr>
            <w:tcBorders>
              <w:bottom w:val="single" w:sz="6" w:color="000000"/>
            </w:tcBorders>
          </w:tcPr>
          <w:p>
            <w:pPr>
              <w:pStyle w:val="Compact"/>
              <w:jc w:val="right"/>
            </w:pPr>
            <w:r>
              <w:rPr>
                <w:rFonts w:hint="eastAsia"/>
                <w:sz w:val="18"/>
              </w:rPr>
              <w:t xml:space="preserve">風力</w:t>
            </w:r>
            <w:r>
              <w:rPr>
                <w:sz w:val="18"/>
              </w:rPr>
              <w:t xml:space="preserve"> </w:t>
            </w:r>
            <w:r>
              <w:rPr>
                <w:rFonts w:hint="eastAsia"/>
                <w:sz w:val="18"/>
              </w:rPr>
              <w:t xml:space="preserve">下位4時間</w:t>
            </w:r>
          </w:p>
        </w:tc>
        <w:tc>
          <w:tcPr>
            <w:tcBorders>
              <w:bottom w:val="single" w:sz="6" w:color="000000"/>
            </w:tcBorders>
          </w:tcPr>
          <w:p>
            <w:pPr>
              <w:pStyle w:val="Compact"/>
              <w:jc w:val="right"/>
            </w:pPr>
            <w:r>
              <w:rPr>
                <w:rFonts w:hint="eastAsia"/>
                <w:sz w:val="18"/>
              </w:rPr>
              <w:t xml:space="preserve">風力</w:t>
            </w:r>
            <w:r>
              <w:rPr>
                <w:sz w:val="18"/>
              </w:rPr>
              <w:t xml:space="preserve"> TB4h</w:t>
            </w:r>
          </w:p>
        </w:tc>
        <w:tc>
          <w:tcPr>
            <w:tcBorders>
              <w:bottom w:val="single" w:sz="6" w:color="000000"/>
            </w:tcBorders>
          </w:tcPr>
          <w:p>
            <w:pPr>
              <w:pStyle w:val="Compact"/>
              <w:jc w:val="right"/>
            </w:pPr>
            <w:r>
              <w:rPr>
                <w:rFonts w:hint="eastAsia"/>
                <w:sz w:val="18"/>
              </w:rPr>
              <w:t xml:space="preserve">風力の</w:t>
            </w:r>
            <w:r>
              <w:rPr>
                <w:sz w:val="18"/>
              </w:rPr>
              <w:t xml:space="preserve"> </w:t>
            </w:r>
            <m:oMath>
              <m:r>
                <m:t>ρ</m:t>
              </m:r>
            </m:oMath>
            <w:r>
              <w:rPr>
                <w:sz w:val="18"/>
              </w:rPr>
              <w:t xml:space="preserve"> </w:t>
            </w:r>
            <w:r>
              <w:rPr>
                <w:rFonts w:hint="eastAsia"/>
                <w:sz w:val="18"/>
              </w:rPr>
              <w:t xml:space="preserve">の95%集合</w:t>
            </w:r>
          </w:p>
        </w:tc>
        <w:tc>
          <w:tcPr>
            <w:tcBorders>
              <w:bottom w:val="single" w:sz="6" w:color="000000"/>
            </w:tcBorders>
          </w:tcPr>
          <w:p>
            <w:pPr>
              <w:pStyle w:val="Compact"/>
              <w:jc w:val="right"/>
            </w:pPr>
            <w:r>
              <w:rPr>
                <w:rFonts w:hint="eastAsia"/>
                <w:sz w:val="18"/>
              </w:rPr>
              <w:t xml:space="preserve">平行の</w:t>
            </w:r>
            <w:r>
              <w:rPr>
                <w:sz w:val="18"/>
              </w:rPr>
              <w:t xml:space="preserve"> </w:t>
            </w:r>
            <w:r>
              <w:rPr>
                <w:rFonts w:hint="eastAsia"/>
                <w:sz w:val="18"/>
              </w:rPr>
              <w:t xml:space="preserve">p（EWC／補正）</w:t>
            </w:r>
          </w:p>
        </w:tc>
        <w:tc>
          <w:tcPr>
            <w:tcBorders>
              <w:bottom w:val="single" w:sz="6" w:color="000000"/>
            </w:tcBorders>
          </w:tcPr>
          <w:p>
            <w:pPr>
              <w:pStyle w:val="Compact"/>
              <w:jc w:val="right"/>
            </w:pPr>
            <w:r>
              <w:rPr>
                <w:rFonts w:hint="eastAsia"/>
                <w:sz w:val="18"/>
              </w:rPr>
              <w:t xml:space="preserve">比例の</w:t>
            </w:r>
            <w:r>
              <w:rPr>
                <w:sz w:val="18"/>
              </w:rPr>
              <w:t xml:space="preserve"> </w:t>
            </w:r>
            <w:r>
              <w:rPr>
                <w:rFonts w:hint="eastAsia"/>
                <w:sz w:val="18"/>
              </w:rPr>
              <w:t xml:space="preserve">p（EWC／補正）</w:t>
            </w:r>
          </w:p>
        </w:tc>
      </w:tr>
      <w:tr>
        <w:tc>
          <w:tcPr/>
          <w:p>
            <w:pPr>
              <w:pStyle w:val="Compact"/>
            </w:pPr>
            <w:r>
              <w:rPr>
                <w:rFonts w:hint="eastAsia"/>
                <w:sz w:val="18"/>
              </w:rPr>
              <w:t xml:space="preserve">主仕様（表5.2）</w:t>
            </w:r>
          </w:p>
        </w:tc>
        <w:tc>
          <w:tcPr/>
          <w:p>
            <w:pPr>
              <w:pStyle w:val="Compact"/>
              <w:jc w:val="right"/>
            </w:pPr>
            <w:r>
              <w:rPr>
                <w:sz w:val="18"/>
              </w:rPr>
              <w:t xml:space="preserve">−1.247**</w:t>
            </w:r>
          </w:p>
        </w:tc>
        <w:tc>
          <w:tcPr/>
          <w:p>
            <w:pPr>
              <w:pStyle w:val="Compact"/>
              <w:jc w:val="right"/>
            </w:pPr>
            <w:r>
              <w:rPr>
                <w:sz w:val="18"/>
              </w:rPr>
              <w:t xml:space="preserve">−0.440**</w:t>
            </w:r>
          </w:p>
        </w:tc>
        <w:tc>
          <w:tcPr/>
          <w:p>
            <w:pPr>
              <w:pStyle w:val="Compact"/>
              <w:jc w:val="right"/>
            </w:pPr>
            <w:r>
              <w:rPr>
                <w:sz w:val="18"/>
              </w:rPr>
              <w:t xml:space="preserve">−0.807**</w:t>
            </w:r>
          </w:p>
        </w:tc>
        <w:tc>
          <w:tcPr/>
          <w:p>
            <w:pPr>
              <w:pStyle w:val="Compact"/>
              <w:jc w:val="right"/>
            </w:pPr>
            <w:r>
              <w:rPr>
                <w:sz w:val="18"/>
              </w:rPr>
              <w:t xml:space="preserve">−0.592***</w:t>
            </w:r>
          </w:p>
        </w:tc>
        <w:tc>
          <w:tcPr/>
          <w:p>
            <w:pPr>
              <w:pStyle w:val="Compact"/>
              <w:jc w:val="right"/>
            </w:pPr>
            <w:r>
              <w:rPr>
                <w:sz w:val="18"/>
              </w:rPr>
              <w:t xml:space="preserve">−0.228***</w:t>
            </w:r>
          </w:p>
        </w:tc>
        <w:tc>
          <w:tcPr/>
          <w:p>
            <w:pPr>
              <w:pStyle w:val="Compact"/>
              <w:jc w:val="right"/>
            </w:pPr>
            <w:r>
              <w:rPr>
                <w:sz w:val="18"/>
              </w:rPr>
              <w:t xml:space="preserve">−0.363**</w:t>
            </w:r>
          </w:p>
        </w:tc>
        <w:tc>
          <w:tcPr/>
          <w:p>
            <w:pPr>
              <w:pStyle w:val="Compact"/>
              <w:jc w:val="right"/>
            </w:pPr>
            <w:r>
              <w:rPr>
                <w:sz w:val="18"/>
              </w:rPr>
              <w:t xml:space="preserve">[1.10, 3.95]</w:t>
            </w:r>
          </w:p>
        </w:tc>
        <w:tc>
          <w:tcPr/>
          <w:p>
            <w:pPr>
              <w:pStyle w:val="Compact"/>
              <w:jc w:val="right"/>
            </w:pPr>
            <w:r>
              <w:rPr>
                <w:rFonts w:hint="eastAsia"/>
                <w:sz w:val="18"/>
              </w:rPr>
              <w:t xml:space="preserve">0.040／0.099</w:t>
            </w:r>
          </w:p>
        </w:tc>
        <w:tc>
          <w:tcPr/>
          <w:p>
            <w:pPr>
              <w:pStyle w:val="Compact"/>
              <w:jc w:val="right"/>
            </w:pPr>
            <w:r>
              <w:rPr>
                <w:rFonts w:hint="eastAsia"/>
                <w:sz w:val="18"/>
              </w:rPr>
              <w:t xml:space="preserve">0.56／0.60</w:t>
            </w:r>
          </w:p>
        </w:tc>
      </w:tr>
      <w:tr>
        <w:tc>
          <w:tcPr/>
          <w:p>
            <w:pPr>
              <w:pStyle w:val="Compact"/>
            </w:pPr>
            <w:r>
              <w:rPr>
                <w:rFonts w:hint="eastAsia"/>
                <w:sz w:val="18"/>
              </w:rPr>
              <w:t xml:space="preserve">主仕様・2021年1月を除く</w:t>
            </w:r>
          </w:p>
        </w:tc>
        <w:tc>
          <w:tcPr/>
          <w:p>
            <w:pPr>
              <w:pStyle w:val="Compact"/>
              <w:jc w:val="right"/>
            </w:pPr>
            <w:r>
              <w:rPr>
                <w:sz w:val="18"/>
              </w:rPr>
              <w:t xml:space="preserve">−0.872***</w:t>
            </w:r>
          </w:p>
        </w:tc>
        <w:tc>
          <w:tcPr/>
          <w:p>
            <w:pPr>
              <w:pStyle w:val="Compact"/>
              <w:jc w:val="right"/>
            </w:pPr>
            <w:r>
              <w:rPr>
                <w:sz w:val="18"/>
              </w:rPr>
              <w:t xml:space="preserve">−0.280***</w:t>
            </w:r>
          </w:p>
        </w:tc>
        <w:tc>
          <w:tcPr/>
          <w:p>
            <w:pPr>
              <w:pStyle w:val="Compact"/>
              <w:jc w:val="right"/>
            </w:pPr>
            <w:r>
              <w:rPr>
                <w:sz w:val="18"/>
              </w:rPr>
              <w:t xml:space="preserve">−0.592**</w:t>
            </w:r>
          </w:p>
        </w:tc>
        <w:tc>
          <w:tcPr/>
          <w:p>
            <w:pPr>
              <w:pStyle w:val="Compact"/>
              <w:jc w:val="right"/>
            </w:pPr>
            <w:r>
              <w:rPr>
                <w:sz w:val="18"/>
              </w:rPr>
              <w:t xml:space="preserve">−0.430***</w:t>
            </w:r>
          </w:p>
        </w:tc>
        <w:tc>
          <w:tcPr/>
          <w:p>
            <w:pPr>
              <w:pStyle w:val="Compact"/>
              <w:jc w:val="right"/>
            </w:pPr>
            <w:r>
              <w:rPr>
                <w:sz w:val="18"/>
              </w:rPr>
              <w:t xml:space="preserve">−0.199***</w:t>
            </w:r>
          </w:p>
        </w:tc>
        <w:tc>
          <w:tcPr/>
          <w:p>
            <w:pPr>
              <w:pStyle w:val="Compact"/>
              <w:jc w:val="right"/>
            </w:pPr>
            <w:r>
              <w:rPr>
                <w:sz w:val="18"/>
              </w:rPr>
              <w:t xml:space="preserve">−0.232*</w:t>
            </w:r>
          </w:p>
        </w:tc>
        <w:tc>
          <w:tcPr/>
          <w:p>
            <w:pPr>
              <w:pStyle w:val="Compact"/>
              <w:jc w:val="right"/>
            </w:pPr>
            <w:r>
              <w:rPr>
                <w:sz w:val="18"/>
              </w:rPr>
              <w:t xml:space="preserve">[0.93, 3.53]</w:t>
            </w:r>
          </w:p>
        </w:tc>
        <w:tc>
          <w:tcPr/>
          <w:p>
            <w:pPr>
              <w:pStyle w:val="Compact"/>
              <w:jc w:val="right"/>
            </w:pPr>
            <w:r>
              <w:rPr>
                <w:rFonts w:hint="eastAsia"/>
                <w:sz w:val="18"/>
              </w:rPr>
              <w:t xml:space="preserve">0.063／0.135</w:t>
            </w:r>
          </w:p>
        </w:tc>
        <w:tc>
          <w:tcPr/>
          <w:p>
            <w:pPr>
              <w:pStyle w:val="Compact"/>
              <w:jc w:val="right"/>
            </w:pPr>
            <w:r>
              <w:rPr>
                <w:rFonts w:hint="eastAsia"/>
                <w:sz w:val="18"/>
              </w:rPr>
              <w:t xml:space="preserve">0.79／0.83</w:t>
            </w:r>
          </w:p>
        </w:tc>
      </w:tr>
      <w:tr>
        <w:tc>
          <w:tcPr/>
          <w:p>
            <w:pPr>
              <w:pStyle w:val="Compact"/>
            </w:pPr>
            <w:r>
              <w:rPr>
                <w:rFonts w:hint="eastAsia"/>
                <w:sz w:val="18"/>
              </w:rPr>
              <w:t xml:space="preserve">年月FE</w:t>
            </w:r>
          </w:p>
        </w:tc>
        <w:tc>
          <w:tcPr/>
          <w:p>
            <w:pPr>
              <w:pStyle w:val="Compact"/>
              <w:jc w:val="right"/>
            </w:pPr>
            <w:r>
              <w:rPr>
                <w:sz w:val="18"/>
              </w:rPr>
              <w:t xml:space="preserve">0.039</w:t>
            </w:r>
          </w:p>
        </w:tc>
        <w:tc>
          <w:tcPr/>
          <w:p>
            <w:pPr>
              <w:pStyle w:val="Compact"/>
              <w:jc w:val="right"/>
            </w:pPr>
            <w:r>
              <w:rPr>
                <w:sz w:val="18"/>
              </w:rPr>
              <w:t xml:space="preserve">−0.332**</w:t>
            </w:r>
          </w:p>
        </w:tc>
        <w:tc>
          <w:tcPr/>
          <w:p>
            <w:pPr>
              <w:pStyle w:val="Compact"/>
              <w:jc w:val="right"/>
            </w:pPr>
            <w:r>
              <w:rPr>
                <w:sz w:val="18"/>
              </w:rPr>
              <w:t xml:space="preserve">0.371</w:t>
            </w:r>
          </w:p>
        </w:tc>
        <w:tc>
          <w:tcPr/>
          <w:p>
            <w:pPr>
              <w:pStyle w:val="Compact"/>
              <w:jc w:val="right"/>
            </w:pPr>
            <w:r>
              <w:rPr>
                <w:sz w:val="18"/>
              </w:rPr>
              <w:t xml:space="preserve">−0.395***</w:t>
            </w:r>
          </w:p>
        </w:tc>
        <w:tc>
          <w:tcPr/>
          <w:p>
            <w:pPr>
              <w:pStyle w:val="Compact"/>
              <w:jc w:val="right"/>
            </w:pPr>
            <w:r>
              <w:rPr>
                <w:sz w:val="18"/>
              </w:rPr>
              <w:t xml:space="preserve">−0.215***</w:t>
            </w:r>
          </w:p>
        </w:tc>
        <w:tc>
          <w:tcPr/>
          <w:p>
            <w:pPr>
              <w:pStyle w:val="Compact"/>
              <w:jc w:val="right"/>
            </w:pPr>
            <w:r>
              <w:rPr>
                <w:sz w:val="18"/>
              </w:rPr>
              <w:t xml:space="preserve">−0.181**</w:t>
            </w:r>
          </w:p>
        </w:tc>
        <w:tc>
          <w:tcPr/>
          <w:p>
            <w:pPr>
              <w:pStyle w:val="Compact"/>
              <w:jc w:val="right"/>
            </w:pPr>
            <w:r>
              <w:rPr>
                <w:sz w:val="18"/>
              </w:rPr>
              <w:t xml:space="preserve">[1.01, 3.23]</w:t>
            </w:r>
          </w:p>
        </w:tc>
        <w:tc>
          <w:tcPr/>
          <w:p>
            <w:pPr>
              <w:pStyle w:val="Compact"/>
              <w:jc w:val="right"/>
            </w:pPr>
            <w:r>
              <w:rPr>
                <w:rFonts w:hint="eastAsia"/>
                <w:sz w:val="18"/>
              </w:rPr>
              <w:t xml:space="preserve">0.047／0.073</w:t>
            </w:r>
          </w:p>
        </w:tc>
        <w:tc>
          <w:tcPr/>
          <w:p>
            <w:pPr>
              <w:pStyle w:val="Compact"/>
              <w:jc w:val="right"/>
            </w:pPr>
            <w:r>
              <w:rPr>
                <w:rFonts w:hint="eastAsia"/>
                <w:sz w:val="18"/>
              </w:rPr>
              <w:t xml:space="preserve">0.52／0.57</w:t>
            </w:r>
          </w:p>
        </w:tc>
      </w:tr>
      <w:tr>
        <w:tc>
          <w:tcPr/>
          <w:p>
            <w:pPr>
              <w:pStyle w:val="Compact"/>
            </w:pPr>
            <w:r>
              <w:rPr>
                <w:rFonts w:hint="eastAsia"/>
                <w:sz w:val="18"/>
              </w:rPr>
              <w:t xml:space="preserve">年月FE・2021年1月を除く</w:t>
            </w:r>
          </w:p>
        </w:tc>
        <w:tc>
          <w:tcPr/>
          <w:p>
            <w:pPr>
              <w:pStyle w:val="Compact"/>
              <w:jc w:val="right"/>
            </w:pPr>
            <w:r>
              <w:rPr>
                <w:sz w:val="18"/>
              </w:rPr>
              <w:t xml:space="preserve">−0.091</w:t>
            </w:r>
          </w:p>
        </w:tc>
        <w:tc>
          <w:tcPr/>
          <w:p>
            <w:pPr>
              <w:pStyle w:val="Compact"/>
              <w:jc w:val="right"/>
            </w:pPr>
            <w:r>
              <w:rPr>
                <w:sz w:val="18"/>
              </w:rPr>
              <w:t xml:space="preserve">−0.219***</w:t>
            </w:r>
          </w:p>
        </w:tc>
        <w:tc>
          <w:tcPr/>
          <w:p>
            <w:pPr>
              <w:pStyle w:val="Compact"/>
              <w:jc w:val="right"/>
            </w:pPr>
            <w:r>
              <w:rPr>
                <w:sz w:val="18"/>
              </w:rPr>
              <w:t xml:space="preserve">0.128</w:t>
            </w:r>
          </w:p>
        </w:tc>
        <w:tc>
          <w:tcPr/>
          <w:p>
            <w:pPr>
              <w:pStyle w:val="Compact"/>
              <w:jc w:val="right"/>
            </w:pPr>
            <w:r>
              <w:rPr>
                <w:sz w:val="18"/>
              </w:rPr>
              <w:t xml:space="preserve">−0.366***</w:t>
            </w:r>
          </w:p>
        </w:tc>
        <w:tc>
          <w:tcPr/>
          <w:p>
            <w:pPr>
              <w:pStyle w:val="Compact"/>
              <w:jc w:val="right"/>
            </w:pPr>
            <w:r>
              <w:rPr>
                <w:sz w:val="18"/>
              </w:rPr>
              <w:t xml:space="preserve">−0.194***</w:t>
            </w:r>
          </w:p>
        </w:tc>
        <w:tc>
          <w:tcPr/>
          <w:p>
            <w:pPr>
              <w:pStyle w:val="Compact"/>
              <w:jc w:val="right"/>
            </w:pPr>
            <w:r>
              <w:rPr>
                <w:sz w:val="18"/>
              </w:rPr>
              <w:t xml:space="preserve">−0.172*</w:t>
            </w:r>
          </w:p>
        </w:tc>
        <w:tc>
          <w:tcPr/>
          <w:p>
            <w:pPr>
              <w:pStyle w:val="Compact"/>
              <w:jc w:val="right"/>
            </w:pPr>
            <w:r>
              <w:rPr>
                <w:sz w:val="18"/>
              </w:rPr>
              <w:t xml:space="preserve">[0.99, 3.34]</w:t>
            </w:r>
          </w:p>
        </w:tc>
        <w:tc>
          <w:tcPr/>
          <w:p>
            <w:pPr>
              <w:pStyle w:val="Compact"/>
              <w:jc w:val="right"/>
            </w:pPr>
            <w:r>
              <w:rPr>
                <w:rFonts w:hint="eastAsia"/>
                <w:sz w:val="18"/>
              </w:rPr>
              <w:t xml:space="preserve">0.052／0.083</w:t>
            </w:r>
          </w:p>
        </w:tc>
        <w:tc>
          <w:tcPr/>
          <w:p>
            <w:pPr>
              <w:pStyle w:val="Compact"/>
              <w:jc w:val="right"/>
            </w:pPr>
            <w:r>
              <w:rPr>
                <w:rFonts w:hint="eastAsia"/>
                <w:sz w:val="18"/>
              </w:rPr>
              <w:t xml:space="preserve">0.82／0.84</w:t>
            </w:r>
          </w:p>
        </w:tc>
      </w:tr>
      <w:tr>
        <w:tc>
          <w:tcPr/>
          <w:p>
            <w:pPr>
              <w:pStyle w:val="Compact"/>
            </w:pPr>
            <w:r>
              <w:rPr>
                <w:rFonts w:hint="eastAsia"/>
                <w:sz w:val="18"/>
              </w:rPr>
              <w:t xml:space="preserve">年月FE＋価格のラグ</w:t>
            </w:r>
          </w:p>
        </w:tc>
        <w:tc>
          <w:tcPr/>
          <w:p>
            <w:pPr>
              <w:pStyle w:val="Compact"/>
              <w:jc w:val="right"/>
            </w:pPr>
            <w:r>
              <w:rPr>
                <w:sz w:val="18"/>
              </w:rPr>
              <w:t xml:space="preserve">0.327*</w:t>
            </w:r>
          </w:p>
        </w:tc>
        <w:tc>
          <w:tcPr/>
          <w:p>
            <w:pPr>
              <w:pStyle w:val="Compact"/>
              <w:jc w:val="right"/>
            </w:pPr>
            <w:r>
              <w:rPr>
                <w:sz w:val="18"/>
              </w:rPr>
              <w:t xml:space="preserve">−0.266***</w:t>
            </w:r>
          </w:p>
        </w:tc>
        <w:tc>
          <w:tcPr/>
          <w:p>
            <w:pPr>
              <w:pStyle w:val="Compact"/>
              <w:jc w:val="right"/>
            </w:pPr>
            <w:r>
              <w:rPr>
                <w:sz w:val="18"/>
              </w:rPr>
              <w:t xml:space="preserve">0.593**</w:t>
            </w:r>
          </w:p>
        </w:tc>
        <w:tc>
          <w:tcPr/>
          <w:p>
            <w:pPr>
              <w:pStyle w:val="Compact"/>
              <w:jc w:val="right"/>
            </w:pPr>
            <w:r>
              <w:rPr>
                <w:sz w:val="18"/>
              </w:rPr>
              <w:t xml:space="preserve">−0.265***</w:t>
            </w:r>
          </w:p>
        </w:tc>
        <w:tc>
          <w:tcPr/>
          <w:p>
            <w:pPr>
              <w:pStyle w:val="Compact"/>
              <w:jc w:val="right"/>
            </w:pPr>
            <w:r>
              <w:rPr>
                <w:sz w:val="18"/>
              </w:rPr>
              <w:t xml:space="preserve">−0.179***</w:t>
            </w:r>
          </w:p>
        </w:tc>
        <w:tc>
          <w:tcPr/>
          <w:p>
            <w:pPr>
              <w:pStyle w:val="Compact"/>
              <w:jc w:val="right"/>
            </w:pPr>
            <w:r>
              <w:rPr>
                <w:sz w:val="18"/>
              </w:rPr>
              <w:t xml:space="preserve">−0.086</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w:t>
            </w:r>
          </w:p>
        </w:tc>
      </w:tr>
      <w:tr>
        <w:tc>
          <w:tcPr/>
          <w:p>
            <w:pPr>
              <w:pStyle w:val="Compact"/>
            </w:pPr>
            <w:r>
              <w:rPr>
                <w:rFonts w:hint="eastAsia"/>
                <w:sz w:val="18"/>
              </w:rPr>
              <w:t xml:space="preserve">主仕様・FY2023〜25</w:t>
            </w:r>
          </w:p>
        </w:tc>
        <w:tc>
          <w:tcPr/>
          <w:p>
            <w:pPr>
              <w:pStyle w:val="Compact"/>
              <w:jc w:val="right"/>
            </w:pPr>
            <w:r>
              <w:rPr>
                <w:sz w:val="18"/>
              </w:rPr>
              <w:t xml:space="preserve">−0.154</w:t>
            </w:r>
          </w:p>
        </w:tc>
        <w:tc>
          <w:tcPr/>
          <w:p>
            <w:pPr>
              <w:pStyle w:val="Compact"/>
              <w:jc w:val="right"/>
            </w:pPr>
            <w:r>
              <w:rPr>
                <w:sz w:val="18"/>
              </w:rPr>
              <w:t xml:space="preserve">−0.198**</w:t>
            </w:r>
          </w:p>
        </w:tc>
        <w:tc>
          <w:tcPr/>
          <w:p>
            <w:pPr>
              <w:pStyle w:val="Compact"/>
              <w:jc w:val="right"/>
            </w:pPr>
            <w:r>
              <w:rPr>
                <w:sz w:val="18"/>
              </w:rPr>
              <w:t xml:space="preserve">0.044</w:t>
            </w:r>
          </w:p>
        </w:tc>
        <w:tc>
          <w:tcPr/>
          <w:p>
            <w:pPr>
              <w:pStyle w:val="Compact"/>
              <w:jc w:val="right"/>
            </w:pPr>
            <w:r>
              <w:rPr>
                <w:sz w:val="18"/>
              </w:rPr>
              <w:t xml:space="preserve">−0.266***</w:t>
            </w:r>
          </w:p>
        </w:tc>
        <w:tc>
          <w:tcPr/>
          <w:p>
            <w:pPr>
              <w:pStyle w:val="Compact"/>
              <w:jc w:val="right"/>
            </w:pPr>
            <w:r>
              <w:rPr>
                <w:sz w:val="18"/>
              </w:rPr>
              <w:t xml:space="preserve">−0.154***</w:t>
            </w:r>
          </w:p>
        </w:tc>
        <w:tc>
          <w:tcPr/>
          <w:p>
            <w:pPr>
              <w:pStyle w:val="Compact"/>
              <w:jc w:val="right"/>
            </w:pPr>
            <w:r>
              <w:rPr>
                <w:sz w:val="18"/>
              </w:rPr>
              <w:t xml:space="preserve">−0.112</w:t>
            </w:r>
          </w:p>
        </w:tc>
        <w:tc>
          <w:tcPr/>
          <w:p>
            <w:pPr>
              <w:pStyle w:val="Compact"/>
              <w:jc w:val="right"/>
            </w:pPr>
            <w:r>
              <w:rPr>
                <w:sz w:val="18"/>
              </w:rPr>
              <w:t xml:space="preserve">[0.63, 3.99]</w:t>
            </w:r>
          </w:p>
        </w:tc>
        <w:tc>
          <w:tcPr/>
          <w:p>
            <w:pPr>
              <w:pStyle w:val="Compact"/>
              <w:jc w:val="right"/>
            </w:pPr>
            <w:r>
              <w:rPr>
                <w:rFonts w:hint="eastAsia"/>
                <w:sz w:val="18"/>
              </w:rPr>
              <w:t xml:space="preserve">0.220／0.263</w:t>
            </w:r>
          </w:p>
        </w:tc>
        <w:tc>
          <w:tcPr/>
          <w:p>
            <w:pPr>
              <w:pStyle w:val="Compact"/>
              <w:jc w:val="right"/>
            </w:pPr>
            <w:r>
              <w:rPr>
                <w:rFonts w:hint="eastAsia"/>
                <w:sz w:val="18"/>
              </w:rPr>
              <w:t xml:space="preserve">0.99／0.99</w:t>
            </w:r>
          </w:p>
        </w:tc>
      </w:tr>
      <w:tr>
        <w:tc>
          <w:tcPr/>
          <w:p>
            <w:pPr>
              <w:pStyle w:val="Compact"/>
            </w:pPr>
            <w:r>
              <w:rPr>
                <w:rFonts w:hint="eastAsia"/>
                <w:sz w:val="18"/>
              </w:rPr>
              <w:t xml:space="preserve">参考：冬の日だけの回帰</w:t>
            </w:r>
          </w:p>
        </w:tc>
        <w:tc>
          <w:tcPr/>
          <w:p>
            <w:pPr>
              <w:pStyle w:val="Compact"/>
              <w:jc w:val="right"/>
            </w:pPr>
            <w:r>
              <w:rPr>
                <w:sz w:val="18"/>
              </w:rPr>
              <w:t xml:space="preserve">−1.280*</w:t>
            </w:r>
          </w:p>
        </w:tc>
        <w:tc>
          <w:tcPr/>
          <w:p>
            <w:pPr>
              <w:pStyle w:val="Compact"/>
              <w:jc w:val="right"/>
            </w:pPr>
            <w:r>
              <w:rPr>
                <w:sz w:val="18"/>
              </w:rPr>
              <w:t xml:space="preserve">−0.558**</w:t>
            </w:r>
          </w:p>
        </w:tc>
        <w:tc>
          <w:tcPr/>
          <w:p>
            <w:pPr>
              <w:pStyle w:val="Compact"/>
              <w:jc w:val="right"/>
            </w:pPr>
            <w:r>
              <w:rPr>
                <w:sz w:val="18"/>
              </w:rPr>
              <w:t xml:space="preserve">−0.722</w:t>
            </w:r>
          </w:p>
        </w:tc>
        <w:tc>
          <w:tcPr/>
          <w:p>
            <w:pPr>
              <w:pStyle w:val="Compact"/>
              <w:jc w:val="right"/>
            </w:pPr>
            <w:r>
              <w:rPr>
                <w:sz w:val="18"/>
              </w:rPr>
              <w:t xml:space="preserve">−0.566**</w:t>
            </w:r>
          </w:p>
        </w:tc>
        <w:tc>
          <w:tcPr/>
          <w:p>
            <w:pPr>
              <w:pStyle w:val="Compact"/>
              <w:jc w:val="right"/>
            </w:pPr>
            <w:r>
              <w:rPr>
                <w:sz w:val="18"/>
              </w:rPr>
              <w:t xml:space="preserve">−0.244***</w:t>
            </w:r>
          </w:p>
        </w:tc>
        <w:tc>
          <w:tcPr/>
          <w:p>
            <w:pPr>
              <w:pStyle w:val="Compact"/>
              <w:jc w:val="right"/>
            </w:pPr>
            <w:r>
              <w:rPr>
                <w:sz w:val="18"/>
              </w:rPr>
              <w:t xml:space="preserve">−0.322*</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w:t>
            </w:r>
          </w:p>
        </w:tc>
      </w:tr>
    </w:tbl>
    <w:p>
      <w:pPr>
        <w:pStyle w:val="TableNote"/>
      </w:pPr>
      <w:r>
        <w:rPr>
          <w:rFonts w:hint="eastAsia"/>
        </w:rPr>
        <w:t xml:space="preserve">注）単位は円/kWh</w:t>
      </w:r>
      <w:r>
        <w:t xml:space="preserve"> per </w:t>
      </w:r>
      <w:r>
        <w:rPr>
          <w:rFonts w:hint="eastAsia"/>
        </w:rPr>
        <w:t xml:space="preserve">GWh/日。TB4h</w:t>
      </w:r>
      <w:r>
        <w:t xml:space="preserve"> </w:t>
      </w:r>
      <w:r>
        <w:rPr>
          <w:rFonts w:hint="eastAsia"/>
        </w:rPr>
        <w:t xml:space="preserve">の係数は上位の係数から下位の係数を引いたものに等しい。冬の日だけの回帰は、冬の日について太陽光・風力・需要・年度固定効果で推定したもの（EWC</w:t>
      </w:r>
      <w:r>
        <w:t xml:space="preserve"> </w:t>
      </w:r>
      <w:r>
        <w:rPr>
          <w:rFonts w:hint="eastAsia"/>
        </w:rPr>
        <w:t xml:space="preserve">は冬の日を詰めて</w:t>
      </w:r>
      <w:r>
        <w:t xml:space="preserve"> </w:t>
      </w:r>
      <m:oMath>
        <m:r>
          <m:t>ν</m:t>
        </m:r>
        <m:r>
          <m:rPr>
            <m:sty m:val="p"/>
          </m:rPr>
          <m:t>=</m:t>
        </m:r>
        <m:r>
          <m:t>37</m:t>
        </m:r>
      </m:oMath>
      <w:r>
        <w:rPr>
          <w:rFonts w:hint="eastAsia"/>
        </w:rPr>
        <w:t xml:space="preserve">）。冬の上位・下位4時間の平均価格は、FY2016〜25</w:t>
      </w:r>
      <w:r>
        <w:t xml:space="preserve"> </w:t>
      </w:r>
      <w:r>
        <w:rPr>
          <w:rFonts w:hint="eastAsia"/>
        </w:rPr>
        <w:t xml:space="preserve">で23.47・10.69円/kWh、2021年1月を除くと20.19・10.04円/kWh、FY2023〜25</w:t>
      </w:r>
      <w:r>
        <w:t xml:space="preserve"> </w:t>
      </w:r>
      <w:r>
        <w:rPr>
          <w:rFonts w:hint="eastAsia"/>
        </w:rPr>
        <w:t xml:space="preserve">で15.61・9.08円/kWh。</w:t>
      </w:r>
      <m:oMath>
        <m:r>
          <m:t>ρ</m:t>
        </m:r>
      </m:oMath>
      <w:r>
        <w:t xml:space="preserve"> </w:t>
      </w:r>
      <w:r>
        <w:rPr>
          <w:rFonts w:hint="eastAsia"/>
        </w:rPr>
        <w:t xml:space="preserve">の95%集合は付録B.2.3</w:t>
      </w:r>
      <w:r>
        <w:t xml:space="preserve"> の Fieller </w:t>
      </w:r>
      <w:r>
        <w:rPr>
          <w:rFonts w:hint="eastAsia"/>
        </w:rPr>
        <w:t xml:space="preserve">型の集合で、平行は</w:t>
      </w:r>
      <w:r>
        <w:t xml:space="preserve"> </w:t>
      </w:r>
      <m:oMath>
        <m:r>
          <m:t>ρ</m:t>
        </m:r>
        <m:r>
          <m:rPr>
            <m:sty m:val="p"/>
          </m:rPr>
          <m:t>=</m:t>
        </m:r>
        <m:r>
          <m:t>1</m:t>
        </m:r>
      </m:oMath>
      <w:r>
        <w:rPr>
          <w:rFonts w:hint="eastAsia"/>
        </w:rPr>
        <w:t xml:space="preserve">、比例は</w:t>
      </w:r>
      <w:r>
        <w:t xml:space="preserve"> </w:t>
      </w:r>
      <m:oMath>
        <m:r>
          <m:t>ρ</m:t>
        </m:r>
        <m:r>
          <m:rPr>
            <m:sty m:val="p"/>
          </m:rPr>
          <m:t>=</m:t>
        </m:r>
        <m:sSub>
          <m:e>
            <m:r>
              <m:t>ρ</m:t>
            </m:r>
          </m:e>
          <m:sub>
            <m:r>
              <m:t>0</m:t>
            </m:r>
          </m:sub>
        </m:sSub>
      </m:oMath>
      <w:r>
        <w:rPr>
          <w:rFonts w:hint="eastAsia"/>
        </w:rPr>
        <w:t xml:space="preserve">（FY2016〜25</w:t>
      </w:r>
      <w:r>
        <w:t xml:space="preserve"> </w:t>
      </w:r>
      <w:r>
        <w:rPr>
          <w:rFonts w:hint="eastAsia"/>
        </w:rPr>
        <w:t xml:space="preserve">で2.20、2021年1月を除くと2.01、FY2023〜25</w:t>
      </w:r>
      <w:r>
        <w:t xml:space="preserve"> </w:t>
      </w:r>
      <w:r>
        <w:rPr>
          <w:rFonts w:hint="eastAsia"/>
        </w:rPr>
        <w:t xml:space="preserve">で1.72）。年月FE</w:t>
      </w:r>
      <w:r>
        <w:t xml:space="preserve"> の FY2023〜25 では [0.83, </w:t>
      </w:r>
      <w:r>
        <w:rPr>
          <w:rFonts w:hint="eastAsia"/>
        </w:rPr>
        <w:t xml:space="preserve">3.91]、平行の</w:t>
      </w:r>
      <w:r>
        <w:t xml:space="preserve"> p </w:t>
      </w:r>
      <w:r>
        <w:rPr>
          <w:rFonts w:hint="eastAsia"/>
        </w:rPr>
        <w:t xml:space="preserve">は0.113／0.169、比例の</w:t>
      </w:r>
      <w:r>
        <w:t xml:space="preserve"> p </w:t>
      </w:r>
      <w:r>
        <w:rPr>
          <w:rFonts w:hint="eastAsia"/>
        </w:rPr>
        <w:t xml:space="preserve">は0.81／0.84。太陽光は年月FE</w:t>
      </w:r>
      <w:r>
        <w:t xml:space="preserve"> </w:t>
      </w:r>
      <w:r>
        <w:rPr>
          <w:rFonts w:hint="eastAsia"/>
        </w:rPr>
        <w:t xml:space="preserve">の2行で比例が棄却される（p=0.027、2021年1月を除くと0.047）。この検定は平均価格の比を固定値として扱う。星は</w:t>
      </w:r>
      <w:r>
        <w:t xml:space="preserve"> EWC </w:t>
      </w:r>
      <w:r>
        <w:rPr>
          <w:rFonts w:hint="eastAsia"/>
        </w:rPr>
        <w:t xml:space="preserve">により、記号は表5.2</w:t>
      </w:r>
      <w:r>
        <w:t xml:space="preserve"> </w:t>
      </w:r>
      <w:r>
        <w:rPr>
          <w:rFonts w:hint="eastAsia"/>
        </w:rPr>
        <w:t xml:space="preserve">と同じ。</w:t>
      </w:r>
    </w:p>
    <w:p>
      <w:pPr>
        <w:pStyle w:val="TableNote"/>
      </w:pPr>
      <w:r>
        <w:rPr>
          <w:rFonts w:hint="eastAsia"/>
        </w:rPr>
        <w:t xml:space="preserve">出所）表5.2</w:t>
      </w:r>
      <w:r>
        <w:t xml:space="preserve"> </w:t>
      </w:r>
      <w:r>
        <w:rPr>
          <w:rFonts w:hint="eastAsia"/>
        </w:rPr>
        <w:t xml:space="preserve">と同じ（北海道のみ）。</w:t>
      </w:r>
    </w:p>
    <w:bookmarkEnd w:id="355"/>
    <w:bookmarkStart w:id="356" w:name="c.1.3-分位点回帰と市場分断の補足"/>
    <w:p>
      <w:pPr>
        <w:pStyle w:val="Heading3"/>
      </w:pPr>
      <w:r>
        <w:t xml:space="preserve">C.1.3　</w:t>
      </w:r>
      <w:r>
        <w:rPr>
          <w:rFonts w:hint="eastAsia"/>
        </w:rPr>
        <w:t xml:space="preserve">分位点回帰と市場分断の補足</w:t>
      </w:r>
    </w:p>
    <w:p>
      <w:pPr>
        <w:pStyle w:val="FirstParagraph"/>
      </w:pPr>
      <w:r>
        <w:rPr>
          <w:rFonts w:hint="eastAsia"/>
          <w:b/>
          <w:bCs/>
        </w:rPr>
        <w:t xml:space="preserve">先行研究の仕様の再推定</w:t>
      </w:r>
      <w:r>
        <w:t xml:space="preserve">　Sakaguchi and </w:t>
      </w:r>
      <w:r>
        <w:rPr>
          <w:rFonts w:hint="eastAsia"/>
        </w:rPr>
        <w:t xml:space="preserve">Fujii（2021）は北海道の分位点係数を図でだけ示し、表としては全国の分析と各エリアの最小二乗推定（北海道の風力は全期間で−4.8、FY2019</w:t>
      </w:r>
      <w:r>
        <w:t xml:space="preserve"> </w:t>
      </w:r>
      <w:r>
        <w:rPr>
          <w:rFonts w:hint="eastAsia"/>
        </w:rPr>
        <w:t xml:space="preserve">で−7.0円/kWh</w:t>
      </w:r>
      <w:r>
        <w:t xml:space="preserve"> per </w:t>
      </w:r>
      <w:r>
        <w:rPr>
          <w:rFonts w:hint="eastAsia"/>
        </w:rPr>
        <w:t xml:space="preserve">GWh/h）を報告している。本研究の再推定では、統制のない仕様の</w:t>
      </w:r>
      <w:r>
        <w:t xml:space="preserve"> τ=0.9 </w:t>
      </w:r>
      <w:r>
        <w:rPr>
          <w:rFonts w:hint="eastAsia"/>
        </w:rPr>
        <w:t xml:space="preserve">の係数は</w:t>
      </w:r>
      <w:r>
        <w:t xml:space="preserve"> FY2016〜19 で−11.2 [−19.3, −3.6]、FY2023〜25 で−7.1 </w:t>
      </w:r>
      <w:r>
        <w:rPr>
          <w:rFonts w:hint="eastAsia"/>
        </w:rPr>
        <w:t xml:space="preserve">で、差+4.1</w:t>
      </w:r>
      <w:r>
        <w:t xml:space="preserve"> </w:t>
      </w:r>
      <w:r>
        <w:rPr>
          <w:rFonts w:hint="eastAsia"/>
        </w:rPr>
        <w:t xml:space="preserve">の95%区間は</w:t>
      </w:r>
      <w:r>
        <w:t xml:space="preserve"> [−3.9, </w:t>
      </w:r>
      <w:r>
        <w:rPr>
          <w:rFonts w:hint="eastAsia"/>
        </w:rPr>
        <w:t xml:space="preserve">+11.9]（z=1.0）である。年度別の</w:t>
      </w:r>
      <w:r>
        <w:t xml:space="preserve"> τ=0.9 </w:t>
      </w:r>
      <w:r>
        <w:rPr>
          <w:rFonts w:hint="eastAsia"/>
        </w:rPr>
        <w:t xml:space="preserve">の係数は</w:t>
      </w:r>
      <w:r>
        <w:t xml:space="preserve"> FY2016 −11.6、FY2018 +1.5、FY2019 −15.2、FY2022 −37.6、FY2025 −11.1 </w:t>
      </w:r>
      <w:r>
        <w:rPr>
          <w:rFonts w:hint="eastAsia"/>
        </w:rPr>
        <w:t xml:space="preserve">と大きく振れる。</w:t>
      </w:r>
    </w:p>
    <w:p>
      <w:pPr>
        <w:pStyle w:val="BodyText"/>
      </w:pPr>
      <w:r>
        <w:rPr>
          <w:rFonts w:hint="eastAsia"/>
        </w:rPr>
        <w:t xml:space="preserve">表C.2</w:t>
      </w:r>
      <w:r>
        <w:t xml:space="preserve"> </w:t>
      </w:r>
      <w:r>
        <w:rPr>
          <w:rFonts w:hint="eastAsia"/>
        </w:rPr>
        <w:t xml:space="preserve">は、本文5.4節の分位点回帰の係数を、期間別・期間差とともに示したものである。分位別の係数は本文の図5.5</w:t>
      </w:r>
      <w:r>
        <w:t xml:space="preserve"> </w:t>
      </w:r>
      <w:r>
        <w:rPr>
          <w:rFonts w:hint="eastAsia"/>
        </w:rPr>
        <w:t xml:space="preserve">に示す。</w:t>
      </w:r>
    </w:p>
    <w:p>
      <w:pPr>
        <w:pStyle w:val="TableCaption"/>
      </w:pPr>
      <w:r>
        <w:rPr>
          <w:rFonts w:hint="eastAsia"/>
        </w:rPr>
        <w:t xml:space="preserve">表C.2</w:t>
      </w:r>
      <w:r>
        <w:t xml:space="preserve">　</w:t>
      </w:r>
      <w:r>
        <w:rPr>
          <w:rFonts w:hint="eastAsia"/>
        </w:rPr>
        <w:t xml:space="preserve">分位点回帰による北海道の風力の係数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　分位点回帰による北海道の風力の係数"/>
      </w:tblPr>
      <w:tblGrid>
        <w:gridCol w:w="766"/>
        <w:gridCol w:w="1021"/>
        <w:gridCol w:w="1021"/>
        <w:gridCol w:w="1021"/>
        <w:gridCol w:w="1021"/>
        <w:gridCol w:w="1021"/>
        <w:gridCol w:w="1021"/>
        <w:gridCol w:w="1021"/>
      </w:tblGrid>
      <w:tr>
        <w:trPr>
          <w:tblHeader w:val="on"/>
        </w:trPr>
        <w:tc>
          <w:tcPr>
            <w:tcBorders>
              <w:bottom w:val="single" w:sz="6" w:color="000000"/>
            </w:tcBorders>
          </w:tcPr>
          <w:p>
            <w:pPr>
              <w:pStyle w:val="Compact"/>
            </w:pPr>
            <w:r>
              <w:rPr>
                <w:rFonts w:hint="eastAsia"/>
                <w:sz w:val="18"/>
              </w:rPr>
              <w:t xml:space="preserve">仕様・被説明変数</w:t>
            </w:r>
          </w:p>
        </w:tc>
        <w:tc>
          <w:tcPr>
            <w:tcBorders>
              <w:bottom w:val="single" w:sz="6" w:color="000000"/>
            </w:tcBorders>
          </w:tcPr>
          <w:p>
            <w:pPr>
              <w:pStyle w:val="Compact"/>
              <w:jc w:val="right"/>
            </w:pPr>
            <w:r>
              <w:rPr>
                <w:sz w:val="18"/>
              </w:rPr>
              <w:t xml:space="preserve">τ</w:t>
            </w:r>
          </w:p>
        </w:tc>
        <w:tc>
          <w:tcPr>
            <w:tcBorders>
              <w:bottom w:val="single" w:sz="6" w:color="000000"/>
            </w:tcBorders>
          </w:tcPr>
          <w:p>
            <w:pPr>
              <w:pStyle w:val="Compact"/>
              <w:jc w:val="right"/>
            </w:pPr>
            <w:r>
              <w:rPr>
                <w:sz w:val="18"/>
              </w:rPr>
              <w:t xml:space="preserve">FY2016〜18</w:t>
            </w:r>
          </w:p>
        </w:tc>
        <w:tc>
          <w:tcPr>
            <w:tcBorders>
              <w:bottom w:val="single" w:sz="6" w:color="000000"/>
            </w:tcBorders>
          </w:tcPr>
          <w:p>
            <w:pPr>
              <w:pStyle w:val="Compact"/>
              <w:jc w:val="right"/>
            </w:pPr>
            <w:r>
              <w:rPr>
                <w:sz w:val="18"/>
              </w:rPr>
              <w:t xml:space="preserve">FY2019〜22</w:t>
            </w:r>
          </w:p>
        </w:tc>
        <w:tc>
          <w:tcPr>
            <w:tcBorders>
              <w:bottom w:val="single" w:sz="6" w:color="000000"/>
            </w:tcBorders>
          </w:tcPr>
          <w:p>
            <w:pPr>
              <w:pStyle w:val="Compact"/>
              <w:jc w:val="right"/>
            </w:pPr>
            <w:r>
              <w:rPr>
                <w:sz w:val="18"/>
              </w:rPr>
              <w:t xml:space="preserve">FY2023〜25</w:t>
            </w:r>
          </w:p>
        </w:tc>
        <w:tc>
          <w:tcPr>
            <w:tcBorders>
              <w:bottom w:val="single" w:sz="6" w:color="000000"/>
            </w:tcBorders>
          </w:tcPr>
          <w:p>
            <w:pPr>
              <w:pStyle w:val="Compact"/>
              <w:jc w:val="right"/>
            </w:pPr>
            <w:r>
              <w:rPr>
                <w:sz w:val="18"/>
              </w:rPr>
              <w:t xml:space="preserve">FY2016〜19</w:t>
            </w:r>
          </w:p>
        </w:tc>
        <w:tc>
          <w:tcPr>
            <w:tcBorders>
              <w:bottom w:val="single" w:sz="6" w:color="000000"/>
            </w:tcBorders>
          </w:tcPr>
          <w:p>
            <w:pPr>
              <w:pStyle w:val="Compact"/>
              <w:jc w:val="right"/>
            </w:pPr>
            <w:r>
              <w:rPr>
                <w:rFonts w:hint="eastAsia"/>
                <w:sz w:val="18"/>
              </w:rPr>
              <w:t xml:space="preserve">差（対</w:t>
            </w:r>
            <w:r>
              <w:rPr>
                <w:sz w:val="18"/>
              </w:rPr>
              <w:t xml:space="preserve"> </w:t>
            </w:r>
            <w:r>
              <w:rPr>
                <w:rFonts w:hint="eastAsia"/>
                <w:sz w:val="18"/>
              </w:rPr>
              <w:t xml:space="preserve">FY2016〜18）</w:t>
            </w:r>
          </w:p>
        </w:tc>
        <w:tc>
          <w:tcPr>
            <w:tcBorders>
              <w:bottom w:val="single" w:sz="6" w:color="000000"/>
            </w:tcBorders>
          </w:tcPr>
          <w:p>
            <w:pPr>
              <w:pStyle w:val="Compact"/>
              <w:jc w:val="right"/>
            </w:pPr>
            <w:r>
              <w:rPr>
                <w:rFonts w:hint="eastAsia"/>
                <w:sz w:val="18"/>
              </w:rPr>
              <w:t xml:space="preserve">差（対</w:t>
            </w:r>
            <w:r>
              <w:rPr>
                <w:sz w:val="18"/>
              </w:rPr>
              <w:t xml:space="preserve"> </w:t>
            </w:r>
            <w:r>
              <w:rPr>
                <w:rFonts w:hint="eastAsia"/>
                <w:sz w:val="18"/>
              </w:rPr>
              <w:t xml:space="preserve">FY2016〜19）</w:t>
            </w:r>
          </w:p>
        </w:tc>
      </w:tr>
      <w:tr>
        <w:tc>
          <w:tcPr/>
          <w:p>
            <w:pPr>
              <w:pStyle w:val="Compact"/>
            </w:pPr>
            <w:r>
              <w:rPr>
                <w:rFonts w:hint="eastAsia"/>
                <w:sz w:val="18"/>
              </w:rPr>
              <w:t xml:space="preserve">統制付き・価格</w:t>
            </w:r>
          </w:p>
        </w:tc>
        <w:tc>
          <w:tcPr/>
          <w:p>
            <w:pPr>
              <w:pStyle w:val="Compact"/>
              <w:jc w:val="right"/>
            </w:pPr>
            <w:r>
              <w:rPr>
                <w:sz w:val="18"/>
              </w:rPr>
              <w:t xml:space="preserve">0.1</w:t>
            </w:r>
          </w:p>
        </w:tc>
        <w:tc>
          <w:tcPr/>
          <w:p>
            <w:pPr>
              <w:pStyle w:val="Compact"/>
              <w:jc w:val="right"/>
            </w:pPr>
            <w:r>
              <w:rPr>
                <w:sz w:val="18"/>
              </w:rPr>
              <w:t xml:space="preserve">−1.71 [−2.51, −1.05]</w:t>
            </w:r>
          </w:p>
        </w:tc>
        <w:tc>
          <w:tcPr/>
          <w:p>
            <w:pPr>
              <w:pStyle w:val="Compact"/>
              <w:jc w:val="right"/>
            </w:pPr>
            <w:r>
              <w:rPr>
                <w:sz w:val="18"/>
              </w:rPr>
              <w:t xml:space="preserve">−2.15 [−4.12, −1.29]</w:t>
            </w:r>
          </w:p>
        </w:tc>
        <w:tc>
          <w:tcPr/>
          <w:p>
            <w:pPr>
              <w:pStyle w:val="Compact"/>
              <w:jc w:val="right"/>
            </w:pPr>
            <w:r>
              <w:rPr>
                <w:sz w:val="18"/>
              </w:rPr>
              <w:t xml:space="preserve">−3.84 [−4.31, −3.12]</w:t>
            </w:r>
          </w:p>
        </w:tc>
        <w:tc>
          <w:tcPr/>
          <w:p>
            <w:pPr>
              <w:pStyle w:val="Compact"/>
              <w:jc w:val="right"/>
            </w:pPr>
            <w:r>
              <w:rPr>
                <w:sz w:val="18"/>
              </w:rPr>
              <w:t xml:space="preserve">−2.47 [−3.28, −1.64]</w:t>
            </w:r>
          </w:p>
        </w:tc>
        <w:tc>
          <w:tcPr/>
          <w:p>
            <w:pPr>
              <w:pStyle w:val="Compact"/>
              <w:jc w:val="right"/>
            </w:pPr>
            <w:r>
              <w:rPr>
                <w:sz w:val="18"/>
              </w:rPr>
              <w:t xml:space="preserve">−2.13 [−2.88, −0.99]</w:t>
            </w:r>
          </w:p>
        </w:tc>
        <w:tc>
          <w:tcPr/>
          <w:p>
            <w:pPr>
              <w:pStyle w:val="Compact"/>
              <w:jc w:val="right"/>
            </w:pPr>
            <w:r>
              <w:rPr>
                <w:sz w:val="18"/>
              </w:rPr>
              <w:t xml:space="preserve">−1.37 [−2.32, −0.16]</w:t>
            </w:r>
          </w:p>
        </w:tc>
      </w:tr>
      <w:tr>
        <w:tc>
          <w:tcPr/>
          <w:p>
            <w:pPr>
              <w:pStyle w:val="Compact"/>
            </w:pPr>
            <w:r>
              <w:rPr>
                <w:rFonts w:hint="eastAsia"/>
                <w:sz w:val="18"/>
              </w:rPr>
              <w:t xml:space="preserve">統制付き・価格</w:t>
            </w:r>
          </w:p>
        </w:tc>
        <w:tc>
          <w:tcPr/>
          <w:p>
            <w:pPr>
              <w:pStyle w:val="Compact"/>
              <w:jc w:val="right"/>
            </w:pPr>
            <w:r>
              <w:rPr>
                <w:sz w:val="18"/>
              </w:rPr>
              <w:t xml:space="preserve">0.9</w:t>
            </w:r>
          </w:p>
        </w:tc>
        <w:tc>
          <w:tcPr/>
          <w:p>
            <w:pPr>
              <w:pStyle w:val="Compact"/>
              <w:jc w:val="right"/>
            </w:pPr>
            <w:r>
              <w:rPr>
                <w:sz w:val="18"/>
              </w:rPr>
              <w:t xml:space="preserve">−0.84 [−3.91, +1.27]</w:t>
            </w:r>
          </w:p>
        </w:tc>
        <w:tc>
          <w:tcPr/>
          <w:p>
            <w:pPr>
              <w:pStyle w:val="Compact"/>
              <w:jc w:val="right"/>
            </w:pPr>
            <w:r>
              <w:rPr>
                <w:sz w:val="18"/>
              </w:rPr>
              <w:t xml:space="preserve">−7.40 [−10.80, −0.88]</w:t>
            </w:r>
          </w:p>
        </w:tc>
        <w:tc>
          <w:tcPr/>
          <w:p>
            <w:pPr>
              <w:pStyle w:val="Compact"/>
              <w:jc w:val="right"/>
            </w:pPr>
            <w:r>
              <w:rPr>
                <w:sz w:val="18"/>
              </w:rPr>
              <w:t xml:space="preserve">−5.28 [−6.01, −4.18]</w:t>
            </w:r>
          </w:p>
        </w:tc>
        <w:tc>
          <w:tcPr/>
          <w:p>
            <w:pPr>
              <w:pStyle w:val="Compact"/>
              <w:jc w:val="right"/>
            </w:pPr>
            <w:r>
              <w:rPr>
                <w:sz w:val="18"/>
              </w:rPr>
              <w:t xml:space="preserve">−3.24 [−5.69, −0.33]</w:t>
            </w:r>
          </w:p>
        </w:tc>
        <w:tc>
          <w:tcPr/>
          <w:p>
            <w:pPr>
              <w:pStyle w:val="Compact"/>
              <w:jc w:val="right"/>
            </w:pPr>
            <w:r>
              <w:rPr>
                <w:sz w:val="18"/>
              </w:rPr>
              <w:t xml:space="preserve">−4.43 [−6.60, −1.07]</w:t>
            </w:r>
          </w:p>
        </w:tc>
        <w:tc>
          <w:tcPr/>
          <w:p>
            <w:pPr>
              <w:pStyle w:val="Compact"/>
              <w:jc w:val="right"/>
            </w:pPr>
            <w:r>
              <w:rPr>
                <w:sz w:val="18"/>
              </w:rPr>
              <w:t xml:space="preserve">−2.04 [−5.19, +0.57]</w:t>
            </w:r>
          </w:p>
        </w:tc>
      </w:tr>
      <w:tr>
        <w:tc>
          <w:tcPr/>
          <w:p>
            <w:pPr>
              <w:pStyle w:val="Compact"/>
            </w:pPr>
            <w:r>
              <w:rPr>
                <w:rFonts w:hint="eastAsia"/>
                <w:sz w:val="18"/>
              </w:rPr>
              <w:t xml:space="preserve">統制付き・相対価格</w:t>
            </w:r>
          </w:p>
        </w:tc>
        <w:tc>
          <w:tcPr/>
          <w:p>
            <w:pPr>
              <w:pStyle w:val="Compact"/>
              <w:jc w:val="right"/>
            </w:pPr>
            <w:r>
              <w:rPr>
                <w:sz w:val="18"/>
              </w:rPr>
              <w:t xml:space="preserve">0.9</w:t>
            </w:r>
          </w:p>
        </w:tc>
        <w:tc>
          <w:tcPr/>
          <w:p>
            <w:pPr>
              <w:pStyle w:val="Compact"/>
              <w:jc w:val="right"/>
            </w:pPr>
            <w:r>
              <w:rPr>
                <w:sz w:val="18"/>
              </w:rPr>
              <w:t xml:space="preserve">−0.087 [−0.306, +0.063]</w:t>
            </w:r>
          </w:p>
        </w:tc>
        <w:tc>
          <w:tcPr/>
          <w:p>
            <w:pPr>
              <w:pStyle w:val="Compact"/>
              <w:jc w:val="right"/>
            </w:pPr>
            <w:r>
              <w:rPr>
                <w:sz w:val="18"/>
              </w:rPr>
              <w:t xml:space="preserve">−0.542 [−0.802, −0.061]</w:t>
            </w:r>
          </w:p>
        </w:tc>
        <w:tc>
          <w:tcPr/>
          <w:p>
            <w:pPr>
              <w:pStyle w:val="Compact"/>
              <w:jc w:val="right"/>
            </w:pPr>
            <w:r>
              <w:rPr>
                <w:sz w:val="18"/>
              </w:rPr>
              <w:t xml:space="preserve">−0.437 [−0.499, −0.349]</w:t>
            </w:r>
          </w:p>
        </w:tc>
        <w:tc>
          <w:tcPr/>
          <w:p>
            <w:pPr>
              <w:pStyle w:val="Compact"/>
              <w:jc w:val="right"/>
            </w:pPr>
            <w:r>
              <w:rPr>
                <w:sz w:val="18"/>
              </w:rPr>
              <w:t xml:space="preserve">−0.284 [−0.471, −0.057]</w:t>
            </w:r>
          </w:p>
        </w:tc>
        <w:tc>
          <w:tcPr/>
          <w:p>
            <w:pPr>
              <w:pStyle w:val="Compact"/>
              <w:jc w:val="right"/>
            </w:pPr>
            <w:r>
              <w:rPr>
                <w:sz w:val="18"/>
              </w:rPr>
              <w:t xml:space="preserve">−0.349 [−0.508, −0.107]</w:t>
            </w:r>
          </w:p>
        </w:tc>
        <w:tc>
          <w:tcPr/>
          <w:p>
            <w:pPr>
              <w:pStyle w:val="Compact"/>
              <w:jc w:val="right"/>
            </w:pPr>
            <w:r>
              <w:rPr>
                <w:sz w:val="18"/>
              </w:rPr>
              <w:t xml:space="preserve">−0.153 [−0.406, +0.057]</w:t>
            </w:r>
          </w:p>
        </w:tc>
      </w:tr>
      <w:tr>
        <w:tc>
          <w:tcPr/>
          <w:p>
            <w:pPr>
              <w:pStyle w:val="Compact"/>
            </w:pPr>
            <w:r>
              <w:rPr>
                <w:rFonts w:hint="eastAsia"/>
                <w:sz w:val="18"/>
              </w:rPr>
              <w:t xml:space="preserve">統制なし・価格</w:t>
            </w:r>
          </w:p>
        </w:tc>
        <w:tc>
          <w:tcPr/>
          <w:p>
            <w:pPr>
              <w:pStyle w:val="Compact"/>
              <w:jc w:val="right"/>
            </w:pPr>
            <w:r>
              <w:rPr>
                <w:sz w:val="18"/>
              </w:rPr>
              <w:t xml:space="preserve">0.9</w:t>
            </w:r>
          </w:p>
        </w:tc>
        <w:tc>
          <w:tcPr/>
          <w:p>
            <w:pPr>
              <w:pStyle w:val="Compact"/>
              <w:jc w:val="right"/>
            </w:pPr>
            <w:r>
              <w:rPr>
                <w:sz w:val="18"/>
              </w:rPr>
              <w:t xml:space="preserve">−3.24 [−13.64, +5.13]</w:t>
            </w:r>
          </w:p>
        </w:tc>
        <w:tc>
          <w:tcPr/>
          <w:p>
            <w:pPr>
              <w:pStyle w:val="Compact"/>
              <w:jc w:val="right"/>
            </w:pPr>
            <w:r>
              <w:rPr>
                <w:sz w:val="18"/>
              </w:rPr>
              <w:t xml:space="preserve">−13.82 [−25.35, −3.55]</w:t>
            </w:r>
          </w:p>
        </w:tc>
        <w:tc>
          <w:tcPr/>
          <w:p>
            <w:pPr>
              <w:pStyle w:val="Compact"/>
              <w:jc w:val="right"/>
            </w:pPr>
            <w:r>
              <w:rPr>
                <w:sz w:val="18"/>
              </w:rPr>
              <w:t xml:space="preserve">−7.07 [−8.32, −5.62]</w:t>
            </w:r>
          </w:p>
        </w:tc>
        <w:tc>
          <w:tcPr/>
          <w:p>
            <w:pPr>
              <w:pStyle w:val="Compact"/>
              <w:jc w:val="right"/>
            </w:pPr>
            <w:r>
              <w:rPr>
                <w:sz w:val="18"/>
              </w:rPr>
              <w:t xml:space="preserve">−11.22 [−19.28, −3.62]</w:t>
            </w:r>
          </w:p>
        </w:tc>
        <w:tc>
          <w:tcPr/>
          <w:p>
            <w:pPr>
              <w:pStyle w:val="Compact"/>
              <w:jc w:val="right"/>
            </w:pPr>
            <w:r>
              <w:rPr>
                <w:sz w:val="18"/>
              </w:rPr>
              <w:t xml:space="preserve">−3.83 [−12.41, +6.51]</w:t>
            </w:r>
          </w:p>
        </w:tc>
        <w:tc>
          <w:tcPr/>
          <w:p>
            <w:pPr>
              <w:pStyle w:val="Compact"/>
              <w:jc w:val="right"/>
            </w:pPr>
            <w:r>
              <w:rPr>
                <w:sz w:val="18"/>
              </w:rPr>
              <w:t xml:space="preserve">+4.14 [−3.92, +11.89]</w:t>
            </w:r>
          </w:p>
        </w:tc>
      </w:tr>
    </w:tbl>
    <w:p>
      <w:pPr>
        <w:pStyle w:val="TableNote"/>
      </w:pPr>
      <w:r>
        <w:rPr>
          <w:rFonts w:hint="eastAsia"/>
        </w:rPr>
        <w:t xml:space="preserve">注）時間値。価格の単位は円/kWh</w:t>
      </w:r>
      <w:r>
        <w:t xml:space="preserve"> per </w:t>
      </w:r>
      <w:r>
        <w:rPr>
          <w:rFonts w:hint="eastAsia"/>
        </w:rPr>
        <w:t xml:space="preserve">GW。相対価格は価格を年度平均で割った値。FY2016〜19</w:t>
      </w:r>
      <w:r>
        <w:t xml:space="preserve"> </w:t>
      </w:r>
      <w:r>
        <w:rPr>
          <w:rFonts w:hint="eastAsia"/>
        </w:rPr>
        <w:t xml:space="preserve">は先行研究の期間で、参考に示す。差は</w:t>
      </w:r>
      <w:r>
        <w:t xml:space="preserve"> FY2023〜25 </w:t>
      </w:r>
      <w:r>
        <w:rPr>
          <w:rFonts w:hint="eastAsia"/>
        </w:rPr>
        <w:t xml:space="preserve">の係数から各期間の係数を引いた値。統制付きは制御前の風力・太陽光・需要に季節×時刻・月・年度の固定効果と曜日・祝日を加えた仕様、統制なしは発電実績と定数の仕様。[</w:t>
      </w:r>
      <w:r>
        <w:t xml:space="preserve"> ] </w:t>
      </w:r>
      <w:r>
        <w:rPr>
          <w:rFonts w:hint="eastAsia"/>
        </w:rPr>
        <w:t xml:space="preserve">内は日単位の14日移動ブロック・ブートストラップ（499回）による95%区間で、期間差は期間ごとに独立に抽出した複製の差による。</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b/>
          <w:bCs/>
        </w:rPr>
        <w:t xml:space="preserve">統制付きの仕様の感応度</w:t>
      </w:r>
      <w:r>
        <w:t xml:space="preserve">　</w:t>
      </w:r>
      <w:r>
        <w:rPr>
          <w:rFonts w:hint="eastAsia"/>
        </w:rPr>
        <w:t xml:space="preserve">表C.3</w:t>
      </w:r>
      <w:r>
        <w:t xml:space="preserve"> </w:t>
      </w:r>
      <w:r>
        <w:rPr>
          <w:rFonts w:hint="eastAsia"/>
        </w:rPr>
        <w:t xml:space="preserve">は、表C.2</w:t>
      </w:r>
      <w:r>
        <w:t xml:space="preserve"> </w:t>
      </w:r>
      <w:r>
        <w:rPr>
          <w:rFonts w:hint="eastAsia"/>
        </w:rPr>
        <w:t xml:space="preserve">の統制付きの仕様の</w:t>
      </w:r>
      <w:r>
        <w:t xml:space="preserve"> τ=0.5 </w:t>
      </w:r>
      <w:r>
        <w:rPr>
          <w:rFonts w:hint="eastAsia"/>
        </w:rPr>
        <w:t xml:space="preserve">の結果と、FY2018</w:t>
      </w:r>
      <w:r>
        <w:t xml:space="preserve"> </w:t>
      </w:r>
      <w:r>
        <w:rPr>
          <w:rFonts w:hint="eastAsia"/>
        </w:rPr>
        <w:t xml:space="preserve">を除く</w:t>
      </w:r>
      <w:r>
        <w:t xml:space="preserve"> </w:t>
      </w:r>
      <w:r>
        <w:rPr>
          <w:rFonts w:hint="eastAsia"/>
        </w:rPr>
        <w:t xml:space="preserve">FY2016〜17、燃料危機期を除く</w:t>
      </w:r>
      <w:r>
        <w:t xml:space="preserve"> FY2019〜20 </w:t>
      </w:r>
      <w:r>
        <w:rPr>
          <w:rFonts w:hint="eastAsia"/>
        </w:rPr>
        <w:t xml:space="preserve">との比較を示す。統制付きの仕様の年度別の</w:t>
      </w:r>
      <w:r>
        <w:t xml:space="preserve"> τ=0.9 </w:t>
      </w:r>
      <w:r>
        <w:rPr>
          <w:rFonts w:hint="eastAsia"/>
        </w:rPr>
        <w:t xml:space="preserve">の係数は、FY2018</w:t>
      </w:r>
      <w:r>
        <w:t xml:space="preserve"> で−0.48 である。FY2016〜17 </w:t>
      </w:r>
      <w:r>
        <w:rPr>
          <w:rFonts w:hint="eastAsia"/>
        </w:rPr>
        <w:t xml:space="preserve">との比較では、τ=0.9</w:t>
      </w:r>
      <w:r>
        <w:t xml:space="preserve"> </w:t>
      </w:r>
      <w:r>
        <w:rPr>
          <w:rFonts w:hint="eastAsia"/>
        </w:rPr>
        <w:t xml:space="preserve">の差は0を含むが、τ=0.1〜0.8</w:t>
      </w:r>
      <w:r>
        <w:t xml:space="preserve"> </w:t>
      </w:r>
      <w:r>
        <w:rPr>
          <w:rFonts w:hint="eastAsia"/>
        </w:rPr>
        <w:t xml:space="preserve">では−1.8〜−3.0円で負に有意である（相対価格でも同じ）。FY2019〜22</w:t>
      </w:r>
      <w:r>
        <w:t xml:space="preserve"> と FY2016〜18 の τ=0.9 </w:t>
      </w:r>
      <w:r>
        <w:rPr>
          <w:rFonts w:hint="eastAsia"/>
        </w:rPr>
        <w:t xml:space="preserve">の差は</w:t>
      </w:r>
      <w:r>
        <w:t xml:space="preserve"> z=−2.30 </w:t>
      </w:r>
      <w:r>
        <w:rPr>
          <w:rFonts w:hint="eastAsia"/>
        </w:rPr>
        <w:t xml:space="preserve">だが、パーセンタイル区間</w:t>
      </w:r>
      <w:r>
        <w:t xml:space="preserve"> [−10.30, +0.80] </w:t>
      </w:r>
      <w:r>
        <w:rPr>
          <w:rFonts w:hint="eastAsia"/>
        </w:rPr>
        <w:t xml:space="preserve">は非対称で0を含む。下限張り付きの時間（FY2023〜25</w:t>
      </w:r>
      <w:r>
        <w:t xml:space="preserve"> </w:t>
      </w:r>
      <w:r>
        <w:rPr>
          <w:rFonts w:hint="eastAsia"/>
        </w:rPr>
        <w:t xml:space="preserve">で2.3%）を除くと、FY2023〜25</w:t>
      </w:r>
      <w:r>
        <w:t xml:space="preserve"> の τ=0.1 </w:t>
      </w:r>
      <w:r>
        <w:rPr>
          <w:rFonts w:hint="eastAsia"/>
        </w:rPr>
        <w:t xml:space="preserve">の係数は−3.84</w:t>
      </w:r>
      <w:r>
        <w:t xml:space="preserve"> から−3.74 になる。</w:t>
      </w:r>
    </w:p>
    <w:p>
      <w:pPr>
        <w:pStyle w:val="TableCaption"/>
      </w:pPr>
      <w:r>
        <w:rPr>
          <w:rFonts w:hint="eastAsia"/>
        </w:rPr>
        <w:t xml:space="preserve">表C.3</w:t>
      </w:r>
      <w:r>
        <w:t xml:space="preserve">　</w:t>
      </w:r>
      <w:r>
        <w:rPr>
          <w:rFonts w:hint="eastAsia"/>
        </w:rPr>
        <w:t xml:space="preserve">分位点回帰の感応度（北海道の風力、統制付きの仕様）</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　分位点回帰の感応度（北海道の風力、統制付きの仕様）"/>
      </w:tblPr>
      <w:tblGrid>
        <w:gridCol w:w="1033"/>
        <w:gridCol w:w="1377"/>
        <w:gridCol w:w="1377"/>
        <w:gridCol w:w="1377"/>
        <w:gridCol w:w="1377"/>
        <w:gridCol w:w="1377"/>
      </w:tblGrid>
      <w:tr>
        <w:trPr>
          <w:tblHeader w:val="on"/>
        </w:trPr>
        <w:tc>
          <w:tcPr>
            <w:tcBorders>
              <w:bottom w:val="single" w:sz="6" w:color="000000"/>
            </w:tcBorders>
          </w:tcPr>
          <w:p>
            <w:pPr>
              <w:pStyle w:val="Compact"/>
            </w:pPr>
            <w:r>
              <w:rPr>
                <w:rFonts w:hint="eastAsia"/>
                <w:sz w:val="18"/>
              </w:rPr>
              <w:t xml:space="preserve">被説明変数</w:t>
            </w:r>
          </w:p>
        </w:tc>
        <w:tc>
          <w:tcPr>
            <w:tcBorders>
              <w:bottom w:val="single" w:sz="6" w:color="000000"/>
            </w:tcBorders>
          </w:tcPr>
          <w:p>
            <w:pPr>
              <w:pStyle w:val="Compact"/>
              <w:jc w:val="right"/>
            </w:pPr>
            <w:r>
              <w:rPr>
                <w:sz w:val="18"/>
              </w:rPr>
              <w:t xml:space="preserve">τ</w:t>
            </w:r>
          </w:p>
        </w:tc>
        <w:tc>
          <w:tcPr>
            <w:tcBorders>
              <w:bottom w:val="single" w:sz="6" w:color="000000"/>
            </w:tcBorders>
          </w:tcPr>
          <w:p>
            <w:pPr>
              <w:pStyle w:val="Compact"/>
              <w:jc w:val="right"/>
            </w:pPr>
            <w:r>
              <w:rPr>
                <w:sz w:val="18"/>
              </w:rPr>
              <w:t xml:space="preserve">FY2016〜17</w:t>
            </w:r>
          </w:p>
        </w:tc>
        <w:tc>
          <w:tcPr>
            <w:tcBorders>
              <w:bottom w:val="single" w:sz="6" w:color="000000"/>
            </w:tcBorders>
          </w:tcPr>
          <w:p>
            <w:pPr>
              <w:pStyle w:val="Compact"/>
              <w:jc w:val="right"/>
            </w:pPr>
            <w:r>
              <w:rPr>
                <w:rFonts w:hint="eastAsia"/>
                <w:sz w:val="18"/>
              </w:rPr>
              <w:t xml:space="preserve">差（FY2023〜25−FY2016〜17）</w:t>
            </w:r>
          </w:p>
        </w:tc>
        <w:tc>
          <w:tcPr>
            <w:tcBorders>
              <w:bottom w:val="single" w:sz="6" w:color="000000"/>
            </w:tcBorders>
          </w:tcPr>
          <w:p>
            <w:pPr>
              <w:pStyle w:val="Compact"/>
              <w:jc w:val="right"/>
            </w:pPr>
            <w:r>
              <w:rPr>
                <w:sz w:val="18"/>
              </w:rPr>
              <w:t xml:space="preserve">FY2019〜20</w:t>
            </w:r>
          </w:p>
        </w:tc>
        <w:tc>
          <w:tcPr>
            <w:tcBorders>
              <w:bottom w:val="single" w:sz="6" w:color="000000"/>
            </w:tcBorders>
          </w:tcPr>
          <w:p>
            <w:pPr>
              <w:pStyle w:val="Compact"/>
              <w:jc w:val="right"/>
            </w:pPr>
            <w:r>
              <w:rPr>
                <w:rFonts w:hint="eastAsia"/>
                <w:sz w:val="18"/>
              </w:rPr>
              <w:t xml:space="preserve">差（FY2023〜25−FY2019〜20）</w:t>
            </w:r>
          </w:p>
        </w:tc>
      </w:tr>
      <w:tr>
        <w:tc>
          <w:tcPr/>
          <w:p>
            <w:pPr>
              <w:pStyle w:val="Compact"/>
            </w:pPr>
            <w:r>
              <w:rPr>
                <w:rFonts w:hint="eastAsia"/>
                <w:sz w:val="18"/>
              </w:rPr>
              <w:t xml:space="preserve">価格</w:t>
            </w:r>
          </w:p>
        </w:tc>
        <w:tc>
          <w:tcPr/>
          <w:p>
            <w:pPr>
              <w:pStyle w:val="Compact"/>
              <w:jc w:val="right"/>
            </w:pPr>
            <w:r>
              <w:rPr>
                <w:sz w:val="18"/>
              </w:rPr>
              <w:t xml:space="preserve">0.1</w:t>
            </w:r>
          </w:p>
        </w:tc>
        <w:tc>
          <w:tcPr/>
          <w:p>
            <w:pPr>
              <w:pStyle w:val="Compact"/>
              <w:jc w:val="right"/>
            </w:pPr>
            <w:r>
              <w:rPr>
                <w:sz w:val="18"/>
              </w:rPr>
              <w:t xml:space="preserve">−2.08 [−2.90, −1.07]</w:t>
            </w:r>
          </w:p>
        </w:tc>
        <w:tc>
          <w:tcPr/>
          <w:p>
            <w:pPr>
              <w:pStyle w:val="Compact"/>
              <w:jc w:val="right"/>
            </w:pPr>
            <w:r>
              <w:rPr>
                <w:sz w:val="18"/>
              </w:rPr>
              <w:t xml:space="preserve">−1.75 [−2.84, −0.63]</w:t>
            </w:r>
          </w:p>
        </w:tc>
        <w:tc>
          <w:tcPr/>
          <w:p>
            <w:pPr>
              <w:pStyle w:val="Compact"/>
              <w:jc w:val="right"/>
            </w:pPr>
            <w:r>
              <w:rPr>
                <w:sz w:val="18"/>
              </w:rPr>
              <w:t xml:space="preserve">−1.32 [−2.63, −0.39]</w:t>
            </w:r>
          </w:p>
        </w:tc>
        <w:tc>
          <w:tcPr/>
          <w:p>
            <w:pPr>
              <w:pStyle w:val="Compact"/>
              <w:jc w:val="right"/>
            </w:pPr>
            <w:r>
              <w:rPr>
                <w:sz w:val="18"/>
              </w:rPr>
              <w:t xml:space="preserve">−2.52 [−3.52, −1.04]</w:t>
            </w:r>
          </w:p>
        </w:tc>
      </w:tr>
      <w:tr>
        <w:tc>
          <w:tcPr/>
          <w:p>
            <w:pPr>
              <w:pStyle w:val="Compact"/>
            </w:pPr>
            <w:r>
              <w:rPr>
                <w:rFonts w:hint="eastAsia"/>
                <w:sz w:val="18"/>
              </w:rPr>
              <w:t xml:space="preserve">価格</w:t>
            </w:r>
          </w:p>
        </w:tc>
        <w:tc>
          <w:tcPr/>
          <w:p>
            <w:pPr>
              <w:pStyle w:val="Compact"/>
              <w:jc w:val="right"/>
            </w:pPr>
            <w:r>
              <w:rPr>
                <w:sz w:val="18"/>
              </w:rPr>
              <w:t xml:space="preserve">0.5</w:t>
            </w:r>
          </w:p>
        </w:tc>
        <w:tc>
          <w:tcPr/>
          <w:p>
            <w:pPr>
              <w:pStyle w:val="Compact"/>
              <w:jc w:val="right"/>
            </w:pPr>
            <w:r>
              <w:rPr>
                <w:sz w:val="18"/>
              </w:rPr>
              <w:t xml:space="preserve">−1.63 [−2.89, −0.58]</w:t>
            </w:r>
          </w:p>
        </w:tc>
        <w:tc>
          <w:tcPr/>
          <w:p>
            <w:pPr>
              <w:pStyle w:val="Compact"/>
              <w:jc w:val="right"/>
            </w:pPr>
            <w:r>
              <w:rPr>
                <w:sz w:val="18"/>
              </w:rPr>
              <w:t xml:space="preserve">−2.39 [−3.43, −0.79]</w:t>
            </w:r>
          </w:p>
        </w:tc>
        <w:tc>
          <w:tcPr/>
          <w:p>
            <w:pPr>
              <w:pStyle w:val="Compact"/>
              <w:jc w:val="right"/>
            </w:pPr>
            <w:r>
              <w:rPr>
                <w:sz w:val="18"/>
              </w:rPr>
              <w:t xml:space="preserve">−2.12 [−3.83, −0.10]</w:t>
            </w:r>
          </w:p>
        </w:tc>
        <w:tc>
          <w:tcPr/>
          <w:p>
            <w:pPr>
              <w:pStyle w:val="Compact"/>
              <w:jc w:val="right"/>
            </w:pPr>
            <w:r>
              <w:rPr>
                <w:sz w:val="18"/>
              </w:rPr>
              <w:t xml:space="preserve">−1.90 [−3.76, +0.19]</w:t>
            </w:r>
          </w:p>
        </w:tc>
      </w:tr>
      <w:tr>
        <w:tc>
          <w:tcPr/>
          <w:p>
            <w:pPr>
              <w:pStyle w:val="Compact"/>
            </w:pPr>
            <w:r>
              <w:rPr>
                <w:rFonts w:hint="eastAsia"/>
                <w:sz w:val="18"/>
              </w:rPr>
              <w:t xml:space="preserve">価格</w:t>
            </w:r>
          </w:p>
        </w:tc>
        <w:tc>
          <w:tcPr/>
          <w:p>
            <w:pPr>
              <w:pStyle w:val="Compact"/>
              <w:jc w:val="right"/>
            </w:pPr>
            <w:r>
              <w:rPr>
                <w:sz w:val="18"/>
              </w:rPr>
              <w:t xml:space="preserve">0.9</w:t>
            </w:r>
          </w:p>
        </w:tc>
        <w:tc>
          <w:tcPr/>
          <w:p>
            <w:pPr>
              <w:pStyle w:val="Compact"/>
              <w:jc w:val="right"/>
            </w:pPr>
            <w:r>
              <w:rPr>
                <w:sz w:val="18"/>
              </w:rPr>
              <w:t xml:space="preserve">−2.48 [−5.46, +0.27]</w:t>
            </w:r>
          </w:p>
        </w:tc>
        <w:tc>
          <w:tcPr/>
          <w:p>
            <w:pPr>
              <w:pStyle w:val="Compact"/>
              <w:jc w:val="right"/>
            </w:pPr>
            <w:r>
              <w:rPr>
                <w:sz w:val="18"/>
              </w:rPr>
              <w:t xml:space="preserve">−2.79 [−5.47, +0.63]</w:t>
            </w:r>
          </w:p>
        </w:tc>
        <w:tc>
          <w:tcPr/>
          <w:p>
            <w:pPr>
              <w:pStyle w:val="Compact"/>
              <w:jc w:val="right"/>
            </w:pPr>
            <w:r>
              <w:rPr>
                <w:sz w:val="18"/>
              </w:rPr>
              <w:t xml:space="preserve">−2.18 [−5.25, +1.88]</w:t>
            </w:r>
          </w:p>
        </w:tc>
        <w:tc>
          <w:tcPr/>
          <w:p>
            <w:pPr>
              <w:pStyle w:val="Compact"/>
              <w:jc w:val="right"/>
            </w:pPr>
            <w:r>
              <w:rPr>
                <w:sz w:val="18"/>
              </w:rPr>
              <w:t xml:space="preserve">−3.10 [−7.38, +0.24]</w:t>
            </w:r>
          </w:p>
        </w:tc>
      </w:tr>
      <w:tr>
        <w:tc>
          <w:tcPr/>
          <w:p>
            <w:pPr>
              <w:pStyle w:val="Compact"/>
            </w:pPr>
            <w:r>
              <w:rPr>
                <w:rFonts w:hint="eastAsia"/>
                <w:sz w:val="18"/>
              </w:rPr>
              <w:t xml:space="preserve">相対価格</w:t>
            </w:r>
          </w:p>
        </w:tc>
        <w:tc>
          <w:tcPr/>
          <w:p>
            <w:pPr>
              <w:pStyle w:val="Compact"/>
              <w:jc w:val="right"/>
            </w:pPr>
            <w:r>
              <w:rPr>
                <w:sz w:val="18"/>
              </w:rPr>
              <w:t xml:space="preserve">0.9</w:t>
            </w:r>
          </w:p>
        </w:tc>
        <w:tc>
          <w:tcPr/>
          <w:p>
            <w:pPr>
              <w:pStyle w:val="Compact"/>
              <w:jc w:val="right"/>
            </w:pPr>
            <w:r>
              <w:rPr>
                <w:sz w:val="18"/>
              </w:rPr>
              <w:t xml:space="preserve">−0.219 [−0.456, +0.030]</w:t>
            </w:r>
          </w:p>
        </w:tc>
        <w:tc>
          <w:tcPr/>
          <w:p>
            <w:pPr>
              <w:pStyle w:val="Compact"/>
              <w:jc w:val="right"/>
            </w:pPr>
            <w:r>
              <w:rPr>
                <w:sz w:val="18"/>
              </w:rPr>
              <w:t xml:space="preserve">−0.218 [−0.448, +0.048]</w:t>
            </w:r>
          </w:p>
        </w:tc>
        <w:tc>
          <w:tcPr/>
          <w:p>
            <w:pPr>
              <w:pStyle w:val="Compact"/>
              <w:jc w:val="right"/>
            </w:pPr>
            <w:r>
              <w:rPr>
                <w:sz w:val="18"/>
              </w:rPr>
              <w:t xml:space="preserve">−0.203 [−0.455, +0.151]</w:t>
            </w:r>
          </w:p>
        </w:tc>
        <w:tc>
          <w:tcPr/>
          <w:p>
            <w:pPr>
              <w:pStyle w:val="Compact"/>
              <w:jc w:val="right"/>
            </w:pPr>
            <w:r>
              <w:rPr>
                <w:sz w:val="18"/>
              </w:rPr>
              <w:t xml:space="preserve">−0.234 [−0.595, +0.040]</w:t>
            </w:r>
          </w:p>
        </w:tc>
      </w:tr>
    </w:tbl>
    <w:p>
      <w:pPr>
        <w:pStyle w:val="TableNote"/>
      </w:pPr>
      <w:r>
        <w:rPr>
          <w:rFonts w:hint="eastAsia"/>
        </w:rPr>
        <w:t xml:space="preserve">注）時間値。価格の単位は円/kWh</w:t>
      </w:r>
      <w:r>
        <w:t xml:space="preserve"> per </w:t>
      </w:r>
      <w:r>
        <w:rPr>
          <w:rFonts w:hint="eastAsia"/>
        </w:rPr>
        <w:t xml:space="preserve">GW。仕様は表C.2</w:t>
      </w:r>
      <w:r>
        <w:t xml:space="preserve"> </w:t>
      </w:r>
      <w:r>
        <w:rPr>
          <w:rFonts w:hint="eastAsia"/>
        </w:rPr>
        <w:t xml:space="preserve">の統制付きの仕様。τ=0.5</w:t>
      </w:r>
      <w:r>
        <w:t xml:space="preserve"> </w:t>
      </w:r>
      <w:r>
        <w:rPr>
          <w:rFonts w:hint="eastAsia"/>
        </w:rPr>
        <w:t xml:space="preserve">の他の期間の値は、FY2016〜18</w:t>
      </w:r>
      <w:r>
        <w:t xml:space="preserve"> −1.76 [−3.00, −0.69]、FY2019〜22 −4.41 [−6.94, −1.36]、FY2023〜25 −4.02 [−4.43, −3.26]、FY2016〜19 −2.94 [−4.09, −1.35]、FY2023〜25 と FY2016〜18 </w:t>
      </w:r>
      <w:r>
        <w:rPr>
          <w:rFonts w:hint="eastAsia"/>
        </w:rPr>
        <w:t xml:space="preserve">の差−2.26</w:t>
      </w:r>
      <w:r>
        <w:t xml:space="preserve"> [−3.30, −0.76]、FY2016〜19 </w:t>
      </w:r>
      <w:r>
        <w:rPr>
          <w:rFonts w:hint="eastAsia"/>
        </w:rPr>
        <w:t xml:space="preserve">との差−1.08</w:t>
      </w:r>
      <w:r>
        <w:t xml:space="preserve"> [−2.49, +0.26]。[ ] </w:t>
      </w:r>
      <w:r>
        <w:rPr>
          <w:rFonts w:hint="eastAsia"/>
        </w:rPr>
        <w:t xml:space="preserve">内は日単位の14日移動ブロック・ブートストラップ（499回）による95%区間。</w:t>
      </w:r>
    </w:p>
    <w:p>
      <w:pPr>
        <w:pStyle w:val="TableNote"/>
      </w:pPr>
      <w:r>
        <w:rPr>
          <w:rFonts w:hint="eastAsia"/>
        </w:rPr>
        <w:t xml:space="preserve">出所）表5.2</w:t>
      </w:r>
      <w:r>
        <w:t xml:space="preserve"> </w:t>
      </w:r>
      <w:r>
        <w:rPr>
          <w:rFonts w:hint="eastAsia"/>
        </w:rPr>
        <w:t xml:space="preserve">と同じ（北海道のみ）。</w:t>
      </w:r>
    </w:p>
    <w:p>
      <w:pPr>
        <w:pStyle w:val="BodyText"/>
      </w:pPr>
      <w:r>
        <w:rPr>
          <w:rFonts w:hint="eastAsia"/>
          <w:b/>
          <w:bCs/>
        </w:rPr>
        <w:t xml:space="preserve">市場分断の内訳</w:t>
      </w:r>
      <w:r>
        <w:t xml:space="preserve">　</w:t>
      </w:r>
      <w:r>
        <w:rPr>
          <w:rFonts w:hint="eastAsia"/>
        </w:rPr>
        <w:t xml:space="preserve">北海道と東北で価格が分かれたコマは、全コマに占める割合で、増強をはさんで</w:t>
      </w:r>
      <w:r>
        <w:t xml:space="preserve"> FY2018 の92%から FY2020 </w:t>
      </w:r>
      <w:r>
        <w:rPr>
          <w:rFonts w:hint="eastAsia"/>
        </w:rPr>
        <w:t xml:space="preserve">の15%へ下がった。そのうち北海道が東北より高いコマは、同じく</w:t>
      </w:r>
      <w:r>
        <w:t xml:space="preserve"> FY2018 の91%から FY2020 </w:t>
      </w:r>
      <w:r>
        <w:rPr>
          <w:rFonts w:hint="eastAsia"/>
        </w:rPr>
        <w:t xml:space="preserve">の13%へ下がっており、分かれたコマの大半を占める。FY2016〜19</w:t>
      </w:r>
      <w:r>
        <w:t xml:space="preserve"> </w:t>
      </w:r>
      <w:r>
        <w:rPr>
          <w:rFonts w:hint="eastAsia"/>
        </w:rPr>
        <w:t xml:space="preserve">の高値の76.6%は北海道＞東北である。FY2023〜25</w:t>
      </w:r>
      <w:r>
        <w:t xml:space="preserve"> </w:t>
      </w:r>
      <w:r>
        <w:rPr>
          <w:rFonts w:hint="eastAsia"/>
        </w:rPr>
        <w:t xml:space="preserve">の高値のうち北本連系線で分断したのは16.6%（北海道＞東北13.8%）、83.4%は北海道＝東北で、高値全体の75.7%は北海道＝東北＝東京＞システムである。安値のうち北本連系線で分断したのは31.5%（北海道＜東北は27.7%）で、68.5%は北海道と東北が同価格のまま生じている（安値全体の50.7%は東北東京間、17.8%は東京とシステムの間で分断）。風力の季節内三分位の大−小で比べた安値の時間の増加は、夏3.6、冬5.2、不需要期4.4</w:t>
      </w:r>
      <w:r>
        <w:t xml:space="preserve"> </w:t>
      </w:r>
      <w:r>
        <w:rPr>
          <w:rFonts w:hint="eastAsia"/>
        </w:rPr>
        <w:t xml:space="preserve">時間/日（95%区間</w:t>
      </w:r>
      <w:r>
        <w:t xml:space="preserve"> [1.1, 5.8]、[3.3, 7.0]、[2.8, </w:t>
      </w:r>
      <w:r>
        <w:rPr>
          <w:rFonts w:hint="eastAsia"/>
        </w:rPr>
        <w:t xml:space="preserve">5.6]）で、このうち北本連系線が拘束する時間の増加は夏+2.7、不需要期+2.0、冬+0.9</w:t>
      </w:r>
      <w:r>
        <w:t xml:space="preserve"> </w:t>
      </w:r>
      <w:r>
        <w:rPr>
          <w:rFonts w:hint="eastAsia"/>
        </w:rPr>
        <w:t xml:space="preserve">時間/日である。北本連系線が拘束する時間の北海道からの送電は、中央値337MW</w:t>
      </w:r>
      <w:r>
        <w:t xml:space="preserve"> で、500MW </w:t>
      </w:r>
      <w:r>
        <w:rPr>
          <w:rFonts w:hint="eastAsia"/>
        </w:rPr>
        <w:t xml:space="preserve">以上が26%であり、他の時間（中央値61〜112MW）より大きい。</w:t>
      </w:r>
    </w:p>
    <w:bookmarkEnd w:id="356"/>
    <w:bookmarkStart w:id="357" w:name="c.1.4-空間分散の反実仮想の詳細"/>
    <w:p>
      <w:pPr>
        <w:pStyle w:val="Heading3"/>
      </w:pPr>
      <w:r>
        <w:t xml:space="preserve">C.1.4　</w:t>
      </w:r>
      <w:r>
        <w:rPr>
          <w:rFonts w:hint="eastAsia"/>
        </w:rPr>
        <w:t xml:space="preserve">空間分散の反実仮想の詳細</w:t>
      </w:r>
    </w:p>
    <w:p>
      <w:pPr>
        <w:pStyle w:val="FirstParagraph"/>
      </w:pPr>
      <w:r>
        <w:rPr>
          <w:rFonts w:hint="eastAsia"/>
          <w:b/>
          <w:bCs/>
        </w:rPr>
        <w:t xml:space="preserve">実フリートの帯域</w:t>
      </w:r>
      <w:r>
        <w:t xml:space="preserve">　FY2023〜25 </w:t>
      </w:r>
      <w:r>
        <w:rPr>
          <w:rFonts w:hint="eastAsia"/>
        </w:rPr>
        <w:t xml:space="preserve">の実フリートの風力（制御前、26,304時間）を発電量の系列で分解すると、6時間未満と6〜24時間の帯域の分散は総分散の1.9%と8.8%を占める（1〜7日40.1%、7日超31.2%）。帯域分散の和に占める日内2帯域の割合は13.1%である。</w:t>
      </w:r>
    </w:p>
    <w:p>
      <w:pPr>
        <w:pStyle w:val="BodyText"/>
      </w:pPr>
      <w:r>
        <w:rPr>
          <w:rFonts w:hint="eastAsia"/>
          <w:b/>
          <w:bCs/>
        </w:rPr>
        <w:t xml:space="preserve">校正</w:t>
      </w:r>
      <w:r>
        <w:t xml:space="preserve">　</w:t>
      </w:r>
      <w:r>
        <w:rPr>
          <w:rFonts w:hint="eastAsia"/>
        </w:rPr>
        <w:t xml:space="preserve">表C.4</w:t>
      </w:r>
      <w:r>
        <w:t xml:space="preserve"> </w:t>
      </w:r>
      <w:r>
        <w:rPr>
          <w:rFonts w:hint="eastAsia"/>
        </w:rPr>
        <w:t xml:space="preserve">に日内分散比の校正を示す。上限は北海道全域を約32km</w:t>
      </w:r>
      <w:r>
        <w:t xml:space="preserve"> </w:t>
      </w:r>
      <w:r>
        <w:rPr>
          <w:rFonts w:hint="eastAsia"/>
        </w:rPr>
        <w:t xml:space="preserve">間隔の独立な地点で埋め尽くした場合の理論値で、北方領土を除く面積では17.1、発電所数（約70）で抑えると16.3</w:t>
      </w:r>
      <w:r>
        <w:t xml:space="preserve"> </w:t>
      </w:r>
      <w:r>
        <w:rPr>
          <w:rFonts w:hint="eastAsia"/>
        </w:rPr>
        <w:t xml:space="preserve">になる。実際のフリートの配置（容量加重）では2.9〜3.9、日本海側の主要立地の凸包（約2.4万km²）では1.9〜5.2</w:t>
      </w:r>
      <w:r>
        <w:t xml:space="preserve"> </w:t>
      </w:r>
      <w:r>
        <w:rPr>
          <w:rFonts w:hint="eastAsia"/>
        </w:rPr>
        <w:t xml:space="preserve">にとどまる。この意味で、中央の校正も実際のフリートの配置から測った値より大きく、上限寄りである。</w:t>
      </w:r>
    </w:p>
    <w:p>
      <w:pPr>
        <w:pStyle w:val="TableCaption"/>
      </w:pPr>
      <w:r>
        <w:rPr>
          <w:rFonts w:hint="eastAsia"/>
        </w:rPr>
        <w:t xml:space="preserve">表C.4</w:t>
      </w:r>
      <w:r>
        <w:t xml:space="preserve">　</w:t>
      </w:r>
      <w:r>
        <w:rPr>
          <w:rFonts w:hint="eastAsia"/>
        </w:rPr>
        <w:t xml:space="preserve">日内分散比の校正</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　日内分散比の校正"/>
      </w:tblPr>
      <w:tblGrid>
        <w:gridCol w:w="642"/>
        <w:gridCol w:w="642"/>
        <w:gridCol w:w="642"/>
        <w:gridCol w:w="856"/>
        <w:gridCol w:w="856"/>
        <w:gridCol w:w="856"/>
        <w:gridCol w:w="856"/>
        <w:gridCol w:w="856"/>
        <w:gridCol w:w="856"/>
        <w:gridCol w:w="856"/>
      </w:tblGrid>
      <w:tr>
        <w:trPr>
          <w:tblHeader w:val="on"/>
        </w:trPr>
        <w:tc>
          <w:tcPr>
            <w:tcBorders>
              <w:bottom w:val="single" w:sz="6" w:color="000000"/>
            </w:tcBorders>
          </w:tcPr>
          <w:p>
            <w:pPr>
              <w:pStyle w:val="Compact"/>
            </w:pPr>
            <w:r>
              <w:rPr>
                <w:rFonts w:hint="eastAsia"/>
                <w:sz w:val="18"/>
              </w:rPr>
              <w:t xml:space="preserve">役割</w:t>
            </w:r>
          </w:p>
        </w:tc>
        <w:tc>
          <w:tcPr>
            <w:tcBorders>
              <w:bottom w:val="single" w:sz="6" w:color="000000"/>
            </w:tcBorders>
          </w:tcPr>
          <w:p>
            <w:pPr>
              <w:pStyle w:val="Compact"/>
            </w:pPr>
            <w:r>
              <w:rPr>
                <w:rFonts w:hint="eastAsia"/>
                <w:sz w:val="18"/>
              </w:rPr>
              <w:t xml:space="preserve">相関距離の出典</w:t>
            </w:r>
          </w:p>
        </w:tc>
        <w:tc>
          <w:tcPr>
            <w:tcBorders>
              <w:bottom w:val="single" w:sz="6" w:color="000000"/>
            </w:tcBorders>
          </w:tcPr>
          <w:p>
            <w:pPr>
              <w:pStyle w:val="Compact"/>
            </w:pPr>
            <w:r>
              <w:rPr>
                <w:rFonts w:hint="eastAsia"/>
                <w:sz w:val="18"/>
              </w:rPr>
              <w:t xml:space="preserve">空間の広がり</w:t>
            </w:r>
          </w:p>
        </w:tc>
        <w:tc>
          <w:tcPr>
            <w:tcBorders>
              <w:bottom w:val="single" w:sz="6" w:color="000000"/>
            </w:tcBorders>
          </w:tcPr>
          <w:p>
            <w:pPr>
              <w:pStyle w:val="Compact"/>
              <w:jc w:val="right"/>
            </w:pPr>
            <m:oMath>
              <m:sSub>
                <m:e>
                  <m:r>
                    <m:t>ℓ</m:t>
                  </m:r>
                </m:e>
                <m:sub>
                  <m:r>
                    <m:t>6</m:t>
                  </m:r>
                </m:sub>
              </m:sSub>
            </m:oMath>
            <w:r>
              <w:rPr>
                <w:rFonts w:hint="eastAsia"/>
                <w:sz w:val="18"/>
              </w:rPr>
              <w:t xml:space="preserve">／</w:t>
            </w:r>
            <m:oMath>
              <m:sSub>
                <m:e>
                  <m:r>
                    <m:t>ℓ</m:t>
                  </m:r>
                </m:e>
                <m:sub>
                  <m:r>
                    <m:t>24</m:t>
                  </m:r>
                </m:sub>
              </m:sSub>
            </m:oMath>
            <w:r>
              <w:rPr>
                <w:rFonts w:hint="eastAsia"/>
                <w:sz w:val="18"/>
              </w:rPr>
              <w:t xml:space="preserve">（km）</w:t>
            </w:r>
          </w:p>
        </w:tc>
        <w:tc>
          <w:tcPr>
            <w:tcBorders>
              <w:bottom w:val="single" w:sz="6" w:color="000000"/>
            </w:tcBorders>
          </w:tcPr>
          <w:p>
            <w:pPr>
              <w:pStyle w:val="Compact"/>
              <w:jc w:val="right"/>
            </w:pPr>
            <m:oMath>
              <m:sSub>
                <m:e>
                  <m:r>
                    <m:t>N</m:t>
                  </m:r>
                </m:e>
                <m:sub>
                  <m:r>
                    <m:t>1</m:t>
                  </m:r>
                </m:sub>
              </m:sSub>
            </m:oMath>
          </w:p>
        </w:tc>
        <w:tc>
          <w:tcPr>
            <w:tcBorders>
              <w:bottom w:val="single" w:sz="6" w:color="000000"/>
            </w:tcBorders>
          </w:tcPr>
          <w:p>
            <w:pPr>
              <w:pStyle w:val="Compact"/>
              <w:jc w:val="right"/>
            </w:pPr>
            <m:oMath>
              <m:sSub>
                <m:e>
                  <m:r>
                    <m:t>N</m:t>
                  </m:r>
                </m:e>
                <m:sub>
                  <m:r>
                    <m:t>2</m:t>
                  </m:r>
                </m:sub>
              </m:sSub>
            </m:oMath>
          </w:p>
        </w:tc>
        <w:tc>
          <w:tcPr>
            <w:tcBorders>
              <w:bottom w:val="single" w:sz="6" w:color="000000"/>
            </w:tcBorders>
          </w:tcPr>
          <w:p>
            <w:pPr>
              <w:pStyle w:val="Compact"/>
              <w:jc w:val="right"/>
            </w:pPr>
            <w:r>
              <w:rPr>
                <w:rFonts w:hint="eastAsia"/>
                <w:sz w:val="18"/>
              </w:rPr>
              <w:t xml:space="preserve">日内分散比（全成分）</w:t>
            </w:r>
          </w:p>
        </w:tc>
        <w:tc>
          <w:tcPr>
            <w:tcBorders>
              <w:bottom w:val="single" w:sz="6" w:color="000000"/>
            </w:tcBorders>
          </w:tcPr>
          <w:p>
            <w:pPr>
              <w:pStyle w:val="Compact"/>
              <w:jc w:val="right"/>
            </w:pPr>
            <w:r>
              <w:rPr>
                <w:rFonts w:hint="eastAsia"/>
                <w:sz w:val="18"/>
              </w:rPr>
              <w:t xml:space="preserve">日内分散比（確率成分）</w:t>
            </w:r>
          </w:p>
        </w:tc>
        <w:tc>
          <w:tcPr>
            <w:tcBorders>
              <w:bottom w:val="single" w:sz="6" w:color="000000"/>
            </w:tcBorders>
          </w:tcPr>
          <w:p>
            <w:pPr>
              <w:pStyle w:val="Compact"/>
              <w:jc w:val="right"/>
            </w:pPr>
            <w:r>
              <w:rPr>
                <w:rFonts w:hint="eastAsia"/>
                <w:sz w:val="18"/>
              </w:rPr>
              <w:t xml:space="preserve">振幅の倍率</w:t>
            </w:r>
          </w:p>
        </w:tc>
        <w:tc>
          <w:tcPr>
            <w:tcBorders>
              <w:bottom w:val="single" w:sz="6" w:color="000000"/>
            </w:tcBorders>
          </w:tcPr>
          <w:p>
            <w:pPr>
              <w:pStyle w:val="Compact"/>
              <w:jc w:val="right"/>
            </w:pPr>
            <w:r>
              <w:rPr>
                <w:rFonts w:hint="eastAsia"/>
                <w:sz w:val="18"/>
              </w:rPr>
              <w:t xml:space="preserve">日内帯域の割合</w:t>
            </w:r>
          </w:p>
        </w:tc>
      </w:tr>
      <w:tr>
        <w:tc>
          <w:tcPr/>
          <w:p>
            <w:pPr>
              <w:pStyle w:val="Compact"/>
            </w:pPr>
            <w:r>
              <w:rPr>
                <w:rFonts w:hint="eastAsia"/>
                <w:sz w:val="18"/>
              </w:rPr>
              <w:t xml:space="preserve">下限</w:t>
            </w:r>
          </w:p>
        </w:tc>
        <w:tc>
          <w:tcPr/>
          <w:p>
            <w:pPr>
              <w:pStyle w:val="Compact"/>
            </w:pPr>
            <w:r>
              <w:rPr>
                <w:rFonts w:hint="eastAsia"/>
                <w:sz w:val="18"/>
              </w:rPr>
              <w:t xml:space="preserve">豪州型（発電量）</w:t>
            </w:r>
          </w:p>
        </w:tc>
        <w:tc>
          <w:tcPr/>
          <w:p>
            <w:pPr>
              <w:pStyle w:val="Compact"/>
            </w:pPr>
            <w:r>
              <w:rPr>
                <w:rFonts w:hint="eastAsia"/>
                <w:sz w:val="18"/>
              </w:rPr>
              <w:t xml:space="preserve">容量加重</w:t>
            </w:r>
          </w:p>
        </w:tc>
        <w:tc>
          <w:tcPr/>
          <w:p>
            <w:pPr>
              <w:pStyle w:val="Compact"/>
              <w:jc w:val="right"/>
            </w:pPr>
            <w:r>
              <w:rPr>
                <w:rFonts w:hint="eastAsia"/>
                <w:sz w:val="18"/>
              </w:rPr>
              <w:t xml:space="preserve">31.6／129.9</w:t>
            </w:r>
          </w:p>
        </w:tc>
        <w:tc>
          <w:tcPr/>
          <w:p>
            <w:pPr>
              <w:pStyle w:val="Compact"/>
              <w:jc w:val="right"/>
            </w:pPr>
            <w:r>
              <w:rPr>
                <w:sz w:val="18"/>
              </w:rPr>
              <w:t xml:space="preserve">4.9</w:t>
            </w:r>
          </w:p>
        </w:tc>
        <w:tc>
          <w:tcPr/>
          <w:p>
            <w:pPr>
              <w:pStyle w:val="Compact"/>
              <w:jc w:val="right"/>
            </w:pPr>
            <w:r>
              <w:rPr>
                <w:sz w:val="18"/>
              </w:rPr>
              <w:t xml:space="preserve">2.41</w:t>
            </w:r>
          </w:p>
        </w:tc>
        <w:tc>
          <w:tcPr/>
          <w:p>
            <w:pPr>
              <w:pStyle w:val="Compact"/>
              <w:jc w:val="right"/>
            </w:pPr>
            <w:r>
              <w:rPr>
                <w:sz w:val="18"/>
              </w:rPr>
              <w:t xml:space="preserve">2.85</w:t>
            </w:r>
          </w:p>
        </w:tc>
        <w:tc>
          <w:tcPr/>
          <w:p>
            <w:pPr>
              <w:pStyle w:val="Compact"/>
              <w:jc w:val="right"/>
            </w:pPr>
            <w:r>
              <w:rPr>
                <w:sz w:val="18"/>
              </w:rPr>
              <w:t xml:space="preserve">2.81</w:t>
            </w:r>
          </w:p>
        </w:tc>
        <w:tc>
          <w:tcPr/>
          <w:p>
            <w:pPr>
              <w:pStyle w:val="Compact"/>
              <w:jc w:val="right"/>
            </w:pPr>
            <w:r>
              <w:rPr>
                <w:sz w:val="18"/>
              </w:rPr>
              <w:t xml:space="preserve">1.69</w:t>
            </w:r>
          </w:p>
        </w:tc>
        <w:tc>
          <w:tcPr/>
          <w:p>
            <w:pPr>
              <w:pStyle w:val="Compact"/>
              <w:jc w:val="right"/>
            </w:pPr>
            <w:r>
              <w:rPr>
                <w:sz w:val="18"/>
              </w:rPr>
              <w:t xml:space="preserve">30.1%</w:t>
            </w:r>
          </w:p>
        </w:tc>
      </w:tr>
      <w:tr>
        <w:tc>
          <w:tcPr/>
          <w:p>
            <w:pPr>
              <w:pStyle w:val="Compact"/>
            </w:pPr>
            <w:r>
              <w:rPr>
                <w:rFonts w:hint="eastAsia"/>
                <w:sz w:val="18"/>
              </w:rPr>
              <w:t xml:space="preserve">中央</w:t>
            </w:r>
          </w:p>
        </w:tc>
        <w:tc>
          <w:tcPr/>
          <w:p>
            <w:pPr>
              <w:pStyle w:val="Compact"/>
            </w:pPr>
            <w:r>
              <w:rPr>
                <w:rFonts w:hint="eastAsia"/>
                <w:sz w:val="18"/>
              </w:rPr>
              <w:t xml:space="preserve">豪州型（発電量）</w:t>
            </w:r>
          </w:p>
        </w:tc>
        <w:tc>
          <w:tcPr/>
          <w:p>
            <w:pPr>
              <w:pStyle w:val="Compact"/>
            </w:pPr>
            <w:r>
              <w:rPr>
                <w:rFonts w:hint="eastAsia"/>
                <w:sz w:val="18"/>
              </w:rPr>
              <w:t xml:space="preserve">北海道全域（8.3万km²）</w:t>
            </w:r>
          </w:p>
        </w:tc>
        <w:tc>
          <w:tcPr/>
          <w:p>
            <w:pPr>
              <w:pStyle w:val="Compact"/>
              <w:jc w:val="right"/>
            </w:pPr>
            <w:r>
              <w:rPr>
                <w:rFonts w:hint="eastAsia"/>
                <w:sz w:val="18"/>
              </w:rPr>
              <w:t xml:space="preserve">31.6／129.9</w:t>
            </w:r>
          </w:p>
        </w:tc>
        <w:tc>
          <w:tcPr/>
          <w:p>
            <w:pPr>
              <w:pStyle w:val="Compact"/>
              <w:jc w:val="right"/>
            </w:pPr>
            <w:r>
              <w:rPr>
                <w:sz w:val="18"/>
              </w:rPr>
              <w:t xml:space="preserve">20.8</w:t>
            </w:r>
          </w:p>
        </w:tc>
        <w:tc>
          <w:tcPr/>
          <w:p>
            <w:pPr>
              <w:pStyle w:val="Compact"/>
              <w:jc w:val="right"/>
            </w:pPr>
            <w:r>
              <w:rPr>
                <w:sz w:val="18"/>
              </w:rPr>
              <w:t xml:space="preserve">1.24</w:t>
            </w:r>
          </w:p>
        </w:tc>
        <w:tc>
          <w:tcPr/>
          <w:p>
            <w:pPr>
              <w:pStyle w:val="Compact"/>
              <w:jc w:val="right"/>
            </w:pPr>
            <w:r>
              <w:rPr>
                <w:sz w:val="18"/>
              </w:rPr>
              <w:t xml:space="preserve">4.73</w:t>
            </w:r>
          </w:p>
        </w:tc>
        <w:tc>
          <w:tcPr/>
          <w:p>
            <w:pPr>
              <w:pStyle w:val="Compact"/>
              <w:jc w:val="right"/>
            </w:pPr>
            <w:r>
              <w:rPr>
                <w:sz w:val="18"/>
              </w:rPr>
              <w:t xml:space="preserve">4.40</w:t>
            </w:r>
          </w:p>
        </w:tc>
        <w:tc>
          <w:tcPr/>
          <w:p>
            <w:pPr>
              <w:pStyle w:val="Compact"/>
              <w:jc w:val="right"/>
            </w:pPr>
            <w:r>
              <w:rPr>
                <w:sz w:val="18"/>
              </w:rPr>
              <w:t xml:space="preserve">2.18</w:t>
            </w:r>
          </w:p>
        </w:tc>
        <w:tc>
          <w:tcPr/>
          <w:p>
            <w:pPr>
              <w:pStyle w:val="Compact"/>
              <w:jc w:val="right"/>
            </w:pPr>
            <w:r>
              <w:rPr>
                <w:sz w:val="18"/>
              </w:rPr>
              <w:t xml:space="preserve">41.7%</w:t>
            </w:r>
          </w:p>
        </w:tc>
      </w:tr>
      <w:tr>
        <w:tc>
          <w:tcPr/>
          <w:p>
            <w:pPr>
              <w:pStyle w:val="Compact"/>
            </w:pPr>
            <w:r>
              <w:rPr>
                <w:rFonts w:hint="eastAsia"/>
                <w:sz w:val="18"/>
              </w:rPr>
              <w:t xml:space="preserve">中央（交差の組）</w:t>
            </w:r>
          </w:p>
        </w:tc>
        <w:tc>
          <w:tcPr/>
          <w:p>
            <w:pPr>
              <w:pStyle w:val="Compact"/>
            </w:pPr>
            <w:r>
              <w:rPr>
                <w:rFonts w:hint="eastAsia"/>
                <w:sz w:val="18"/>
              </w:rPr>
              <w:t xml:space="preserve">カナダ型（風速）</w:t>
            </w:r>
          </w:p>
        </w:tc>
        <w:tc>
          <w:tcPr/>
          <w:p>
            <w:pPr>
              <w:pStyle w:val="Compact"/>
            </w:pPr>
            <w:r>
              <w:rPr>
                <w:rFonts w:hint="eastAsia"/>
                <w:sz w:val="18"/>
              </w:rPr>
              <w:t xml:space="preserve">容量加重</w:t>
            </w:r>
          </w:p>
        </w:tc>
        <w:tc>
          <w:tcPr/>
          <w:p>
            <w:pPr>
              <w:pStyle w:val="Compact"/>
              <w:jc w:val="right"/>
            </w:pPr>
            <w:r>
              <w:rPr>
                <w:rFonts w:hint="eastAsia"/>
                <w:sz w:val="18"/>
              </w:rPr>
              <w:t xml:space="preserve">16.1／66.9</w:t>
            </w:r>
          </w:p>
        </w:tc>
        <w:tc>
          <w:tcPr/>
          <w:p>
            <w:pPr>
              <w:pStyle w:val="Compact"/>
              <w:jc w:val="right"/>
            </w:pPr>
            <w:r>
              <w:rPr>
                <w:sz w:val="18"/>
              </w:rPr>
              <w:t xml:space="preserve">6.3</w:t>
            </w:r>
          </w:p>
        </w:tc>
        <w:tc>
          <w:tcPr/>
          <w:p>
            <w:pPr>
              <w:pStyle w:val="Compact"/>
              <w:jc w:val="right"/>
            </w:pPr>
            <w:r>
              <w:rPr>
                <w:sz w:val="18"/>
              </w:rPr>
              <w:t xml:space="preserve">3.41</w:t>
            </w:r>
          </w:p>
        </w:tc>
        <w:tc>
          <w:tcPr/>
          <w:p>
            <w:pPr>
              <w:pStyle w:val="Compact"/>
              <w:jc w:val="right"/>
            </w:pPr>
            <w:r>
              <w:rPr>
                <w:sz w:val="18"/>
              </w:rPr>
              <w:t xml:space="preserve">3.92</w:t>
            </w:r>
          </w:p>
        </w:tc>
        <w:tc>
          <w:tcPr/>
          <w:p>
            <w:pPr>
              <w:pStyle w:val="Compact"/>
              <w:jc w:val="right"/>
            </w:pPr>
            <w:r>
              <w:rPr>
                <w:sz w:val="18"/>
              </w:rPr>
              <w:t xml:space="preserve">3.87</w:t>
            </w:r>
          </w:p>
        </w:tc>
        <w:tc>
          <w:tcPr/>
          <w:p>
            <w:pPr>
              <w:pStyle w:val="Compact"/>
              <w:jc w:val="right"/>
            </w:pPr>
            <w:r>
              <w:rPr>
                <w:sz w:val="18"/>
              </w:rPr>
              <w:t xml:space="preserve">1.98</w:t>
            </w:r>
          </w:p>
        </w:tc>
        <w:tc>
          <w:tcPr/>
          <w:p>
            <w:pPr>
              <w:pStyle w:val="Compact"/>
              <w:jc w:val="right"/>
            </w:pPr>
            <w:r>
              <w:rPr>
                <w:sz w:val="18"/>
              </w:rPr>
              <w:t xml:space="preserve">37.2%</w:t>
            </w:r>
          </w:p>
        </w:tc>
      </w:tr>
      <w:tr>
        <w:tc>
          <w:tcPr/>
          <w:p>
            <w:pPr>
              <w:pStyle w:val="Compact"/>
            </w:pPr>
            <w:r>
              <w:rPr>
                <w:rFonts w:hint="eastAsia"/>
                <w:sz w:val="18"/>
              </w:rPr>
              <w:t xml:space="preserve">上限</w:t>
            </w:r>
          </w:p>
        </w:tc>
        <w:tc>
          <w:tcPr/>
          <w:p>
            <w:pPr>
              <w:pStyle w:val="Compact"/>
            </w:pPr>
            <w:r>
              <w:rPr>
                <w:rFonts w:hint="eastAsia"/>
                <w:sz w:val="18"/>
              </w:rPr>
              <w:t xml:space="preserve">カナダ型（風速）</w:t>
            </w:r>
          </w:p>
        </w:tc>
        <w:tc>
          <w:tcPr/>
          <w:p>
            <w:pPr>
              <w:pStyle w:val="Compact"/>
            </w:pPr>
            <w:r>
              <w:rPr>
                <w:rFonts w:hint="eastAsia"/>
                <w:sz w:val="18"/>
              </w:rPr>
              <w:t xml:space="preserve">北海道全域（8.3万km²）</w:t>
            </w:r>
          </w:p>
        </w:tc>
        <w:tc>
          <w:tcPr/>
          <w:p>
            <w:pPr>
              <w:pStyle w:val="Compact"/>
              <w:jc w:val="right"/>
            </w:pPr>
            <w:r>
              <w:rPr>
                <w:rFonts w:hint="eastAsia"/>
                <w:sz w:val="18"/>
              </w:rPr>
              <w:t xml:space="preserve">16.1／66.9</w:t>
            </w:r>
          </w:p>
        </w:tc>
        <w:tc>
          <w:tcPr/>
          <w:p>
            <w:pPr>
              <w:pStyle w:val="Compact"/>
              <w:jc w:val="right"/>
            </w:pPr>
            <w:r>
              <w:rPr>
                <w:sz w:val="18"/>
              </w:rPr>
              <w:t xml:space="preserve">80.4</w:t>
            </w:r>
          </w:p>
        </w:tc>
        <w:tc>
          <w:tcPr/>
          <w:p>
            <w:pPr>
              <w:pStyle w:val="Compact"/>
              <w:jc w:val="right"/>
            </w:pPr>
            <w:r>
              <w:rPr>
                <w:sz w:val="18"/>
              </w:rPr>
              <w:t xml:space="preserve">4.66</w:t>
            </w:r>
          </w:p>
        </w:tc>
        <w:tc>
          <w:tcPr/>
          <w:p>
            <w:pPr>
              <w:pStyle w:val="Compact"/>
              <w:jc w:val="right"/>
            </w:pPr>
            <w:r>
              <w:rPr>
                <w:sz w:val="18"/>
              </w:rPr>
              <w:t xml:space="preserve">18.19</w:t>
            </w:r>
          </w:p>
        </w:tc>
        <w:tc>
          <w:tcPr/>
          <w:p>
            <w:pPr>
              <w:pStyle w:val="Compact"/>
              <w:jc w:val="right"/>
            </w:pPr>
            <w:r>
              <w:rPr>
                <w:sz w:val="18"/>
              </w:rPr>
              <w:t xml:space="preserve">16.88</w:t>
            </w:r>
          </w:p>
        </w:tc>
        <w:tc>
          <w:tcPr/>
          <w:p>
            <w:pPr>
              <w:pStyle w:val="Compact"/>
              <w:jc w:val="right"/>
            </w:pPr>
            <w:r>
              <w:rPr>
                <w:sz w:val="18"/>
              </w:rPr>
              <w:t xml:space="preserve">4.26</w:t>
            </w:r>
          </w:p>
        </w:tc>
        <w:tc>
          <w:tcPr/>
          <w:p>
            <w:pPr>
              <w:pStyle w:val="Compact"/>
              <w:jc w:val="right"/>
            </w:pPr>
            <w:r>
              <w:rPr>
                <w:sz w:val="18"/>
              </w:rPr>
              <w:t xml:space="preserve">73.3%</w:t>
            </w:r>
          </w:p>
        </w:tc>
      </w:tr>
    </w:tbl>
    <w:p>
      <w:pPr>
        <w:pStyle w:val="TableNote"/>
      </w:pPr>
      <w:r>
        <w:rPr>
          <w:rFonts w:hint="eastAsia"/>
        </w:rPr>
        <w:t xml:space="preserve">注）相関距離は</w:t>
      </w:r>
      <w:r>
        <w:t xml:space="preserve"> St. Martin et </w:t>
      </w:r>
      <w:r>
        <w:rPr>
          <w:rFonts w:hint="eastAsia"/>
        </w:rPr>
        <w:t xml:space="preserve">al.（2015）の</w:t>
      </w:r>
      <w:r>
        <w:t xml:space="preserve"> Fig.6 </w:t>
      </w:r>
      <w:r>
        <w:rPr>
          <w:rFonts w:hint="eastAsia"/>
        </w:rPr>
        <w:t xml:space="preserve">の読み取りを6・24時間に対数内挿した値。</w:t>
      </w:r>
      <m:oMath>
        <m:sSub>
          <m:e>
            <m:r>
              <m:t>N</m:t>
            </m:r>
          </m:e>
          <m:sub>
            <m:r>
              <m:t>1</m:t>
            </m:r>
          </m:sub>
        </m:sSub>
      </m:oMath>
      <w:r>
        <w:t xml:space="preserve">・</w:t>
      </w:r>
      <m:oMath>
        <m:sSub>
          <m:e>
            <m:r>
              <m:t>N</m:t>
            </m:r>
          </m:e>
          <m:sub>
            <m:r>
              <m:t>2</m:t>
            </m:r>
          </m:sub>
        </m:sSub>
      </m:oMath>
      <w:r>
        <w:t xml:space="preserve"> </w:t>
      </w:r>
      <w:r>
        <w:rPr>
          <w:rFonts w:hint="eastAsia"/>
        </w:rPr>
        <w:t xml:space="preserve">は式(B.10)の面積の上限式、または容量加重の有効地点数。日内分散比は合成系列の6時間未満と6〜24時間の帯域の分散の和の実フリートに対する比で、確率成分は各帯域から季節×時刻の平均を除いて測った値。振幅の倍率は全成分の日内分散比の平方根。日内帯域の割合は帯域分散の和に占める日内2帯域の割合。</w:t>
      </w:r>
    </w:p>
    <w:p>
      <w:pPr>
        <w:pStyle w:val="TableNote"/>
      </w:pPr>
      <w:r>
        <w:rPr>
          <w:rFonts w:hint="eastAsia"/>
        </w:rPr>
        <w:t xml:space="preserve">出所）St.</w:t>
      </w:r>
      <w:r>
        <w:t xml:space="preserve"> Martin et </w:t>
      </w:r>
      <w:r>
        <w:rPr>
          <w:rFonts w:hint="eastAsia"/>
        </w:rPr>
        <w:t xml:space="preserve">al.（2015）、資源エネルギー庁『固定価格買取制度</w:t>
      </w:r>
      <w:r>
        <w:t xml:space="preserve"> </w:t>
      </w:r>
      <w:r>
        <w:rPr>
          <w:rFonts w:hint="eastAsia"/>
        </w:rPr>
        <w:t xml:space="preserve">情報公表用ウェブサイト』をもとに筆者推計。</w:t>
      </w:r>
    </w:p>
    <w:p>
      <w:pPr>
        <w:pStyle w:val="BodyText"/>
      </w:pPr>
      <w:r>
        <w:rPr>
          <w:rFonts w:hint="eastAsia"/>
          <w:b/>
          <w:bCs/>
        </w:rPr>
        <w:t xml:space="preserve">全結果</w:t>
      </w:r>
      <w:r>
        <w:t xml:space="preserve">　</w:t>
      </w:r>
      <w:r>
        <w:rPr>
          <w:rFonts w:hint="eastAsia"/>
        </w:rPr>
        <w:t xml:space="preserve">表C.5</w:t>
      </w:r>
      <w:r>
        <w:t xml:space="preserve"> </w:t>
      </w:r>
      <w:r>
        <w:rPr>
          <w:rFonts w:hint="eastAsia"/>
        </w:rPr>
        <w:t xml:space="preserve">に、校正に合わせた合成系列の全結果を示す。中央の校正では、風力の日次発電量が</w:t>
      </w:r>
      <w:r>
        <w:t xml:space="preserve"> TB4h </w:t>
      </w:r>
      <w:r>
        <w:rPr>
          <w:rFonts w:hint="eastAsia"/>
        </w:rPr>
        <w:t xml:space="preserve">に与える係数（モデル価格の上で推定）は、夏−0.040→−0.009、冬−0.019→+0.007、不需要期+0.141→+0.148</w:t>
      </w:r>
      <w:r>
        <w:t xml:space="preserve"> </w:t>
      </w:r>
      <w:r>
        <w:rPr>
          <w:rFonts w:hint="eastAsia"/>
        </w:rPr>
        <w:t xml:space="preserve">で、動きは0.03程度である。日周も含めて増幅した版（上限で+18.0%）や、帯域別に増幅した版（上限+17.9%、中央+3.8%）でも、実現した日内分散比が同じなら結果はほぼ同じである。加法で増やして打ち切る作り方では、名目の倍率2・3・4で実現する日内分散比は3.1・5.4・7.4（振幅の倍率は1.8・2.3・2.7）にとどまり、名目の倍率4では日次エネルギーも平均0.2%、最大21%ずれる。この作り方で名目の倍率を4としても完全予見粗利が+7.0%にとどまるのは、実現した日内分散比が7.4で、校正の上限に届いていないためである。</w:t>
      </w:r>
    </w:p>
    <w:p>
      <w:pPr>
        <w:pStyle w:val="TableCaption"/>
      </w:pPr>
      <w:r>
        <w:rPr>
          <w:rFonts w:hint="eastAsia"/>
        </w:rPr>
        <w:t xml:space="preserve">表C.5</w:t>
      </w:r>
      <w:r>
        <w:t xml:space="preserve">　</w:t>
      </w:r>
      <w:r>
        <w:rPr>
          <w:rFonts w:hint="eastAsia"/>
        </w:rPr>
        <w:t xml:space="preserve">集中立地の反実仮想の全結果（仕様A、</w:t>
      </w:r>
      <m:oMath>
        <m:r>
          <m:t>θ</m:t>
        </m:r>
        <m:r>
          <m:rPr>
            <m:sty m:val="p"/>
          </m:rPr>
          <m:t>=</m:t>
        </m:r>
        <m:r>
          <m:t>1</m:t>
        </m:r>
      </m:oMath>
      <w:r>
        <w:rPr>
          <w:rFonts w:hint="eastAsia"/>
        </w:rPr>
        <w:t xml:space="preserve">、FY2023〜25）</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5　集中立地の反実仮想の全結果（仕様A、\theta=1、FY2023〜25）"/>
      </w:tblPr>
      <w:tblGrid>
        <w:gridCol w:w="609"/>
        <w:gridCol w:w="812"/>
        <w:gridCol w:w="812"/>
        <w:gridCol w:w="812"/>
        <w:gridCol w:w="812"/>
        <w:gridCol w:w="812"/>
        <w:gridCol w:w="812"/>
        <w:gridCol w:w="812"/>
        <w:gridCol w:w="812"/>
        <w:gridCol w:w="812"/>
      </w:tblGrid>
      <w:tr>
        <w:trPr>
          <w:tblHeader w:val="on"/>
        </w:trPr>
        <w:tc>
          <w:tcPr>
            <w:tcBorders>
              <w:bottom w:val="single" w:sz="6" w:color="000000"/>
            </w:tcBorders>
          </w:tcPr>
          <w:p>
            <w:pPr>
              <w:pStyle w:val="Compact"/>
            </w:pPr>
            <w:r>
              <w:rPr>
                <w:rFonts w:hint="eastAsia"/>
                <w:sz w:val="18"/>
              </w:rPr>
              <w:t xml:space="preserve">系列</w:t>
            </w:r>
          </w:p>
        </w:tc>
        <w:tc>
          <w:tcPr>
            <w:tcBorders>
              <w:bottom w:val="single" w:sz="6" w:color="000000"/>
            </w:tcBorders>
          </w:tcPr>
          <w:p>
            <w:pPr>
              <w:pStyle w:val="Compact"/>
              <w:jc w:val="right"/>
            </w:pPr>
            <w:r>
              <w:rPr>
                <w:rFonts w:hint="eastAsia"/>
                <w:sz w:val="18"/>
              </w:rPr>
              <w:t xml:space="preserve">日内分散比（全成分）</w:t>
            </w:r>
          </w:p>
        </w:tc>
        <w:tc>
          <w:tcPr>
            <w:tcBorders>
              <w:bottom w:val="single" w:sz="6" w:color="000000"/>
            </w:tcBorders>
          </w:tcPr>
          <w:p>
            <w:pPr>
              <w:pStyle w:val="Compact"/>
              <w:jc w:val="right"/>
            </w:pPr>
            <w:r>
              <w:rPr>
                <w:rFonts w:hint="eastAsia"/>
                <w:sz w:val="18"/>
              </w:rPr>
              <w:t xml:space="preserve">日内分散比（確率成分）</w:t>
            </w:r>
          </w:p>
        </w:tc>
        <w:tc>
          <w:tcPr>
            <w:tcBorders>
              <w:bottom w:val="single" w:sz="6" w:color="000000"/>
            </w:tcBorders>
          </w:tcPr>
          <w:p>
            <w:pPr>
              <w:pStyle w:val="Compact"/>
              <w:jc w:val="right"/>
            </w:pPr>
            <w:r>
              <w:rPr>
                <w:rFonts w:hint="eastAsia"/>
                <w:sz w:val="18"/>
              </w:rPr>
              <w:t xml:space="preserve">振幅の倍率</w:t>
            </w:r>
          </w:p>
        </w:tc>
        <w:tc>
          <w:tcPr>
            <w:tcBorders>
              <w:bottom w:val="single" w:sz="6" w:color="000000"/>
            </w:tcBorders>
          </w:tcPr>
          <w:p>
            <w:pPr>
              <w:pStyle w:val="Compact"/>
              <w:jc w:val="right"/>
            </w:pPr>
            <w:r>
              <w:rPr>
                <w:rFonts w:hint="eastAsia"/>
                <w:sz w:val="18"/>
              </w:rPr>
              <w:t xml:space="preserve">日内帯域の割合</w:t>
            </w:r>
          </w:p>
        </w:tc>
        <w:tc>
          <w:tcPr>
            <w:tcBorders>
              <w:bottom w:val="single" w:sz="6" w:color="000000"/>
            </w:tcBorders>
          </w:tcPr>
          <w:p>
            <w:pPr>
              <w:pStyle w:val="Compact"/>
              <w:jc w:val="right"/>
            </w:pPr>
            <w:r>
              <w:rPr>
                <w:rFonts w:hint="eastAsia"/>
                <w:sz w:val="18"/>
              </w:rPr>
              <w:t xml:space="preserve">下限張り付き（時間/年）</w:t>
            </w:r>
          </w:p>
        </w:tc>
        <w:tc>
          <w:tcPr>
            <w:tcBorders>
              <w:bottom w:val="single" w:sz="6" w:color="000000"/>
            </w:tcBorders>
          </w:tcPr>
          <w:p>
            <w:pPr>
              <w:pStyle w:val="Compact"/>
              <w:jc w:val="right"/>
            </w:pPr>
            <w:r>
              <w:rPr>
                <w:sz w:val="18"/>
              </w:rPr>
              <w:t xml:space="preserve">TB4h </w:t>
            </w:r>
            <w:r>
              <w:rPr>
                <w:rFonts w:hint="eastAsia"/>
                <w:sz w:val="18"/>
              </w:rPr>
              <w:t xml:space="preserve">中央値</w:t>
            </w:r>
          </w:p>
        </w:tc>
        <w:tc>
          <w:tcPr>
            <w:tcBorders>
              <w:bottom w:val="single" w:sz="6" w:color="000000"/>
            </w:tcBorders>
          </w:tcPr>
          <w:p>
            <w:pPr>
              <w:pStyle w:val="Compact"/>
              <w:jc w:val="right"/>
            </w:pPr>
            <w:r>
              <w:rPr>
                <w:rFonts w:hint="eastAsia"/>
                <w:sz w:val="18"/>
              </w:rPr>
              <w:t xml:space="preserve">時間価格の95パーセンタイル</w:t>
            </w:r>
          </w:p>
        </w:tc>
        <w:tc>
          <w:tcPr>
            <w:tcBorders>
              <w:bottom w:val="single" w:sz="6" w:color="000000"/>
            </w:tcBorders>
          </w:tcPr>
          <w:p>
            <w:pPr>
              <w:pStyle w:val="Compact"/>
              <w:jc w:val="right"/>
            </w:pPr>
            <w:r>
              <w:rPr>
                <w:rFonts w:hint="eastAsia"/>
                <w:sz w:val="18"/>
              </w:rPr>
              <w:t xml:space="preserve">完全予見粗利（円/kW-年）</w:t>
            </w:r>
          </w:p>
        </w:tc>
        <w:tc>
          <w:tcPr>
            <w:tcBorders>
              <w:bottom w:val="single" w:sz="6" w:color="000000"/>
            </w:tcBorders>
          </w:tcPr>
          <w:p>
            <w:pPr>
              <w:pStyle w:val="Compact"/>
              <w:jc w:val="right"/>
            </w:pPr>
            <w:r>
              <w:rPr>
                <w:rFonts w:hint="eastAsia"/>
                <w:sz w:val="18"/>
              </w:rPr>
              <w:t xml:space="preserve">風力→TB4h（夏／冬／不需要期）</w:t>
            </w:r>
          </w:p>
        </w:tc>
      </w:tr>
      <w:tr>
        <w:tc>
          <w:tcPr/>
          <w:p>
            <w:pPr>
              <w:pStyle w:val="Compact"/>
            </w:pPr>
            <w:r>
              <w:rPr>
                <w:rFonts w:hint="eastAsia"/>
                <w:sz w:val="18"/>
              </w:rPr>
              <w:t xml:space="preserve">実フリート</w:t>
            </w:r>
          </w:p>
        </w:tc>
        <w:tc>
          <w:tcPr/>
          <w:p>
            <w:pPr>
              <w:pStyle w:val="Compact"/>
              <w:jc w:val="right"/>
            </w:pPr>
            <w:r>
              <w:rPr>
                <w:sz w:val="18"/>
              </w:rPr>
              <w:t xml:space="preserve">1.00</w:t>
            </w:r>
          </w:p>
        </w:tc>
        <w:tc>
          <w:tcPr/>
          <w:p>
            <w:pPr>
              <w:pStyle w:val="Compact"/>
              <w:jc w:val="right"/>
            </w:pPr>
            <w:r>
              <w:rPr>
                <w:sz w:val="18"/>
              </w:rPr>
              <w:t xml:space="preserve">1.00</w:t>
            </w:r>
          </w:p>
        </w:tc>
        <w:tc>
          <w:tcPr/>
          <w:p>
            <w:pPr>
              <w:pStyle w:val="Compact"/>
              <w:jc w:val="right"/>
            </w:pPr>
            <w:r>
              <w:rPr>
                <w:sz w:val="18"/>
              </w:rPr>
              <w:t xml:space="preserve">1.00</w:t>
            </w:r>
          </w:p>
        </w:tc>
        <w:tc>
          <w:tcPr/>
          <w:p>
            <w:pPr>
              <w:pStyle w:val="Compact"/>
              <w:jc w:val="right"/>
            </w:pPr>
            <w:r>
              <w:rPr>
                <w:sz w:val="18"/>
              </w:rPr>
              <w:t xml:space="preserve">13.1%</w:t>
            </w:r>
          </w:p>
        </w:tc>
        <w:tc>
          <w:tcPr/>
          <w:p>
            <w:pPr>
              <w:pStyle w:val="Compact"/>
              <w:jc w:val="right"/>
            </w:pPr>
            <w:r>
              <w:rPr>
                <w:sz w:val="18"/>
              </w:rPr>
              <w:t xml:space="preserve">115</w:t>
            </w:r>
          </w:p>
        </w:tc>
        <w:tc>
          <w:tcPr/>
          <w:p>
            <w:pPr>
              <w:pStyle w:val="Compact"/>
              <w:jc w:val="right"/>
            </w:pPr>
            <w:r>
              <w:rPr>
                <w:sz w:val="18"/>
              </w:rPr>
              <w:t xml:space="preserve">7.96</w:t>
            </w:r>
          </w:p>
        </w:tc>
        <w:tc>
          <w:tcPr/>
          <w:p>
            <w:pPr>
              <w:pStyle w:val="Compact"/>
              <w:jc w:val="right"/>
            </w:pPr>
            <w:r>
              <w:rPr>
                <w:sz w:val="18"/>
              </w:rPr>
              <w:t xml:space="preserve">18.08</w:t>
            </w:r>
          </w:p>
        </w:tc>
        <w:tc>
          <w:tcPr/>
          <w:p>
            <w:pPr>
              <w:pStyle w:val="Compact"/>
              <w:jc w:val="right"/>
            </w:pPr>
            <w:r>
              <w:rPr>
                <w:sz w:val="18"/>
              </w:rPr>
              <w:t xml:space="preserve">8,266</w:t>
            </w:r>
          </w:p>
        </w:tc>
        <w:tc>
          <w:tcPr/>
          <w:p>
            <w:pPr>
              <w:pStyle w:val="Compact"/>
              <w:jc w:val="right"/>
            </w:pPr>
            <w:r>
              <w:rPr>
                <w:rFonts w:hint="eastAsia"/>
                <w:sz w:val="18"/>
              </w:rPr>
              <w:t xml:space="preserve">−0.040／−0.019／+0.141</w:t>
            </w:r>
          </w:p>
        </w:tc>
      </w:tr>
      <w:tr>
        <w:tc>
          <w:tcPr/>
          <w:p>
            <w:pPr>
              <w:pStyle w:val="Compact"/>
            </w:pPr>
            <w:r>
              <w:rPr>
                <w:rFonts w:hint="eastAsia"/>
                <w:sz w:val="18"/>
              </w:rPr>
              <w:t xml:space="preserve">確率成分・一様：下限</w:t>
            </w:r>
          </w:p>
        </w:tc>
        <w:tc>
          <w:tcPr/>
          <w:p>
            <w:pPr>
              <w:pStyle w:val="Compact"/>
              <w:jc w:val="right"/>
            </w:pPr>
            <w:r>
              <w:rPr>
                <w:sz w:val="18"/>
              </w:rPr>
              <w:t xml:space="preserve">2.75</w:t>
            </w:r>
          </w:p>
        </w:tc>
        <w:tc>
          <w:tcPr/>
          <w:p>
            <w:pPr>
              <w:pStyle w:val="Compact"/>
              <w:jc w:val="right"/>
            </w:pPr>
            <w:r>
              <w:rPr>
                <w:sz w:val="18"/>
              </w:rPr>
              <w:t xml:space="preserve">2.81</w:t>
            </w:r>
          </w:p>
        </w:tc>
        <w:tc>
          <w:tcPr/>
          <w:p>
            <w:pPr>
              <w:pStyle w:val="Compact"/>
              <w:jc w:val="right"/>
            </w:pPr>
            <w:r>
              <w:rPr>
                <w:sz w:val="18"/>
              </w:rPr>
              <w:t xml:space="preserve">1.66</w:t>
            </w:r>
          </w:p>
        </w:tc>
        <w:tc>
          <w:tcPr/>
          <w:p>
            <w:pPr>
              <w:pStyle w:val="Compact"/>
              <w:jc w:val="right"/>
            </w:pPr>
            <w:r>
              <w:rPr>
                <w:sz w:val="18"/>
              </w:rPr>
              <w:t xml:space="preserve">29.1%</w:t>
            </w:r>
          </w:p>
        </w:tc>
        <w:tc>
          <w:tcPr/>
          <w:p>
            <w:pPr>
              <w:pStyle w:val="Compact"/>
              <w:jc w:val="right"/>
            </w:pPr>
            <w:r>
              <w:rPr>
                <w:sz w:val="18"/>
              </w:rPr>
              <w:t xml:space="preserve">115</w:t>
            </w:r>
          </w:p>
        </w:tc>
        <w:tc>
          <w:tcPr/>
          <w:p>
            <w:pPr>
              <w:pStyle w:val="Compact"/>
              <w:jc w:val="right"/>
            </w:pPr>
            <w:r>
              <w:rPr>
                <w:sz w:val="18"/>
              </w:rPr>
              <w:t xml:space="preserve">8.10</w:t>
            </w:r>
          </w:p>
        </w:tc>
        <w:tc>
          <w:tcPr/>
          <w:p>
            <w:pPr>
              <w:pStyle w:val="Compact"/>
              <w:jc w:val="right"/>
            </w:pPr>
            <w:r>
              <w:rPr>
                <w:sz w:val="18"/>
              </w:rPr>
              <w:t xml:space="preserve">18.15</w:t>
            </w:r>
          </w:p>
        </w:tc>
        <w:tc>
          <w:tcPr/>
          <w:p>
            <w:pPr>
              <w:pStyle w:val="Compact"/>
              <w:jc w:val="right"/>
            </w:pPr>
            <w:r>
              <w:rPr>
                <w:rFonts w:hint="eastAsia"/>
                <w:sz w:val="18"/>
              </w:rPr>
              <w:t xml:space="preserve">8,463（+2.4%）</w:t>
            </w:r>
          </w:p>
        </w:tc>
        <w:tc>
          <w:tcPr/>
          <w:p>
            <w:pPr>
              <w:pStyle w:val="Compact"/>
              <w:jc w:val="right"/>
            </w:pPr>
            <w:r>
              <w:rPr>
                <w:rFonts w:hint="eastAsia"/>
                <w:sz w:val="18"/>
              </w:rPr>
              <w:t xml:space="preserve">−0.025／−0.005／+0.146</w:t>
            </w:r>
          </w:p>
        </w:tc>
      </w:tr>
      <w:tr>
        <w:tc>
          <w:tcPr/>
          <w:p>
            <w:pPr>
              <w:pStyle w:val="Compact"/>
            </w:pPr>
            <w:r>
              <w:rPr>
                <w:rFonts w:hint="eastAsia"/>
                <w:sz w:val="18"/>
              </w:rPr>
              <w:t xml:space="preserve">確率成分・一様：中央（交差の組）</w:t>
            </w:r>
          </w:p>
        </w:tc>
        <w:tc>
          <w:tcPr/>
          <w:p>
            <w:pPr>
              <w:pStyle w:val="Compact"/>
              <w:jc w:val="right"/>
            </w:pPr>
            <w:r>
              <w:rPr>
                <w:sz w:val="18"/>
              </w:rPr>
              <w:t xml:space="preserve">3.79</w:t>
            </w:r>
          </w:p>
        </w:tc>
        <w:tc>
          <w:tcPr/>
          <w:p>
            <w:pPr>
              <w:pStyle w:val="Compact"/>
              <w:jc w:val="right"/>
            </w:pPr>
            <w:r>
              <w:rPr>
                <w:sz w:val="18"/>
              </w:rPr>
              <w:t xml:space="preserve">3.87</w:t>
            </w:r>
          </w:p>
        </w:tc>
        <w:tc>
          <w:tcPr/>
          <w:p>
            <w:pPr>
              <w:pStyle w:val="Compact"/>
              <w:jc w:val="right"/>
            </w:pPr>
            <w:r>
              <w:rPr>
                <w:sz w:val="18"/>
              </w:rPr>
              <w:t xml:space="preserve">1.95</w:t>
            </w:r>
          </w:p>
        </w:tc>
        <w:tc>
          <w:tcPr/>
          <w:p>
            <w:pPr>
              <w:pStyle w:val="Compact"/>
              <w:jc w:val="right"/>
            </w:pPr>
            <w:r>
              <w:rPr>
                <w:sz w:val="18"/>
              </w:rPr>
              <w:t xml:space="preserve">36.0%</w:t>
            </w:r>
          </w:p>
        </w:tc>
        <w:tc>
          <w:tcPr/>
          <w:p>
            <w:pPr>
              <w:pStyle w:val="Compact"/>
              <w:jc w:val="right"/>
            </w:pPr>
            <w:r>
              <w:rPr>
                <w:sz w:val="18"/>
              </w:rPr>
              <w:t xml:space="preserve">116</w:t>
            </w:r>
          </w:p>
        </w:tc>
        <w:tc>
          <w:tcPr/>
          <w:p>
            <w:pPr>
              <w:pStyle w:val="Compact"/>
              <w:jc w:val="right"/>
            </w:pPr>
            <w:r>
              <w:rPr>
                <w:sz w:val="18"/>
              </w:rPr>
              <w:t xml:space="preserve">8.16</w:t>
            </w:r>
          </w:p>
        </w:tc>
        <w:tc>
          <w:tcPr/>
          <w:p>
            <w:pPr>
              <w:pStyle w:val="Compact"/>
              <w:jc w:val="right"/>
            </w:pPr>
            <w:r>
              <w:rPr>
                <w:sz w:val="18"/>
              </w:rPr>
              <w:t xml:space="preserve">18.22</w:t>
            </w:r>
          </w:p>
        </w:tc>
        <w:tc>
          <w:tcPr/>
          <w:p>
            <w:pPr>
              <w:pStyle w:val="Compact"/>
              <w:jc w:val="right"/>
            </w:pPr>
            <w:r>
              <w:rPr>
                <w:rFonts w:hint="eastAsia"/>
                <w:sz w:val="18"/>
              </w:rPr>
              <w:t xml:space="preserve">8,585（+3.9%）</w:t>
            </w:r>
          </w:p>
        </w:tc>
        <w:tc>
          <w:tcPr/>
          <w:p>
            <w:pPr>
              <w:pStyle w:val="Compact"/>
              <w:jc w:val="right"/>
            </w:pPr>
            <w:r>
              <w:rPr>
                <w:rFonts w:hint="eastAsia"/>
                <w:sz w:val="18"/>
              </w:rPr>
              <w:t xml:space="preserve">−0.013／+0.005／+0.147</w:t>
            </w:r>
          </w:p>
        </w:tc>
      </w:tr>
      <w:tr>
        <w:tc>
          <w:tcPr/>
          <w:p>
            <w:pPr>
              <w:pStyle w:val="Compact"/>
            </w:pPr>
            <w:r>
              <w:rPr>
                <w:rFonts w:hint="eastAsia"/>
                <w:sz w:val="18"/>
              </w:rPr>
              <w:t xml:space="preserve">確率成分・一様：中央</w:t>
            </w:r>
          </w:p>
        </w:tc>
        <w:tc>
          <w:tcPr/>
          <w:p>
            <w:pPr>
              <w:pStyle w:val="Compact"/>
              <w:jc w:val="right"/>
            </w:pPr>
            <w:r>
              <w:rPr>
                <w:sz w:val="18"/>
              </w:rPr>
              <w:t xml:space="preserve">4.30</w:t>
            </w:r>
          </w:p>
        </w:tc>
        <w:tc>
          <w:tcPr/>
          <w:p>
            <w:pPr>
              <w:pStyle w:val="Compact"/>
              <w:jc w:val="right"/>
            </w:pPr>
            <w:r>
              <w:rPr>
                <w:sz w:val="18"/>
              </w:rPr>
              <w:t xml:space="preserve">4.40</w:t>
            </w:r>
          </w:p>
        </w:tc>
        <w:tc>
          <w:tcPr/>
          <w:p>
            <w:pPr>
              <w:pStyle w:val="Compact"/>
              <w:jc w:val="right"/>
            </w:pPr>
            <w:r>
              <w:rPr>
                <w:sz w:val="18"/>
              </w:rPr>
              <w:t xml:space="preserve">2.07</w:t>
            </w:r>
          </w:p>
        </w:tc>
        <w:tc>
          <w:tcPr/>
          <w:p>
            <w:pPr>
              <w:pStyle w:val="Compact"/>
              <w:jc w:val="right"/>
            </w:pPr>
            <w:r>
              <w:rPr>
                <w:sz w:val="18"/>
              </w:rPr>
              <w:t xml:space="preserve">39.0%</w:t>
            </w:r>
          </w:p>
        </w:tc>
        <w:tc>
          <w:tcPr/>
          <w:p>
            <w:pPr>
              <w:pStyle w:val="Compact"/>
              <w:jc w:val="right"/>
            </w:pPr>
            <w:r>
              <w:rPr>
                <w:sz w:val="18"/>
              </w:rPr>
              <w:t xml:space="preserve">116</w:t>
            </w:r>
          </w:p>
        </w:tc>
        <w:tc>
          <w:tcPr/>
          <w:p>
            <w:pPr>
              <w:pStyle w:val="Compact"/>
              <w:jc w:val="right"/>
            </w:pPr>
            <w:r>
              <w:rPr>
                <w:sz w:val="18"/>
              </w:rPr>
              <w:t xml:space="preserve">8.20</w:t>
            </w:r>
          </w:p>
        </w:tc>
        <w:tc>
          <w:tcPr/>
          <w:p>
            <w:pPr>
              <w:pStyle w:val="Compact"/>
              <w:jc w:val="right"/>
            </w:pPr>
            <w:r>
              <w:rPr>
                <w:sz w:val="18"/>
              </w:rPr>
              <w:t xml:space="preserve">18.26</w:t>
            </w:r>
          </w:p>
        </w:tc>
        <w:tc>
          <w:tcPr/>
          <w:p>
            <w:pPr>
              <w:pStyle w:val="Compact"/>
              <w:jc w:val="right"/>
            </w:pPr>
            <w:r>
              <w:rPr>
                <w:rFonts w:hint="eastAsia"/>
                <w:sz w:val="18"/>
              </w:rPr>
              <w:t xml:space="preserve">8,640（+4.5%）</w:t>
            </w:r>
          </w:p>
        </w:tc>
        <w:tc>
          <w:tcPr/>
          <w:p>
            <w:pPr>
              <w:pStyle w:val="Compact"/>
              <w:jc w:val="right"/>
            </w:pPr>
            <w:r>
              <w:rPr>
                <w:rFonts w:hint="eastAsia"/>
                <w:sz w:val="18"/>
              </w:rPr>
              <w:t xml:space="preserve">−0.009／+0.007／+0.148</w:t>
            </w:r>
          </w:p>
        </w:tc>
      </w:tr>
      <w:tr>
        <w:tc>
          <w:tcPr/>
          <w:p>
            <w:pPr>
              <w:pStyle w:val="Compact"/>
            </w:pPr>
            <w:r>
              <w:rPr>
                <w:rFonts w:hint="eastAsia"/>
                <w:sz w:val="18"/>
              </w:rPr>
              <w:t xml:space="preserve">確率成分・一様：上限</w:t>
            </w:r>
          </w:p>
        </w:tc>
        <w:tc>
          <w:tcPr/>
          <w:p>
            <w:pPr>
              <w:pStyle w:val="Compact"/>
              <w:jc w:val="right"/>
            </w:pPr>
            <w:r>
              <w:rPr>
                <w:sz w:val="18"/>
              </w:rPr>
              <w:t xml:space="preserve">16.61</w:t>
            </w:r>
          </w:p>
        </w:tc>
        <w:tc>
          <w:tcPr/>
          <w:p>
            <w:pPr>
              <w:pStyle w:val="Compact"/>
              <w:jc w:val="right"/>
            </w:pPr>
            <w:r>
              <w:rPr>
                <w:sz w:val="18"/>
              </w:rPr>
              <w:t xml:space="preserve">16.88</w:t>
            </w:r>
          </w:p>
        </w:tc>
        <w:tc>
          <w:tcPr/>
          <w:p>
            <w:pPr>
              <w:pStyle w:val="Compact"/>
              <w:jc w:val="right"/>
            </w:pPr>
            <w:r>
              <w:rPr>
                <w:sz w:val="18"/>
              </w:rPr>
              <w:t xml:space="preserve">4.08</w:t>
            </w:r>
          </w:p>
        </w:tc>
        <w:tc>
          <w:tcPr/>
          <w:p>
            <w:pPr>
              <w:pStyle w:val="Compact"/>
              <w:jc w:val="right"/>
            </w:pPr>
            <w:r>
              <w:rPr>
                <w:sz w:val="18"/>
              </w:rPr>
              <w:t xml:space="preserve">70.3%</w:t>
            </w:r>
          </w:p>
        </w:tc>
        <w:tc>
          <w:tcPr/>
          <w:p>
            <w:pPr>
              <w:pStyle w:val="Compact"/>
              <w:jc w:val="right"/>
            </w:pPr>
            <w:r>
              <w:rPr>
                <w:sz w:val="18"/>
              </w:rPr>
              <w:t xml:space="preserve">140</w:t>
            </w:r>
          </w:p>
        </w:tc>
        <w:tc>
          <w:tcPr/>
          <w:p>
            <w:pPr>
              <w:pStyle w:val="Compact"/>
              <w:jc w:val="right"/>
            </w:pPr>
            <w:r>
              <w:rPr>
                <w:sz w:val="18"/>
              </w:rPr>
              <w:t xml:space="preserve">9.03</w:t>
            </w:r>
          </w:p>
        </w:tc>
        <w:tc>
          <w:tcPr/>
          <w:p>
            <w:pPr>
              <w:pStyle w:val="Compact"/>
              <w:jc w:val="right"/>
            </w:pPr>
            <w:r>
              <w:rPr>
                <w:sz w:val="18"/>
              </w:rPr>
              <w:t xml:space="preserve">18.54</w:t>
            </w:r>
          </w:p>
        </w:tc>
        <w:tc>
          <w:tcPr/>
          <w:p>
            <w:pPr>
              <w:pStyle w:val="Compact"/>
              <w:jc w:val="right"/>
            </w:pPr>
            <w:r>
              <w:rPr>
                <w:rFonts w:hint="eastAsia"/>
                <w:sz w:val="18"/>
              </w:rPr>
              <w:t xml:space="preserve">9,819（+18.8%）</w:t>
            </w:r>
          </w:p>
        </w:tc>
        <w:tc>
          <w:tcPr/>
          <w:p>
            <w:pPr>
              <w:pStyle w:val="Compact"/>
              <w:jc w:val="right"/>
            </w:pPr>
            <w:r>
              <w:rPr>
                <w:rFonts w:hint="eastAsia"/>
                <w:sz w:val="18"/>
              </w:rPr>
              <w:t xml:space="preserve">+0.104／+0.087／+0.175</w:t>
            </w:r>
          </w:p>
        </w:tc>
      </w:tr>
      <w:tr>
        <w:tc>
          <w:tcPr/>
          <w:p>
            <w:pPr>
              <w:pStyle w:val="Compact"/>
            </w:pPr>
            <w:r>
              <w:rPr>
                <w:rFonts w:hint="eastAsia"/>
                <w:sz w:val="18"/>
              </w:rPr>
              <w:t xml:space="preserve">全成分・一様：下限</w:t>
            </w:r>
          </w:p>
        </w:tc>
        <w:tc>
          <w:tcPr/>
          <w:p>
            <w:pPr>
              <w:pStyle w:val="Compact"/>
              <w:jc w:val="right"/>
            </w:pPr>
            <w:r>
              <w:rPr>
                <w:sz w:val="18"/>
              </w:rPr>
              <w:t xml:space="preserve">2.85</w:t>
            </w:r>
          </w:p>
        </w:tc>
        <w:tc>
          <w:tcPr/>
          <w:p>
            <w:pPr>
              <w:pStyle w:val="Compact"/>
              <w:jc w:val="right"/>
            </w:pPr>
            <w:r>
              <w:rPr>
                <w:sz w:val="18"/>
              </w:rPr>
              <w:t xml:space="preserve">2.83</w:t>
            </w:r>
          </w:p>
        </w:tc>
        <w:tc>
          <w:tcPr/>
          <w:p>
            <w:pPr>
              <w:pStyle w:val="Compact"/>
              <w:jc w:val="right"/>
            </w:pPr>
            <w:r>
              <w:rPr>
                <w:sz w:val="18"/>
              </w:rPr>
              <w:t xml:space="preserve">1.69</w:t>
            </w:r>
          </w:p>
        </w:tc>
        <w:tc>
          <w:tcPr/>
          <w:p>
            <w:pPr>
              <w:pStyle w:val="Compact"/>
              <w:jc w:val="right"/>
            </w:pPr>
            <w:r>
              <w:rPr>
                <w:sz w:val="18"/>
              </w:rPr>
              <w:t xml:space="preserve">29.9%</w:t>
            </w:r>
          </w:p>
        </w:tc>
        <w:tc>
          <w:tcPr/>
          <w:p>
            <w:pPr>
              <w:pStyle w:val="Compact"/>
              <w:jc w:val="right"/>
            </w:pPr>
            <w:r>
              <w:rPr>
                <w:sz w:val="18"/>
              </w:rPr>
              <w:t xml:space="preserve">116</w:t>
            </w:r>
          </w:p>
        </w:tc>
        <w:tc>
          <w:tcPr/>
          <w:p>
            <w:pPr>
              <w:pStyle w:val="Compact"/>
              <w:jc w:val="right"/>
            </w:pPr>
            <w:r>
              <w:rPr>
                <w:sz w:val="18"/>
              </w:rPr>
              <w:t xml:space="preserve">8.05</w:t>
            </w:r>
          </w:p>
        </w:tc>
        <w:tc>
          <w:tcPr/>
          <w:p>
            <w:pPr>
              <w:pStyle w:val="Compact"/>
              <w:jc w:val="right"/>
            </w:pPr>
            <w:r>
              <w:rPr>
                <w:sz w:val="18"/>
              </w:rPr>
              <w:t xml:space="preserve">18.14</w:t>
            </w:r>
          </w:p>
        </w:tc>
        <w:tc>
          <w:tcPr/>
          <w:p>
            <w:pPr>
              <w:pStyle w:val="Compact"/>
              <w:jc w:val="right"/>
            </w:pPr>
            <w:r>
              <w:rPr>
                <w:rFonts w:hint="eastAsia"/>
                <w:sz w:val="18"/>
              </w:rPr>
              <w:t xml:space="preserve">8,409（+1.7%）</w:t>
            </w:r>
          </w:p>
        </w:tc>
        <w:tc>
          <w:tcPr/>
          <w:p>
            <w:pPr>
              <w:pStyle w:val="Compact"/>
              <w:jc w:val="right"/>
            </w:pPr>
            <w:r>
              <w:rPr>
                <w:rFonts w:hint="eastAsia"/>
                <w:sz w:val="18"/>
              </w:rPr>
              <w:t xml:space="preserve">−0.033／−0.016／+0.145</w:t>
            </w:r>
          </w:p>
        </w:tc>
      </w:tr>
      <w:tr>
        <w:tc>
          <w:tcPr/>
          <w:p>
            <w:pPr>
              <w:pStyle w:val="Compact"/>
            </w:pPr>
            <w:r>
              <w:rPr>
                <w:rFonts w:hint="eastAsia"/>
                <w:sz w:val="18"/>
              </w:rPr>
              <w:t xml:space="preserve">全成分・一様：中央</w:t>
            </w:r>
          </w:p>
        </w:tc>
        <w:tc>
          <w:tcPr/>
          <w:p>
            <w:pPr>
              <w:pStyle w:val="Compact"/>
              <w:jc w:val="right"/>
            </w:pPr>
            <w:r>
              <w:rPr>
                <w:sz w:val="18"/>
              </w:rPr>
              <w:t xml:space="preserve">4.73</w:t>
            </w:r>
          </w:p>
        </w:tc>
        <w:tc>
          <w:tcPr/>
          <w:p>
            <w:pPr>
              <w:pStyle w:val="Compact"/>
              <w:jc w:val="right"/>
            </w:pPr>
            <w:r>
              <w:rPr>
                <w:sz w:val="18"/>
              </w:rPr>
              <w:t xml:space="preserve">4.68</w:t>
            </w:r>
          </w:p>
        </w:tc>
        <w:tc>
          <w:tcPr/>
          <w:p>
            <w:pPr>
              <w:pStyle w:val="Compact"/>
              <w:jc w:val="right"/>
            </w:pPr>
            <w:r>
              <w:rPr>
                <w:sz w:val="18"/>
              </w:rPr>
              <w:t xml:space="preserve">2.18</w:t>
            </w:r>
          </w:p>
        </w:tc>
        <w:tc>
          <w:tcPr/>
          <w:p>
            <w:pPr>
              <w:pStyle w:val="Compact"/>
              <w:jc w:val="right"/>
            </w:pPr>
            <w:r>
              <w:rPr>
                <w:sz w:val="18"/>
              </w:rPr>
              <w:t xml:space="preserve">41.3%</w:t>
            </w:r>
          </w:p>
        </w:tc>
        <w:tc>
          <w:tcPr/>
          <w:p>
            <w:pPr>
              <w:pStyle w:val="Compact"/>
              <w:jc w:val="right"/>
            </w:pPr>
            <w:r>
              <w:rPr>
                <w:sz w:val="18"/>
              </w:rPr>
              <w:t xml:space="preserve">120</w:t>
            </w:r>
          </w:p>
        </w:tc>
        <w:tc>
          <w:tcPr/>
          <w:p>
            <w:pPr>
              <w:pStyle w:val="Compact"/>
              <w:jc w:val="right"/>
            </w:pPr>
            <w:r>
              <w:rPr>
                <w:sz w:val="18"/>
              </w:rPr>
              <w:t xml:space="preserve">8.14</w:t>
            </w:r>
          </w:p>
        </w:tc>
        <w:tc>
          <w:tcPr/>
          <w:p>
            <w:pPr>
              <w:pStyle w:val="Compact"/>
              <w:jc w:val="right"/>
            </w:pPr>
            <w:r>
              <w:rPr>
                <w:sz w:val="18"/>
              </w:rPr>
              <w:t xml:space="preserve">18.25</w:t>
            </w:r>
          </w:p>
        </w:tc>
        <w:tc>
          <w:tcPr/>
          <w:p>
            <w:pPr>
              <w:pStyle w:val="Compact"/>
              <w:jc w:val="right"/>
            </w:pPr>
            <w:r>
              <w:rPr>
                <w:rFonts w:hint="eastAsia"/>
                <w:sz w:val="18"/>
              </w:rPr>
              <w:t xml:space="preserve">8,584（+3.9%）</w:t>
            </w:r>
          </w:p>
        </w:tc>
        <w:tc>
          <w:tcPr/>
          <w:p>
            <w:pPr>
              <w:pStyle w:val="Compact"/>
              <w:jc w:val="right"/>
            </w:pPr>
            <w:r>
              <w:rPr>
                <w:rFonts w:hint="eastAsia"/>
                <w:sz w:val="18"/>
              </w:rPr>
              <w:t xml:space="preserve">−0.021／−0.004／+0.151</w:t>
            </w:r>
          </w:p>
        </w:tc>
      </w:tr>
      <w:tr>
        <w:tc>
          <w:tcPr/>
          <w:p>
            <w:pPr>
              <w:pStyle w:val="Compact"/>
            </w:pPr>
            <w:r>
              <w:rPr>
                <w:rFonts w:hint="eastAsia"/>
                <w:sz w:val="18"/>
              </w:rPr>
              <w:t xml:space="preserve">全成分・一様：上限</w:t>
            </w:r>
          </w:p>
        </w:tc>
        <w:tc>
          <w:tcPr/>
          <w:p>
            <w:pPr>
              <w:pStyle w:val="Compact"/>
              <w:jc w:val="right"/>
            </w:pPr>
            <w:r>
              <w:rPr>
                <w:sz w:val="18"/>
              </w:rPr>
              <w:t xml:space="preserve">18.19</w:t>
            </w:r>
          </w:p>
        </w:tc>
        <w:tc>
          <w:tcPr/>
          <w:p>
            <w:pPr>
              <w:pStyle w:val="Compact"/>
              <w:jc w:val="right"/>
            </w:pPr>
            <w:r>
              <w:rPr>
                <w:sz w:val="18"/>
              </w:rPr>
              <w:t xml:space="preserve">17.89</w:t>
            </w:r>
          </w:p>
        </w:tc>
        <w:tc>
          <w:tcPr/>
          <w:p>
            <w:pPr>
              <w:pStyle w:val="Compact"/>
              <w:jc w:val="right"/>
            </w:pPr>
            <w:r>
              <w:rPr>
                <w:sz w:val="18"/>
              </w:rPr>
              <w:t xml:space="preserve">4.26</w:t>
            </w:r>
          </w:p>
        </w:tc>
        <w:tc>
          <w:tcPr/>
          <w:p>
            <w:pPr>
              <w:pStyle w:val="Compact"/>
              <w:jc w:val="right"/>
            </w:pPr>
            <w:r>
              <w:rPr>
                <w:sz w:val="18"/>
              </w:rPr>
              <w:t xml:space="preserve">72.2%</w:t>
            </w:r>
          </w:p>
        </w:tc>
        <w:tc>
          <w:tcPr/>
          <w:p>
            <w:pPr>
              <w:pStyle w:val="Compact"/>
              <w:jc w:val="right"/>
            </w:pPr>
            <w:r>
              <w:rPr>
                <w:sz w:val="18"/>
              </w:rPr>
              <w:t xml:space="preserve">147</w:t>
            </w:r>
          </w:p>
        </w:tc>
        <w:tc>
          <w:tcPr/>
          <w:p>
            <w:pPr>
              <w:pStyle w:val="Compact"/>
              <w:jc w:val="right"/>
            </w:pPr>
            <w:r>
              <w:rPr>
                <w:sz w:val="18"/>
              </w:rPr>
              <w:t xml:space="preserve">9.00</w:t>
            </w:r>
          </w:p>
        </w:tc>
        <w:tc>
          <w:tcPr/>
          <w:p>
            <w:pPr>
              <w:pStyle w:val="Compact"/>
              <w:jc w:val="right"/>
            </w:pPr>
            <w:r>
              <w:rPr>
                <w:sz w:val="18"/>
              </w:rPr>
              <w:t xml:space="preserve">18.51</w:t>
            </w:r>
          </w:p>
        </w:tc>
        <w:tc>
          <w:tcPr/>
          <w:p>
            <w:pPr>
              <w:pStyle w:val="Compact"/>
              <w:jc w:val="right"/>
            </w:pPr>
            <w:r>
              <w:rPr>
                <w:rFonts w:hint="eastAsia"/>
                <w:sz w:val="18"/>
              </w:rPr>
              <w:t xml:space="preserve">9,751（+18.0%）</w:t>
            </w:r>
          </w:p>
        </w:tc>
        <w:tc>
          <w:tcPr/>
          <w:p>
            <w:pPr>
              <w:pStyle w:val="Compact"/>
              <w:jc w:val="right"/>
            </w:pPr>
            <w:r>
              <w:rPr>
                <w:rFonts w:hint="eastAsia"/>
                <w:sz w:val="18"/>
              </w:rPr>
              <w:t xml:space="preserve">+0.086／+0.054／+0.177</w:t>
            </w:r>
          </w:p>
        </w:tc>
      </w:tr>
      <w:tr>
        <w:tc>
          <w:tcPr/>
          <w:p>
            <w:pPr>
              <w:pStyle w:val="Compact"/>
            </w:pPr>
            <w:r>
              <w:rPr>
                <w:rFonts w:hint="eastAsia"/>
                <w:sz w:val="18"/>
              </w:rPr>
              <w:t xml:space="preserve">確率成分・帯域別：下限（4.9,</w:t>
            </w:r>
            <w:r>
              <w:rPr>
                <w:sz w:val="18"/>
              </w:rPr>
              <w:t xml:space="preserve"> </w:t>
            </w:r>
            <w:r>
              <w:rPr>
                <w:rFonts w:hint="eastAsia"/>
                <w:sz w:val="18"/>
              </w:rPr>
              <w:t xml:space="preserve">2.41）</w:t>
            </w:r>
          </w:p>
        </w:tc>
        <w:tc>
          <w:tcPr/>
          <w:p>
            <w:pPr>
              <w:pStyle w:val="Compact"/>
              <w:jc w:val="right"/>
            </w:pPr>
            <w:r>
              <w:rPr>
                <w:sz w:val="18"/>
              </w:rPr>
              <w:t xml:space="preserve">2.76</w:t>
            </w:r>
          </w:p>
        </w:tc>
        <w:tc>
          <w:tcPr/>
          <w:p>
            <w:pPr>
              <w:pStyle w:val="Compact"/>
              <w:jc w:val="right"/>
            </w:pPr>
            <w:r>
              <w:rPr>
                <w:sz w:val="18"/>
              </w:rPr>
              <w:t xml:space="preserve">2.81</w:t>
            </w:r>
          </w:p>
        </w:tc>
        <w:tc>
          <w:tcPr/>
          <w:p>
            <w:pPr>
              <w:pStyle w:val="Compact"/>
              <w:jc w:val="right"/>
            </w:pPr>
            <w:r>
              <w:rPr>
                <w:sz w:val="18"/>
              </w:rPr>
              <w:t xml:space="preserve">1.66</w:t>
            </w:r>
          </w:p>
        </w:tc>
        <w:tc>
          <w:tcPr/>
          <w:p>
            <w:pPr>
              <w:pStyle w:val="Compact"/>
              <w:jc w:val="right"/>
            </w:pPr>
            <w:r>
              <w:rPr>
                <w:sz w:val="18"/>
              </w:rPr>
              <w:t xml:space="preserve">29.3%</w:t>
            </w:r>
          </w:p>
        </w:tc>
        <w:tc>
          <w:tcPr/>
          <w:p>
            <w:pPr>
              <w:pStyle w:val="Compact"/>
              <w:jc w:val="right"/>
            </w:pPr>
            <w:r>
              <w:rPr>
                <w:sz w:val="18"/>
              </w:rPr>
              <w:t xml:space="preserve">115</w:t>
            </w:r>
          </w:p>
        </w:tc>
        <w:tc>
          <w:tcPr/>
          <w:p>
            <w:pPr>
              <w:pStyle w:val="Compact"/>
              <w:jc w:val="right"/>
            </w:pPr>
            <w:r>
              <w:rPr>
                <w:sz w:val="18"/>
              </w:rPr>
              <w:t xml:space="preserve">8.06</w:t>
            </w:r>
          </w:p>
        </w:tc>
        <w:tc>
          <w:tcPr/>
          <w:p>
            <w:pPr>
              <w:pStyle w:val="Compact"/>
              <w:jc w:val="right"/>
            </w:pPr>
            <w:r>
              <w:rPr>
                <w:sz w:val="18"/>
              </w:rPr>
              <w:t xml:space="preserve">18.16</w:t>
            </w:r>
          </w:p>
        </w:tc>
        <w:tc>
          <w:tcPr/>
          <w:p>
            <w:pPr>
              <w:pStyle w:val="Compact"/>
              <w:jc w:val="right"/>
            </w:pPr>
            <w:r>
              <w:rPr>
                <w:rFonts w:hint="eastAsia"/>
                <w:sz w:val="18"/>
              </w:rPr>
              <w:t xml:space="preserve">8,458（+2.3%）</w:t>
            </w:r>
          </w:p>
        </w:tc>
        <w:tc>
          <w:tcPr/>
          <w:p>
            <w:pPr>
              <w:pStyle w:val="Compact"/>
              <w:jc w:val="right"/>
            </w:pPr>
            <w:r>
              <w:rPr>
                <w:rFonts w:hint="eastAsia"/>
                <w:sz w:val="18"/>
              </w:rPr>
              <w:t xml:space="preserve">−0.023／−0.001／+0.147</w:t>
            </w:r>
          </w:p>
        </w:tc>
      </w:tr>
      <w:tr>
        <w:tc>
          <w:tcPr/>
          <w:p>
            <w:pPr>
              <w:pStyle w:val="Compact"/>
            </w:pPr>
            <w:r>
              <w:rPr>
                <w:rFonts w:hint="eastAsia"/>
                <w:sz w:val="18"/>
              </w:rPr>
              <w:t xml:space="preserve">確率成分・帯域別：中央（20.8,</w:t>
            </w:r>
            <w:r>
              <w:rPr>
                <w:sz w:val="18"/>
              </w:rPr>
              <w:t xml:space="preserve"> </w:t>
            </w:r>
            <w:r>
              <w:rPr>
                <w:rFonts w:hint="eastAsia"/>
                <w:sz w:val="18"/>
              </w:rPr>
              <w:t xml:space="preserve">1.24）†</w:t>
            </w:r>
          </w:p>
        </w:tc>
        <w:tc>
          <w:tcPr/>
          <w:p>
            <w:pPr>
              <w:pStyle w:val="Compact"/>
              <w:jc w:val="right"/>
            </w:pPr>
            <w:r>
              <w:rPr>
                <w:sz w:val="18"/>
              </w:rPr>
              <w:t xml:space="preserve">4.47</w:t>
            </w:r>
          </w:p>
        </w:tc>
        <w:tc>
          <w:tcPr/>
          <w:p>
            <w:pPr>
              <w:pStyle w:val="Compact"/>
              <w:jc w:val="right"/>
            </w:pPr>
            <w:r>
              <w:rPr>
                <w:sz w:val="18"/>
              </w:rPr>
              <w:t xml:space="preserve">4.52</w:t>
            </w:r>
          </w:p>
        </w:tc>
        <w:tc>
          <w:tcPr/>
          <w:p>
            <w:pPr>
              <w:pStyle w:val="Compact"/>
              <w:jc w:val="right"/>
            </w:pPr>
            <w:r>
              <w:rPr>
                <w:sz w:val="18"/>
              </w:rPr>
              <w:t xml:space="preserve">2.11</w:t>
            </w:r>
          </w:p>
        </w:tc>
        <w:tc>
          <w:tcPr/>
          <w:p>
            <w:pPr>
              <w:pStyle w:val="Compact"/>
              <w:jc w:val="right"/>
            </w:pPr>
            <w:r>
              <w:rPr>
                <w:sz w:val="18"/>
              </w:rPr>
              <w:t xml:space="preserve">41.3%</w:t>
            </w:r>
          </w:p>
        </w:tc>
        <w:tc>
          <w:tcPr/>
          <w:p>
            <w:pPr>
              <w:pStyle w:val="Compact"/>
              <w:jc w:val="right"/>
            </w:pPr>
            <w:r>
              <w:rPr>
                <w:sz w:val="18"/>
              </w:rPr>
              <w:t xml:space="preserve">119</w:t>
            </w:r>
          </w:p>
        </w:tc>
        <w:tc>
          <w:tcPr/>
          <w:p>
            <w:pPr>
              <w:pStyle w:val="Compact"/>
              <w:jc w:val="right"/>
            </w:pPr>
            <w:r>
              <w:rPr>
                <w:sz w:val="18"/>
              </w:rPr>
              <w:t xml:space="preserve">8.13</w:t>
            </w:r>
          </w:p>
        </w:tc>
        <w:tc>
          <w:tcPr/>
          <w:p>
            <w:pPr>
              <w:pStyle w:val="Compact"/>
              <w:jc w:val="right"/>
            </w:pPr>
            <w:r>
              <w:rPr>
                <w:sz w:val="18"/>
              </w:rPr>
              <w:t xml:space="preserve">18.09</w:t>
            </w:r>
          </w:p>
        </w:tc>
        <w:tc>
          <w:tcPr/>
          <w:p>
            <w:pPr>
              <w:pStyle w:val="Compact"/>
              <w:jc w:val="right"/>
            </w:pPr>
            <w:r>
              <w:rPr>
                <w:rFonts w:hint="eastAsia"/>
                <w:sz w:val="18"/>
              </w:rPr>
              <w:t xml:space="preserve">8,577（+3.8%）</w:t>
            </w:r>
          </w:p>
        </w:tc>
        <w:tc>
          <w:tcPr/>
          <w:p>
            <w:pPr>
              <w:pStyle w:val="Compact"/>
              <w:jc w:val="right"/>
            </w:pPr>
            <w:r>
              <w:rPr>
                <w:rFonts w:hint="eastAsia"/>
                <w:sz w:val="18"/>
              </w:rPr>
              <w:t xml:space="preserve">−0.002／+0.005／+0.153</w:t>
            </w:r>
          </w:p>
        </w:tc>
      </w:tr>
      <w:tr>
        <w:tc>
          <w:tcPr/>
          <w:p>
            <w:pPr>
              <w:pStyle w:val="Compact"/>
            </w:pPr>
            <w:r>
              <w:rPr>
                <w:rFonts w:hint="eastAsia"/>
                <w:sz w:val="18"/>
              </w:rPr>
              <w:t xml:space="preserve">確率成分・帯域別：上限（80.4,</w:t>
            </w:r>
            <w:r>
              <w:rPr>
                <w:sz w:val="18"/>
              </w:rPr>
              <w:t xml:space="preserve"> </w:t>
            </w:r>
            <w:r>
              <w:rPr>
                <w:rFonts w:hint="eastAsia"/>
                <w:sz w:val="18"/>
              </w:rPr>
              <w:t xml:space="preserve">4.66）</w:t>
            </w:r>
          </w:p>
        </w:tc>
        <w:tc>
          <w:tcPr/>
          <w:p>
            <w:pPr>
              <w:pStyle w:val="Compact"/>
              <w:jc w:val="right"/>
            </w:pPr>
            <w:r>
              <w:rPr>
                <w:sz w:val="18"/>
              </w:rPr>
              <w:t xml:space="preserve">16.82</w:t>
            </w:r>
          </w:p>
        </w:tc>
        <w:tc>
          <w:tcPr/>
          <w:p>
            <w:pPr>
              <w:pStyle w:val="Compact"/>
              <w:jc w:val="right"/>
            </w:pPr>
            <w:r>
              <w:rPr>
                <w:sz w:val="18"/>
              </w:rPr>
              <w:t xml:space="preserve">16.94</w:t>
            </w:r>
          </w:p>
        </w:tc>
        <w:tc>
          <w:tcPr/>
          <w:p>
            <w:pPr>
              <w:pStyle w:val="Compact"/>
              <w:jc w:val="right"/>
            </w:pPr>
            <w:r>
              <w:rPr>
                <w:sz w:val="18"/>
              </w:rPr>
              <w:t xml:space="preserve">4.10</w:t>
            </w:r>
          </w:p>
        </w:tc>
        <w:tc>
          <w:tcPr/>
          <w:p>
            <w:pPr>
              <w:pStyle w:val="Compact"/>
              <w:jc w:val="right"/>
            </w:pPr>
            <w:r>
              <w:rPr>
                <w:sz w:val="18"/>
              </w:rPr>
              <w:t xml:space="preserve">73.1%</w:t>
            </w:r>
          </w:p>
        </w:tc>
        <w:tc>
          <w:tcPr/>
          <w:p>
            <w:pPr>
              <w:pStyle w:val="Compact"/>
              <w:jc w:val="right"/>
            </w:pPr>
            <w:r>
              <w:rPr>
                <w:sz w:val="18"/>
              </w:rPr>
              <w:t xml:space="preserve">150</w:t>
            </w:r>
          </w:p>
        </w:tc>
        <w:tc>
          <w:tcPr/>
          <w:p>
            <w:pPr>
              <w:pStyle w:val="Compact"/>
              <w:jc w:val="right"/>
            </w:pPr>
            <w:r>
              <w:rPr>
                <w:sz w:val="18"/>
              </w:rPr>
              <w:t xml:space="preserve">9.00</w:t>
            </w:r>
          </w:p>
        </w:tc>
        <w:tc>
          <w:tcPr/>
          <w:p>
            <w:pPr>
              <w:pStyle w:val="Compact"/>
              <w:jc w:val="right"/>
            </w:pPr>
            <w:r>
              <w:rPr>
                <w:sz w:val="18"/>
              </w:rPr>
              <w:t xml:space="preserve">18.40</w:t>
            </w:r>
          </w:p>
        </w:tc>
        <w:tc>
          <w:tcPr/>
          <w:p>
            <w:pPr>
              <w:pStyle w:val="Compact"/>
              <w:jc w:val="right"/>
            </w:pPr>
            <w:r>
              <w:rPr>
                <w:rFonts w:hint="eastAsia"/>
                <w:sz w:val="18"/>
              </w:rPr>
              <w:t xml:space="preserve">9,741（+17.9%）</w:t>
            </w:r>
          </w:p>
        </w:tc>
        <w:tc>
          <w:tcPr/>
          <w:p>
            <w:pPr>
              <w:pStyle w:val="Compact"/>
              <w:jc w:val="right"/>
            </w:pPr>
            <w:r>
              <w:rPr>
                <w:rFonts w:hint="eastAsia"/>
                <w:sz w:val="18"/>
              </w:rPr>
              <w:t xml:space="preserve">+0.103／+0.055／+0.178</w:t>
            </w:r>
          </w:p>
        </w:tc>
      </w:tr>
      <w:tr>
        <w:tc>
          <w:tcPr/>
          <w:p>
            <w:pPr>
              <w:pStyle w:val="Compact"/>
            </w:pPr>
            <w:r>
              <w:rPr>
                <w:rFonts w:hint="eastAsia"/>
                <w:sz w:val="18"/>
              </w:rPr>
              <w:t xml:space="preserve">参考：加法・打ち切り（名目の倍率2）</w:t>
            </w:r>
          </w:p>
        </w:tc>
        <w:tc>
          <w:tcPr/>
          <w:p>
            <w:pPr>
              <w:pStyle w:val="Compact"/>
              <w:jc w:val="right"/>
            </w:pPr>
            <w:r>
              <w:rPr>
                <w:sz w:val="18"/>
              </w:rPr>
              <w:t xml:space="preserve">3.12</w:t>
            </w:r>
          </w:p>
        </w:tc>
        <w:tc>
          <w:tcPr/>
          <w:p>
            <w:pPr>
              <w:pStyle w:val="Compact"/>
              <w:jc w:val="right"/>
            </w:pPr>
            <w:r>
              <w:rPr>
                <w:sz w:val="18"/>
              </w:rPr>
              <w:t xml:space="preserve">3.09</w:t>
            </w:r>
          </w:p>
        </w:tc>
        <w:tc>
          <w:tcPr/>
          <w:p>
            <w:pPr>
              <w:pStyle w:val="Compact"/>
              <w:jc w:val="right"/>
            </w:pPr>
            <w:r>
              <w:rPr>
                <w:sz w:val="18"/>
              </w:rPr>
              <w:t xml:space="preserve">1.77</w:t>
            </w:r>
          </w:p>
        </w:tc>
        <w:tc>
          <w:tcPr/>
          <w:p>
            <w:pPr>
              <w:pStyle w:val="Compact"/>
              <w:jc w:val="right"/>
            </w:pPr>
            <w:r>
              <w:rPr>
                <w:sz w:val="18"/>
              </w:rPr>
              <w:t xml:space="preserve">31.0%</w:t>
            </w:r>
          </w:p>
        </w:tc>
        <w:tc>
          <w:tcPr/>
          <w:p>
            <w:pPr>
              <w:pStyle w:val="Compact"/>
              <w:jc w:val="right"/>
            </w:pPr>
            <w:r>
              <w:rPr>
                <w:sz w:val="18"/>
              </w:rPr>
              <w:t xml:space="preserve">117</w:t>
            </w:r>
          </w:p>
        </w:tc>
        <w:tc>
          <w:tcPr/>
          <w:p>
            <w:pPr>
              <w:pStyle w:val="Compact"/>
              <w:jc w:val="right"/>
            </w:pPr>
            <w:r>
              <w:rPr>
                <w:sz w:val="18"/>
              </w:rPr>
              <w:t xml:space="preserve">8.10</w:t>
            </w:r>
          </w:p>
        </w:tc>
        <w:tc>
          <w:tcPr/>
          <w:p>
            <w:pPr>
              <w:pStyle w:val="Compact"/>
              <w:jc w:val="right"/>
            </w:pPr>
            <w:r>
              <w:rPr>
                <w:sz w:val="18"/>
              </w:rPr>
              <w:t xml:space="preserve">18.16</w:t>
            </w:r>
          </w:p>
        </w:tc>
        <w:tc>
          <w:tcPr/>
          <w:p>
            <w:pPr>
              <w:pStyle w:val="Compact"/>
              <w:jc w:val="right"/>
            </w:pPr>
            <w:r>
              <w:rPr>
                <w:rFonts w:hint="eastAsia"/>
                <w:sz w:val="18"/>
              </w:rPr>
              <w:t xml:space="preserve">8,456（+2.3%）</w:t>
            </w:r>
          </w:p>
        </w:tc>
        <w:tc>
          <w:tcPr/>
          <w:p>
            <w:pPr>
              <w:pStyle w:val="Compact"/>
              <w:jc w:val="right"/>
            </w:pPr>
            <w:r>
              <w:rPr>
                <w:rFonts w:hint="eastAsia"/>
                <w:sz w:val="18"/>
              </w:rPr>
              <w:t xml:space="preserve">−0.030／−0.017／+0.146</w:t>
            </w:r>
          </w:p>
        </w:tc>
      </w:tr>
      <w:tr>
        <w:tc>
          <w:tcPr/>
          <w:p>
            <w:pPr>
              <w:pStyle w:val="Compact"/>
            </w:pPr>
            <w:r>
              <w:rPr>
                <w:rFonts w:hint="eastAsia"/>
                <w:sz w:val="18"/>
              </w:rPr>
              <w:t xml:space="preserve">参考：加法・打ち切り（名目の倍率4）</w:t>
            </w:r>
          </w:p>
        </w:tc>
        <w:tc>
          <w:tcPr/>
          <w:p>
            <w:pPr>
              <w:pStyle w:val="Compact"/>
              <w:jc w:val="right"/>
            </w:pPr>
            <w:r>
              <w:rPr>
                <w:sz w:val="18"/>
              </w:rPr>
              <w:t xml:space="preserve">7.40</w:t>
            </w:r>
          </w:p>
        </w:tc>
        <w:tc>
          <w:tcPr/>
          <w:p>
            <w:pPr>
              <w:pStyle w:val="Compact"/>
              <w:jc w:val="right"/>
            </w:pPr>
            <w:r>
              <w:rPr>
                <w:sz w:val="18"/>
              </w:rPr>
              <w:t xml:space="preserve">7.29</w:t>
            </w:r>
          </w:p>
        </w:tc>
        <w:tc>
          <w:tcPr/>
          <w:p>
            <w:pPr>
              <w:pStyle w:val="Compact"/>
              <w:jc w:val="right"/>
            </w:pPr>
            <w:r>
              <w:rPr>
                <w:sz w:val="18"/>
              </w:rPr>
              <w:t xml:space="preserve">2.72</w:t>
            </w:r>
          </w:p>
        </w:tc>
        <w:tc>
          <w:tcPr/>
          <w:p>
            <w:pPr>
              <w:pStyle w:val="Compact"/>
              <w:jc w:val="right"/>
            </w:pPr>
            <w:r>
              <w:rPr>
                <w:sz w:val="18"/>
              </w:rPr>
              <w:t xml:space="preserve">50.7%</w:t>
            </w:r>
          </w:p>
        </w:tc>
        <w:tc>
          <w:tcPr/>
          <w:p>
            <w:pPr>
              <w:pStyle w:val="Compact"/>
              <w:jc w:val="right"/>
            </w:pPr>
            <w:r>
              <w:rPr>
                <w:sz w:val="18"/>
              </w:rPr>
              <w:t xml:space="preserve">126</w:t>
            </w:r>
          </w:p>
        </w:tc>
        <w:tc>
          <w:tcPr/>
          <w:p>
            <w:pPr>
              <w:pStyle w:val="Compact"/>
              <w:jc w:val="right"/>
            </w:pPr>
            <w:r>
              <w:rPr>
                <w:sz w:val="18"/>
              </w:rPr>
              <w:t xml:space="preserve">8.31</w:t>
            </w:r>
          </w:p>
        </w:tc>
        <w:tc>
          <w:tcPr/>
          <w:p>
            <w:pPr>
              <w:pStyle w:val="Compact"/>
              <w:jc w:val="right"/>
            </w:pPr>
            <w:r>
              <w:rPr>
                <w:sz w:val="18"/>
              </w:rPr>
              <w:t xml:space="preserve">18.31</w:t>
            </w:r>
          </w:p>
        </w:tc>
        <w:tc>
          <w:tcPr/>
          <w:p>
            <w:pPr>
              <w:pStyle w:val="Compact"/>
              <w:jc w:val="right"/>
            </w:pPr>
            <w:r>
              <w:rPr>
                <w:rFonts w:hint="eastAsia"/>
                <w:sz w:val="18"/>
              </w:rPr>
              <w:t xml:space="preserve">8,846（+7.0%）</w:t>
            </w:r>
          </w:p>
        </w:tc>
        <w:tc>
          <w:tcPr/>
          <w:p>
            <w:pPr>
              <w:pStyle w:val="Compact"/>
              <w:jc w:val="right"/>
            </w:pPr>
            <w:r>
              <w:rPr>
                <w:rFonts w:hint="eastAsia"/>
                <w:sz w:val="18"/>
              </w:rPr>
              <w:t xml:space="preserve">−0.007／+0.006／+0.161</w:t>
            </w:r>
          </w:p>
        </w:tc>
      </w:tr>
    </w:tbl>
    <w:p>
      <w:pPr>
        <w:pStyle w:val="TableNote"/>
      </w:pPr>
      <w:r>
        <w:rPr>
          <w:rFonts w:hint="eastAsia"/>
        </w:rPr>
        <w:t xml:space="preserve">注）TB4h</w:t>
      </w:r>
      <w:r>
        <w:t xml:space="preserve"> </w:t>
      </w:r>
      <w:r>
        <w:rPr>
          <w:rFonts w:hint="eastAsia"/>
        </w:rPr>
        <w:t xml:space="preserve">と時間価格の95パーセンタイルは円/kWh、係数は円/kWh</w:t>
      </w:r>
      <w:r>
        <w:t xml:space="preserve"> per </w:t>
      </w:r>
      <w:r>
        <w:rPr>
          <w:rFonts w:hint="eastAsia"/>
        </w:rPr>
        <w:t xml:space="preserve">GWh/日。係数は年度・季節固定効果、太陽光×季節、需要を統制し、推論は</w:t>
      </w:r>
      <w:r>
        <w:t xml:space="preserve"> </w:t>
      </w:r>
      <w:r>
        <w:rPr>
          <w:rFonts w:hint="eastAsia"/>
        </w:rPr>
        <w:t xml:space="preserve">EWC（</w:t>
      </w:r>
      <m:oMath>
        <m:r>
          <m:t>ν</m:t>
        </m:r>
        <m:r>
          <m:rPr>
            <m:sty m:val="p"/>
          </m:rPr>
          <m:t>=</m:t>
        </m:r>
        <m:r>
          <m:t>42</m:t>
        </m:r>
      </m:oMath>
      <w:r>
        <w:rPr>
          <w:rFonts w:hint="eastAsia"/>
        </w:rPr>
        <w:t xml:space="preserve">）。確率成分・一様の上限の夏・冬の係数は、モデル価格の上の</w:t>
      </w:r>
      <w:r>
        <w:t xml:space="preserve"> EWC で </w:t>
      </w:r>
      <w:r>
        <w:rPr>
          <w:rFonts w:hint="eastAsia"/>
        </w:rPr>
        <w:t xml:space="preserve">p=0.04、0.005。†は6〜24時間の帯域の実現比が1.38で、目標（1.24）を11%上回る（6〜24時間の帯域の倍率が0に達するため）。加法・打ち切りの行は日内帯域を加法で増やして打ち切る作り方で、名目の倍率4では打ち切り前に0以下となる時間が23.8%、日次エネルギーの誤差は平均0.2%・最大21%。計上時期を補正した設備容量（付録A.4）を使っても、完全予見粗利の変化は0.2ポイント以下である（確率成分・一様の上限+18.8%→+18.7%、中央+4.5%→+4.6%、加法・打ち切りの名目の倍率4で+7.0%→+7.2%）。</w:t>
      </w:r>
    </w:p>
    <w:p>
      <w:pPr>
        <w:pStyle w:val="TableNote"/>
      </w:pPr>
      <w:r>
        <w:rPr>
          <w:rFonts w:hint="eastAsia"/>
        </w:rPr>
        <w:t xml:space="preserve">出所）表5.2</w:t>
      </w:r>
      <w:r>
        <w:t xml:space="preserve"> </w:t>
      </w:r>
      <w:r>
        <w:rPr>
          <w:rFonts w:hint="eastAsia"/>
        </w:rPr>
        <w:t xml:space="preserve">と同じ資料と</w:t>
      </w:r>
      <w:r>
        <w:t xml:space="preserve"> St. Martin et </w:t>
      </w:r>
      <w:r>
        <w:rPr>
          <w:rFonts w:hint="eastAsia"/>
        </w:rPr>
        <w:t xml:space="preserve">al.（2015）をもとに筆者推計。</w:t>
      </w:r>
    </w:p>
    <w:p>
      <w:pPr>
        <w:pStyle w:val="BodyText"/>
      </w:pPr>
      <w:r>
        <w:rPr>
          <w:rFonts w:hint="eastAsia"/>
          <w:b/>
          <w:bCs/>
        </w:rPr>
        <w:t xml:space="preserve">日周の位相</w:t>
      </w:r>
      <w:r>
        <w:t xml:space="preserve">　</w:t>
      </w:r>
      <w:r>
        <w:rPr>
          <w:rFonts w:hint="eastAsia"/>
        </w:rPr>
        <w:t xml:space="preserve">表C.6</w:t>
      </w:r>
      <w:r>
        <w:t xml:space="preserve"> </w:t>
      </w:r>
      <w:r>
        <w:rPr>
          <w:rFonts w:hint="eastAsia"/>
        </w:rPr>
        <w:t xml:space="preserve">は、系統的な日周を付与した系列の結果である。振幅0.3（付与後の日周振幅0.6〜0.7。実フリートは0.17）では、同じ日内分散比の一様な増幅と比べ、完全予見粗利の変化は絶対値で2〜7倍（確率成分の一様な増幅に対して2.0〜4.9倍、全成分の一様な増幅に対して2.9〜7.1倍）で、符号も変わる。振幅0.2でピーク時刻を動かすと、3〜12時では+1.6〜+6.0%、15〜0時では−0.6〜−5.2%になる。風力の</w:t>
      </w:r>
      <w:r>
        <w:t xml:space="preserve"> TB4h </w:t>
      </w:r>
      <w:r>
        <w:rPr>
          <w:rFonts w:hint="eastAsia"/>
        </w:rPr>
        <w:t xml:space="preserve">への夏の係数は位相によって−0.11〜+0.07</w:t>
      </w:r>
      <w:r>
        <w:t xml:space="preserve"> </w:t>
      </w:r>
      <w:r>
        <w:rPr>
          <w:rFonts w:hint="eastAsia"/>
        </w:rPr>
        <w:t xml:space="preserve">動くが、同じ日内分散比の一様な増幅では0.003以下しか動かない。実フリート自身の弱い日周（0時・14時・18〜19時に山）を3倍にすると、完全予見粗利はむしろ1.2%下がる。振幅0.3では、安値の時間に重なる日周は分散1単位あたり一様な増幅の2〜5倍完全予見粗利を押し上げ、夕方に重なる日周は5〜7倍の大きさで押し下げる（日内分散比の小さい振幅0.2の掃引では、この倍率はさらに大きい）。</w:t>
      </w:r>
    </w:p>
    <w:p>
      <w:pPr>
        <w:pStyle w:val="TableCaption"/>
      </w:pPr>
      <w:r>
        <w:rPr>
          <w:rFonts w:hint="eastAsia"/>
        </w:rPr>
        <w:t xml:space="preserve">表C.6</w:t>
      </w:r>
      <w:r>
        <w:t xml:space="preserve">　</w:t>
      </w:r>
      <w:r>
        <w:rPr>
          <w:rFonts w:hint="eastAsia"/>
        </w:rPr>
        <w:t xml:space="preserve">系統的な日周の付与（位相の効果）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6　系統的な日周の付与（位相の効果）"/>
      </w:tblPr>
      <w:tblGrid>
        <w:gridCol w:w="552"/>
        <w:gridCol w:w="736"/>
        <w:gridCol w:w="736"/>
        <w:gridCol w:w="736"/>
        <w:gridCol w:w="736"/>
        <w:gridCol w:w="736"/>
        <w:gridCol w:w="736"/>
        <w:gridCol w:w="736"/>
        <w:gridCol w:w="736"/>
        <w:gridCol w:w="736"/>
        <w:gridCol w:w="736"/>
      </w:tblGrid>
      <w:tr>
        <w:trPr>
          <w:tblHeader w:val="on"/>
        </w:trPr>
        <w:tc>
          <w:tcPr>
            <w:tcBorders>
              <w:bottom w:val="single" w:sz="6" w:color="000000"/>
            </w:tcBorders>
          </w:tcPr>
          <w:p>
            <w:pPr>
              <w:pStyle w:val="Compact"/>
            </w:pPr>
            <w:r>
              <w:rPr>
                <w:rFonts w:hint="eastAsia"/>
                <w:sz w:val="18"/>
              </w:rPr>
              <w:t xml:space="preserve">付与</w:t>
            </w:r>
          </w:p>
        </w:tc>
        <w:tc>
          <w:tcPr>
            <w:tcBorders>
              <w:bottom w:val="single" w:sz="6" w:color="000000"/>
            </w:tcBorders>
          </w:tcPr>
          <w:p>
            <w:pPr>
              <w:pStyle w:val="Compact"/>
              <w:jc w:val="right"/>
            </w:pPr>
            <w:r>
              <w:rPr>
                <w:rFonts w:hint="eastAsia"/>
                <w:sz w:val="18"/>
              </w:rPr>
              <w:t xml:space="preserve">振幅</w:t>
            </w:r>
          </w:p>
        </w:tc>
        <w:tc>
          <w:tcPr>
            <w:tcBorders>
              <w:bottom w:val="single" w:sz="6" w:color="000000"/>
            </w:tcBorders>
          </w:tcPr>
          <w:p>
            <w:pPr>
              <w:pStyle w:val="Compact"/>
              <w:jc w:val="right"/>
            </w:pPr>
            <w:r>
              <w:rPr>
                <w:rFonts w:hint="eastAsia"/>
                <w:sz w:val="18"/>
              </w:rPr>
              <w:t xml:space="preserve">ピーク時刻</w:t>
            </w:r>
          </w:p>
        </w:tc>
        <w:tc>
          <w:tcPr>
            <w:tcBorders>
              <w:bottom w:val="single" w:sz="6" w:color="000000"/>
            </w:tcBorders>
          </w:tcPr>
          <w:p>
            <w:pPr>
              <w:pStyle w:val="Compact"/>
              <w:jc w:val="right"/>
            </w:pPr>
            <w:r>
              <w:rPr>
                <w:rFonts w:hint="eastAsia"/>
                <w:sz w:val="18"/>
              </w:rPr>
              <w:t xml:space="preserve">日内分散比（全成分）</w:t>
            </w:r>
          </w:p>
        </w:tc>
        <w:tc>
          <w:tcPr>
            <w:tcBorders>
              <w:bottom w:val="single" w:sz="6" w:color="000000"/>
            </w:tcBorders>
          </w:tcPr>
          <w:p>
            <w:pPr>
              <w:pStyle w:val="Compact"/>
              <w:jc w:val="right"/>
            </w:pPr>
            <w:r>
              <w:rPr>
                <w:rFonts w:hint="eastAsia"/>
                <w:sz w:val="18"/>
              </w:rPr>
              <w:t xml:space="preserve">日周振幅</w:t>
            </w:r>
          </w:p>
        </w:tc>
        <w:tc>
          <w:tcPr>
            <w:tcBorders>
              <w:bottom w:val="single" w:sz="6" w:color="000000"/>
            </w:tcBorders>
          </w:tcPr>
          <w:p>
            <w:pPr>
              <w:pStyle w:val="Compact"/>
              <w:jc w:val="right"/>
            </w:pPr>
            <w:r>
              <w:rPr>
                <w:rFonts w:hint="eastAsia"/>
                <w:sz w:val="18"/>
              </w:rPr>
              <w:t xml:space="preserve">下限張り付き（時間/年）</w:t>
            </w:r>
          </w:p>
        </w:tc>
        <w:tc>
          <w:tcPr>
            <w:tcBorders>
              <w:bottom w:val="single" w:sz="6" w:color="000000"/>
            </w:tcBorders>
          </w:tcPr>
          <w:p>
            <w:pPr>
              <w:pStyle w:val="Compact"/>
              <w:jc w:val="right"/>
            </w:pPr>
            <w:r>
              <w:rPr>
                <w:sz w:val="18"/>
              </w:rPr>
              <w:t xml:space="preserve">TB4h </w:t>
            </w:r>
            <w:r>
              <w:rPr>
                <w:rFonts w:hint="eastAsia"/>
                <w:sz w:val="18"/>
              </w:rPr>
              <w:t xml:space="preserve">中央値</w:t>
            </w:r>
          </w:p>
        </w:tc>
        <w:tc>
          <w:tcPr>
            <w:tcBorders>
              <w:bottom w:val="single" w:sz="6" w:color="000000"/>
            </w:tcBorders>
          </w:tcPr>
          <w:p>
            <w:pPr>
              <w:pStyle w:val="Compact"/>
              <w:jc w:val="right"/>
            </w:pPr>
            <w:r>
              <w:rPr>
                <w:rFonts w:hint="eastAsia"/>
                <w:sz w:val="18"/>
              </w:rPr>
              <w:t xml:space="preserve">完全予見粗利（円/kW-年）</w:t>
            </w:r>
          </w:p>
        </w:tc>
        <w:tc>
          <w:tcPr>
            <w:tcBorders>
              <w:bottom w:val="single" w:sz="6" w:color="000000"/>
            </w:tcBorders>
          </w:tcPr>
          <w:p>
            <w:pPr>
              <w:pStyle w:val="Compact"/>
              <w:jc w:val="right"/>
            </w:pPr>
            <w:r>
              <w:rPr>
                <w:rFonts w:hint="eastAsia"/>
                <w:sz w:val="18"/>
              </w:rPr>
              <w:t xml:space="preserve">同じ日内分散比の一様な増幅（全成分／確率成分）</w:t>
            </w:r>
          </w:p>
        </w:tc>
        <w:tc>
          <w:tcPr>
            <w:tcBorders>
              <w:bottom w:val="single" w:sz="6" w:color="000000"/>
            </w:tcBorders>
          </w:tcPr>
          <w:p>
            <w:pPr>
              <w:pStyle w:val="Compact"/>
              <w:jc w:val="right"/>
            </w:pPr>
            <w:r>
              <w:rPr>
                <w:rFonts w:hint="eastAsia"/>
                <w:sz w:val="18"/>
              </w:rPr>
              <w:t xml:space="preserve">日内分散比1単位あたりの変化（位相／一様・全成分／一様・確率成分）</w:t>
            </w:r>
          </w:p>
        </w:tc>
        <w:tc>
          <w:tcPr>
            <w:tcBorders>
              <w:bottom w:val="single" w:sz="6" w:color="000000"/>
            </w:tcBorders>
          </w:tcPr>
          <w:p>
            <w:pPr>
              <w:pStyle w:val="Compact"/>
              <w:jc w:val="right"/>
            </w:pPr>
            <w:r>
              <w:rPr>
                <w:rFonts w:hint="eastAsia"/>
                <w:sz w:val="18"/>
              </w:rPr>
              <w:t xml:space="preserve">風力→TB4h</w:t>
            </w:r>
            <w:r>
              <w:rPr>
                <w:sz w:val="18"/>
              </w:rPr>
              <w:t xml:space="preserve"> </w:t>
            </w:r>
            <w:r>
              <w:rPr>
                <w:rFonts w:hint="eastAsia"/>
                <w:sz w:val="18"/>
              </w:rPr>
              <w:t xml:space="preserve">の変化（夏／冬／不需要期）</w:t>
            </w:r>
          </w:p>
        </w:tc>
      </w:tr>
      <w:tr>
        <w:tc>
          <w:tcPr/>
          <w:p>
            <w:pPr>
              <w:pStyle w:val="Compact"/>
            </w:pPr>
            <w:r>
              <w:rPr>
                <w:rFonts w:hint="eastAsia"/>
                <w:sz w:val="18"/>
              </w:rPr>
              <w:t xml:space="preserve">未明ピーク</w:t>
            </w:r>
          </w:p>
        </w:tc>
        <w:tc>
          <w:tcPr/>
          <w:p>
            <w:pPr>
              <w:pStyle w:val="Compact"/>
              <w:jc w:val="right"/>
            </w:pPr>
            <w:r>
              <w:rPr>
                <w:sz w:val="18"/>
              </w:rPr>
              <w:t xml:space="preserve">0.3</w:t>
            </w:r>
          </w:p>
        </w:tc>
        <w:tc>
          <w:tcPr/>
          <w:p>
            <w:pPr>
              <w:pStyle w:val="Compact"/>
              <w:jc w:val="right"/>
            </w:pPr>
            <w:r>
              <w:rPr>
                <w:rFonts w:hint="eastAsia"/>
                <w:sz w:val="18"/>
              </w:rPr>
              <w:t xml:space="preserve">3時</w:t>
            </w:r>
          </w:p>
        </w:tc>
        <w:tc>
          <w:tcPr/>
          <w:p>
            <w:pPr>
              <w:pStyle w:val="Compact"/>
              <w:jc w:val="right"/>
            </w:pPr>
            <w:r>
              <w:rPr>
                <w:sz w:val="18"/>
              </w:rPr>
              <w:t xml:space="preserve">2.00</w:t>
            </w:r>
          </w:p>
        </w:tc>
        <w:tc>
          <w:tcPr/>
          <w:p>
            <w:pPr>
              <w:pStyle w:val="Compact"/>
              <w:jc w:val="right"/>
            </w:pPr>
            <w:r>
              <w:rPr>
                <w:sz w:val="18"/>
              </w:rPr>
              <w:t xml:space="preserve">0.62</w:t>
            </w:r>
          </w:p>
        </w:tc>
        <w:tc>
          <w:tcPr/>
          <w:p>
            <w:pPr>
              <w:pStyle w:val="Compact"/>
              <w:jc w:val="right"/>
            </w:pPr>
            <w:r>
              <w:rPr>
                <w:sz w:val="18"/>
              </w:rPr>
              <w:t xml:space="preserve">98</w:t>
            </w:r>
          </w:p>
        </w:tc>
        <w:tc>
          <w:tcPr/>
          <w:p>
            <w:pPr>
              <w:pStyle w:val="Compact"/>
              <w:jc w:val="right"/>
            </w:pPr>
            <w:r>
              <w:rPr>
                <w:sz w:val="18"/>
              </w:rPr>
              <w:t xml:space="preserve">8.17</w:t>
            </w:r>
          </w:p>
        </w:tc>
        <w:tc>
          <w:tcPr/>
          <w:p>
            <w:pPr>
              <w:pStyle w:val="Compact"/>
              <w:jc w:val="right"/>
            </w:pPr>
            <w:r>
              <w:rPr>
                <w:rFonts w:hint="eastAsia"/>
                <w:sz w:val="18"/>
              </w:rPr>
              <w:t xml:space="preserve">8,482（+2.6%）</w:t>
            </w:r>
          </w:p>
        </w:tc>
        <w:tc>
          <w:tcPr/>
          <w:p>
            <w:pPr>
              <w:pStyle w:val="Compact"/>
              <w:jc w:val="right"/>
            </w:pPr>
            <w:r>
              <w:rPr>
                <w:rFonts w:hint="eastAsia"/>
                <w:sz w:val="18"/>
              </w:rPr>
              <w:t xml:space="preserve">+0.9%／+1.3%</w:t>
            </w:r>
          </w:p>
        </w:tc>
        <w:tc>
          <w:tcPr/>
          <w:p>
            <w:pPr>
              <w:pStyle w:val="Compact"/>
              <w:jc w:val="right"/>
            </w:pPr>
            <w:r>
              <w:rPr>
                <w:rFonts w:hint="eastAsia"/>
                <w:sz w:val="18"/>
              </w:rPr>
              <w:t xml:space="preserve">+2.61／0.90／1.30</w:t>
            </w:r>
          </w:p>
        </w:tc>
        <w:tc>
          <w:tcPr/>
          <w:p>
            <w:pPr>
              <w:pStyle w:val="Compact"/>
              <w:jc w:val="right"/>
            </w:pPr>
            <w:r>
              <w:rPr>
                <w:rFonts w:hint="eastAsia"/>
                <w:sz w:val="18"/>
              </w:rPr>
              <w:t xml:space="preserve">+0.054／+0.019／+0.014</w:t>
            </w:r>
          </w:p>
        </w:tc>
      </w:tr>
      <w:tr>
        <w:tc>
          <w:tcPr/>
          <w:p>
            <w:pPr>
              <w:pStyle w:val="Compact"/>
            </w:pPr>
            <w:r>
              <w:rPr>
                <w:rFonts w:hint="eastAsia"/>
                <w:sz w:val="18"/>
              </w:rPr>
              <w:t xml:space="preserve">昼ピーク</w:t>
            </w:r>
          </w:p>
        </w:tc>
        <w:tc>
          <w:tcPr/>
          <w:p>
            <w:pPr>
              <w:pStyle w:val="Compact"/>
              <w:jc w:val="right"/>
            </w:pPr>
            <w:r>
              <w:rPr>
                <w:sz w:val="18"/>
              </w:rPr>
              <w:t xml:space="preserve">0.3</w:t>
            </w:r>
          </w:p>
        </w:tc>
        <w:tc>
          <w:tcPr/>
          <w:p>
            <w:pPr>
              <w:pStyle w:val="Compact"/>
              <w:jc w:val="right"/>
            </w:pPr>
            <w:r>
              <w:rPr>
                <w:rFonts w:hint="eastAsia"/>
                <w:sz w:val="18"/>
              </w:rPr>
              <w:t xml:space="preserve">13時</w:t>
            </w:r>
          </w:p>
        </w:tc>
        <w:tc>
          <w:tcPr/>
          <w:p>
            <w:pPr>
              <w:pStyle w:val="Compact"/>
              <w:jc w:val="right"/>
            </w:pPr>
            <w:r>
              <w:rPr>
                <w:sz w:val="18"/>
              </w:rPr>
              <w:t xml:space="preserve">1.85</w:t>
            </w:r>
          </w:p>
        </w:tc>
        <w:tc>
          <w:tcPr/>
          <w:p>
            <w:pPr>
              <w:pStyle w:val="Compact"/>
              <w:jc w:val="right"/>
            </w:pPr>
            <w:r>
              <w:rPr>
                <w:sz w:val="18"/>
              </w:rPr>
              <w:t xml:space="preserve">0.61</w:t>
            </w:r>
          </w:p>
        </w:tc>
        <w:tc>
          <w:tcPr/>
          <w:p>
            <w:pPr>
              <w:pStyle w:val="Compact"/>
              <w:jc w:val="right"/>
            </w:pPr>
            <w:r>
              <w:rPr>
                <w:sz w:val="18"/>
              </w:rPr>
              <w:t xml:space="preserve">154</w:t>
            </w:r>
          </w:p>
        </w:tc>
        <w:tc>
          <w:tcPr/>
          <w:p>
            <w:pPr>
              <w:pStyle w:val="Compact"/>
              <w:jc w:val="right"/>
            </w:pPr>
            <w:r>
              <w:rPr>
                <w:sz w:val="18"/>
              </w:rPr>
              <w:t xml:space="preserve">8.06</w:t>
            </w:r>
          </w:p>
        </w:tc>
        <w:tc>
          <w:tcPr/>
          <w:p>
            <w:pPr>
              <w:pStyle w:val="Compact"/>
              <w:jc w:val="right"/>
            </w:pPr>
            <w:r>
              <w:rPr>
                <w:rFonts w:hint="eastAsia"/>
                <w:sz w:val="18"/>
              </w:rPr>
              <w:t xml:space="preserve">8,564（+3.6%）</w:t>
            </w:r>
          </w:p>
        </w:tc>
        <w:tc>
          <w:tcPr/>
          <w:p>
            <w:pPr>
              <w:pStyle w:val="Compact"/>
              <w:jc w:val="right"/>
            </w:pPr>
            <w:r>
              <w:rPr>
                <w:rFonts w:hint="eastAsia"/>
                <w:sz w:val="18"/>
              </w:rPr>
              <w:t xml:space="preserve">+0.8%／+1.1%</w:t>
            </w:r>
          </w:p>
        </w:tc>
        <w:tc>
          <w:tcPr/>
          <w:p>
            <w:pPr>
              <w:pStyle w:val="Compact"/>
              <w:jc w:val="right"/>
            </w:pPr>
            <w:r>
              <w:rPr>
                <w:rFonts w:hint="eastAsia"/>
                <w:sz w:val="18"/>
              </w:rPr>
              <w:t xml:space="preserve">+4.26／0.90／1.30</w:t>
            </w:r>
          </w:p>
        </w:tc>
        <w:tc>
          <w:tcPr/>
          <w:p>
            <w:pPr>
              <w:pStyle w:val="Compact"/>
              <w:jc w:val="right"/>
            </w:pPr>
            <w:r>
              <w:rPr>
                <w:rFonts w:hint="eastAsia"/>
                <w:sz w:val="18"/>
              </w:rPr>
              <w:t xml:space="preserve">+0.020／+0.041／+0.042</w:t>
            </w:r>
          </w:p>
        </w:tc>
      </w:tr>
      <w:tr>
        <w:tc>
          <w:tcPr/>
          <w:p>
            <w:pPr>
              <w:pStyle w:val="Compact"/>
            </w:pPr>
            <w:r>
              <w:rPr>
                <w:rFonts w:hint="eastAsia"/>
                <w:sz w:val="18"/>
              </w:rPr>
              <w:t xml:space="preserve">夕方ピーク</w:t>
            </w:r>
          </w:p>
        </w:tc>
        <w:tc>
          <w:tcPr/>
          <w:p>
            <w:pPr>
              <w:pStyle w:val="Compact"/>
              <w:jc w:val="right"/>
            </w:pPr>
            <w:r>
              <w:rPr>
                <w:sz w:val="18"/>
              </w:rPr>
              <w:t xml:space="preserve">0.3</w:t>
            </w:r>
          </w:p>
        </w:tc>
        <w:tc>
          <w:tcPr/>
          <w:p>
            <w:pPr>
              <w:pStyle w:val="Compact"/>
              <w:jc w:val="right"/>
            </w:pPr>
            <w:r>
              <w:rPr>
                <w:rFonts w:hint="eastAsia"/>
                <w:sz w:val="18"/>
              </w:rPr>
              <w:t xml:space="preserve">18時</w:t>
            </w:r>
          </w:p>
        </w:tc>
        <w:tc>
          <w:tcPr/>
          <w:p>
            <w:pPr>
              <w:pStyle w:val="Compact"/>
              <w:jc w:val="right"/>
            </w:pPr>
            <w:r>
              <w:rPr>
                <w:sz w:val="18"/>
              </w:rPr>
              <w:t xml:space="preserve">1.96</w:t>
            </w:r>
          </w:p>
        </w:tc>
        <w:tc>
          <w:tcPr/>
          <w:p>
            <w:pPr>
              <w:pStyle w:val="Compact"/>
              <w:jc w:val="right"/>
            </w:pPr>
            <w:r>
              <w:rPr>
                <w:sz w:val="18"/>
              </w:rPr>
              <w:t xml:space="preserve">0.70</w:t>
            </w:r>
          </w:p>
        </w:tc>
        <w:tc>
          <w:tcPr/>
          <w:p>
            <w:pPr>
              <w:pStyle w:val="Compact"/>
              <w:jc w:val="right"/>
            </w:pPr>
            <w:r>
              <w:rPr>
                <w:sz w:val="18"/>
              </w:rPr>
              <w:t xml:space="preserve">106</w:t>
            </w:r>
          </w:p>
        </w:tc>
        <w:tc>
          <w:tcPr/>
          <w:p>
            <w:pPr>
              <w:pStyle w:val="Compact"/>
              <w:jc w:val="right"/>
            </w:pPr>
            <w:r>
              <w:rPr>
                <w:sz w:val="18"/>
              </w:rPr>
              <w:t xml:space="preserve">7.48</w:t>
            </w:r>
          </w:p>
        </w:tc>
        <w:tc>
          <w:tcPr/>
          <w:p>
            <w:pPr>
              <w:pStyle w:val="Compact"/>
              <w:jc w:val="right"/>
            </w:pPr>
            <w:r>
              <w:rPr>
                <w:rFonts w:hint="eastAsia"/>
                <w:sz w:val="18"/>
              </w:rPr>
              <w:t xml:space="preserve">7,760（−6.1%）</w:t>
            </w:r>
          </w:p>
        </w:tc>
        <w:tc>
          <w:tcPr/>
          <w:p>
            <w:pPr>
              <w:pStyle w:val="Compact"/>
              <w:jc w:val="right"/>
            </w:pPr>
            <w:r>
              <w:rPr>
                <w:rFonts w:hint="eastAsia"/>
                <w:sz w:val="18"/>
              </w:rPr>
              <w:t xml:space="preserve">+0.9%／+1.2%</w:t>
            </w:r>
          </w:p>
        </w:tc>
        <w:tc>
          <w:tcPr/>
          <w:p>
            <w:pPr>
              <w:pStyle w:val="Compact"/>
              <w:jc w:val="right"/>
            </w:pPr>
            <w:r>
              <w:rPr>
                <w:rFonts w:hint="eastAsia"/>
                <w:sz w:val="18"/>
              </w:rPr>
              <w:t xml:space="preserve">−6.38／0.90／1.30</w:t>
            </w:r>
          </w:p>
        </w:tc>
        <w:tc>
          <w:tcPr/>
          <w:p>
            <w:pPr>
              <w:pStyle w:val="Compact"/>
              <w:jc w:val="right"/>
            </w:pPr>
            <w:r>
              <w:rPr>
                <w:rFonts w:hint="eastAsia"/>
                <w:sz w:val="18"/>
              </w:rPr>
              <w:t xml:space="preserve">−0.111／−0.013／−0.048</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0時</w:t>
            </w:r>
          </w:p>
        </w:tc>
        <w:tc>
          <w:tcPr/>
          <w:p>
            <w:pPr>
              <w:pStyle w:val="Compact"/>
              <w:jc w:val="right"/>
            </w:pPr>
            <w:r>
              <w:rPr>
                <w:sz w:val="18"/>
              </w:rPr>
              <w:t xml:space="preserve">1.54</w:t>
            </w:r>
          </w:p>
        </w:tc>
        <w:tc>
          <w:tcPr/>
          <w:p>
            <w:pPr>
              <w:pStyle w:val="Compact"/>
              <w:jc w:val="right"/>
            </w:pPr>
            <w:r>
              <w:rPr>
                <w:sz w:val="18"/>
              </w:rPr>
              <w:t xml:space="preserve">0.48</w:t>
            </w:r>
          </w:p>
        </w:tc>
        <w:tc>
          <w:tcPr/>
          <w:p>
            <w:pPr>
              <w:pStyle w:val="Compact"/>
              <w:jc w:val="right"/>
            </w:pPr>
            <w:r>
              <w:rPr>
                <w:sz w:val="18"/>
              </w:rPr>
              <w:t xml:space="preserve">91</w:t>
            </w:r>
          </w:p>
        </w:tc>
        <w:tc>
          <w:tcPr/>
          <w:p>
            <w:pPr>
              <w:pStyle w:val="Compact"/>
              <w:jc w:val="right"/>
            </w:pPr>
            <w:r>
              <w:rPr>
                <w:sz w:val="18"/>
              </w:rPr>
              <w:t xml:space="preserve">7.85</w:t>
            </w:r>
          </w:p>
        </w:tc>
        <w:tc>
          <w:tcPr/>
          <w:p>
            <w:pPr>
              <w:pStyle w:val="Compact"/>
              <w:jc w:val="right"/>
            </w:pPr>
            <w:r>
              <w:rPr>
                <w:rFonts w:hint="eastAsia"/>
                <w:sz w:val="18"/>
              </w:rPr>
              <w:t xml:space="preserve">8,032（−2.8%）</w:t>
            </w:r>
          </w:p>
        </w:tc>
        <w:tc>
          <w:tcPr/>
          <w:p>
            <w:pPr>
              <w:pStyle w:val="Compact"/>
              <w:jc w:val="right"/>
            </w:pPr>
            <w:r>
              <w:rPr>
                <w:rFonts w:hint="eastAsia"/>
                <w:sz w:val="18"/>
              </w:rPr>
              <w:t xml:space="preserve">+0.5%／+0.7%</w:t>
            </w:r>
          </w:p>
        </w:tc>
        <w:tc>
          <w:tcPr/>
          <w:p>
            <w:pPr>
              <w:pStyle w:val="Compact"/>
              <w:jc w:val="right"/>
            </w:pPr>
            <w:r>
              <w:rPr>
                <w:rFonts w:hint="eastAsia"/>
                <w:sz w:val="18"/>
              </w:rPr>
              <w:t xml:space="preserve">−5.22／0.90／1.34</w:t>
            </w:r>
          </w:p>
        </w:tc>
        <w:tc>
          <w:tcPr/>
          <w:p>
            <w:pPr>
              <w:pStyle w:val="Compact"/>
              <w:jc w:val="right"/>
            </w:pPr>
            <w:r>
              <w:rPr>
                <w:rFonts w:hint="eastAsia"/>
                <w:sz w:val="18"/>
              </w:rPr>
              <w:t xml:space="preserve">−0.023／−0.019／−0.031</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3時</w:t>
            </w:r>
          </w:p>
        </w:tc>
        <w:tc>
          <w:tcPr/>
          <w:p>
            <w:pPr>
              <w:pStyle w:val="Compact"/>
              <w:jc w:val="right"/>
            </w:pPr>
            <w:r>
              <w:rPr>
                <w:sz w:val="18"/>
              </w:rPr>
              <w:t xml:space="preserve">1.46</w:t>
            </w:r>
          </w:p>
        </w:tc>
        <w:tc>
          <w:tcPr/>
          <w:p>
            <w:pPr>
              <w:pStyle w:val="Compact"/>
              <w:jc w:val="right"/>
            </w:pPr>
            <w:r>
              <w:rPr>
                <w:sz w:val="18"/>
              </w:rPr>
              <w:t xml:space="preserve">0.44</w:t>
            </w:r>
          </w:p>
        </w:tc>
        <w:tc>
          <w:tcPr/>
          <w:p>
            <w:pPr>
              <w:pStyle w:val="Compact"/>
              <w:jc w:val="right"/>
            </w:pPr>
            <w:r>
              <w:rPr>
                <w:sz w:val="18"/>
              </w:rPr>
              <w:t xml:space="preserve">104</w:t>
            </w:r>
          </w:p>
        </w:tc>
        <w:tc>
          <w:tcPr/>
          <w:p>
            <w:pPr>
              <w:pStyle w:val="Compact"/>
              <w:jc w:val="right"/>
            </w:pPr>
            <w:r>
              <w:rPr>
                <w:sz w:val="18"/>
              </w:rPr>
              <w:t xml:space="preserve">8.10</w:t>
            </w:r>
          </w:p>
        </w:tc>
        <w:tc>
          <w:tcPr/>
          <w:p>
            <w:pPr>
              <w:pStyle w:val="Compact"/>
              <w:jc w:val="right"/>
            </w:pPr>
            <w:r>
              <w:rPr>
                <w:rFonts w:hint="eastAsia"/>
                <w:sz w:val="18"/>
              </w:rPr>
              <w:t xml:space="preserve">8,395（+1.6%）</w:t>
            </w:r>
          </w:p>
        </w:tc>
        <w:tc>
          <w:tcPr/>
          <w:p>
            <w:pPr>
              <w:pStyle w:val="Compact"/>
              <w:jc w:val="right"/>
            </w:pPr>
            <w:r>
              <w:rPr>
                <w:rFonts w:hint="eastAsia"/>
                <w:sz w:val="18"/>
              </w:rPr>
              <w:t xml:space="preserve">+0.4%／+0.6%</w:t>
            </w:r>
          </w:p>
        </w:tc>
        <w:tc>
          <w:tcPr/>
          <w:p>
            <w:pPr>
              <w:pStyle w:val="Compact"/>
              <w:jc w:val="right"/>
            </w:pPr>
            <w:r>
              <w:rPr>
                <w:rFonts w:hint="eastAsia"/>
                <w:sz w:val="18"/>
              </w:rPr>
              <w:t xml:space="preserve">+3.38／0.90／1.35</w:t>
            </w:r>
          </w:p>
        </w:tc>
        <w:tc>
          <w:tcPr/>
          <w:p>
            <w:pPr>
              <w:pStyle w:val="Compact"/>
              <w:jc w:val="right"/>
            </w:pPr>
            <w:r>
              <w:rPr>
                <w:rFonts w:hint="eastAsia"/>
                <w:sz w:val="18"/>
              </w:rPr>
              <w:t xml:space="preserve">+0.035／+0.015／+0.007</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6時</w:t>
            </w:r>
          </w:p>
        </w:tc>
        <w:tc>
          <w:tcPr/>
          <w:p>
            <w:pPr>
              <w:pStyle w:val="Compact"/>
              <w:jc w:val="right"/>
            </w:pPr>
            <w:r>
              <w:rPr>
                <w:sz w:val="18"/>
              </w:rPr>
              <w:t xml:space="preserve">1.35</w:t>
            </w:r>
          </w:p>
        </w:tc>
        <w:tc>
          <w:tcPr/>
          <w:p>
            <w:pPr>
              <w:pStyle w:val="Compact"/>
              <w:jc w:val="right"/>
            </w:pPr>
            <w:r>
              <w:rPr>
                <w:sz w:val="18"/>
              </w:rPr>
              <w:t xml:space="preserve">0.38</w:t>
            </w:r>
          </w:p>
        </w:tc>
        <w:tc>
          <w:tcPr/>
          <w:p>
            <w:pPr>
              <w:pStyle w:val="Compact"/>
              <w:jc w:val="right"/>
            </w:pPr>
            <w:r>
              <w:rPr>
                <w:sz w:val="18"/>
              </w:rPr>
              <w:t xml:space="preserve">122</w:t>
            </w:r>
          </w:p>
        </w:tc>
        <w:tc>
          <w:tcPr/>
          <w:p>
            <w:pPr>
              <w:pStyle w:val="Compact"/>
              <w:jc w:val="right"/>
            </w:pPr>
            <w:r>
              <w:rPr>
                <w:sz w:val="18"/>
              </w:rPr>
              <w:t xml:space="preserve">8.28</w:t>
            </w:r>
          </w:p>
        </w:tc>
        <w:tc>
          <w:tcPr/>
          <w:p>
            <w:pPr>
              <w:pStyle w:val="Compact"/>
              <w:jc w:val="right"/>
            </w:pPr>
            <w:r>
              <w:rPr>
                <w:rFonts w:hint="eastAsia"/>
                <w:sz w:val="18"/>
              </w:rPr>
              <w:t xml:space="preserve">8,687（+5.1%）</w:t>
            </w:r>
          </w:p>
        </w:tc>
        <w:tc>
          <w:tcPr/>
          <w:p>
            <w:pPr>
              <w:pStyle w:val="Compact"/>
              <w:jc w:val="right"/>
            </w:pPr>
            <w:r>
              <w:rPr>
                <w:rFonts w:hint="eastAsia"/>
                <w:sz w:val="18"/>
              </w:rPr>
              <w:t xml:space="preserve">+0.3%／+0.5%</w:t>
            </w:r>
          </w:p>
        </w:tc>
        <w:tc>
          <w:tcPr/>
          <w:p>
            <w:pPr>
              <w:pStyle w:val="Compact"/>
              <w:jc w:val="right"/>
            </w:pPr>
            <w:r>
              <w:rPr>
                <w:rFonts w:hint="eastAsia"/>
                <w:sz w:val="18"/>
              </w:rPr>
              <w:t xml:space="preserve">+14.50／0.90／1.35</w:t>
            </w:r>
          </w:p>
        </w:tc>
        <w:tc>
          <w:tcPr/>
          <w:p>
            <w:pPr>
              <w:pStyle w:val="Compact"/>
              <w:jc w:val="right"/>
            </w:pPr>
            <w:r>
              <w:rPr>
                <w:rFonts w:hint="eastAsia"/>
                <w:sz w:val="18"/>
              </w:rPr>
              <w:t xml:space="preserve">+0.070／+0.038／+0.042</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9時</w:t>
            </w:r>
          </w:p>
        </w:tc>
        <w:tc>
          <w:tcPr/>
          <w:p>
            <w:pPr>
              <w:pStyle w:val="Compact"/>
              <w:jc w:val="right"/>
            </w:pPr>
            <w:r>
              <w:rPr>
                <w:sz w:val="18"/>
              </w:rPr>
              <w:t xml:space="preserve">1.31</w:t>
            </w:r>
          </w:p>
        </w:tc>
        <w:tc>
          <w:tcPr/>
          <w:p>
            <w:pPr>
              <w:pStyle w:val="Compact"/>
              <w:jc w:val="right"/>
            </w:pPr>
            <w:r>
              <w:rPr>
                <w:sz w:val="18"/>
              </w:rPr>
              <w:t xml:space="preserve">0.44</w:t>
            </w:r>
          </w:p>
        </w:tc>
        <w:tc>
          <w:tcPr/>
          <w:p>
            <w:pPr>
              <w:pStyle w:val="Compact"/>
              <w:jc w:val="right"/>
            </w:pPr>
            <w:r>
              <w:rPr>
                <w:sz w:val="18"/>
              </w:rPr>
              <w:t xml:space="preserve">139</w:t>
            </w:r>
          </w:p>
        </w:tc>
        <w:tc>
          <w:tcPr/>
          <w:p>
            <w:pPr>
              <w:pStyle w:val="Compact"/>
              <w:jc w:val="right"/>
            </w:pPr>
            <w:r>
              <w:rPr>
                <w:sz w:val="18"/>
              </w:rPr>
              <w:t xml:space="preserve">8.30</w:t>
            </w:r>
          </w:p>
        </w:tc>
        <w:tc>
          <w:tcPr/>
          <w:p>
            <w:pPr>
              <w:pStyle w:val="Compact"/>
              <w:jc w:val="right"/>
            </w:pPr>
            <w:r>
              <w:rPr>
                <w:rFonts w:hint="eastAsia"/>
                <w:sz w:val="18"/>
              </w:rPr>
              <w:t xml:space="preserve">8,761（+6.0%）</w:t>
            </w:r>
          </w:p>
        </w:tc>
        <w:tc>
          <w:tcPr/>
          <w:p>
            <w:pPr>
              <w:pStyle w:val="Compact"/>
              <w:jc w:val="right"/>
            </w:pPr>
            <w:r>
              <w:rPr>
                <w:rFonts w:hint="eastAsia"/>
                <w:sz w:val="18"/>
              </w:rPr>
              <w:t xml:space="preserve">+0.3%／+0.4%</w:t>
            </w:r>
          </w:p>
        </w:tc>
        <w:tc>
          <w:tcPr/>
          <w:p>
            <w:pPr>
              <w:pStyle w:val="Compact"/>
              <w:jc w:val="right"/>
            </w:pPr>
            <w:r>
              <w:rPr>
                <w:rFonts w:hint="eastAsia"/>
                <w:sz w:val="18"/>
              </w:rPr>
              <w:t xml:space="preserve">+19.57／0.90／1.35</w:t>
            </w:r>
          </w:p>
        </w:tc>
        <w:tc>
          <w:tcPr/>
          <w:p>
            <w:pPr>
              <w:pStyle w:val="Compact"/>
              <w:jc w:val="right"/>
            </w:pPr>
            <w:r>
              <w:rPr>
                <w:rFonts w:hint="eastAsia"/>
                <w:sz w:val="18"/>
              </w:rPr>
              <w:t xml:space="preserve">+0.067／+0.047／+0.056</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12時</w:t>
            </w:r>
          </w:p>
        </w:tc>
        <w:tc>
          <w:tcPr/>
          <w:p>
            <w:pPr>
              <w:pStyle w:val="Compact"/>
              <w:jc w:val="right"/>
            </w:pPr>
            <w:r>
              <w:rPr>
                <w:sz w:val="18"/>
              </w:rPr>
              <w:t xml:space="preserve">1.33</w:t>
            </w:r>
          </w:p>
        </w:tc>
        <w:tc>
          <w:tcPr/>
          <w:p>
            <w:pPr>
              <w:pStyle w:val="Compact"/>
              <w:jc w:val="right"/>
            </w:pPr>
            <w:r>
              <w:rPr>
                <w:sz w:val="18"/>
              </w:rPr>
              <w:t xml:space="preserve">0.45</w:t>
            </w:r>
          </w:p>
        </w:tc>
        <w:tc>
          <w:tcPr/>
          <w:p>
            <w:pPr>
              <w:pStyle w:val="Compact"/>
              <w:jc w:val="right"/>
            </w:pPr>
            <w:r>
              <w:rPr>
                <w:sz w:val="18"/>
              </w:rPr>
              <w:t xml:space="preserve">143</w:t>
            </w:r>
          </w:p>
        </w:tc>
        <w:tc>
          <w:tcPr/>
          <w:p>
            <w:pPr>
              <w:pStyle w:val="Compact"/>
              <w:jc w:val="right"/>
            </w:pPr>
            <w:r>
              <w:rPr>
                <w:sz w:val="18"/>
              </w:rPr>
              <w:t xml:space="preserve">8.09</w:t>
            </w:r>
          </w:p>
        </w:tc>
        <w:tc>
          <w:tcPr/>
          <w:p>
            <w:pPr>
              <w:pStyle w:val="Compact"/>
              <w:jc w:val="right"/>
            </w:pPr>
            <w:r>
              <w:rPr>
                <w:rFonts w:hint="eastAsia"/>
                <w:sz w:val="18"/>
              </w:rPr>
              <w:t xml:space="preserve">8,566（+3.6%）</w:t>
            </w:r>
          </w:p>
        </w:tc>
        <w:tc>
          <w:tcPr/>
          <w:p>
            <w:pPr>
              <w:pStyle w:val="Compact"/>
              <w:jc w:val="right"/>
            </w:pPr>
            <w:r>
              <w:rPr>
                <w:rFonts w:hint="eastAsia"/>
                <w:sz w:val="18"/>
              </w:rPr>
              <w:t xml:space="preserve">+0.3%／+0.5%</w:t>
            </w:r>
          </w:p>
        </w:tc>
        <w:tc>
          <w:tcPr/>
          <w:p>
            <w:pPr>
              <w:pStyle w:val="Compact"/>
              <w:jc w:val="right"/>
            </w:pPr>
            <w:r>
              <w:rPr>
                <w:rFonts w:hint="eastAsia"/>
                <w:sz w:val="18"/>
              </w:rPr>
              <w:t xml:space="preserve">+10.90／0.90／1.35</w:t>
            </w:r>
          </w:p>
        </w:tc>
        <w:tc>
          <w:tcPr/>
          <w:p>
            <w:pPr>
              <w:pStyle w:val="Compact"/>
              <w:jc w:val="right"/>
            </w:pPr>
            <w:r>
              <w:rPr>
                <w:rFonts w:hint="eastAsia"/>
                <w:sz w:val="18"/>
              </w:rPr>
              <w:t xml:space="preserve">+0.030／+0.034／+0.039</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15時</w:t>
            </w:r>
          </w:p>
        </w:tc>
        <w:tc>
          <w:tcPr/>
          <w:p>
            <w:pPr>
              <w:pStyle w:val="Compact"/>
              <w:jc w:val="right"/>
            </w:pPr>
            <w:r>
              <w:rPr>
                <w:sz w:val="18"/>
              </w:rPr>
              <w:t xml:space="preserve">1.38</w:t>
            </w:r>
          </w:p>
        </w:tc>
        <w:tc>
          <w:tcPr/>
          <w:p>
            <w:pPr>
              <w:pStyle w:val="Compact"/>
              <w:jc w:val="right"/>
            </w:pPr>
            <w:r>
              <w:rPr>
                <w:sz w:val="18"/>
              </w:rPr>
              <w:t xml:space="preserve">0.42</w:t>
            </w:r>
          </w:p>
        </w:tc>
        <w:tc>
          <w:tcPr/>
          <w:p>
            <w:pPr>
              <w:pStyle w:val="Compact"/>
              <w:jc w:val="right"/>
            </w:pPr>
            <w:r>
              <w:rPr>
                <w:sz w:val="18"/>
              </w:rPr>
              <w:t xml:space="preserve">130</w:t>
            </w:r>
          </w:p>
        </w:tc>
        <w:tc>
          <w:tcPr/>
          <w:p>
            <w:pPr>
              <w:pStyle w:val="Compact"/>
              <w:jc w:val="right"/>
            </w:pPr>
            <w:r>
              <w:rPr>
                <w:sz w:val="18"/>
              </w:rPr>
              <w:t xml:space="preserve">7.89</w:t>
            </w:r>
          </w:p>
        </w:tc>
        <w:tc>
          <w:tcPr/>
          <w:p>
            <w:pPr>
              <w:pStyle w:val="Compact"/>
              <w:jc w:val="right"/>
            </w:pPr>
            <w:r>
              <w:rPr>
                <w:rFonts w:hint="eastAsia"/>
                <w:sz w:val="18"/>
              </w:rPr>
              <w:t xml:space="preserve">8,212（−0.6%）</w:t>
            </w:r>
          </w:p>
        </w:tc>
        <w:tc>
          <w:tcPr/>
          <w:p>
            <w:pPr>
              <w:pStyle w:val="Compact"/>
              <w:jc w:val="right"/>
            </w:pPr>
            <w:r>
              <w:rPr>
                <w:rFonts w:hint="eastAsia"/>
                <w:sz w:val="18"/>
              </w:rPr>
              <w:t xml:space="preserve">+0.3%／+0.5%</w:t>
            </w:r>
          </w:p>
        </w:tc>
        <w:tc>
          <w:tcPr/>
          <w:p>
            <w:pPr>
              <w:pStyle w:val="Compact"/>
              <w:jc w:val="right"/>
            </w:pPr>
            <w:r>
              <w:rPr>
                <w:rFonts w:hint="eastAsia"/>
                <w:sz w:val="18"/>
              </w:rPr>
              <w:t xml:space="preserve">−1.69／0.90／1.35</w:t>
            </w:r>
          </w:p>
        </w:tc>
        <w:tc>
          <w:tcPr/>
          <w:p>
            <w:pPr>
              <w:pStyle w:val="Compact"/>
              <w:jc w:val="right"/>
            </w:pPr>
            <w:r>
              <w:rPr>
                <w:rFonts w:hint="eastAsia"/>
                <w:sz w:val="18"/>
              </w:rPr>
              <w:t xml:space="preserve">−0.027／+0.009／+0.000</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18時</w:t>
            </w:r>
          </w:p>
        </w:tc>
        <w:tc>
          <w:tcPr/>
          <w:p>
            <w:pPr>
              <w:pStyle w:val="Compact"/>
              <w:jc w:val="right"/>
            </w:pPr>
            <w:r>
              <w:rPr>
                <w:sz w:val="18"/>
              </w:rPr>
              <w:t xml:space="preserve">1.44</w:t>
            </w:r>
          </w:p>
        </w:tc>
        <w:tc>
          <w:tcPr/>
          <w:p>
            <w:pPr>
              <w:pStyle w:val="Compact"/>
              <w:jc w:val="right"/>
            </w:pPr>
            <w:r>
              <w:rPr>
                <w:sz w:val="18"/>
              </w:rPr>
              <w:t xml:space="preserve">0.51</w:t>
            </w:r>
          </w:p>
        </w:tc>
        <w:tc>
          <w:tcPr/>
          <w:p>
            <w:pPr>
              <w:pStyle w:val="Compact"/>
              <w:jc w:val="right"/>
            </w:pPr>
            <w:r>
              <w:rPr>
                <w:sz w:val="18"/>
              </w:rPr>
              <w:t xml:space="preserve">111</w:t>
            </w:r>
          </w:p>
        </w:tc>
        <w:tc>
          <w:tcPr/>
          <w:p>
            <w:pPr>
              <w:pStyle w:val="Compact"/>
              <w:jc w:val="right"/>
            </w:pPr>
            <w:r>
              <w:rPr>
                <w:sz w:val="18"/>
              </w:rPr>
              <w:t xml:space="preserve">7.64</w:t>
            </w:r>
          </w:p>
        </w:tc>
        <w:tc>
          <w:tcPr/>
          <w:p>
            <w:pPr>
              <w:pStyle w:val="Compact"/>
              <w:jc w:val="right"/>
            </w:pPr>
            <w:r>
              <w:rPr>
                <w:rFonts w:hint="eastAsia"/>
                <w:sz w:val="18"/>
              </w:rPr>
              <w:t xml:space="preserve">7,913（−4.3%）</w:t>
            </w:r>
          </w:p>
        </w:tc>
        <w:tc>
          <w:tcPr/>
          <w:p>
            <w:pPr>
              <w:pStyle w:val="Compact"/>
              <w:jc w:val="right"/>
            </w:pPr>
            <w:r>
              <w:rPr>
                <w:rFonts w:hint="eastAsia"/>
                <w:sz w:val="18"/>
              </w:rPr>
              <w:t xml:space="preserve">+0.4%／+0.6%</w:t>
            </w:r>
          </w:p>
        </w:tc>
        <w:tc>
          <w:tcPr/>
          <w:p>
            <w:pPr>
              <w:pStyle w:val="Compact"/>
              <w:jc w:val="right"/>
            </w:pPr>
            <w:r>
              <w:rPr>
                <w:rFonts w:hint="eastAsia"/>
                <w:sz w:val="18"/>
              </w:rPr>
              <w:t xml:space="preserve">−9.59／0.90／1.35</w:t>
            </w:r>
          </w:p>
        </w:tc>
        <w:tc>
          <w:tcPr/>
          <w:p>
            <w:pPr>
              <w:pStyle w:val="Compact"/>
              <w:jc w:val="right"/>
            </w:pPr>
            <w:r>
              <w:rPr>
                <w:rFonts w:hint="eastAsia"/>
                <w:sz w:val="18"/>
              </w:rPr>
              <w:t xml:space="preserve">−0.070／−0.014／−0.035</w:t>
            </w:r>
          </w:p>
        </w:tc>
      </w:tr>
      <w:tr>
        <w:tc>
          <w:tcPr/>
          <w:p>
            <w:pPr>
              <w:pStyle w:val="Compact"/>
            </w:pPr>
            <w:r>
              <w:rPr>
                <w:rFonts w:hint="eastAsia"/>
                <w:sz w:val="18"/>
              </w:rPr>
              <w:t xml:space="preserve">掃引</w:t>
            </w:r>
          </w:p>
        </w:tc>
        <w:tc>
          <w:tcPr/>
          <w:p>
            <w:pPr>
              <w:pStyle w:val="Compact"/>
              <w:jc w:val="right"/>
            </w:pPr>
            <w:r>
              <w:rPr>
                <w:sz w:val="18"/>
              </w:rPr>
              <w:t xml:space="preserve">0.2</w:t>
            </w:r>
          </w:p>
        </w:tc>
        <w:tc>
          <w:tcPr/>
          <w:p>
            <w:pPr>
              <w:pStyle w:val="Compact"/>
              <w:jc w:val="right"/>
            </w:pPr>
            <w:r>
              <w:rPr>
                <w:rFonts w:hint="eastAsia"/>
                <w:sz w:val="18"/>
              </w:rPr>
              <w:t xml:space="preserve">21時</w:t>
            </w:r>
          </w:p>
        </w:tc>
        <w:tc>
          <w:tcPr/>
          <w:p>
            <w:pPr>
              <w:pStyle w:val="Compact"/>
              <w:jc w:val="right"/>
            </w:pPr>
            <w:r>
              <w:rPr>
                <w:sz w:val="18"/>
              </w:rPr>
              <w:t xml:space="preserve">1.52</w:t>
            </w:r>
          </w:p>
        </w:tc>
        <w:tc>
          <w:tcPr/>
          <w:p>
            <w:pPr>
              <w:pStyle w:val="Compact"/>
              <w:jc w:val="right"/>
            </w:pPr>
            <w:r>
              <w:rPr>
                <w:sz w:val="18"/>
              </w:rPr>
              <w:t xml:space="preserve">0.47</w:t>
            </w:r>
          </w:p>
        </w:tc>
        <w:tc>
          <w:tcPr/>
          <w:p>
            <w:pPr>
              <w:pStyle w:val="Compact"/>
              <w:jc w:val="right"/>
            </w:pPr>
            <w:r>
              <w:rPr>
                <w:sz w:val="18"/>
              </w:rPr>
              <w:t xml:space="preserve">94</w:t>
            </w:r>
          </w:p>
        </w:tc>
        <w:tc>
          <w:tcPr/>
          <w:p>
            <w:pPr>
              <w:pStyle w:val="Compact"/>
              <w:jc w:val="right"/>
            </w:pPr>
            <w:r>
              <w:rPr>
                <w:sz w:val="18"/>
              </w:rPr>
              <w:t xml:space="preserve">7.70</w:t>
            </w:r>
          </w:p>
        </w:tc>
        <w:tc>
          <w:tcPr/>
          <w:p>
            <w:pPr>
              <w:pStyle w:val="Compact"/>
              <w:jc w:val="right"/>
            </w:pPr>
            <w:r>
              <w:rPr>
                <w:rFonts w:hint="eastAsia"/>
                <w:sz w:val="18"/>
              </w:rPr>
              <w:t xml:space="preserve">7,837（−5.2%）</w:t>
            </w:r>
          </w:p>
        </w:tc>
        <w:tc>
          <w:tcPr/>
          <w:p>
            <w:pPr>
              <w:pStyle w:val="Compact"/>
              <w:jc w:val="right"/>
            </w:pPr>
            <w:r>
              <w:rPr>
                <w:rFonts w:hint="eastAsia"/>
                <w:sz w:val="18"/>
              </w:rPr>
              <w:t xml:space="preserve">+0.5%／+0.7%</w:t>
            </w:r>
          </w:p>
        </w:tc>
        <w:tc>
          <w:tcPr/>
          <w:p>
            <w:pPr>
              <w:pStyle w:val="Compact"/>
              <w:jc w:val="right"/>
            </w:pPr>
            <w:r>
              <w:rPr>
                <w:rFonts w:hint="eastAsia"/>
                <w:sz w:val="18"/>
              </w:rPr>
              <w:t xml:space="preserve">−10.00／0.90／1.34</w:t>
            </w:r>
          </w:p>
        </w:tc>
        <w:tc>
          <w:tcPr/>
          <w:p>
            <w:pPr>
              <w:pStyle w:val="Compact"/>
              <w:jc w:val="right"/>
            </w:pPr>
            <w:r>
              <w:rPr>
                <w:rFonts w:hint="eastAsia"/>
                <w:sz w:val="18"/>
              </w:rPr>
              <w:t xml:space="preserve">−0.068／−0.027／−0.047</w:t>
            </w:r>
          </w:p>
        </w:tc>
      </w:tr>
      <w:tr>
        <w:tc>
          <w:tcPr/>
          <w:p>
            <w:pPr>
              <w:pStyle w:val="Compact"/>
            </w:pPr>
            <w:r>
              <w:rPr>
                <w:rFonts w:hint="eastAsia"/>
                <w:sz w:val="18"/>
              </w:rPr>
              <w:t xml:space="preserve">フリートの日周×3</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1.33</w:t>
            </w:r>
          </w:p>
        </w:tc>
        <w:tc>
          <w:tcPr/>
          <w:p>
            <w:pPr>
              <w:pStyle w:val="Compact"/>
              <w:jc w:val="right"/>
            </w:pPr>
            <w:r>
              <w:rPr>
                <w:sz w:val="18"/>
              </w:rPr>
              <w:t xml:space="preserve">0.54</w:t>
            </w:r>
          </w:p>
        </w:tc>
        <w:tc>
          <w:tcPr/>
          <w:p>
            <w:pPr>
              <w:pStyle w:val="Compact"/>
              <w:jc w:val="right"/>
            </w:pPr>
            <w:r>
              <w:rPr>
                <w:sz w:val="18"/>
              </w:rPr>
              <w:t xml:space="preserve">120</w:t>
            </w:r>
          </w:p>
        </w:tc>
        <w:tc>
          <w:tcPr/>
          <w:p>
            <w:pPr>
              <w:pStyle w:val="Compact"/>
              <w:jc w:val="right"/>
            </w:pPr>
            <w:r>
              <w:rPr>
                <w:sz w:val="18"/>
              </w:rPr>
              <w:t xml:space="preserve">7.90</w:t>
            </w:r>
          </w:p>
        </w:tc>
        <w:tc>
          <w:tcPr/>
          <w:p>
            <w:pPr>
              <w:pStyle w:val="Compact"/>
              <w:jc w:val="right"/>
            </w:pPr>
            <w:r>
              <w:rPr>
                <w:rFonts w:hint="eastAsia"/>
                <w:sz w:val="18"/>
              </w:rPr>
              <w:t xml:space="preserve">8,165（−1.2%）</w:t>
            </w:r>
          </w:p>
        </w:tc>
        <w:tc>
          <w:tcPr/>
          <w:p>
            <w:pPr>
              <w:pStyle w:val="Compact"/>
              <w:jc w:val="right"/>
            </w:pPr>
            <w:r>
              <w:rPr>
                <w:rFonts w:hint="eastAsia"/>
                <w:sz w:val="18"/>
              </w:rPr>
              <w:t xml:space="preserve">+0.3%／+0.5%</w:t>
            </w:r>
          </w:p>
        </w:tc>
        <w:tc>
          <w:tcPr/>
          <w:p>
            <w:pPr>
              <w:pStyle w:val="Compact"/>
              <w:jc w:val="right"/>
            </w:pPr>
            <w:r>
              <w:rPr>
                <w:rFonts w:hint="eastAsia"/>
                <w:sz w:val="18"/>
              </w:rPr>
              <w:t xml:space="preserve">−3.66／0.90／1.35</w:t>
            </w:r>
          </w:p>
        </w:tc>
        <w:tc>
          <w:tcPr/>
          <w:p>
            <w:pPr>
              <w:pStyle w:val="Compact"/>
              <w:jc w:val="right"/>
            </w:pPr>
            <w:r>
              <w:rPr>
                <w:rFonts w:hint="eastAsia"/>
                <w:sz w:val="18"/>
              </w:rPr>
              <w:t xml:space="preserve">−0.012／−0.010／−0.001</w:t>
            </w:r>
          </w:p>
        </w:tc>
      </w:tr>
      <w:tr>
        <w:tc>
          <w:tcPr/>
          <w:p>
            <w:pPr>
              <w:pStyle w:val="Compact"/>
            </w:pPr>
            <w:r>
              <w:rPr>
                <w:rFonts w:hint="eastAsia"/>
                <w:sz w:val="18"/>
              </w:rPr>
              <w:t xml:space="preserve">フリートの日周×6</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2.47</w:t>
            </w:r>
          </w:p>
        </w:tc>
        <w:tc>
          <w:tcPr/>
          <w:p>
            <w:pPr>
              <w:pStyle w:val="Compact"/>
              <w:jc w:val="right"/>
            </w:pPr>
            <w:r>
              <w:rPr>
                <w:sz w:val="18"/>
              </w:rPr>
              <w:t xml:space="preserve">1.08</w:t>
            </w:r>
          </w:p>
        </w:tc>
        <w:tc>
          <w:tcPr/>
          <w:p>
            <w:pPr>
              <w:pStyle w:val="Compact"/>
              <w:jc w:val="right"/>
            </w:pPr>
            <w:r>
              <w:rPr>
                <w:sz w:val="18"/>
              </w:rPr>
              <w:t xml:space="preserve">130</w:t>
            </w:r>
          </w:p>
        </w:tc>
        <w:tc>
          <w:tcPr/>
          <w:p>
            <w:pPr>
              <w:pStyle w:val="Compact"/>
              <w:jc w:val="right"/>
            </w:pPr>
            <w:r>
              <w:rPr>
                <w:sz w:val="18"/>
              </w:rPr>
              <w:t xml:space="preserve">7.84</w:t>
            </w:r>
          </w:p>
        </w:tc>
        <w:tc>
          <w:tcPr/>
          <w:p>
            <w:pPr>
              <w:pStyle w:val="Compact"/>
              <w:jc w:val="right"/>
            </w:pPr>
            <w:r>
              <w:rPr>
                <w:rFonts w:hint="eastAsia"/>
                <w:sz w:val="18"/>
              </w:rPr>
              <w:t xml:space="preserve">8,085（−2.2%）</w:t>
            </w:r>
          </w:p>
        </w:tc>
        <w:tc>
          <w:tcPr/>
          <w:p>
            <w:pPr>
              <w:pStyle w:val="Compact"/>
              <w:jc w:val="right"/>
            </w:pPr>
            <w:r>
              <w:rPr>
                <w:rFonts w:hint="eastAsia"/>
                <w:sz w:val="18"/>
              </w:rPr>
              <w:t xml:space="preserve">+1.4%／+2.0%</w:t>
            </w:r>
          </w:p>
        </w:tc>
        <w:tc>
          <w:tcPr/>
          <w:p>
            <w:pPr>
              <w:pStyle w:val="Compact"/>
              <w:jc w:val="right"/>
            </w:pPr>
            <w:r>
              <w:rPr>
                <w:rFonts w:hint="eastAsia"/>
                <w:sz w:val="18"/>
              </w:rPr>
              <w:t xml:space="preserve">−1.48／0.93／1.35</w:t>
            </w:r>
          </w:p>
        </w:tc>
        <w:tc>
          <w:tcPr/>
          <w:p>
            <w:pPr>
              <w:pStyle w:val="Compact"/>
              <w:jc w:val="right"/>
            </w:pPr>
            <w:r>
              <w:rPr>
                <w:rFonts w:hint="eastAsia"/>
                <w:sz w:val="18"/>
              </w:rPr>
              <w:t xml:space="preserve">−0.015／−0.027／+0.008</w:t>
            </w:r>
          </w:p>
        </w:tc>
      </w:tr>
    </w:tbl>
    <w:p>
      <w:pPr>
        <w:pStyle w:val="TableNote"/>
      </w:pPr>
      <w:r>
        <w:rPr>
          <w:rFonts w:hint="eastAsia"/>
        </w:rPr>
        <w:t xml:space="preserve">注）付与の方法は付録B.2.5。日周振幅は時刻別平均の（最大−最小）÷平均（実フリートは0.17）。同じ日内分散比の一様な増幅は、実現した日内分散比をそろえた全成分・確率成分の一様な増幅の完全予見粗利の変化。日内分散比1単位あたりの変化は、完全予見粗利の変化率（%）を（日内分散比−1）で割った値。風力→TB4h</w:t>
      </w:r>
      <w:r>
        <w:t xml:space="preserve"> </w:t>
      </w:r>
      <w:r>
        <w:rPr>
          <w:rFonts w:hint="eastAsia"/>
        </w:rPr>
        <w:t xml:space="preserve">の変化は実フリートからの係数の変化（円/kWh</w:t>
      </w:r>
      <w:r>
        <w:t xml:space="preserve"> per </w:t>
      </w:r>
      <w:r>
        <w:rPr>
          <w:rFonts w:hint="eastAsia"/>
        </w:rPr>
        <w:t xml:space="preserve">GWh/日）。</w:t>
      </w:r>
    </w:p>
    <w:p>
      <w:pPr>
        <w:pStyle w:val="TableNote"/>
      </w:pPr>
      <w:r>
        <w:rPr>
          <w:rFonts w:hint="eastAsia"/>
        </w:rPr>
        <w:t xml:space="preserve">出所）表C.5</w:t>
      </w:r>
      <w:r>
        <w:t xml:space="preserve"> </w:t>
      </w:r>
      <w:r>
        <w:rPr>
          <w:rFonts w:hint="eastAsia"/>
        </w:rPr>
        <w:t xml:space="preserve">と同じ。</w:t>
      </w:r>
    </w:p>
    <w:p>
      <w:pPr>
        <w:pStyle w:val="BodyText"/>
      </w:pPr>
      <w:r>
        <w:rPr>
          <w:rFonts w:hint="eastAsia"/>
          <w:b/>
          <w:bCs/>
        </w:rPr>
        <w:t xml:space="preserve">価格過程の感応度の検証</w:t>
      </w:r>
      <w:r>
        <w:t xml:space="preserve">　</w:t>
      </w:r>
      <w:r>
        <w:rPr>
          <w:rFonts w:hint="eastAsia"/>
        </w:rPr>
        <w:t xml:space="preserve">表C.7</w:t>
      </w:r>
      <w:r>
        <w:t xml:space="preserve"> のパネルA </w:t>
      </w:r>
      <w:r>
        <w:rPr>
          <w:rFonts w:hint="eastAsia"/>
        </w:rPr>
        <w:t xml:space="preserve">は、実フリートを通したモデル（</w:t>
      </w:r>
      <m:oMath>
        <m:r>
          <m:t>θ</m:t>
        </m:r>
        <m:r>
          <m:rPr>
            <m:sty m:val="p"/>
          </m:rPr>
          <m:t>=</m:t>
        </m:r>
        <m:r>
          <m:t>1</m:t>
        </m:r>
      </m:oMath>
      <w:r>
        <w:rPr>
          <w:rFonts w:hint="eastAsia"/>
        </w:rPr>
        <w:t xml:space="preserve">）と実績を比べたものである。モデルは実績に比べ、下限張り付き時間と完全予見粗利を小さく出し、時間価格の分布の下側の裾を浅く出す。年度×季節内の日次の</w:t>
      </w:r>
      <w:r>
        <w:t xml:space="preserve"> TB4h </w:t>
      </w:r>
      <w:r>
        <w:rPr>
          <w:rFonts w:hint="eastAsia"/>
        </w:rPr>
        <w:t xml:space="preserve">の実績とモデルの相関は0.20〜0.43</w:t>
      </w:r>
      <w:r>
        <w:t xml:space="preserve"> </w:t>
      </w:r>
      <w:r>
        <w:rPr>
          <w:rFonts w:hint="eastAsia"/>
        </w:rPr>
        <w:t xml:space="preserve">である。風力の日次発電量に対する</w:t>
      </w:r>
      <w:r>
        <w:t xml:space="preserve"> TB4h </w:t>
      </w:r>
      <w:r>
        <w:rPr>
          <w:rFonts w:hint="eastAsia"/>
        </w:rPr>
        <w:t xml:space="preserve">の係数の実績とモデルの差は、不需要期（−0.166、p=0.02）を除いて有意でない。不需要期の差は、水準を固定した仕様A</w:t>
      </w:r>
      <w:r>
        <w:t xml:space="preserve"> </w:t>
      </w:r>
      <w:r>
        <w:rPr>
          <w:rFonts w:hint="eastAsia"/>
        </w:rPr>
        <w:t xml:space="preserve">の検証（表C.22）によれば、モデルが風力の多い日の夕方の高値の低下を実績の半分以下しか再現しないことから生じる（上位4時間の風力の係数はモデル−0.16</w:t>
      </w:r>
      <w:r>
        <w:t xml:space="preserve"> </w:t>
      </w:r>
      <w:r>
        <w:rPr>
          <w:rFonts w:hint="eastAsia"/>
        </w:rPr>
        <w:t xml:space="preserve">対実績−0.36円/kWh</w:t>
      </w:r>
      <w:r>
        <w:t xml:space="preserve"> per </w:t>
      </w:r>
      <w:r>
        <w:rPr>
          <w:rFonts w:hint="eastAsia"/>
        </w:rPr>
        <w:t xml:space="preserve">GWh/日で、下位4時間はモデル−0.31</w:t>
      </w:r>
      <w:r>
        <w:t xml:space="preserve"> </w:t>
      </w:r>
      <w:r>
        <w:rPr>
          <w:rFonts w:hint="eastAsia"/>
        </w:rPr>
        <w:t xml:space="preserve">対実績−0.33</w:t>
      </w:r>
      <w:r>
        <w:t xml:space="preserve"> </w:t>
      </w:r>
      <w:r>
        <w:rPr>
          <w:rFonts w:hint="eastAsia"/>
        </w:rPr>
        <w:t xml:space="preserve">と差が有意でない）。その原因は、時刻別の項が日々の風力で変わること（不需要期の高風の日に夕方の項が1〜2円/kWh</w:t>
      </w:r>
      <w:r>
        <w:t xml:space="preserve"> </w:t>
      </w:r>
      <w:r>
        <w:rPr>
          <w:rFonts w:hint="eastAsia"/>
        </w:rPr>
        <w:t xml:space="preserve">小さい）にある。このため表C.5</w:t>
      </w:r>
      <w:r>
        <w:t xml:space="preserve"> </w:t>
      </w:r>
      <w:r>
        <w:rPr>
          <w:rFonts w:hint="eastAsia"/>
        </w:rPr>
        <w:t xml:space="preserve">の不需要期の係数（実フリートでも+0.141）は水準ではなく、行の間の差で読む。</w:t>
      </w:r>
    </w:p>
    <w:p>
      <w:pPr>
        <w:pStyle w:val="BodyText"/>
      </w:pPr>
      <w:r>
        <w:t xml:space="preserve">パネルB </w:t>
      </w:r>
      <w:r>
        <w:rPr>
          <w:rFonts w:hint="eastAsia"/>
        </w:rPr>
        <w:t xml:space="preserve">は、風力の日内変動に対する</w:t>
      </w:r>
      <w:r>
        <w:t xml:space="preserve"> TB4h </w:t>
      </w:r>
      <w:r>
        <w:rPr>
          <w:rFonts w:hint="eastAsia"/>
        </w:rPr>
        <w:t xml:space="preserve">の感応度である。夏の差（36.3、p=0.007）は、需要・太陽光の日内変動などを追加で統制しても残る（差38.9、p=0.004）。年月固定効果の下で夏を分けると、実績の感応度は7〜8月20.5（p=0.26）、9月56.7（p=0.013）で、差は主に9月によって生じている。冬と不需要期では差は有意でない。表C.8</w:t>
      </w:r>
      <w:r>
        <w:t xml:space="preserve"> </w:t>
      </w:r>
      <w:r>
        <w:rPr>
          <w:rFonts w:hint="eastAsia"/>
        </w:rPr>
        <w:t xml:space="preserve">は夏の感応度の比による補正である。比の95%区間は、実績の係数の誤差だけを考えると2.0〜7.5、モデルの係数の誤差も含めた</w:t>
      </w:r>
      <w:r>
        <w:t xml:space="preserve"> Fieller </w:t>
      </w:r>
      <w:r>
        <w:rPr>
          <w:rFonts w:hint="eastAsia"/>
        </w:rPr>
        <w:t xml:space="preserve">型の区間は1.9〜29</w:t>
      </w:r>
      <w:r>
        <w:t xml:space="preserve"> </w:t>
      </w:r>
      <w:r>
        <w:rPr>
          <w:rFonts w:hint="eastAsia"/>
        </w:rPr>
        <w:t xml:space="preserve">で上側に長い。モデルの夏の感応度そのものが粗くしか推定できない（t=2.35）ためである。追加統制の仕様では比は10.0</w:t>
      </w:r>
      <w:r>
        <w:t xml:space="preserve"> </w:t>
      </w:r>
      <w:r>
        <w:rPr>
          <w:rFonts w:hint="eastAsia"/>
        </w:rPr>
        <w:t xml:space="preserve">で、モデルの係数が有意でないため</w:t>
      </w:r>
      <w:r>
        <w:t xml:space="preserve"> Fieller </w:t>
      </w:r>
      <w:r>
        <w:rPr>
          <w:rFonts w:hint="eastAsia"/>
        </w:rPr>
        <w:t xml:space="preserve">型の区間は有界にならない。</w:t>
      </w:r>
    </w:p>
    <w:p>
      <w:pPr>
        <w:pStyle w:val="BodyText"/>
      </w:pPr>
      <w:r>
        <w:rPr>
          <w:rFonts w:hint="eastAsia"/>
        </w:rPr>
        <w:t xml:space="preserve">反実仮想は日次エネルギーを保存するので、時刻別の項を日々の風力の三分位に依存させた仕様A′（7.2.2項）でも各日の三分位は変わらないが、仕様A′</w:t>
      </w:r>
      <w:r>
        <w:t xml:space="preserve"> </w:t>
      </w:r>
      <w:r>
        <w:rPr>
          <w:rFonts w:hint="eastAsia"/>
        </w:rPr>
        <w:t xml:space="preserve">の上の反実仮想は行っていない。夏の感応度の過小を補正しても中央の校正の点推定は+7〜10%だが、補正の区間は上側に長く、上端は+2割に達する。校正の上限では、完全予見粗利は+19%（補正後の点推定+32%、Fieller</w:t>
      </w:r>
      <w:r>
        <w:t xml:space="preserve"> </w:t>
      </w:r>
      <w:r>
        <w:rPr>
          <w:rFonts w:hint="eastAsia"/>
        </w:rPr>
        <w:t xml:space="preserve">型の区間の下端でも+22%、追加統制の仕様では+52%）になる。</w:t>
      </w:r>
    </w:p>
    <w:p>
      <w:pPr>
        <w:pStyle w:val="TableCaption"/>
      </w:pPr>
      <w:r>
        <w:rPr>
          <w:rFonts w:hint="eastAsia"/>
        </w:rPr>
        <w:t xml:space="preserve">表C.7</w:t>
      </w:r>
      <w:r>
        <w:t xml:space="preserve">　</w:t>
      </w:r>
      <w:r>
        <w:rPr>
          <w:rFonts w:hint="eastAsia"/>
        </w:rPr>
        <w:t xml:space="preserve">価格過程の感応度の検証</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C.7　価格過程の感応度の検証"/>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項目</w:t>
            </w:r>
          </w:p>
        </w:tc>
        <w:tc>
          <w:tcPr>
            <w:tcBorders>
              <w:bottom w:val="single" w:sz="6" w:color="000000"/>
            </w:tcBorders>
          </w:tcPr>
          <w:p>
            <w:pPr>
              <w:pStyle w:val="Compact"/>
              <w:jc w:val="right"/>
            </w:pPr>
            <w:r>
              <w:rPr>
                <w:rFonts w:hint="eastAsia"/>
                <w:sz w:val="18"/>
              </w:rPr>
              <w:t xml:space="preserve">実績</w:t>
            </w:r>
          </w:p>
        </w:tc>
        <w:tc>
          <w:tcPr>
            <w:tcBorders>
              <w:bottom w:val="single" w:sz="6" w:color="000000"/>
            </w:tcBorders>
          </w:tcPr>
          <w:p>
            <w:pPr>
              <w:pStyle w:val="Compact"/>
              <w:jc w:val="right"/>
            </w:pPr>
            <w:r>
              <w:rPr>
                <w:sz w:val="18"/>
              </w:rPr>
              <w:t xml:space="preserve">モデル</w:t>
            </w:r>
          </w:p>
        </w:tc>
        <w:tc>
          <w:tcPr>
            <w:tcBorders>
              <w:bottom w:val="single" w:sz="6" w:color="000000"/>
            </w:tcBorders>
          </w:tcPr>
          <w:p>
            <w:pPr>
              <w:pStyle w:val="Compact"/>
              <w:jc w:val="right"/>
            </w:pPr>
            <w:r>
              <w:rPr>
                <w:rFonts w:hint="eastAsia"/>
                <w:sz w:val="18"/>
              </w:rPr>
              <w:t xml:space="preserve">差（実績−モデル）</w:t>
            </w:r>
          </w:p>
        </w:tc>
        <w:tc>
          <w:tcPr>
            <w:tcBorders>
              <w:bottom w:val="single" w:sz="6" w:color="000000"/>
            </w:tcBorders>
          </w:tcPr>
          <w:p>
            <w:pPr>
              <w:pStyle w:val="Compact"/>
              <w:jc w:val="right"/>
            </w:pPr>
            <w:r>
              <w:rPr>
                <w:rFonts w:hint="eastAsia"/>
                <w:sz w:val="18"/>
              </w:rPr>
              <w:t xml:space="preserve">差の</w:t>
            </w:r>
            <w:r>
              <w:rPr>
                <w:sz w:val="18"/>
              </w:rPr>
              <w:t xml:space="preserve"> p</w:t>
            </w:r>
          </w:p>
        </w:tc>
      </w:tr>
      <w:tr>
        <w:tc>
          <w:tcPr/>
          <w:p>
            <w:pPr>
              <w:pStyle w:val="Compact"/>
            </w:pPr>
            <w:r>
              <w:rPr>
                <w:rFonts w:hint="eastAsia"/>
                <w:b/>
                <w:bCs/>
                <w:sz w:val="18"/>
              </w:rPr>
              <w:t xml:space="preserve">パネルA：実績とモデル（実フリート、</w:t>
            </w:r>
            <m:oMath>
              <m:r>
                <m:t>θ</m:t>
              </m:r>
              <m:r>
                <m:rPr>
                  <m:sty m:val="p"/>
                </m:rPr>
                <m:t>=</m:t>
              </m:r>
              <m:r>
                <m:t>1</m:t>
              </m:r>
            </m:oMath>
            <w:r>
              <w:rPr>
                <w:rFonts w:hint="eastAsia"/>
                <w:b/>
                <w:bCs/>
                <w:sz w:val="18"/>
              </w:rP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下限張り付き（時間/年）</w:t>
            </w:r>
          </w:p>
        </w:tc>
        <w:tc>
          <w:tcPr/>
          <w:p>
            <w:pPr>
              <w:pStyle w:val="Compact"/>
              <w:jc w:val="right"/>
            </w:pPr>
            <w:r>
              <w:rPr>
                <w:sz w:val="18"/>
              </w:rPr>
              <w:t xml:space="preserve">203</w:t>
            </w:r>
          </w:p>
        </w:tc>
        <w:tc>
          <w:tcPr/>
          <w:p>
            <w:pPr>
              <w:pStyle w:val="Compact"/>
              <w:jc w:val="right"/>
            </w:pPr>
            <w:r>
              <w:rPr>
                <w:sz w:val="18"/>
              </w:rPr>
              <w:t xml:space="preserve">115</w:t>
            </w:r>
          </w:p>
        </w:tc>
        <w:tc>
          <w:tcPr/>
          <w:p>
            <w:pPr>
              <w:pStyle w:val="Compact"/>
              <w:jc w:val="right"/>
            </w:pPr>
            <w:r>
              <w:rPr>
                <w:sz w:val="18"/>
              </w:rPr>
              <w:t xml:space="preserve">+88</w:t>
            </w:r>
          </w:p>
        </w:tc>
        <w:tc>
          <w:tcPr/>
          <w:p>
            <w:pPr>
              <w:pStyle w:val="Compact"/>
              <w:jc w:val="right"/>
            </w:pPr>
            <w:r>
              <w:rPr>
                <w:sz w:val="18"/>
              </w:rPr>
              <w:t xml:space="preserve">—</w:t>
            </w:r>
          </w:p>
        </w:tc>
      </w:tr>
      <w:tr>
        <w:tc>
          <w:tcPr/>
          <w:p>
            <w:pPr>
              <w:pStyle w:val="Compact"/>
            </w:pPr>
            <w:r>
              <w:rPr>
                <w:sz w:val="18"/>
              </w:rPr>
              <w:t xml:space="preserve">TB4h </w:t>
            </w:r>
            <w:r>
              <w:rPr>
                <w:rFonts w:hint="eastAsia"/>
                <w:sz w:val="18"/>
              </w:rPr>
              <w:t xml:space="preserve">中央値（円/kWh）</w:t>
            </w:r>
          </w:p>
        </w:tc>
        <w:tc>
          <w:tcPr/>
          <w:p>
            <w:pPr>
              <w:pStyle w:val="Compact"/>
              <w:jc w:val="right"/>
            </w:pPr>
            <w:r>
              <w:rPr>
                <w:sz w:val="18"/>
              </w:rPr>
              <w:t xml:space="preserve">8.85</w:t>
            </w:r>
          </w:p>
        </w:tc>
        <w:tc>
          <w:tcPr/>
          <w:p>
            <w:pPr>
              <w:pStyle w:val="Compact"/>
              <w:jc w:val="right"/>
            </w:pPr>
            <w:r>
              <w:rPr>
                <w:sz w:val="18"/>
              </w:rPr>
              <w:t xml:space="preserve">7.96</w:t>
            </w:r>
          </w:p>
        </w:tc>
        <w:tc>
          <w:tcPr/>
          <w:p>
            <w:pPr>
              <w:pStyle w:val="Compact"/>
              <w:jc w:val="right"/>
            </w:pPr>
            <w:r>
              <w:rPr>
                <w:sz w:val="18"/>
              </w:rPr>
              <w:t xml:space="preserve">+0.89</w:t>
            </w:r>
          </w:p>
        </w:tc>
        <w:tc>
          <w:tcPr/>
          <w:p>
            <w:pPr>
              <w:pStyle w:val="Compact"/>
              <w:jc w:val="right"/>
            </w:pPr>
            <w:r>
              <w:rPr>
                <w:sz w:val="18"/>
              </w:rPr>
              <w:t xml:space="preserve">—</w:t>
            </w:r>
          </w:p>
        </w:tc>
      </w:tr>
      <w:tr>
        <w:tc>
          <w:tcPr/>
          <w:p>
            <w:pPr>
              <w:pStyle w:val="Compact"/>
            </w:pPr>
            <w:r>
              <w:rPr>
                <w:rFonts w:hint="eastAsia"/>
                <w:sz w:val="18"/>
              </w:rPr>
              <w:t xml:space="preserve">時間価格の5パーセンタイル（円/kWh）</w:t>
            </w:r>
          </w:p>
        </w:tc>
        <w:tc>
          <w:tcPr/>
          <w:p>
            <w:pPr>
              <w:pStyle w:val="Compact"/>
              <w:jc w:val="right"/>
            </w:pPr>
            <w:r>
              <w:rPr>
                <w:sz w:val="18"/>
              </w:rPr>
              <w:t xml:space="preserve">3.86</w:t>
            </w:r>
          </w:p>
        </w:tc>
        <w:tc>
          <w:tcPr/>
          <w:p>
            <w:pPr>
              <w:pStyle w:val="Compact"/>
              <w:jc w:val="right"/>
            </w:pPr>
            <w:r>
              <w:rPr>
                <w:sz w:val="18"/>
              </w:rPr>
              <w:t xml:space="preserve">5.57</w:t>
            </w:r>
          </w:p>
        </w:tc>
        <w:tc>
          <w:tcPr/>
          <w:p>
            <w:pPr>
              <w:pStyle w:val="Compact"/>
              <w:jc w:val="right"/>
            </w:pPr>
            <w:r>
              <w:rPr>
                <w:sz w:val="18"/>
              </w:rPr>
              <w:t xml:space="preserve">−1.71</w:t>
            </w:r>
          </w:p>
        </w:tc>
        <w:tc>
          <w:tcPr/>
          <w:p>
            <w:pPr>
              <w:pStyle w:val="Compact"/>
              <w:jc w:val="right"/>
            </w:pPr>
            <w:r>
              <w:rPr>
                <w:sz w:val="18"/>
              </w:rPr>
              <w:t xml:space="preserve">—</w:t>
            </w:r>
          </w:p>
        </w:tc>
      </w:tr>
      <w:tr>
        <w:tc>
          <w:tcPr/>
          <w:p>
            <w:pPr>
              <w:pStyle w:val="Compact"/>
            </w:pPr>
            <w:r>
              <w:rPr>
                <w:rFonts w:hint="eastAsia"/>
                <w:sz w:val="18"/>
              </w:rPr>
              <w:t xml:space="preserve">時間価格の95パーセンタイル（円/kWh）</w:t>
            </w:r>
          </w:p>
        </w:tc>
        <w:tc>
          <w:tcPr/>
          <w:p>
            <w:pPr>
              <w:pStyle w:val="Compact"/>
              <w:jc w:val="right"/>
            </w:pPr>
            <w:r>
              <w:rPr>
                <w:sz w:val="18"/>
              </w:rPr>
              <w:t xml:space="preserve">19.10</w:t>
            </w:r>
          </w:p>
        </w:tc>
        <w:tc>
          <w:tcPr/>
          <w:p>
            <w:pPr>
              <w:pStyle w:val="Compact"/>
              <w:jc w:val="right"/>
            </w:pPr>
            <w:r>
              <w:rPr>
                <w:sz w:val="18"/>
              </w:rPr>
              <w:t xml:space="preserve">18.08</w:t>
            </w:r>
          </w:p>
        </w:tc>
        <w:tc>
          <w:tcPr/>
          <w:p>
            <w:pPr>
              <w:pStyle w:val="Compact"/>
              <w:jc w:val="right"/>
            </w:pPr>
            <w:r>
              <w:rPr>
                <w:sz w:val="18"/>
              </w:rPr>
              <w:t xml:space="preserve">+1.03</w:t>
            </w:r>
          </w:p>
        </w:tc>
        <w:tc>
          <w:tcPr/>
          <w:p>
            <w:pPr>
              <w:pStyle w:val="Compact"/>
              <w:jc w:val="right"/>
            </w:pPr>
            <w:r>
              <w:rPr>
                <w:sz w:val="18"/>
              </w:rPr>
              <w:t xml:space="preserve">—</w:t>
            </w:r>
          </w:p>
        </w:tc>
      </w:tr>
      <w:tr>
        <w:tc>
          <w:tcPr/>
          <w:p>
            <w:pPr>
              <w:pStyle w:val="Compact"/>
            </w:pPr>
            <w:r>
              <w:rPr>
                <w:rFonts w:hint="eastAsia"/>
                <w:sz w:val="18"/>
              </w:rPr>
              <w:t xml:space="preserve">完全予見粗利（円/kW-年）</w:t>
            </w:r>
          </w:p>
        </w:tc>
        <w:tc>
          <w:tcPr/>
          <w:p>
            <w:pPr>
              <w:pStyle w:val="Compact"/>
              <w:jc w:val="right"/>
            </w:pPr>
            <w:r>
              <w:rPr>
                <w:sz w:val="18"/>
              </w:rPr>
              <w:t xml:space="preserve">10,317</w:t>
            </w:r>
          </w:p>
        </w:tc>
        <w:tc>
          <w:tcPr/>
          <w:p>
            <w:pPr>
              <w:pStyle w:val="Compact"/>
              <w:jc w:val="right"/>
            </w:pPr>
            <w:r>
              <w:rPr>
                <w:sz w:val="18"/>
              </w:rPr>
              <w:t xml:space="preserve">8,266</w:t>
            </w:r>
          </w:p>
        </w:tc>
        <w:tc>
          <w:tcPr/>
          <w:p>
            <w:pPr>
              <w:pStyle w:val="Compact"/>
              <w:jc w:val="right"/>
            </w:pPr>
            <w:r>
              <w:rPr>
                <w:sz w:val="18"/>
              </w:rPr>
              <w:t xml:space="preserve">+2,052</w:t>
            </w:r>
          </w:p>
        </w:tc>
        <w:tc>
          <w:tcPr/>
          <w:p>
            <w:pPr>
              <w:pStyle w:val="Compact"/>
              <w:jc w:val="right"/>
            </w:pPr>
            <w:r>
              <w:rPr>
                <w:sz w:val="18"/>
              </w:rPr>
              <w:t xml:space="preserve">—</w:t>
            </w:r>
          </w:p>
        </w:tc>
      </w:tr>
      <w:tr>
        <w:tc>
          <w:tcPr/>
          <w:p>
            <w:pPr>
              <w:pStyle w:val="Compact"/>
            </w:pPr>
            <w:r>
              <w:rPr>
                <w:rFonts w:hint="eastAsia"/>
                <w:sz w:val="18"/>
              </w:rPr>
              <w:t xml:space="preserve">風力の日次発電量→TB4h：夏</w:t>
            </w:r>
          </w:p>
        </w:tc>
        <w:tc>
          <w:tcPr/>
          <w:p>
            <w:pPr>
              <w:pStyle w:val="Compact"/>
              <w:jc w:val="right"/>
            </w:pPr>
            <w:r>
              <w:rPr>
                <w:sz w:val="18"/>
              </w:rPr>
              <w:t xml:space="preserve">+0.088</w:t>
            </w:r>
          </w:p>
        </w:tc>
        <w:tc>
          <w:tcPr/>
          <w:p>
            <w:pPr>
              <w:pStyle w:val="Compact"/>
              <w:jc w:val="right"/>
            </w:pPr>
            <w:r>
              <w:rPr>
                <w:sz w:val="18"/>
              </w:rPr>
              <w:t xml:space="preserve">−0.040</w:t>
            </w:r>
          </w:p>
        </w:tc>
        <w:tc>
          <w:tcPr/>
          <w:p>
            <w:pPr>
              <w:pStyle w:val="Compact"/>
              <w:jc w:val="right"/>
            </w:pPr>
            <w:r>
              <w:rPr>
                <w:sz w:val="18"/>
              </w:rPr>
              <w:t xml:space="preserve">+0.129</w:t>
            </w:r>
          </w:p>
        </w:tc>
        <w:tc>
          <w:tcPr/>
          <w:p>
            <w:pPr>
              <w:pStyle w:val="Compact"/>
              <w:jc w:val="right"/>
            </w:pPr>
            <w:r>
              <w:rPr>
                <w:sz w:val="18"/>
              </w:rPr>
              <w:t xml:space="preserve">0.305</w:t>
            </w:r>
          </w:p>
        </w:tc>
      </w:tr>
      <w:tr>
        <w:tc>
          <w:tcPr/>
          <w:p>
            <w:pPr>
              <w:pStyle w:val="Compact"/>
            </w:pPr>
            <w:r>
              <w:rPr>
                <w:rFonts w:hint="eastAsia"/>
                <w:sz w:val="18"/>
              </w:rPr>
              <w:t xml:space="preserve">風力の日次発電量→TB4h：冬</w:t>
            </w:r>
          </w:p>
        </w:tc>
        <w:tc>
          <w:tcPr/>
          <w:p>
            <w:pPr>
              <w:pStyle w:val="Compact"/>
              <w:jc w:val="right"/>
            </w:pPr>
            <w:r>
              <w:rPr>
                <w:sz w:val="18"/>
              </w:rPr>
              <w:t xml:space="preserve">−0.112</w:t>
            </w:r>
          </w:p>
        </w:tc>
        <w:tc>
          <w:tcPr/>
          <w:p>
            <w:pPr>
              <w:pStyle w:val="Compact"/>
              <w:jc w:val="right"/>
            </w:pPr>
            <w:r>
              <w:rPr>
                <w:sz w:val="18"/>
              </w:rPr>
              <w:t xml:space="preserve">−0.019</w:t>
            </w:r>
          </w:p>
        </w:tc>
        <w:tc>
          <w:tcPr/>
          <w:p>
            <w:pPr>
              <w:pStyle w:val="Compact"/>
              <w:jc w:val="right"/>
            </w:pPr>
            <w:r>
              <w:rPr>
                <w:sz w:val="18"/>
              </w:rPr>
              <w:t xml:space="preserve">−0.093</w:t>
            </w:r>
          </w:p>
        </w:tc>
        <w:tc>
          <w:tcPr/>
          <w:p>
            <w:pPr>
              <w:pStyle w:val="Compact"/>
              <w:jc w:val="right"/>
            </w:pPr>
            <w:r>
              <w:rPr>
                <w:sz w:val="18"/>
              </w:rPr>
              <w:t xml:space="preserve">0.286</w:t>
            </w:r>
          </w:p>
        </w:tc>
      </w:tr>
      <w:tr>
        <w:tc>
          <w:tcPr/>
          <w:p>
            <w:pPr>
              <w:pStyle w:val="Compact"/>
            </w:pPr>
            <w:r>
              <w:rPr>
                <w:rFonts w:hint="eastAsia"/>
                <w:sz w:val="18"/>
              </w:rPr>
              <w:t xml:space="preserve">風力の日次発電量→TB4h：不需要期</w:t>
            </w:r>
          </w:p>
        </w:tc>
        <w:tc>
          <w:tcPr/>
          <w:p>
            <w:pPr>
              <w:pStyle w:val="Compact"/>
              <w:jc w:val="right"/>
            </w:pPr>
            <w:r>
              <w:rPr>
                <w:sz w:val="18"/>
              </w:rPr>
              <w:t xml:space="preserve">−0.025</w:t>
            </w:r>
          </w:p>
        </w:tc>
        <w:tc>
          <w:tcPr/>
          <w:p>
            <w:pPr>
              <w:pStyle w:val="Compact"/>
              <w:jc w:val="right"/>
            </w:pPr>
            <w:r>
              <w:rPr>
                <w:sz w:val="18"/>
              </w:rPr>
              <w:t xml:space="preserve">+0.141</w:t>
            </w:r>
          </w:p>
        </w:tc>
        <w:tc>
          <w:tcPr/>
          <w:p>
            <w:pPr>
              <w:pStyle w:val="Compact"/>
              <w:jc w:val="right"/>
            </w:pPr>
            <w:r>
              <w:rPr>
                <w:sz w:val="18"/>
              </w:rPr>
              <w:t xml:space="preserve">−0.166</w:t>
            </w:r>
          </w:p>
        </w:tc>
        <w:tc>
          <w:tcPr/>
          <w:p>
            <w:pPr>
              <w:pStyle w:val="Compact"/>
              <w:jc w:val="right"/>
            </w:pPr>
            <w:r>
              <w:rPr>
                <w:sz w:val="18"/>
              </w:rPr>
              <w:t xml:space="preserve">0.018</w:t>
            </w:r>
          </w:p>
        </w:tc>
      </w:tr>
      <w:tr>
        <w:tc>
          <w:tcPr/>
          <w:p>
            <w:pPr>
              <w:pStyle w:val="Compact"/>
            </w:pPr>
            <w:r>
              <w:rPr>
                <w:rFonts w:hint="eastAsia"/>
                <w:b/>
                <w:bCs/>
                <w:sz w:val="18"/>
              </w:rPr>
              <w:t xml:space="preserve">パネルB：風力の日内変動→TB4h</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年度・季節FE：夏</w:t>
            </w:r>
          </w:p>
        </w:tc>
        <w:tc>
          <w:tcPr/>
          <w:p>
            <w:pPr>
              <w:pStyle w:val="Compact"/>
              <w:jc w:val="right"/>
            </w:pPr>
            <w:r>
              <w:rPr>
                <w:rFonts w:hint="eastAsia"/>
                <w:sz w:val="18"/>
              </w:rPr>
              <w:t xml:space="preserve">46.1（13.3）</w:t>
            </w:r>
          </w:p>
        </w:tc>
        <w:tc>
          <w:tcPr/>
          <w:p>
            <w:pPr>
              <w:pStyle w:val="Compact"/>
              <w:jc w:val="right"/>
            </w:pPr>
            <w:r>
              <w:rPr>
                <w:sz w:val="18"/>
              </w:rPr>
              <w:t xml:space="preserve">9.7</w:t>
            </w:r>
          </w:p>
        </w:tc>
        <w:tc>
          <w:tcPr/>
          <w:p>
            <w:pPr>
              <w:pStyle w:val="Compact"/>
              <w:jc w:val="right"/>
            </w:pPr>
            <w:r>
              <w:rPr>
                <w:sz w:val="18"/>
              </w:rPr>
              <w:t xml:space="preserve">+36.3</w:t>
            </w:r>
          </w:p>
        </w:tc>
        <w:tc>
          <w:tcPr/>
          <w:p>
            <w:pPr>
              <w:pStyle w:val="Compact"/>
              <w:jc w:val="right"/>
            </w:pPr>
            <w:r>
              <w:rPr>
                <w:sz w:val="18"/>
              </w:rPr>
              <w:t xml:space="preserve">0.007</w:t>
            </w:r>
          </w:p>
        </w:tc>
      </w:tr>
      <w:tr>
        <w:tc>
          <w:tcPr/>
          <w:p>
            <w:pPr>
              <w:pStyle w:val="Compact"/>
            </w:pPr>
            <w:r>
              <w:rPr>
                <w:rFonts w:hint="eastAsia"/>
                <w:sz w:val="18"/>
              </w:rPr>
              <w:t xml:space="preserve">年度・季節FE：冬</w:t>
            </w:r>
          </w:p>
        </w:tc>
        <w:tc>
          <w:tcPr/>
          <w:p>
            <w:pPr>
              <w:pStyle w:val="Compact"/>
              <w:jc w:val="right"/>
            </w:pPr>
            <w:r>
              <w:rPr>
                <w:rFonts w:hint="eastAsia"/>
                <w:sz w:val="18"/>
              </w:rPr>
              <w:t xml:space="preserve">5.1（7.0）</w:t>
            </w:r>
          </w:p>
        </w:tc>
        <w:tc>
          <w:tcPr/>
          <w:p>
            <w:pPr>
              <w:pStyle w:val="Compact"/>
              <w:jc w:val="right"/>
            </w:pPr>
            <w:r>
              <w:rPr>
                <w:sz w:val="18"/>
              </w:rPr>
              <w:t xml:space="preserve">1.7</w:t>
            </w:r>
          </w:p>
        </w:tc>
        <w:tc>
          <w:tcPr/>
          <w:p>
            <w:pPr>
              <w:pStyle w:val="Compact"/>
              <w:jc w:val="right"/>
            </w:pPr>
            <w:r>
              <w:rPr>
                <w:sz w:val="18"/>
              </w:rPr>
              <w:t xml:space="preserve">+3.4</w:t>
            </w:r>
          </w:p>
        </w:tc>
        <w:tc>
          <w:tcPr/>
          <w:p>
            <w:pPr>
              <w:pStyle w:val="Compact"/>
              <w:jc w:val="right"/>
            </w:pPr>
            <w:r>
              <w:rPr>
                <w:sz w:val="18"/>
              </w:rPr>
              <w:t xml:space="preserve">0.60</w:t>
            </w:r>
          </w:p>
        </w:tc>
      </w:tr>
      <w:tr>
        <w:tc>
          <w:tcPr/>
          <w:p>
            <w:pPr>
              <w:pStyle w:val="Compact"/>
            </w:pPr>
            <w:r>
              <w:rPr>
                <w:rFonts w:hint="eastAsia"/>
                <w:sz w:val="18"/>
              </w:rPr>
              <w:t xml:space="preserve">年度・季節FE：不需要期</w:t>
            </w:r>
          </w:p>
        </w:tc>
        <w:tc>
          <w:tcPr/>
          <w:p>
            <w:pPr>
              <w:pStyle w:val="Compact"/>
              <w:jc w:val="right"/>
            </w:pPr>
            <w:r>
              <w:rPr>
                <w:rFonts w:hint="eastAsia"/>
                <w:sz w:val="18"/>
              </w:rPr>
              <w:t xml:space="preserve">3.9（5.4）</w:t>
            </w:r>
          </w:p>
        </w:tc>
        <w:tc>
          <w:tcPr/>
          <w:p>
            <w:pPr>
              <w:pStyle w:val="Compact"/>
              <w:jc w:val="right"/>
            </w:pPr>
            <w:r>
              <w:rPr>
                <w:sz w:val="18"/>
              </w:rPr>
              <w:t xml:space="preserve">11.8</w:t>
            </w:r>
          </w:p>
        </w:tc>
        <w:tc>
          <w:tcPr/>
          <w:p>
            <w:pPr>
              <w:pStyle w:val="Compact"/>
              <w:jc w:val="right"/>
            </w:pPr>
            <w:r>
              <w:rPr>
                <w:sz w:val="18"/>
              </w:rPr>
              <w:t xml:space="preserve">−7.9</w:t>
            </w:r>
          </w:p>
        </w:tc>
        <w:tc>
          <w:tcPr/>
          <w:p>
            <w:pPr>
              <w:pStyle w:val="Compact"/>
              <w:jc w:val="right"/>
            </w:pPr>
            <w:r>
              <w:rPr>
                <w:sz w:val="18"/>
              </w:rPr>
              <w:t xml:space="preserve">0.12</w:t>
            </w:r>
          </w:p>
        </w:tc>
      </w:tr>
      <w:tr>
        <w:tc>
          <w:tcPr/>
          <w:p>
            <w:pPr>
              <w:pStyle w:val="Compact"/>
            </w:pPr>
            <w:r>
              <w:rPr>
                <w:rFonts w:hint="eastAsia"/>
                <w:sz w:val="18"/>
              </w:rPr>
              <w:t xml:space="preserve">追加統制：夏</w:t>
            </w:r>
          </w:p>
        </w:tc>
        <w:tc>
          <w:tcPr/>
          <w:p>
            <w:pPr>
              <w:pStyle w:val="Compact"/>
              <w:jc w:val="right"/>
            </w:pPr>
            <w:r>
              <w:rPr>
                <w:rFonts w:hint="eastAsia"/>
                <w:sz w:val="18"/>
              </w:rPr>
              <w:t xml:space="preserve">43.3（13.4）</w:t>
            </w:r>
          </w:p>
        </w:tc>
        <w:tc>
          <w:tcPr/>
          <w:p>
            <w:pPr>
              <w:pStyle w:val="Compact"/>
              <w:jc w:val="right"/>
            </w:pPr>
            <w:r>
              <w:rPr>
                <w:sz w:val="18"/>
              </w:rPr>
              <w:t xml:space="preserve">4.3</w:t>
            </w:r>
          </w:p>
        </w:tc>
        <w:tc>
          <w:tcPr/>
          <w:p>
            <w:pPr>
              <w:pStyle w:val="Compact"/>
              <w:jc w:val="right"/>
            </w:pPr>
            <w:r>
              <w:rPr>
                <w:sz w:val="18"/>
              </w:rPr>
              <w:t xml:space="preserve">+38.9</w:t>
            </w:r>
          </w:p>
        </w:tc>
        <w:tc>
          <w:tcPr/>
          <w:p>
            <w:pPr>
              <w:pStyle w:val="Compact"/>
              <w:jc w:val="right"/>
            </w:pPr>
            <w:r>
              <w:rPr>
                <w:sz w:val="18"/>
              </w:rPr>
              <w:t xml:space="preserve">0.004</w:t>
            </w:r>
          </w:p>
        </w:tc>
      </w:tr>
      <w:tr>
        <w:tc>
          <w:tcPr/>
          <w:p>
            <w:pPr>
              <w:pStyle w:val="Compact"/>
            </w:pPr>
            <w:r>
              <w:rPr>
                <w:rFonts w:hint="eastAsia"/>
                <w:sz w:val="18"/>
              </w:rPr>
              <w:t xml:space="preserve">追加統制：冬</w:t>
            </w:r>
          </w:p>
        </w:tc>
        <w:tc>
          <w:tcPr/>
          <w:p>
            <w:pPr>
              <w:pStyle w:val="Compact"/>
              <w:jc w:val="right"/>
            </w:pPr>
            <w:r>
              <w:rPr>
                <w:rFonts w:hint="eastAsia"/>
                <w:sz w:val="18"/>
              </w:rPr>
              <w:t xml:space="preserve">3.9（6.6）</w:t>
            </w:r>
          </w:p>
        </w:tc>
        <w:tc>
          <w:tcPr/>
          <w:p>
            <w:pPr>
              <w:pStyle w:val="Compact"/>
              <w:jc w:val="right"/>
            </w:pPr>
            <w:r>
              <w:rPr>
                <w:sz w:val="18"/>
              </w:rPr>
              <w:t xml:space="preserve">1.9</w:t>
            </w:r>
          </w:p>
        </w:tc>
        <w:tc>
          <w:tcPr/>
          <w:p>
            <w:pPr>
              <w:pStyle w:val="Compact"/>
              <w:jc w:val="right"/>
            </w:pPr>
            <w:r>
              <w:rPr>
                <w:sz w:val="18"/>
              </w:rPr>
              <w:t xml:space="preserve">+1.9</w:t>
            </w:r>
          </w:p>
        </w:tc>
        <w:tc>
          <w:tcPr/>
          <w:p>
            <w:pPr>
              <w:pStyle w:val="Compact"/>
              <w:jc w:val="right"/>
            </w:pPr>
            <w:r>
              <w:rPr>
                <w:sz w:val="18"/>
              </w:rPr>
              <w:t xml:space="preserve">0.76</w:t>
            </w:r>
          </w:p>
        </w:tc>
      </w:tr>
      <w:tr>
        <w:tc>
          <w:tcPr/>
          <w:p>
            <w:pPr>
              <w:pStyle w:val="Compact"/>
            </w:pPr>
            <w:r>
              <w:rPr>
                <w:rFonts w:hint="eastAsia"/>
                <w:sz w:val="18"/>
              </w:rPr>
              <w:t xml:space="preserve">追加統制：不需要期</w:t>
            </w:r>
          </w:p>
        </w:tc>
        <w:tc>
          <w:tcPr/>
          <w:p>
            <w:pPr>
              <w:pStyle w:val="Compact"/>
              <w:jc w:val="right"/>
            </w:pPr>
            <w:r>
              <w:rPr>
                <w:rFonts w:hint="eastAsia"/>
                <w:sz w:val="18"/>
              </w:rPr>
              <w:t xml:space="preserve">0.2（5.1）</w:t>
            </w:r>
          </w:p>
        </w:tc>
        <w:tc>
          <w:tcPr/>
          <w:p>
            <w:pPr>
              <w:pStyle w:val="Compact"/>
              <w:jc w:val="right"/>
            </w:pPr>
            <w:r>
              <w:rPr>
                <w:sz w:val="18"/>
              </w:rPr>
              <w:t xml:space="preserve">6.3</w:t>
            </w:r>
          </w:p>
        </w:tc>
        <w:tc>
          <w:tcPr/>
          <w:p>
            <w:pPr>
              <w:pStyle w:val="Compact"/>
              <w:jc w:val="right"/>
            </w:pPr>
            <w:r>
              <w:rPr>
                <w:sz w:val="18"/>
              </w:rPr>
              <w:t xml:space="preserve">−6.2</w:t>
            </w:r>
          </w:p>
        </w:tc>
        <w:tc>
          <w:tcPr/>
          <w:p>
            <w:pPr>
              <w:pStyle w:val="Compact"/>
              <w:jc w:val="right"/>
            </w:pPr>
            <w:r>
              <w:rPr>
                <w:sz w:val="18"/>
              </w:rPr>
              <w:t xml:space="preserve">0.25</w:t>
            </w:r>
          </w:p>
        </w:tc>
      </w:tr>
      <w:tr>
        <w:tc>
          <w:tcPr/>
          <w:p>
            <w:pPr>
              <w:pStyle w:val="Compact"/>
            </w:pPr>
            <w:r>
              <w:rPr>
                <w:rFonts w:hint="eastAsia"/>
                <w:sz w:val="18"/>
              </w:rPr>
              <w:t xml:space="preserve">年月FE：7〜8月</w:t>
            </w:r>
          </w:p>
        </w:tc>
        <w:tc>
          <w:tcPr/>
          <w:p>
            <w:pPr>
              <w:pStyle w:val="Compact"/>
              <w:jc w:val="right"/>
            </w:pPr>
            <w:r>
              <w:rPr>
                <w:rFonts w:hint="eastAsia"/>
                <w:sz w:val="18"/>
              </w:rPr>
              <w:t xml:space="preserve">20.5（18.0）</w:t>
            </w:r>
          </w:p>
        </w:tc>
        <w:tc>
          <w:tcPr/>
          <w:p>
            <w:pPr>
              <w:pStyle w:val="Compact"/>
              <w:jc w:val="right"/>
            </w:pPr>
            <w:r>
              <w:rPr>
                <w:sz w:val="18"/>
              </w:rPr>
              <w:t xml:space="preserve">3.2</w:t>
            </w:r>
          </w:p>
        </w:tc>
        <w:tc>
          <w:tcPr/>
          <w:p>
            <w:pPr>
              <w:pStyle w:val="Compact"/>
              <w:jc w:val="right"/>
            </w:pPr>
            <w:r>
              <w:rPr>
                <w:sz w:val="18"/>
              </w:rPr>
              <w:t xml:space="preserve">+17.3</w:t>
            </w:r>
          </w:p>
        </w:tc>
        <w:tc>
          <w:tcPr/>
          <w:p>
            <w:pPr>
              <w:pStyle w:val="Compact"/>
              <w:jc w:val="right"/>
            </w:pPr>
            <w:r>
              <w:rPr>
                <w:sz w:val="18"/>
              </w:rPr>
              <w:t xml:space="preserve">0.30</w:t>
            </w:r>
          </w:p>
        </w:tc>
      </w:tr>
      <w:tr>
        <w:tc>
          <w:tcPr/>
          <w:p>
            <w:pPr>
              <w:pStyle w:val="Compact"/>
            </w:pPr>
            <w:r>
              <w:rPr>
                <w:rFonts w:hint="eastAsia"/>
                <w:sz w:val="18"/>
              </w:rPr>
              <w:t xml:space="preserve">年月FE：9月</w:t>
            </w:r>
          </w:p>
        </w:tc>
        <w:tc>
          <w:tcPr/>
          <w:p>
            <w:pPr>
              <w:pStyle w:val="Compact"/>
              <w:jc w:val="right"/>
            </w:pPr>
            <w:r>
              <w:rPr>
                <w:rFonts w:hint="eastAsia"/>
                <w:sz w:val="18"/>
              </w:rPr>
              <w:t xml:space="preserve">56.7（21.8）</w:t>
            </w:r>
          </w:p>
        </w:tc>
        <w:tc>
          <w:tcPr/>
          <w:p>
            <w:pPr>
              <w:pStyle w:val="Compact"/>
              <w:jc w:val="right"/>
            </w:pPr>
            <w:r>
              <w:rPr>
                <w:sz w:val="18"/>
              </w:rPr>
              <w:t xml:space="preserve">4.0</w:t>
            </w:r>
          </w:p>
        </w:tc>
        <w:tc>
          <w:tcPr/>
          <w:p>
            <w:pPr>
              <w:pStyle w:val="Compact"/>
              <w:jc w:val="right"/>
            </w:pPr>
            <w:r>
              <w:rPr>
                <w:sz w:val="18"/>
              </w:rPr>
              <w:t xml:space="preserve">+52.7</w:t>
            </w:r>
          </w:p>
        </w:tc>
        <w:tc>
          <w:tcPr/>
          <w:p>
            <w:pPr>
              <w:pStyle w:val="Compact"/>
              <w:jc w:val="right"/>
            </w:pPr>
            <w:r>
              <w:rPr>
                <w:sz w:val="18"/>
              </w:rPr>
              <w:t xml:space="preserve">0.027</w:t>
            </w:r>
          </w:p>
        </w:tc>
      </w:tr>
      <w:tr>
        <w:tc>
          <w:tcPr/>
          <w:p>
            <w:pPr>
              <w:pStyle w:val="Compact"/>
            </w:pPr>
            <w:r>
              <w:rPr>
                <w:rFonts w:hint="eastAsia"/>
                <w:sz w:val="18"/>
              </w:rPr>
              <w:t xml:space="preserve">年月FE：冬</w:t>
            </w:r>
          </w:p>
        </w:tc>
        <w:tc>
          <w:tcPr/>
          <w:p>
            <w:pPr>
              <w:pStyle w:val="Compact"/>
              <w:jc w:val="right"/>
            </w:pPr>
            <w:r>
              <w:rPr>
                <w:rFonts w:hint="eastAsia"/>
                <w:sz w:val="18"/>
              </w:rPr>
              <w:t xml:space="preserve">1.8（5.9）</w:t>
            </w:r>
          </w:p>
        </w:tc>
        <w:tc>
          <w:tcPr/>
          <w:p>
            <w:pPr>
              <w:pStyle w:val="Compact"/>
              <w:jc w:val="right"/>
            </w:pPr>
            <w:r>
              <w:rPr>
                <w:sz w:val="18"/>
              </w:rPr>
              <w:t xml:space="preserve">2.2</w:t>
            </w:r>
          </w:p>
        </w:tc>
        <w:tc>
          <w:tcPr/>
          <w:p>
            <w:pPr>
              <w:pStyle w:val="Compact"/>
              <w:jc w:val="right"/>
            </w:pPr>
            <w:r>
              <w:rPr>
                <w:sz w:val="18"/>
              </w:rPr>
              <w:t xml:space="preserve">−0.4</w:t>
            </w:r>
          </w:p>
        </w:tc>
        <w:tc>
          <w:tcPr/>
          <w:p>
            <w:pPr>
              <w:pStyle w:val="Compact"/>
              <w:jc w:val="right"/>
            </w:pPr>
            <w:r>
              <w:rPr>
                <w:sz w:val="18"/>
              </w:rPr>
              <w:t xml:space="preserve">0.94</w:t>
            </w:r>
          </w:p>
        </w:tc>
      </w:tr>
      <w:tr>
        <w:tc>
          <w:tcPr/>
          <w:p>
            <w:pPr>
              <w:pStyle w:val="Compact"/>
            </w:pPr>
            <w:r>
              <w:rPr>
                <w:rFonts w:hint="eastAsia"/>
                <w:sz w:val="18"/>
              </w:rPr>
              <w:t xml:space="preserve">年月FE：不需要期</w:t>
            </w:r>
          </w:p>
        </w:tc>
        <w:tc>
          <w:tcPr/>
          <w:p>
            <w:pPr>
              <w:pStyle w:val="Compact"/>
              <w:jc w:val="right"/>
            </w:pPr>
            <w:r>
              <w:rPr>
                <w:rFonts w:hint="eastAsia"/>
                <w:sz w:val="18"/>
              </w:rPr>
              <w:t xml:space="preserve">1.1（4.1）</w:t>
            </w:r>
          </w:p>
        </w:tc>
        <w:tc>
          <w:tcPr/>
          <w:p>
            <w:pPr>
              <w:pStyle w:val="Compact"/>
              <w:jc w:val="right"/>
            </w:pPr>
            <w:r>
              <w:rPr>
                <w:sz w:val="18"/>
              </w:rPr>
              <w:t xml:space="preserve">2.9</w:t>
            </w:r>
          </w:p>
        </w:tc>
        <w:tc>
          <w:tcPr/>
          <w:p>
            <w:pPr>
              <w:pStyle w:val="Compact"/>
              <w:jc w:val="right"/>
            </w:pPr>
            <w:r>
              <w:rPr>
                <w:sz w:val="18"/>
              </w:rPr>
              <w:t xml:space="preserve">−1.8</w:t>
            </w:r>
          </w:p>
        </w:tc>
        <w:tc>
          <w:tcPr/>
          <w:p>
            <w:pPr>
              <w:pStyle w:val="Compact"/>
              <w:jc w:val="right"/>
            </w:pPr>
            <w:r>
              <w:rPr>
                <w:sz w:val="18"/>
              </w:rPr>
              <w:t xml:space="preserve">0.68</w:t>
            </w:r>
          </w:p>
        </w:tc>
      </w:tr>
    </w:tbl>
    <w:p>
      <w:pPr>
        <w:pStyle w:val="TableNote"/>
      </w:pPr>
      <w:r>
        <w:rPr>
          <w:rFonts w:hint="eastAsia"/>
        </w:rPr>
        <w:t xml:space="preserve">注）パネルB</w:t>
      </w:r>
      <w:r>
        <w:t xml:space="preserve"> </w:t>
      </w:r>
      <w:r>
        <w:rPr>
          <w:rFonts w:hint="eastAsia"/>
        </w:rPr>
        <w:t xml:space="preserve">の感応度は風力の日内変動（日内帯域の日次標準偏差、GW）に対する</w:t>
      </w:r>
      <w:r>
        <w:t xml:space="preserve"> TB4h </w:t>
      </w:r>
      <w:r>
        <w:rPr>
          <w:rFonts w:hint="eastAsia"/>
        </w:rPr>
        <w:t xml:space="preserve">の係数で、括弧内は実績の標準誤差。推論は</w:t>
      </w:r>
      <w:r>
        <w:t xml:space="preserve"> </w:t>
      </w:r>
      <w:r>
        <w:rPr>
          <w:rFonts w:hint="eastAsia"/>
        </w:rPr>
        <w:t xml:space="preserve">EWC（</w:t>
      </w:r>
      <m:oMath>
        <m:r>
          <m:t>ν</m:t>
        </m:r>
        <m:r>
          <m:rPr>
            <m:sty m:val="p"/>
          </m:rPr>
          <m:t>=</m:t>
        </m:r>
        <m:r>
          <m:t>42</m:t>
        </m:r>
      </m:oMath>
      <w:r>
        <w:rPr>
          <w:rFonts w:hint="eastAsia"/>
        </w:rPr>
        <w:t xml:space="preserve">）。パネルA</w:t>
      </w:r>
      <w:r>
        <w:t xml:space="preserve"> </w:t>
      </w:r>
      <w:r>
        <w:rPr>
          <w:rFonts w:hint="eastAsia"/>
        </w:rPr>
        <w:t xml:space="preserve">の日次</w:t>
      </w:r>
      <w:r>
        <w:t xml:space="preserve"> TB4h </w:t>
      </w:r>
      <w:r>
        <w:rPr>
          <w:rFonts w:hint="eastAsia"/>
        </w:rPr>
        <w:t xml:space="preserve">の実績とモデルの相関は夏0.25、冬0.20、不需要期0.43。追加統制は需要・太陽光の日内標準偏差、前日からの風力の日次発電量の変化の絶対値、風力の日次発電量の2乗を加えた仕様で、さらにシステムプライスの</w:t>
      </w:r>
      <w:r>
        <w:t xml:space="preserve"> TB4h </w:t>
      </w:r>
      <w:r>
        <w:rPr>
          <w:rFonts w:hint="eastAsia"/>
        </w:rPr>
        <w:t xml:space="preserve">を加えると夏の実績32.5、モデル3.2（差の</w:t>
      </w:r>
      <w:r>
        <w:t xml:space="preserve"> </w:t>
      </w:r>
      <w:r>
        <w:rPr>
          <w:rFonts w:hint="eastAsia"/>
        </w:rPr>
        <w:t xml:space="preserve">p=0.007）。</w:t>
      </w:r>
    </w:p>
    <w:p>
      <w:pPr>
        <w:pStyle w:val="TableNote"/>
      </w:pPr>
      <w:r>
        <w:rPr>
          <w:rFonts w:hint="eastAsia"/>
        </w:rPr>
        <w:t xml:space="preserve">出所）表C.5</w:t>
      </w:r>
      <w:r>
        <w:t xml:space="preserve"> </w:t>
      </w:r>
      <w:r>
        <w:rPr>
          <w:rFonts w:hint="eastAsia"/>
        </w:rPr>
        <w:t xml:space="preserve">と同じ。</w:t>
      </w:r>
    </w:p>
    <w:p>
      <w:pPr>
        <w:pStyle w:val="TableCaption"/>
      </w:pPr>
      <w:r>
        <w:rPr>
          <w:rFonts w:hint="eastAsia"/>
        </w:rPr>
        <w:t xml:space="preserve">表C.8</w:t>
      </w:r>
      <w:r>
        <w:t xml:space="preserve">　</w:t>
      </w:r>
      <w:r>
        <w:rPr>
          <w:rFonts w:hint="eastAsia"/>
        </w:rPr>
        <w:t xml:space="preserve">夏の感応度の比による完全予見粗利の増分の補正</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8　夏の感応度の比による完全予見粗利の増分の補正"/>
      </w:tblPr>
      <w:tblGrid>
        <w:gridCol w:w="766"/>
        <w:gridCol w:w="1021"/>
        <w:gridCol w:w="1021"/>
        <w:gridCol w:w="1021"/>
        <w:gridCol w:w="1021"/>
        <w:gridCol w:w="1021"/>
        <w:gridCol w:w="1021"/>
        <w:gridCol w:w="1021"/>
      </w:tblGrid>
      <w:tr>
        <w:trPr>
          <w:tblHeader w:val="on"/>
        </w:trPr>
        <w:tc>
          <w:tcPr>
            <w:tcBorders>
              <w:bottom w:val="single" w:sz="6" w:color="000000"/>
            </w:tcBorders>
          </w:tcPr>
          <w:p>
            <w:pPr>
              <w:pStyle w:val="Compact"/>
            </w:pPr>
            <w:r>
              <w:rPr>
                <w:rFonts w:hint="eastAsia"/>
                <w:sz w:val="18"/>
              </w:rPr>
              <w:t xml:space="preserve">校正</w:t>
            </w:r>
          </w:p>
        </w:tc>
        <w:tc>
          <w:tcPr>
            <w:tcBorders>
              <w:bottom w:val="single" w:sz="6" w:color="000000"/>
            </w:tcBorders>
          </w:tcPr>
          <w:p>
            <w:pPr>
              <w:pStyle w:val="Compact"/>
              <w:jc w:val="right"/>
            </w:pPr>
            <w:r>
              <w:rPr>
                <w:sz w:val="18"/>
              </w:rPr>
              <w:t xml:space="preserve">モデル</w:t>
            </w:r>
          </w:p>
        </w:tc>
        <w:tc>
          <w:tcPr>
            <w:tcBorders>
              <w:bottom w:val="single" w:sz="6" w:color="000000"/>
            </w:tcBorders>
          </w:tcPr>
          <w:p>
            <w:pPr>
              <w:pStyle w:val="Compact"/>
              <w:jc w:val="right"/>
            </w:pPr>
            <w:r>
              <w:rPr>
                <w:rFonts w:hint="eastAsia"/>
                <w:sz w:val="18"/>
              </w:rPr>
              <w:t xml:space="preserve">補正後（比4.73）</w:t>
            </w:r>
          </w:p>
        </w:tc>
        <w:tc>
          <w:tcPr>
            <w:tcBorders>
              <w:bottom w:val="single" w:sz="6" w:color="000000"/>
            </w:tcBorders>
          </w:tcPr>
          <w:p>
            <w:pPr>
              <w:pStyle w:val="Compact"/>
              <w:jc w:val="right"/>
            </w:pPr>
            <w:r>
              <w:rPr>
                <w:rFonts w:hint="eastAsia"/>
                <w:sz w:val="18"/>
              </w:rPr>
              <w:t xml:space="preserve">実績の誤差だけの95%区間</w:t>
            </w:r>
          </w:p>
        </w:tc>
        <w:tc>
          <w:tcPr>
            <w:tcBorders>
              <w:bottom w:val="single" w:sz="6" w:color="000000"/>
            </w:tcBorders>
          </w:tcPr>
          <w:p>
            <w:pPr>
              <w:pStyle w:val="Compact"/>
              <w:jc w:val="right"/>
            </w:pPr>
            <w:r>
              <w:rPr>
                <w:sz w:val="18"/>
              </w:rPr>
              <w:t xml:space="preserve">Fieller </w:t>
            </w:r>
            <w:r>
              <w:rPr>
                <w:rFonts w:hint="eastAsia"/>
                <w:sz w:val="18"/>
              </w:rPr>
              <w:t xml:space="preserve">型の95%区間</w:t>
            </w:r>
          </w:p>
        </w:tc>
        <w:tc>
          <w:tcPr>
            <w:tcBorders>
              <w:bottom w:val="single" w:sz="6" w:color="000000"/>
            </w:tcBorders>
          </w:tcPr>
          <w:p>
            <w:pPr>
              <w:pStyle w:val="Compact"/>
              <w:jc w:val="right"/>
            </w:pPr>
            <w:r>
              <w:rPr>
                <w:rFonts w:hint="eastAsia"/>
                <w:sz w:val="18"/>
              </w:rPr>
              <w:t xml:space="preserve">補正後（追加統制、比10.0）</w:t>
            </w:r>
          </w:p>
        </w:tc>
        <w:tc>
          <w:tcPr>
            <w:tcBorders>
              <w:bottom w:val="single" w:sz="6" w:color="000000"/>
            </w:tcBorders>
          </w:tcPr>
          <w:p>
            <w:pPr>
              <w:pStyle w:val="Compact"/>
              <w:jc w:val="right"/>
            </w:pPr>
            <w:r>
              <w:rPr>
                <w:rFonts w:hint="eastAsia"/>
                <w:sz w:val="18"/>
              </w:rPr>
              <w:t xml:space="preserve">実績の誤差だけの95%区間</w:t>
            </w:r>
          </w:p>
        </w:tc>
        <w:tc>
          <w:tcPr>
            <w:tcBorders>
              <w:bottom w:val="single" w:sz="6" w:color="000000"/>
            </w:tcBorders>
          </w:tcPr>
          <w:p>
            <w:pPr>
              <w:pStyle w:val="Compact"/>
              <w:jc w:val="right"/>
            </w:pPr>
            <w:r>
              <w:rPr>
                <w:sz w:val="18"/>
              </w:rPr>
              <w:t xml:space="preserve">Fieller </w:t>
            </w:r>
            <w:r>
              <w:rPr>
                <w:rFonts w:hint="eastAsia"/>
                <w:sz w:val="18"/>
              </w:rPr>
              <w:t xml:space="preserve">型の95%区間</w:t>
            </w:r>
          </w:p>
        </w:tc>
      </w:tr>
      <w:tr>
        <w:tc>
          <w:tcPr/>
          <w:p>
            <w:pPr>
              <w:pStyle w:val="Compact"/>
            </w:pPr>
            <w:r>
              <w:rPr>
                <w:rFonts w:hint="eastAsia"/>
                <w:sz w:val="18"/>
              </w:rPr>
              <w:t xml:space="preserve">下限</w:t>
            </w:r>
          </w:p>
        </w:tc>
        <w:tc>
          <w:tcPr/>
          <w:p>
            <w:pPr>
              <w:pStyle w:val="Compact"/>
              <w:jc w:val="right"/>
            </w:pPr>
            <w:r>
              <w:rPr>
                <w:sz w:val="18"/>
              </w:rPr>
              <w:t xml:space="preserve">+2.4%</w:t>
            </w:r>
          </w:p>
        </w:tc>
        <w:tc>
          <w:tcPr/>
          <w:p>
            <w:pPr>
              <w:pStyle w:val="Compact"/>
              <w:jc w:val="right"/>
            </w:pPr>
            <w:r>
              <w:rPr>
                <w:sz w:val="18"/>
              </w:rPr>
              <w:t xml:space="preserve">+3.3%</w:t>
            </w:r>
          </w:p>
        </w:tc>
        <w:tc>
          <w:tcPr/>
          <w:p>
            <w:pPr>
              <w:pStyle w:val="Compact"/>
              <w:jc w:val="right"/>
            </w:pPr>
            <w:r>
              <w:rPr>
                <w:sz w:val="18"/>
              </w:rPr>
              <w:t xml:space="preserve">[2.6, 4.0]</w:t>
            </w:r>
          </w:p>
        </w:tc>
        <w:tc>
          <w:tcPr/>
          <w:p>
            <w:pPr>
              <w:pStyle w:val="Compact"/>
              <w:jc w:val="right"/>
            </w:pPr>
            <w:r>
              <w:rPr>
                <w:sz w:val="18"/>
              </w:rPr>
              <w:t xml:space="preserve">[2.6, 9.6]</w:t>
            </w:r>
          </w:p>
        </w:tc>
        <w:tc>
          <w:tcPr/>
          <w:p>
            <w:pPr>
              <w:pStyle w:val="Compact"/>
              <w:jc w:val="right"/>
            </w:pPr>
            <w:r>
              <w:rPr>
                <w:sz w:val="18"/>
              </w:rPr>
              <w:t xml:space="preserve">+4.7%</w:t>
            </w:r>
          </w:p>
        </w:tc>
        <w:tc>
          <w:tcPr/>
          <w:p>
            <w:pPr>
              <w:pStyle w:val="Compact"/>
              <w:jc w:val="right"/>
            </w:pPr>
            <w:r>
              <w:rPr>
                <w:sz w:val="18"/>
              </w:rPr>
              <w:t xml:space="preserve">[3.1, 6.3]</w:t>
            </w:r>
          </w:p>
        </w:tc>
        <w:tc>
          <w:tcPr/>
          <w:p>
            <w:pPr>
              <w:pStyle w:val="Compact"/>
              <w:jc w:val="right"/>
            </w:pPr>
            <w:r>
              <w:rPr>
                <w:rFonts w:hint="eastAsia"/>
                <w:sz w:val="18"/>
              </w:rPr>
              <w:t xml:space="preserve">有界でない</w:t>
            </w:r>
          </w:p>
        </w:tc>
      </w:tr>
      <w:tr>
        <w:tc>
          <w:tcPr/>
          <w:p>
            <w:pPr>
              <w:pStyle w:val="Compact"/>
            </w:pPr>
            <w:r>
              <w:rPr>
                <w:rFonts w:hint="eastAsia"/>
                <w:sz w:val="18"/>
              </w:rPr>
              <w:t xml:space="preserve">中央</w:t>
            </w:r>
          </w:p>
        </w:tc>
        <w:tc>
          <w:tcPr/>
          <w:p>
            <w:pPr>
              <w:pStyle w:val="Compact"/>
              <w:jc w:val="right"/>
            </w:pPr>
            <w:r>
              <w:rPr>
                <w:sz w:val="18"/>
              </w:rPr>
              <w:t xml:space="preserve">+4.5%</w:t>
            </w:r>
          </w:p>
        </w:tc>
        <w:tc>
          <w:tcPr/>
          <w:p>
            <w:pPr>
              <w:pStyle w:val="Compact"/>
              <w:jc w:val="right"/>
            </w:pPr>
            <w:r>
              <w:rPr>
                <w:sz w:val="18"/>
              </w:rPr>
              <w:t xml:space="preserve">+6.7%</w:t>
            </w:r>
          </w:p>
        </w:tc>
        <w:tc>
          <w:tcPr/>
          <w:p>
            <w:pPr>
              <w:pStyle w:val="Compact"/>
              <w:jc w:val="right"/>
            </w:pPr>
            <w:r>
              <w:rPr>
                <w:sz w:val="18"/>
              </w:rPr>
              <w:t xml:space="preserve">[5.1, 8.3]</w:t>
            </w:r>
          </w:p>
        </w:tc>
        <w:tc>
          <w:tcPr/>
          <w:p>
            <w:pPr>
              <w:pStyle w:val="Compact"/>
              <w:jc w:val="right"/>
            </w:pPr>
            <w:r>
              <w:rPr>
                <w:sz w:val="18"/>
              </w:rPr>
              <w:t xml:space="preserve">[5.1, 20.9]</w:t>
            </w:r>
          </w:p>
        </w:tc>
        <w:tc>
          <w:tcPr/>
          <w:p>
            <w:pPr>
              <w:pStyle w:val="Compact"/>
              <w:jc w:val="right"/>
            </w:pPr>
            <w:r>
              <w:rPr>
                <w:sz w:val="18"/>
              </w:rPr>
              <w:t xml:space="preserve">+9.7%</w:t>
            </w:r>
          </w:p>
        </w:tc>
        <w:tc>
          <w:tcPr/>
          <w:p>
            <w:pPr>
              <w:pStyle w:val="Compact"/>
              <w:jc w:val="right"/>
            </w:pPr>
            <w:r>
              <w:rPr>
                <w:sz w:val="18"/>
              </w:rPr>
              <w:t xml:space="preserve">[6.1, 13.3]</w:t>
            </w:r>
          </w:p>
        </w:tc>
        <w:tc>
          <w:tcPr/>
          <w:p>
            <w:pPr>
              <w:pStyle w:val="Compact"/>
              <w:jc w:val="right"/>
            </w:pPr>
            <w:r>
              <w:rPr>
                <w:rFonts w:hint="eastAsia"/>
                <w:sz w:val="18"/>
              </w:rPr>
              <w:t xml:space="preserve">有界でない</w:t>
            </w:r>
          </w:p>
        </w:tc>
      </w:tr>
      <w:tr>
        <w:tc>
          <w:tcPr/>
          <w:p>
            <w:pPr>
              <w:pStyle w:val="Compact"/>
            </w:pPr>
            <w:r>
              <w:rPr>
                <w:rFonts w:hint="eastAsia"/>
                <w:sz w:val="18"/>
              </w:rPr>
              <w:t xml:space="preserve">上限</w:t>
            </w:r>
          </w:p>
        </w:tc>
        <w:tc>
          <w:tcPr/>
          <w:p>
            <w:pPr>
              <w:pStyle w:val="Compact"/>
              <w:jc w:val="right"/>
            </w:pPr>
            <w:r>
              <w:rPr>
                <w:sz w:val="18"/>
              </w:rPr>
              <w:t xml:space="preserve">+18.8%</w:t>
            </w:r>
          </w:p>
        </w:tc>
        <w:tc>
          <w:tcPr/>
          <w:p>
            <w:pPr>
              <w:pStyle w:val="Compact"/>
              <w:jc w:val="right"/>
            </w:pPr>
            <w:r>
              <w:rPr>
                <w:sz w:val="18"/>
              </w:rPr>
              <w:t xml:space="preserve">+32.5%</w:t>
            </w:r>
          </w:p>
        </w:tc>
        <w:tc>
          <w:tcPr/>
          <w:p>
            <w:pPr>
              <w:pStyle w:val="Compact"/>
              <w:jc w:val="right"/>
            </w:pPr>
            <w:r>
              <w:rPr>
                <w:sz w:val="18"/>
              </w:rPr>
              <w:t xml:space="preserve">[22.4, 42.6]</w:t>
            </w:r>
          </w:p>
        </w:tc>
        <w:tc>
          <w:tcPr/>
          <w:p>
            <w:pPr>
              <w:pStyle w:val="Compact"/>
              <w:jc w:val="right"/>
            </w:pPr>
            <w:r>
              <w:rPr>
                <w:sz w:val="18"/>
              </w:rPr>
              <w:t xml:space="preserve">[22.1, 123.1]</w:t>
            </w:r>
          </w:p>
        </w:tc>
        <w:tc>
          <w:tcPr/>
          <w:p>
            <w:pPr>
              <w:pStyle w:val="Compact"/>
              <w:jc w:val="right"/>
            </w:pPr>
            <w:r>
              <w:rPr>
                <w:sz w:val="18"/>
              </w:rPr>
              <w:t xml:space="preserve">+51.8%</w:t>
            </w:r>
          </w:p>
        </w:tc>
        <w:tc>
          <w:tcPr/>
          <w:p>
            <w:pPr>
              <w:pStyle w:val="Compact"/>
              <w:jc w:val="right"/>
            </w:pPr>
            <w:r>
              <w:rPr>
                <w:sz w:val="18"/>
              </w:rPr>
              <w:t xml:space="preserve">[28.9, 74.8]</w:t>
            </w:r>
          </w:p>
        </w:tc>
        <w:tc>
          <w:tcPr/>
          <w:p>
            <w:pPr>
              <w:pStyle w:val="Compact"/>
              <w:jc w:val="right"/>
            </w:pPr>
            <w:r>
              <w:rPr>
                <w:rFonts w:hint="eastAsia"/>
                <w:sz w:val="18"/>
              </w:rPr>
              <w:t xml:space="preserve">有界でない</w:t>
            </w:r>
          </w:p>
        </w:tc>
      </w:tr>
    </w:tbl>
    <w:p>
      <w:pPr>
        <w:pStyle w:val="TableNote"/>
      </w:pPr>
      <w:r>
        <w:rPr>
          <w:rFonts w:hint="eastAsia"/>
        </w:rPr>
        <w:t xml:space="preserve">注）確率成分の一様な増幅の、実フリートに対する完全予見粗利の変化率。比は夏の感応度の比（実績÷モデル）。季節別の感応度の比は、年度・季節FE</w:t>
      </w:r>
      <w:r>
        <w:t xml:space="preserve"> </w:t>
      </w:r>
      <w:r>
        <w:rPr>
          <w:rFonts w:hint="eastAsia"/>
        </w:rPr>
        <w:t xml:space="preserve">で夏4.73［1.97,</w:t>
      </w:r>
      <w:r>
        <w:t xml:space="preserve"> </w:t>
      </w:r>
      <w:r>
        <w:rPr>
          <w:rFonts w:hint="eastAsia"/>
        </w:rPr>
        <w:t xml:space="preserve">7.48］（Fieller</w:t>
      </w:r>
      <w:r>
        <w:t xml:space="preserve"> </w:t>
      </w:r>
      <w:r>
        <w:rPr>
          <w:rFonts w:hint="eastAsia"/>
        </w:rPr>
        <w:t xml:space="preserve">型［1.91,</w:t>
      </w:r>
      <w:r>
        <w:t xml:space="preserve"> </w:t>
      </w:r>
      <w:r>
        <w:rPr>
          <w:rFonts w:hint="eastAsia"/>
        </w:rPr>
        <w:t xml:space="preserve">29.4］）、冬2.98［−5.21,</w:t>
      </w:r>
      <w:r>
        <w:t xml:space="preserve"> </w:t>
      </w:r>
      <w:r>
        <w:rPr>
          <w:rFonts w:hint="eastAsia"/>
        </w:rPr>
        <w:t xml:space="preserve">11.17］（Fieller</w:t>
      </w:r>
      <w:r>
        <w:t xml:space="preserve"> </w:t>
      </w:r>
      <w:r>
        <w:rPr>
          <w:rFonts w:hint="eastAsia"/>
        </w:rPr>
        <w:t xml:space="preserve">型の区間は有界でない）、不需要期0.33［−0.59,</w:t>
      </w:r>
      <w:r>
        <w:t xml:space="preserve"> </w:t>
      </w:r>
      <w:r>
        <w:rPr>
          <w:rFonts w:hint="eastAsia"/>
        </w:rPr>
        <w:t xml:space="preserve">1.25］（Fieller</w:t>
      </w:r>
      <w:r>
        <w:t xml:space="preserve"> </w:t>
      </w:r>
      <w:r>
        <w:rPr>
          <w:rFonts w:hint="eastAsia"/>
        </w:rPr>
        <w:t xml:space="preserve">型［−0.97,</w:t>
      </w:r>
      <w:r>
        <w:t xml:space="preserve"> </w:t>
      </w:r>
      <w:r>
        <w:rPr>
          <w:rFonts w:hint="eastAsia"/>
        </w:rPr>
        <w:t xml:space="preserve">1.24］）、追加統制で夏10.0［3.75,</w:t>
      </w:r>
      <w:r>
        <w:t xml:space="preserve"> </w:t>
      </w:r>
      <w:r>
        <w:rPr>
          <w:rFonts w:hint="eastAsia"/>
        </w:rPr>
        <w:t xml:space="preserve">16.25］、冬2.0、不需要期0.03。冬の比の区間が広いので、全季節を補正する版は上限で+39.0%［−30.8,</w:t>
      </w:r>
      <w:r>
        <w:t xml:space="preserve"> </w:t>
      </w:r>
      <w:r>
        <w:rPr>
          <w:rFonts w:hint="eastAsia"/>
        </w:rPr>
        <w:t xml:space="preserve">+108.8］と情報が少ない。</w:t>
      </w:r>
    </w:p>
    <w:p>
      <w:pPr>
        <w:pStyle w:val="TableNote"/>
      </w:pPr>
      <w:r>
        <w:rPr>
          <w:rFonts w:hint="eastAsia"/>
        </w:rPr>
        <w:t xml:space="preserve">出所）表C.5</w:t>
      </w:r>
      <w:r>
        <w:t xml:space="preserve"> </w:t>
      </w:r>
      <w:r>
        <w:rPr>
          <w:rFonts w:hint="eastAsia"/>
        </w:rPr>
        <w:t xml:space="preserve">と同じ。</w:t>
      </w:r>
    </w:p>
    <w:bookmarkEnd w:id="357"/>
    <w:bookmarkStart w:id="358" w:name="c.1.5-主成分分解の補足"/>
    <w:p>
      <w:pPr>
        <w:pStyle w:val="Heading3"/>
      </w:pPr>
      <w:r>
        <w:t xml:space="preserve">C.1.5　</w:t>
      </w:r>
      <w:r>
        <w:rPr>
          <w:rFonts w:hint="eastAsia"/>
        </w:rPr>
        <w:t xml:space="preserve">主成分分解の補足</w:t>
      </w:r>
    </w:p>
    <w:p>
      <w:pPr>
        <w:pStyle w:val="FirstParagraph"/>
      </w:pPr>
      <w:r>
        <w:rPr>
          <w:rFonts w:hint="eastAsia"/>
          <w:b/>
          <w:bCs/>
        </w:rPr>
        <w:t xml:space="preserve">寄与率と負荷の安定性</w:t>
      </w:r>
      <w:r>
        <w:t xml:space="preserve">　</w:t>
      </w:r>
      <w:r>
        <w:rPr>
          <w:rFonts w:hint="eastAsia"/>
        </w:rPr>
        <w:t xml:space="preserve">2021年1月の31日を除くと、第1〜第3主成分の寄与率は63.5%・12.9%・8.4%になる。相関行列による主成分分析では第1主成分が73.4%→58.8%、年度×季節のセル内で標準化した主成分分析では55.3%→54.7%である。負荷の形は安定しており、全標本との余弦は0.986・0.960・0.957</w:t>
      </w:r>
      <w:r>
        <w:t xml:space="preserve"> </w:t>
      </w:r>
      <w:r>
        <w:rPr>
          <w:rFonts w:hint="eastAsia"/>
        </w:rPr>
        <w:t xml:space="preserve">だが、第2主成分の負荷の和は−0.599</w:t>
      </w:r>
      <w:r>
        <w:t xml:space="preserve"> から+0.159 </w:t>
      </w:r>
      <w:r>
        <w:rPr>
          <w:rFonts w:hint="eastAsia"/>
        </w:rPr>
        <w:t xml:space="preserve">へ符号が変わる。第1主成分の負荷は夕方に偏る（18時0.32、3時0.08）。第2主成分の負荷の平均は、夜（0〜5時）0.04、夕方（17〜19時）0.26、昼（11〜13時）−0.35</w:t>
      </w:r>
      <w:r>
        <w:t xml:space="preserve"> である。FY2023〜25 </w:t>
      </w:r>
      <w:r>
        <w:rPr>
          <w:rFonts w:hint="eastAsia"/>
        </w:rPr>
        <w:t xml:space="preserve">の第3主成分の寄与率は7.1%で、この期間の第1主成分の負荷は昼にも乗る（12時0.23、18時0.21）。年度別に見ると、第2主成分の寄与率は</w:t>
      </w:r>
      <w:r>
        <w:t xml:space="preserve"> FY2016〜19 の9〜16%から FY2023〜25 </w:t>
      </w:r>
      <w:r>
        <w:rPr>
          <w:rFonts w:hint="eastAsia"/>
        </w:rPr>
        <w:t xml:space="preserve">の14〜18%へ高まっているが、年度ごとの振れが大きく、傾向とまではいえない。日次変化を分解しても、第1主成分54.2%（FY2023〜25</w:t>
      </w:r>
      <w:r>
        <w:t xml:space="preserve"> </w:t>
      </w:r>
      <w:r>
        <w:rPr>
          <w:rFonts w:hint="eastAsia"/>
        </w:rPr>
        <w:t xml:space="preserve">は47.6%）、第2主成分15.4%（同18.4%）と順序は変わらない。</w:t>
      </w:r>
    </w:p>
    <w:p>
      <w:pPr>
        <w:pStyle w:val="BodyText"/>
      </w:pPr>
      <w:r>
        <w:rPr>
          <w:rFonts w:hint="eastAsia"/>
          <w:b/>
          <w:bCs/>
        </w:rPr>
        <w:t xml:space="preserve">因子スコアの回帰</w:t>
      </w:r>
      <w:r>
        <w:t xml:space="preserve">　</w:t>
      </w:r>
      <w:r>
        <w:rPr>
          <w:rFonts w:hint="eastAsia"/>
        </w:rPr>
        <w:t xml:space="preserve">因子スコアを式(5.2)の右辺に回帰すると（EWC。FY2016〜25</w:t>
      </w:r>
      <w:r>
        <w:t xml:space="preserve"> は</w:t>
      </w:r>
      <w:r>
        <w:t xml:space="preserve"> </w:t>
      </w:r>
      <m:oMath>
        <m:r>
          <m:t>ν</m:t>
        </m:r>
        <m:r>
          <m:rPr>
            <m:sty m:val="p"/>
          </m:rPr>
          <m:t>=</m:t>
        </m:r>
        <m:r>
          <m:t>94</m:t>
        </m:r>
      </m:oMath>
      <w:r>
        <w:t xml:space="preserve">、FY2023〜25 は</w:t>
      </w:r>
      <w:r>
        <w:t xml:space="preserve"> </w:t>
      </w:r>
      <m:oMath>
        <m:r>
          <m:t>ν</m:t>
        </m:r>
        <m:r>
          <m:rPr>
            <m:sty m:val="p"/>
          </m:rPr>
          <m:t>=</m:t>
        </m:r>
        <m:r>
          <m:t>42</m:t>
        </m:r>
      </m:oMath>
      <w:r>
        <w:rPr>
          <w:rFonts w:hint="eastAsia"/>
        </w:rPr>
        <w:t xml:space="preserve">）、第1主成分の係数は風力−1.16〜−1.80、太陽光−1.74〜−3.92</w:t>
      </w:r>
      <w:r>
        <w:t xml:space="preserve"> </w:t>
      </w:r>
      <w:r>
        <w:rPr>
          <w:rFonts w:hint="eastAsia"/>
        </w:rPr>
        <w:t xml:space="preserve">である。太陽光・冬の−3.92</w:t>
      </w:r>
      <w:r>
        <w:t xml:space="preserve"> は p=0.047 </w:t>
      </w:r>
      <w:r>
        <w:rPr>
          <w:rFonts w:hint="eastAsia"/>
        </w:rPr>
        <w:t xml:space="preserve">で、2021年1月を除いた主成分では−2.35（1%水準で有意）である。第2主成分の太陽光の係数は+0.66〜+1.20、風力の係数は不需要期+0.46（1%水準）、夏+0.36（10%水準、EWC</w:t>
      </w:r>
      <w:r>
        <w:t xml:space="preserve"> の </w:t>
      </w:r>
      <w:r>
        <w:rPr>
          <w:rFonts w:hint="eastAsia"/>
        </w:rPr>
        <w:t xml:space="preserve">p=0.071）である。平均を0にした負荷による非一様な部分で見ると、風力は</w:t>
      </w:r>
      <w:r>
        <w:t xml:space="preserve"> FY2016〜25 </w:t>
      </w:r>
      <w:r>
        <w:rPr>
          <w:rFonts w:hint="eastAsia"/>
        </w:rPr>
        <w:t xml:space="preserve">で夏+0.21（p=0.32）、冬−0.15（0.36）、不需要期+0.25（0.009）、2021年1月を除いた主成分では+0.22、−0.01、+0.31（0.001）、FY2023〜25</w:t>
      </w:r>
      <w:r>
        <w:t xml:space="preserve"> </w:t>
      </w:r>
      <w:r>
        <w:rPr>
          <w:rFonts w:hint="eastAsia"/>
        </w:rPr>
        <w:t xml:space="preserve">の主成分では+0.19（0.31）、+0.06（0.55）、+0.21（0.070）である。不需要期の15時前後の小さな非一様な効果（+0.21〜+0.31）は、両期間に共通である。FY2023〜25</w:t>
      </w:r>
      <w:r>
        <w:t xml:space="preserve"> </w:t>
      </w:r>
      <w:r>
        <w:rPr>
          <w:rFonts w:hint="eastAsia"/>
        </w:rPr>
        <w:t xml:space="preserve">の主成分で測り直すと、太陽光の第2主成分への効果は+0.70〜+0.78（5%以上の水準で有意。冬は</w:t>
      </w:r>
      <w:r>
        <w:t xml:space="preserve"> </w:t>
      </w:r>
      <w:r>
        <w:rPr>
          <w:rFonts w:hint="eastAsia"/>
        </w:rPr>
        <w:t xml:space="preserve">p=0.047。年度内1標準偏差あたり0.23〜0.35標準偏差）である。</w:t>
      </w:r>
    </w:p>
    <w:p>
      <w:pPr>
        <w:pStyle w:val="BodyText"/>
      </w:pPr>
      <w:r>
        <w:rPr>
          <w:rFonts w:hint="eastAsia"/>
          <w:b/>
          <w:bCs/>
        </w:rPr>
        <w:t xml:space="preserve">時刻別係数の形の検定の補足</w:t>
      </w:r>
      <w:r>
        <w:t xml:space="preserve">　FY2016〜25 </w:t>
      </w:r>
      <w:r>
        <w:rPr>
          <w:rFonts w:hint="eastAsia"/>
        </w:rPr>
        <w:t xml:space="preserve">の風力の平行シフトの検定は、縮約検定で夏・冬・不需要期の</w:t>
      </w:r>
      <w:r>
        <w:t xml:space="preserve"> p=0.017・0.003・&lt;0.001、ブロック・ブートストラップで p=0.013・0.007・0.003 </w:t>
      </w:r>
      <w:r>
        <w:rPr>
          <w:rFonts w:hint="eastAsia"/>
        </w:rPr>
        <w:t xml:space="preserve">である。冬の風力の係数は1〜2時の−0.21</w:t>
      </w:r>
      <w:r>
        <w:t xml:space="preserve"> </w:t>
      </w:r>
      <w:r>
        <w:rPr>
          <w:rFonts w:hint="eastAsia"/>
        </w:rPr>
        <w:t xml:space="preserve">から17時の−0.63</w:t>
      </w:r>
      <w:r>
        <w:t xml:space="preserve"> </w:t>
      </w:r>
      <w:r>
        <w:rPr>
          <w:rFonts w:hint="eastAsia"/>
        </w:rPr>
        <w:t xml:space="preserve">まで開く。冬の比例シフトは、縮約検定（p=0.020）、23制約の検定（p=0.044）、ブロック・ブートストラップ（p=0.017）のいずれでも棄却され、2021年1月を除くと縮約検定0.030、23制約0.052</w:t>
      </w:r>
      <w:r>
        <w:t xml:space="preserve"> </w:t>
      </w:r>
      <w:r>
        <w:rPr>
          <w:rFonts w:hint="eastAsia"/>
        </w:rPr>
        <w:t xml:space="preserve">で境界である。FY2023〜25</w:t>
      </w:r>
      <w:r>
        <w:t xml:space="preserve"> </w:t>
      </w:r>
      <w:r>
        <w:rPr>
          <w:rFonts w:hint="eastAsia"/>
        </w:rPr>
        <w:t xml:space="preserve">の風力の時刻別係数は−0.07〜−0.45円/kWh</w:t>
      </w:r>
      <w:r>
        <w:t xml:space="preserve"> per </w:t>
      </w:r>
      <w:r>
        <w:rPr>
          <w:rFonts w:hint="eastAsia"/>
        </w:rPr>
        <w:t xml:space="preserve">GWh/日で、夏の平行シフトはブロック・ブートストラップでも棄却できない（p=0.26）。</w:t>
      </w:r>
    </w:p>
    <w:p>
      <w:pPr>
        <w:pStyle w:val="BodyText"/>
      </w:pPr>
      <w:r>
        <w:rPr>
          <w:rFonts w:hint="eastAsia"/>
          <w:b/>
          <w:bCs/>
        </w:rPr>
        <w:t xml:space="preserve">コントラストの補足</w:t>
      </w:r>
      <w:r>
        <w:t xml:space="preserve">　</w:t>
      </w:r>
      <w:r>
        <w:rPr>
          <w:rFonts w:hint="eastAsia"/>
        </w:rPr>
        <w:t xml:space="preserve">風力の夕方−昼のコントラストは、FY2016〜25</w:t>
      </w:r>
      <w:r>
        <w:t xml:space="preserve"> </w:t>
      </w:r>
      <w:r>
        <w:rPr>
          <w:rFonts w:hint="eastAsia"/>
        </w:rPr>
        <w:t xml:space="preserve">の冬で−0.26（EWC</w:t>
      </w:r>
      <w:r>
        <w:t xml:space="preserve"> の </w:t>
      </w:r>
      <w:r>
        <w:rPr>
          <w:rFonts w:hint="eastAsia"/>
        </w:rPr>
        <w:t xml:space="preserve">p=0.075、補正</w:t>
      </w:r>
      <w:r>
        <w:t xml:space="preserve"> p </w:t>
      </w:r>
      <w:r>
        <w:rPr>
          <w:rFonts w:hint="eastAsia"/>
        </w:rPr>
        <w:t xml:space="preserve">値0.14）、2021年1月を除くと−0.18（p=0.15）である。夕方−夜は、FY2016〜25</w:t>
      </w:r>
      <w:r>
        <w:t xml:space="preserve"> </w:t>
      </w:r>
      <w:r>
        <w:rPr>
          <w:rFonts w:hint="eastAsia"/>
        </w:rPr>
        <w:t xml:space="preserve">の冬−0.35（EWC</w:t>
      </w:r>
      <w:r>
        <w:t xml:space="preserve"> の </w:t>
      </w:r>
      <w:r>
        <w:rPr>
          <w:rFonts w:hint="eastAsia"/>
        </w:rPr>
        <w:t xml:space="preserve">p=0.022）、不需要期−0.21（0.009）、FY2023〜25</w:t>
      </w:r>
      <w:r>
        <w:t xml:space="preserve"> </w:t>
      </w:r>
      <w:r>
        <w:rPr>
          <w:rFonts w:hint="eastAsia"/>
        </w:rPr>
        <w:t xml:space="preserve">の不需要期−0.13（0.011）で、2021年1月を除いても冬−0.22（0.022）、不需要期−0.20（0.005）である。FY2023〜25</w:t>
      </w:r>
      <w:r>
        <w:t xml:space="preserve"> </w:t>
      </w:r>
      <w:r>
        <w:rPr>
          <w:rFonts w:hint="eastAsia"/>
        </w:rPr>
        <w:t xml:space="preserve">の冬の最安4時間のうち0〜5時は平均0.6時間である（付録C.2.5）。FY2023〜25</w:t>
      </w:r>
      <w:r>
        <w:t xml:space="preserve"> </w:t>
      </w:r>
      <w:r>
        <w:rPr>
          <w:rFonts w:hint="eastAsia"/>
        </w:rPr>
        <w:t xml:space="preserve">の太陽光の夕方−昼は冬に+0.57（EWC</w:t>
      </w:r>
      <w:r>
        <w:t xml:space="preserve"> の </w:t>
      </w:r>
      <w:r>
        <w:rPr>
          <w:rFonts w:hint="eastAsia"/>
        </w:rPr>
        <w:t xml:space="preserve">p=0.011）で、太陽光が夕方−夜の差を動かす証拠はない（−0.02〜+0.06）。</w:t>
      </w:r>
    </w:p>
    <w:p>
      <w:pPr>
        <w:pStyle w:val="BodyText"/>
      </w:pPr>
      <w:r>
        <w:rPr>
          <w:b/>
          <w:bCs/>
        </w:rPr>
        <w:t xml:space="preserve">TB4h </w:t>
      </w:r>
      <w:r>
        <w:rPr>
          <w:rFonts w:hint="eastAsia"/>
          <w:b/>
          <w:bCs/>
        </w:rPr>
        <w:t xml:space="preserve">の経路分解の補足</w:t>
      </w:r>
      <w:r>
        <w:t xml:space="preserve">　</w:t>
      </w:r>
      <w:r>
        <w:rPr>
          <w:rFonts w:hint="eastAsia"/>
        </w:rPr>
        <w:t xml:space="preserve">2021年1月を除くと、風力・冬の</w:t>
      </w:r>
      <w:r>
        <w:t xml:space="preserve"> TB4h </w:t>
      </w:r>
      <w:r>
        <w:rPr>
          <w:rFonts w:hint="eastAsia"/>
        </w:rPr>
        <w:t xml:space="preserve">の係数は−0.232＝−0.346（水準）＋0.046（形状）＋0.068（残差）である。FY2023〜25</w:t>
      </w:r>
      <w:r>
        <w:t xml:space="preserve"> </w:t>
      </w:r>
      <w:r>
        <w:rPr>
          <w:rFonts w:hint="eastAsia"/>
        </w:rPr>
        <w:t xml:space="preserve">の風力の</w:t>
      </w:r>
      <w:r>
        <w:t xml:space="preserve"> TB4h </w:t>
      </w:r>
      <w:r>
        <w:rPr>
          <w:rFonts w:hint="eastAsia"/>
        </w:rPr>
        <w:t xml:space="preserve">への係数（−0.11〜+0.09）のうち、形状を経由する部分は−0.02〜+0.06</w:t>
      </w:r>
      <w:r>
        <w:t xml:space="preserve"> である。</w:t>
      </w:r>
    </w:p>
    <w:p>
      <w:pPr>
        <w:pStyle w:val="BodyText"/>
      </w:pPr>
      <w:r>
        <w:rPr>
          <w:rFonts w:hint="eastAsia"/>
        </w:rPr>
        <w:t xml:space="preserve">表C.9</w:t>
      </w:r>
      <w:r>
        <w:t xml:space="preserve"> </w:t>
      </w:r>
      <w:r>
        <w:rPr>
          <w:rFonts w:hint="eastAsia"/>
        </w:rPr>
        <w:t xml:space="preserve">は、本文5.7.2項の時刻別係数ベクトルの形を要約したものである。係数そのものと95%帯は本文の図5.7</w:t>
      </w:r>
      <w:r>
        <w:t xml:space="preserve"> </w:t>
      </w:r>
      <w:r>
        <w:rPr>
          <w:rFonts w:hint="eastAsia"/>
        </w:rPr>
        <w:t xml:space="preserve">の中段・下段に示す。</w:t>
      </w:r>
    </w:p>
    <w:p>
      <w:pPr>
        <w:pStyle w:val="TableCaption"/>
      </w:pPr>
      <w:r>
        <w:rPr>
          <w:rFonts w:hint="eastAsia"/>
        </w:rPr>
        <w:t xml:space="preserve">表C.9</w:t>
      </w:r>
      <w:r>
        <w:t xml:space="preserve">　</w:t>
      </w:r>
      <w:r>
        <w:rPr>
          <w:rFonts w:hint="eastAsia"/>
        </w:rPr>
        <w:t xml:space="preserve">風力・太陽光の時刻別係数ベクトルの形（北海道）</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9　風力・太陽光の時刻別係数ベクトルの形（北海道）"/>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標本・係数</w:t>
            </w:r>
          </w:p>
        </w:tc>
        <w:tc>
          <w:tcPr>
            <w:tcBorders>
              <w:bottom w:val="single" w:sz="6" w:color="000000"/>
            </w:tcBorders>
          </w:tcPr>
          <w:p>
            <w:pPr>
              <w:pStyle w:val="Compact"/>
              <w:jc w:val="right"/>
            </w:pPr>
            <w:r>
              <w:rPr>
                <w:rFonts w:hint="eastAsia"/>
                <w:sz w:val="18"/>
              </w:rPr>
              <w:t xml:space="preserve">時刻別係数の範囲</w:t>
            </w:r>
          </w:p>
        </w:tc>
        <w:tc>
          <w:tcPr>
            <w:tcBorders>
              <w:bottom w:val="single" w:sz="6" w:color="000000"/>
            </w:tcBorders>
          </w:tcPr>
          <w:p>
            <w:pPr>
              <w:pStyle w:val="Compact"/>
              <w:jc w:val="right"/>
            </w:pPr>
            <w:r>
              <w:rPr>
                <w:rFonts w:hint="eastAsia"/>
                <w:sz w:val="18"/>
              </w:rPr>
              <w:t xml:space="preserve">変動係数</w:t>
            </w:r>
          </w:p>
        </w:tc>
        <w:tc>
          <w:tcPr>
            <w:tcBorders>
              <w:bottom w:val="single" w:sz="6" w:color="000000"/>
            </w:tcBorders>
          </w:tcPr>
          <w:p>
            <w:pPr>
              <w:pStyle w:val="Compact"/>
              <w:jc w:val="right"/>
            </w:pPr>
            <w:r>
              <w:rPr>
                <w:rFonts w:hint="eastAsia"/>
                <w:sz w:val="18"/>
              </w:rPr>
              <w:t xml:space="preserve">夕方−昼</w:t>
            </w:r>
          </w:p>
        </w:tc>
        <w:tc>
          <w:tcPr>
            <w:tcBorders>
              <w:bottom w:val="single" w:sz="6" w:color="000000"/>
            </w:tcBorders>
          </w:tcPr>
          <w:p>
            <w:pPr>
              <w:pStyle w:val="Compact"/>
              <w:jc w:val="right"/>
            </w:pPr>
            <w:r>
              <w:rPr>
                <w:rFonts w:hint="eastAsia"/>
                <w:sz w:val="18"/>
              </w:rPr>
              <w:t xml:space="preserve">夕方−夜</w:t>
            </w:r>
          </w:p>
        </w:tc>
        <w:tc>
          <w:tcPr>
            <w:tcBorders>
              <w:bottom w:val="single" w:sz="6" w:color="000000"/>
            </w:tcBorders>
          </w:tcPr>
          <w:p>
            <w:pPr>
              <w:pStyle w:val="Compact"/>
              <w:jc w:val="right"/>
            </w:pPr>
            <w:r>
              <w:rPr>
                <w:rFonts w:hint="eastAsia"/>
                <w:sz w:val="18"/>
              </w:rPr>
              <w:t xml:space="preserve">平行シフト</w:t>
            </w:r>
            <w:r>
              <w:rPr>
                <w:sz w:val="18"/>
              </w:rPr>
              <w:t xml:space="preserve"> p</w:t>
            </w:r>
          </w:p>
        </w:tc>
        <w:tc>
          <w:tcPr>
            <w:tcBorders>
              <w:bottom w:val="single" w:sz="6" w:color="000000"/>
            </w:tcBorders>
          </w:tcPr>
          <w:p>
            <w:pPr>
              <w:pStyle w:val="Compact"/>
              <w:jc w:val="right"/>
            </w:pPr>
            <w:r>
              <w:rPr>
                <w:rFonts w:hint="eastAsia"/>
                <w:sz w:val="18"/>
              </w:rPr>
              <w:t xml:space="preserve">比例シフト</w:t>
            </w:r>
            <w:r>
              <w:rPr>
                <w:sz w:val="18"/>
              </w:rPr>
              <w:t xml:space="preserve"> p</w:t>
            </w:r>
          </w:p>
        </w:tc>
      </w:tr>
      <w:tr>
        <w:tc>
          <w:tcPr/>
          <w:p>
            <w:pPr>
              <w:pStyle w:val="Compact"/>
            </w:pPr>
            <w:r>
              <w:rPr>
                <w:rFonts w:hint="eastAsia"/>
                <w:b/>
                <w:bCs/>
                <w:sz w:val="18"/>
              </w:rPr>
              <w:t xml:space="preserve">パネルA：FY2016〜25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風力・夏</w:t>
            </w:r>
          </w:p>
        </w:tc>
        <w:tc>
          <w:tcPr/>
          <w:p>
            <w:pPr>
              <w:pStyle w:val="Compact"/>
              <w:jc w:val="right"/>
            </w:pPr>
            <w:r>
              <w:rPr>
                <w:sz w:val="18"/>
              </w:rPr>
              <w:t xml:space="preserve">−0.42〜−0.12</w:t>
            </w:r>
          </w:p>
        </w:tc>
        <w:tc>
          <w:tcPr/>
          <w:p>
            <w:pPr>
              <w:pStyle w:val="Compact"/>
              <w:jc w:val="right"/>
            </w:pPr>
            <w:r>
              <w:rPr>
                <w:sz w:val="18"/>
              </w:rPr>
              <w:t xml:space="preserve">0.34</w:t>
            </w:r>
          </w:p>
        </w:tc>
        <w:tc>
          <w:tcPr/>
          <w:p>
            <w:pPr>
              <w:pStyle w:val="Compact"/>
              <w:jc w:val="right"/>
            </w:pPr>
            <w:r>
              <w:rPr>
                <w:sz w:val="18"/>
              </w:rPr>
              <w:t xml:space="preserve">+0.06</w:t>
            </w:r>
          </w:p>
        </w:tc>
        <w:tc>
          <w:tcPr/>
          <w:p>
            <w:pPr>
              <w:pStyle w:val="Compact"/>
              <w:jc w:val="right"/>
            </w:pPr>
            <w:r>
              <w:rPr>
                <w:sz w:val="18"/>
              </w:rPr>
              <w:t xml:space="preserve">−0.07</w:t>
            </w:r>
          </w:p>
        </w:tc>
        <w:tc>
          <w:tcPr/>
          <w:p>
            <w:pPr>
              <w:pStyle w:val="Compact"/>
              <w:jc w:val="right"/>
            </w:pPr>
            <w:r>
              <w:rPr>
                <w:sz w:val="18"/>
              </w:rPr>
              <w:t xml:space="preserve">0.017</w:t>
            </w:r>
          </w:p>
        </w:tc>
        <w:tc>
          <w:tcPr/>
          <w:p>
            <w:pPr>
              <w:pStyle w:val="Compact"/>
              <w:jc w:val="right"/>
            </w:pPr>
            <w:r>
              <w:rPr>
                <w:sz w:val="18"/>
              </w:rPr>
              <w:t xml:space="preserve">0.024</w:t>
            </w:r>
          </w:p>
        </w:tc>
      </w:tr>
      <w:tr>
        <w:tc>
          <w:tcPr/>
          <w:p>
            <w:pPr>
              <w:pStyle w:val="Compact"/>
            </w:pPr>
            <w:r>
              <w:rPr>
                <w:rFonts w:hint="eastAsia"/>
                <w:sz w:val="18"/>
              </w:rPr>
              <w:t xml:space="preserve">風力・冬</w:t>
            </w:r>
          </w:p>
        </w:tc>
        <w:tc>
          <w:tcPr/>
          <w:p>
            <w:pPr>
              <w:pStyle w:val="Compact"/>
              <w:jc w:val="right"/>
            </w:pPr>
            <w:r>
              <w:rPr>
                <w:sz w:val="18"/>
              </w:rPr>
              <w:t xml:space="preserve">−0.63〜−0.21</w:t>
            </w:r>
          </w:p>
        </w:tc>
        <w:tc>
          <w:tcPr/>
          <w:p>
            <w:pPr>
              <w:pStyle w:val="Compact"/>
              <w:jc w:val="right"/>
            </w:pPr>
            <w:r>
              <w:rPr>
                <w:sz w:val="18"/>
              </w:rPr>
              <w:t xml:space="preserve">0.33</w:t>
            </w:r>
          </w:p>
        </w:tc>
        <w:tc>
          <w:tcPr/>
          <w:p>
            <w:pPr>
              <w:pStyle w:val="Compact"/>
              <w:jc w:val="right"/>
            </w:pPr>
            <w:r>
              <w:rPr>
                <w:sz w:val="18"/>
              </w:rPr>
              <w:t xml:space="preserve">−0.26*</w:t>
            </w:r>
          </w:p>
        </w:tc>
        <w:tc>
          <w:tcPr/>
          <w:p>
            <w:pPr>
              <w:pStyle w:val="Compact"/>
              <w:jc w:val="right"/>
            </w:pPr>
            <w:r>
              <w:rPr>
                <w:sz w:val="18"/>
              </w:rPr>
              <w:t xml:space="preserve">−0.35**</w:t>
            </w:r>
          </w:p>
        </w:tc>
        <w:tc>
          <w:tcPr/>
          <w:p>
            <w:pPr>
              <w:pStyle w:val="Compact"/>
              <w:jc w:val="right"/>
            </w:pPr>
            <w:r>
              <w:rPr>
                <w:sz w:val="18"/>
              </w:rPr>
              <w:t xml:space="preserve">0.003</w:t>
            </w:r>
          </w:p>
        </w:tc>
        <w:tc>
          <w:tcPr/>
          <w:p>
            <w:pPr>
              <w:pStyle w:val="Compact"/>
              <w:jc w:val="right"/>
            </w:pPr>
            <w:r>
              <w:rPr>
                <w:sz w:val="18"/>
              </w:rPr>
              <w:t xml:space="preserve">0.020</w:t>
            </w:r>
          </w:p>
        </w:tc>
      </w:tr>
      <w:tr>
        <w:tc>
          <w:tcPr/>
          <w:p>
            <w:pPr>
              <w:pStyle w:val="Compact"/>
            </w:pPr>
            <w:r>
              <w:rPr>
                <w:rFonts w:hint="eastAsia"/>
                <w:sz w:val="18"/>
              </w:rPr>
              <w:t xml:space="preserve">風力・不需要期</w:t>
            </w:r>
          </w:p>
        </w:tc>
        <w:tc>
          <w:tcPr/>
          <w:p>
            <w:pPr>
              <w:pStyle w:val="Compact"/>
              <w:jc w:val="right"/>
            </w:pPr>
            <w:r>
              <w:rPr>
                <w:sz w:val="18"/>
              </w:rPr>
              <w:t xml:space="preserve">−0.52〜−0.19</w:t>
            </w:r>
          </w:p>
        </w:tc>
        <w:tc>
          <w:tcPr/>
          <w:p>
            <w:pPr>
              <w:pStyle w:val="Compact"/>
              <w:jc w:val="right"/>
            </w:pPr>
            <w:r>
              <w:rPr>
                <w:sz w:val="18"/>
              </w:rPr>
              <w:t xml:space="preserve">0.32</w:t>
            </w:r>
          </w:p>
        </w:tc>
        <w:tc>
          <w:tcPr/>
          <w:p>
            <w:pPr>
              <w:pStyle w:val="Compact"/>
              <w:jc w:val="right"/>
            </w:pPr>
            <w:r>
              <w:rPr>
                <w:sz w:val="18"/>
              </w:rPr>
              <w:t xml:space="preserve">+0.03</w:t>
            </w:r>
          </w:p>
        </w:tc>
        <w:tc>
          <w:tcPr/>
          <w:p>
            <w:pPr>
              <w:pStyle w:val="Compact"/>
              <w:jc w:val="right"/>
            </w:pPr>
            <w:r>
              <w:rPr>
                <w:sz w:val="18"/>
              </w:rPr>
              <w:t xml:space="preserve">−0.21***</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sz w:val="18"/>
              </w:rPr>
              <w:t xml:space="preserve">太陽光・夏</w:t>
            </w:r>
          </w:p>
        </w:tc>
        <w:tc>
          <w:tcPr/>
          <w:p>
            <w:pPr>
              <w:pStyle w:val="Compact"/>
              <w:jc w:val="right"/>
            </w:pPr>
            <w:r>
              <w:rPr>
                <w:sz w:val="18"/>
              </w:rPr>
              <w:t xml:space="preserve">−0.75〜−0.14</w:t>
            </w:r>
          </w:p>
        </w:tc>
        <w:tc>
          <w:tcPr/>
          <w:p>
            <w:pPr>
              <w:pStyle w:val="Compact"/>
              <w:jc w:val="right"/>
            </w:pPr>
            <w:r>
              <w:rPr>
                <w:sz w:val="18"/>
              </w:rPr>
              <w:t xml:space="preserve">0.57</w:t>
            </w:r>
          </w:p>
        </w:tc>
        <w:tc>
          <w:tcPr/>
          <w:p>
            <w:pPr>
              <w:pStyle w:val="Compact"/>
              <w:jc w:val="right"/>
            </w:pPr>
            <w:r>
              <w:rPr>
                <w:sz w:val="18"/>
              </w:rPr>
              <w:t xml:space="preserve">+0.51***</w:t>
            </w:r>
          </w:p>
        </w:tc>
        <w:tc>
          <w:tcPr/>
          <w:p>
            <w:pPr>
              <w:pStyle w:val="Compact"/>
              <w:jc w:val="right"/>
            </w:pPr>
            <w:r>
              <w:rPr>
                <w:sz w:val="18"/>
              </w:rPr>
              <w:t xml:space="preserve">+0.04</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sz w:val="18"/>
              </w:rPr>
              <w:t xml:space="preserve">太陽光・冬</w:t>
            </w:r>
          </w:p>
        </w:tc>
        <w:tc>
          <w:tcPr/>
          <w:p>
            <w:pPr>
              <w:pStyle w:val="Compact"/>
              <w:jc w:val="right"/>
            </w:pPr>
            <w:r>
              <w:rPr>
                <w:sz w:val="18"/>
              </w:rPr>
              <w:t xml:space="preserve">−1.30〜−0.31</w:t>
            </w:r>
          </w:p>
        </w:tc>
        <w:tc>
          <w:tcPr/>
          <w:p>
            <w:pPr>
              <w:pStyle w:val="Compact"/>
              <w:jc w:val="right"/>
            </w:pPr>
            <w:r>
              <w:rPr>
                <w:sz w:val="18"/>
              </w:rPr>
              <w:t xml:space="preserve">0.39</w:t>
            </w:r>
          </w:p>
        </w:tc>
        <w:tc>
          <w:tcPr/>
          <w:p>
            <w:pPr>
              <w:pStyle w:val="Compact"/>
              <w:jc w:val="right"/>
            </w:pPr>
            <w:r>
              <w:rPr>
                <w:sz w:val="18"/>
              </w:rPr>
              <w:t xml:space="preserve">−0.20</w:t>
            </w:r>
          </w:p>
        </w:tc>
        <w:tc>
          <w:tcPr/>
          <w:p>
            <w:pPr>
              <w:pStyle w:val="Compact"/>
              <w:jc w:val="right"/>
            </w:pPr>
            <w:r>
              <w:rPr>
                <w:sz w:val="18"/>
              </w:rPr>
              <w:t xml:space="preserve">−0.73**</w:t>
            </w:r>
          </w:p>
        </w:tc>
        <w:tc>
          <w:tcPr/>
          <w:p>
            <w:pPr>
              <w:pStyle w:val="Compact"/>
              <w:jc w:val="right"/>
            </w:pPr>
            <w:r>
              <w:rPr>
                <w:sz w:val="18"/>
              </w:rPr>
              <w:t xml:space="preserve">0.001</w:t>
            </w:r>
          </w:p>
        </w:tc>
        <w:tc>
          <w:tcPr/>
          <w:p>
            <w:pPr>
              <w:pStyle w:val="Compact"/>
              <w:jc w:val="right"/>
            </w:pPr>
            <w:r>
              <w:rPr>
                <w:sz w:val="18"/>
              </w:rPr>
              <w:t xml:space="preserve">0.005</w:t>
            </w:r>
          </w:p>
        </w:tc>
      </w:tr>
      <w:tr>
        <w:tc>
          <w:tcPr/>
          <w:p>
            <w:pPr>
              <w:pStyle w:val="Compact"/>
            </w:pPr>
            <w:r>
              <w:rPr>
                <w:rFonts w:hint="eastAsia"/>
                <w:sz w:val="18"/>
              </w:rPr>
              <w:t xml:space="preserve">太陽光・不需要期</w:t>
            </w:r>
          </w:p>
        </w:tc>
        <w:tc>
          <w:tcPr/>
          <w:p>
            <w:pPr>
              <w:pStyle w:val="Compact"/>
              <w:jc w:val="right"/>
            </w:pPr>
            <w:r>
              <w:rPr>
                <w:sz w:val="18"/>
              </w:rPr>
              <w:t xml:space="preserve">−0.73〜−0.06</w:t>
            </w:r>
          </w:p>
        </w:tc>
        <w:tc>
          <w:tcPr/>
          <w:p>
            <w:pPr>
              <w:pStyle w:val="Compact"/>
              <w:jc w:val="right"/>
            </w:pPr>
            <w:r>
              <w:rPr>
                <w:sz w:val="18"/>
              </w:rPr>
              <w:t xml:space="preserve">0.74</w:t>
            </w:r>
          </w:p>
        </w:tc>
        <w:tc>
          <w:tcPr/>
          <w:p>
            <w:pPr>
              <w:pStyle w:val="Compact"/>
              <w:jc w:val="right"/>
            </w:pPr>
            <w:r>
              <w:rPr>
                <w:sz w:val="18"/>
              </w:rPr>
              <w:t xml:space="preserve">+0.42***</w:t>
            </w:r>
          </w:p>
        </w:tc>
        <w:tc>
          <w:tcPr/>
          <w:p>
            <w:pPr>
              <w:pStyle w:val="Compact"/>
              <w:jc w:val="right"/>
            </w:pPr>
            <w:r>
              <w:rPr>
                <w:sz w:val="18"/>
              </w:rPr>
              <w:t xml:space="preserve">−0.18</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b/>
                <w:bCs/>
                <w:sz w:val="18"/>
              </w:rPr>
              <w:t xml:space="preserve">パネルB：FY2023〜25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風力・夏</w:t>
            </w:r>
          </w:p>
        </w:tc>
        <w:tc>
          <w:tcPr/>
          <w:p>
            <w:pPr>
              <w:pStyle w:val="Compact"/>
              <w:jc w:val="right"/>
            </w:pPr>
            <w:r>
              <w:rPr>
                <w:sz w:val="18"/>
              </w:rPr>
              <w:t xml:space="preserve">−0.31〜−0.11</w:t>
            </w:r>
          </w:p>
        </w:tc>
        <w:tc>
          <w:tcPr/>
          <w:p>
            <w:pPr>
              <w:pStyle w:val="Compact"/>
              <w:jc w:val="right"/>
            </w:pPr>
            <w:r>
              <w:rPr>
                <w:sz w:val="18"/>
              </w:rPr>
              <w:t xml:space="preserve">0.25</w:t>
            </w:r>
          </w:p>
        </w:tc>
        <w:tc>
          <w:tcPr/>
          <w:p>
            <w:pPr>
              <w:pStyle w:val="Compact"/>
              <w:jc w:val="right"/>
            </w:pPr>
            <w:r>
              <w:rPr>
                <w:sz w:val="18"/>
              </w:rPr>
              <w:t xml:space="preserve">+0.10</w:t>
            </w:r>
          </w:p>
        </w:tc>
        <w:tc>
          <w:tcPr/>
          <w:p>
            <w:pPr>
              <w:pStyle w:val="Compact"/>
              <w:jc w:val="right"/>
            </w:pPr>
            <w:r>
              <w:rPr>
                <w:sz w:val="18"/>
              </w:rPr>
              <w:t xml:space="preserve">−0.03</w:t>
            </w:r>
          </w:p>
        </w:tc>
        <w:tc>
          <w:tcPr/>
          <w:p>
            <w:pPr>
              <w:pStyle w:val="Compact"/>
              <w:jc w:val="right"/>
            </w:pPr>
            <w:r>
              <w:rPr>
                <w:sz w:val="18"/>
              </w:rPr>
              <w:t xml:space="preserve">0.37</w:t>
            </w:r>
          </w:p>
        </w:tc>
        <w:tc>
          <w:tcPr/>
          <w:p>
            <w:pPr>
              <w:pStyle w:val="Compact"/>
              <w:jc w:val="right"/>
            </w:pPr>
            <w:r>
              <w:rPr>
                <w:sz w:val="18"/>
              </w:rPr>
              <w:t xml:space="preserve">0.16</w:t>
            </w:r>
          </w:p>
        </w:tc>
      </w:tr>
      <w:tr>
        <w:tc>
          <w:tcPr/>
          <w:p>
            <w:pPr>
              <w:pStyle w:val="Compact"/>
            </w:pPr>
            <w:r>
              <w:rPr>
                <w:rFonts w:hint="eastAsia"/>
                <w:sz w:val="18"/>
              </w:rPr>
              <w:t xml:space="preserve">風力・冬</w:t>
            </w:r>
          </w:p>
        </w:tc>
        <w:tc>
          <w:tcPr/>
          <w:p>
            <w:pPr>
              <w:pStyle w:val="Compact"/>
              <w:jc w:val="right"/>
            </w:pPr>
            <w:r>
              <w:rPr>
                <w:sz w:val="18"/>
              </w:rPr>
              <w:t xml:space="preserve">−0.24〜−0.07</w:t>
            </w:r>
          </w:p>
        </w:tc>
        <w:tc>
          <w:tcPr/>
          <w:p>
            <w:pPr>
              <w:pStyle w:val="Compact"/>
              <w:jc w:val="right"/>
            </w:pPr>
            <w:r>
              <w:rPr>
                <w:sz w:val="18"/>
              </w:rPr>
              <w:t xml:space="preserve">0.26</w:t>
            </w:r>
          </w:p>
        </w:tc>
        <w:tc>
          <w:tcPr/>
          <w:p>
            <w:pPr>
              <w:pStyle w:val="Compact"/>
              <w:jc w:val="right"/>
            </w:pPr>
            <w:r>
              <w:rPr>
                <w:sz w:val="18"/>
              </w:rPr>
              <w:t xml:space="preserve">−0.00</w:t>
            </w:r>
          </w:p>
        </w:tc>
        <w:tc>
          <w:tcPr/>
          <w:p>
            <w:pPr>
              <w:pStyle w:val="Compact"/>
              <w:jc w:val="right"/>
            </w:pPr>
            <w:r>
              <w:rPr>
                <w:sz w:val="18"/>
              </w:rPr>
              <w:t xml:space="preserve">−0.04</w:t>
            </w:r>
          </w:p>
        </w:tc>
        <w:tc>
          <w:tcPr/>
          <w:p>
            <w:pPr>
              <w:pStyle w:val="Compact"/>
              <w:jc w:val="right"/>
            </w:pPr>
            <w:r>
              <w:rPr>
                <w:sz w:val="18"/>
              </w:rPr>
              <w:t xml:space="preserve">0.001</w:t>
            </w:r>
          </w:p>
        </w:tc>
        <w:tc>
          <w:tcPr/>
          <w:p>
            <w:pPr>
              <w:pStyle w:val="Compact"/>
              <w:jc w:val="right"/>
            </w:pPr>
            <w:r>
              <w:rPr>
                <w:sz w:val="18"/>
              </w:rPr>
              <w:t xml:space="preserve">&lt;0.001</w:t>
            </w:r>
          </w:p>
        </w:tc>
      </w:tr>
      <w:tr>
        <w:tc>
          <w:tcPr/>
          <w:p>
            <w:pPr>
              <w:pStyle w:val="Compact"/>
            </w:pPr>
            <w:r>
              <w:rPr>
                <w:rFonts w:hint="eastAsia"/>
                <w:sz w:val="18"/>
              </w:rPr>
              <w:t xml:space="preserve">風力・不需要期</w:t>
            </w:r>
          </w:p>
        </w:tc>
        <w:tc>
          <w:tcPr/>
          <w:p>
            <w:pPr>
              <w:pStyle w:val="Compact"/>
              <w:jc w:val="right"/>
            </w:pPr>
            <w:r>
              <w:rPr>
                <w:sz w:val="18"/>
              </w:rPr>
              <w:t xml:space="preserve">−0.45〜−0.18</w:t>
            </w:r>
          </w:p>
        </w:tc>
        <w:tc>
          <w:tcPr/>
          <w:p>
            <w:pPr>
              <w:pStyle w:val="Compact"/>
              <w:jc w:val="right"/>
            </w:pPr>
            <w:r>
              <w:rPr>
                <w:sz w:val="18"/>
              </w:rPr>
              <w:t xml:space="preserve">0.30</w:t>
            </w:r>
          </w:p>
        </w:tc>
        <w:tc>
          <w:tcPr/>
          <w:p>
            <w:pPr>
              <w:pStyle w:val="Compact"/>
              <w:jc w:val="right"/>
            </w:pPr>
            <w:r>
              <w:rPr>
                <w:sz w:val="18"/>
              </w:rPr>
              <w:t xml:space="preserve">+0.04</w:t>
            </w:r>
          </w:p>
        </w:tc>
        <w:tc>
          <w:tcPr/>
          <w:p>
            <w:pPr>
              <w:pStyle w:val="Compact"/>
              <w:jc w:val="right"/>
            </w:pPr>
            <w:r>
              <w:rPr>
                <w:sz w:val="18"/>
              </w:rPr>
              <w:t xml:space="preserve">−0.13**</w:t>
            </w:r>
          </w:p>
        </w:tc>
        <w:tc>
          <w:tcPr/>
          <w:p>
            <w:pPr>
              <w:pStyle w:val="Compact"/>
              <w:jc w:val="right"/>
            </w:pPr>
            <w:r>
              <w:rPr>
                <w:sz w:val="18"/>
              </w:rPr>
              <w:t xml:space="preserve">0.004</w:t>
            </w:r>
          </w:p>
        </w:tc>
        <w:tc>
          <w:tcPr/>
          <w:p>
            <w:pPr>
              <w:pStyle w:val="Compact"/>
              <w:jc w:val="right"/>
            </w:pPr>
            <w:r>
              <w:rPr>
                <w:sz w:val="18"/>
              </w:rPr>
              <w:t xml:space="preserve">&lt;0.001</w:t>
            </w:r>
          </w:p>
        </w:tc>
      </w:tr>
      <w:tr>
        <w:tc>
          <w:tcPr/>
          <w:p>
            <w:pPr>
              <w:pStyle w:val="Compact"/>
            </w:pPr>
            <w:r>
              <w:rPr>
                <w:rFonts w:hint="eastAsia"/>
                <w:sz w:val="18"/>
              </w:rPr>
              <w:t xml:space="preserve">太陽光・夏</w:t>
            </w:r>
          </w:p>
        </w:tc>
        <w:tc>
          <w:tcPr/>
          <w:p>
            <w:pPr>
              <w:pStyle w:val="Compact"/>
              <w:jc w:val="right"/>
            </w:pPr>
            <w:r>
              <w:rPr>
                <w:sz w:val="18"/>
              </w:rPr>
              <w:t xml:space="preserve">−0.59〜+0.04</w:t>
            </w:r>
          </w:p>
        </w:tc>
        <w:tc>
          <w:tcPr/>
          <w:p>
            <w:pPr>
              <w:pStyle w:val="Compact"/>
              <w:jc w:val="right"/>
            </w:pPr>
            <w:r>
              <w:rPr>
                <w:sz w:val="18"/>
              </w:rPr>
              <w:t xml:space="preserve">0.93</w:t>
            </w:r>
          </w:p>
        </w:tc>
        <w:tc>
          <w:tcPr/>
          <w:p>
            <w:pPr>
              <w:pStyle w:val="Compact"/>
              <w:jc w:val="right"/>
            </w:pPr>
            <w:r>
              <w:rPr>
                <w:sz w:val="18"/>
              </w:rPr>
              <w:t xml:space="preserve">+0.48***</w:t>
            </w:r>
          </w:p>
        </w:tc>
        <w:tc>
          <w:tcPr/>
          <w:p>
            <w:pPr>
              <w:pStyle w:val="Compact"/>
              <w:jc w:val="right"/>
            </w:pPr>
            <w:r>
              <w:rPr>
                <w:sz w:val="18"/>
              </w:rPr>
              <w:t xml:space="preserve">+0.01</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sz w:val="18"/>
              </w:rPr>
              <w:t xml:space="preserve">太陽光・冬</w:t>
            </w:r>
          </w:p>
        </w:tc>
        <w:tc>
          <w:tcPr/>
          <w:p>
            <w:pPr>
              <w:pStyle w:val="Compact"/>
              <w:jc w:val="right"/>
            </w:pPr>
            <w:r>
              <w:rPr>
                <w:sz w:val="18"/>
              </w:rPr>
              <w:t xml:space="preserve">−0.58〜+0.13</w:t>
            </w:r>
          </w:p>
        </w:tc>
        <w:tc>
          <w:tcPr/>
          <w:p>
            <w:pPr>
              <w:pStyle w:val="Compact"/>
              <w:jc w:val="right"/>
            </w:pPr>
            <w:r>
              <w:rPr>
                <w:sz w:val="18"/>
              </w:rPr>
              <w:t xml:space="preserve">2.66</w:t>
            </w:r>
          </w:p>
        </w:tc>
        <w:tc>
          <w:tcPr/>
          <w:p>
            <w:pPr>
              <w:pStyle w:val="Compact"/>
              <w:jc w:val="right"/>
            </w:pPr>
            <w:r>
              <w:rPr>
                <w:sz w:val="18"/>
              </w:rPr>
              <w:t xml:space="preserve">+0.57**</w:t>
            </w:r>
          </w:p>
        </w:tc>
        <w:tc>
          <w:tcPr/>
          <w:p>
            <w:pPr>
              <w:pStyle w:val="Compact"/>
              <w:jc w:val="right"/>
            </w:pPr>
            <w:r>
              <w:rPr>
                <w:sz w:val="18"/>
              </w:rPr>
              <w:t xml:space="preserve">+0.06</w:t>
            </w:r>
          </w:p>
        </w:tc>
        <w:tc>
          <w:tcPr/>
          <w:p>
            <w:pPr>
              <w:pStyle w:val="Compact"/>
              <w:jc w:val="right"/>
            </w:pPr>
            <w:r>
              <w:rPr>
                <w:sz w:val="18"/>
              </w:rPr>
              <w:t xml:space="preserve">0.13</w:t>
            </w:r>
          </w:p>
        </w:tc>
        <w:tc>
          <w:tcPr/>
          <w:p>
            <w:pPr>
              <w:pStyle w:val="Compact"/>
              <w:jc w:val="right"/>
            </w:pPr>
            <w:r>
              <w:rPr>
                <w:sz w:val="18"/>
              </w:rPr>
              <w:t xml:space="preserve">0.089</w:t>
            </w:r>
          </w:p>
        </w:tc>
      </w:tr>
      <w:tr>
        <w:tc>
          <w:tcPr/>
          <w:p>
            <w:pPr>
              <w:pStyle w:val="Compact"/>
            </w:pPr>
            <w:r>
              <w:rPr>
                <w:rFonts w:hint="eastAsia"/>
                <w:sz w:val="18"/>
              </w:rPr>
              <w:t xml:space="preserve">太陽光・不需要期</w:t>
            </w:r>
          </w:p>
        </w:tc>
        <w:tc>
          <w:tcPr/>
          <w:p>
            <w:pPr>
              <w:pStyle w:val="Compact"/>
              <w:jc w:val="right"/>
            </w:pPr>
            <w:r>
              <w:rPr>
                <w:sz w:val="18"/>
              </w:rPr>
              <w:t xml:space="preserve">−0.59〜0.00</w:t>
            </w:r>
          </w:p>
        </w:tc>
        <w:tc>
          <w:tcPr/>
          <w:p>
            <w:pPr>
              <w:pStyle w:val="Compact"/>
              <w:jc w:val="right"/>
            </w:pPr>
            <w:r>
              <w:rPr>
                <w:sz w:val="18"/>
              </w:rPr>
              <w:t xml:space="preserve">0.93</w:t>
            </w:r>
          </w:p>
        </w:tc>
        <w:tc>
          <w:tcPr/>
          <w:p>
            <w:pPr>
              <w:pStyle w:val="Compact"/>
              <w:jc w:val="right"/>
            </w:pPr>
            <w:r>
              <w:rPr>
                <w:sz w:val="18"/>
              </w:rPr>
              <w:t xml:space="preserve">+0.47***</w:t>
            </w:r>
          </w:p>
        </w:tc>
        <w:tc>
          <w:tcPr/>
          <w:p>
            <w:pPr>
              <w:pStyle w:val="Compact"/>
              <w:jc w:val="right"/>
            </w:pPr>
            <w:r>
              <w:rPr>
                <w:sz w:val="18"/>
              </w:rPr>
              <w:t xml:space="preserve">−0.02</w:t>
            </w:r>
          </w:p>
        </w:tc>
        <w:tc>
          <w:tcPr/>
          <w:p>
            <w:pPr>
              <w:pStyle w:val="Compact"/>
              <w:jc w:val="right"/>
            </w:pPr>
            <w:r>
              <w:rPr>
                <w:sz w:val="18"/>
              </w:rPr>
              <w:t xml:space="preserve">&lt;0.001</w:t>
            </w:r>
          </w:p>
        </w:tc>
        <w:tc>
          <w:tcPr/>
          <w:p>
            <w:pPr>
              <w:pStyle w:val="Compact"/>
              <w:jc w:val="right"/>
            </w:pPr>
            <w:r>
              <w:rPr>
                <w:sz w:val="18"/>
              </w:rPr>
              <w:t xml:space="preserve">&lt;0.001</w:t>
            </w:r>
          </w:p>
        </w:tc>
      </w:tr>
    </w:tbl>
    <w:p>
      <w:pPr>
        <w:pStyle w:val="TableNote"/>
      </w:pPr>
      <w:r>
        <w:rPr>
          <w:rFonts w:hint="eastAsia"/>
        </w:rPr>
        <w:t xml:space="preserve">注）単位は円/kWh</w:t>
      </w:r>
      <w:r>
        <w:t xml:space="preserve"> per </w:t>
      </w:r>
      <w:r>
        <w:rPr>
          <w:rFonts w:hint="eastAsia"/>
        </w:rPr>
        <w:t xml:space="preserve">GWh/日。本文の式(5.2)と同じ右辺で24時刻を別々に回帰した。変動係数は時刻別係数の標準偏差を平均の絶対値で割った値。夕方は17〜19時、昼は11〜13時、夜は0〜5時。コントラストの星は</w:t>
      </w:r>
      <w:r>
        <w:t xml:space="preserve"> </w:t>
      </w:r>
      <w:r>
        <w:rPr>
          <w:rFonts w:hint="eastAsia"/>
        </w:rPr>
        <w:t xml:space="preserve">EWC（パネルA</w:t>
      </w:r>
      <w:r>
        <w:t xml:space="preserve"> は</w:t>
      </w:r>
      <w:r>
        <w:t xml:space="preserve"> </w:t>
      </w:r>
      <m:oMath>
        <m:r>
          <m:t>ν</m:t>
        </m:r>
        <m:r>
          <m:rPr>
            <m:sty m:val="p"/>
          </m:rPr>
          <m:t>=</m:t>
        </m:r>
        <m:r>
          <m:t>94</m:t>
        </m:r>
      </m:oMath>
      <w:r>
        <w:t xml:space="preserve">、パネルB は</w:t>
      </w:r>
      <w:r>
        <w:t xml:space="preserve"> </w:t>
      </w:r>
      <m:oMath>
        <m:r>
          <m:t>ν</m:t>
        </m:r>
        <m:r>
          <m:rPr>
            <m:sty m:val="p"/>
          </m:rPr>
          <m:t>=</m:t>
        </m:r>
        <m:r>
          <m:t>42</m:t>
        </m:r>
      </m:oMath>
      <w:r>
        <w:t xml:space="preserve">、t </w:t>
      </w:r>
      <w:r>
        <w:rPr>
          <w:rFonts w:hint="eastAsia"/>
        </w:rPr>
        <w:t xml:space="preserve">分布）により、***、**、*</w:t>
      </w:r>
      <w:r>
        <w:t xml:space="preserve"> </w:t>
      </w:r>
      <w:r>
        <w:rPr>
          <w:rFonts w:hint="eastAsia"/>
        </w:rPr>
        <w:t xml:space="preserve">はそれぞれ1%、5%、10%水準で有意。平行シフト・比例シフトの</w:t>
      </w:r>
      <w:r>
        <w:t xml:space="preserve"> p </w:t>
      </w:r>
      <w:r>
        <w:rPr>
          <w:rFonts w:hint="eastAsia"/>
        </w:rPr>
        <w:t xml:space="preserve">は4時間ブロックの平均に縮約した</w:t>
      </w:r>
      <w:r>
        <w:t xml:space="preserve"> Wald </w:t>
      </w:r>
      <w:r>
        <w:rPr>
          <w:rFonts w:hint="eastAsia"/>
        </w:rPr>
        <w:t xml:space="preserve">検定（5制約。EWC</w:t>
      </w:r>
      <w:r>
        <w:t xml:space="preserve"> </w:t>
      </w:r>
      <w:r>
        <w:rPr>
          <w:rFonts w:hint="eastAsia"/>
        </w:rPr>
        <w:t xml:space="preserve">の共分散に</w:t>
      </w:r>
      <w:r>
        <w:t xml:space="preserve"> Lazarus et </w:t>
      </w:r>
      <w:r>
        <w:rPr>
          <w:rFonts w:hint="eastAsia"/>
        </w:rPr>
        <w:t xml:space="preserve">al.（2018）の</w:t>
      </w:r>
      <w:r>
        <w:t xml:space="preserve"> F </w:t>
      </w:r>
      <w:r>
        <w:rPr>
          <w:rFonts w:hint="eastAsia"/>
        </w:rPr>
        <w:t xml:space="preserve">補正）による。2021年1月の31日を除いた標本の結果は表C.10</w:t>
      </w:r>
      <w:r>
        <w:t xml:space="preserve"> </w:t>
      </w:r>
      <w:r>
        <w:rPr>
          <w:rFonts w:hint="eastAsia"/>
        </w:rPr>
        <w:t xml:space="preserve">に示す。</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表C.10</w:t>
      </w:r>
      <w:r>
        <w:t xml:space="preserve"> </w:t>
      </w:r>
      <w:r>
        <w:rPr>
          <w:rFonts w:hint="eastAsia"/>
        </w:rPr>
        <w:t xml:space="preserve">は、表C.9</w:t>
      </w:r>
      <w:r>
        <w:t xml:space="preserve"> のパネルA </w:t>
      </w:r>
      <w:r>
        <w:rPr>
          <w:rFonts w:hint="eastAsia"/>
        </w:rPr>
        <w:t xml:space="preserve">と同じ計算を、2021年1月の31日を除いた標本で行った結果である。</w:t>
      </w:r>
    </w:p>
    <w:p>
      <w:pPr>
        <w:pStyle w:val="TableCaption"/>
      </w:pPr>
      <w:r>
        <w:rPr>
          <w:rFonts w:hint="eastAsia"/>
        </w:rPr>
        <w:t xml:space="preserve">表C.10</w:t>
      </w:r>
      <w:r>
        <w:t xml:space="preserve">　</w:t>
      </w:r>
      <w:r>
        <w:rPr>
          <w:rFonts w:hint="eastAsia"/>
        </w:rPr>
        <w:t xml:space="preserve">時刻別係数ベクトルの形（北海道、FY2016〜25、2021年1月を除く）</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0　時刻別係数ベクトルの形（北海道、FY2016〜25、2021年1月を除く）"/>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係数</w:t>
            </w:r>
          </w:p>
        </w:tc>
        <w:tc>
          <w:tcPr>
            <w:tcBorders>
              <w:bottom w:val="single" w:sz="6" w:color="000000"/>
            </w:tcBorders>
          </w:tcPr>
          <w:p>
            <w:pPr>
              <w:pStyle w:val="Compact"/>
              <w:jc w:val="right"/>
            </w:pPr>
            <w:r>
              <w:rPr>
                <w:rFonts w:hint="eastAsia"/>
                <w:sz w:val="18"/>
              </w:rPr>
              <w:t xml:space="preserve">日平均への効果</w:t>
            </w:r>
          </w:p>
        </w:tc>
        <w:tc>
          <w:tcPr>
            <w:tcBorders>
              <w:bottom w:val="single" w:sz="6" w:color="000000"/>
            </w:tcBorders>
          </w:tcPr>
          <w:p>
            <w:pPr>
              <w:pStyle w:val="Compact"/>
              <w:jc w:val="right"/>
            </w:pPr>
            <w:r>
              <w:rPr>
                <w:rFonts w:hint="eastAsia"/>
                <w:sz w:val="18"/>
              </w:rPr>
              <w:t xml:space="preserve">時刻別係数の範囲</w:t>
            </w:r>
          </w:p>
        </w:tc>
        <w:tc>
          <w:tcPr>
            <w:tcBorders>
              <w:bottom w:val="single" w:sz="6" w:color="000000"/>
            </w:tcBorders>
          </w:tcPr>
          <w:p>
            <w:pPr>
              <w:pStyle w:val="Compact"/>
              <w:jc w:val="right"/>
            </w:pPr>
            <w:r>
              <w:rPr>
                <w:rFonts w:hint="eastAsia"/>
                <w:sz w:val="18"/>
              </w:rPr>
              <w:t xml:space="preserve">夕方−昼</w:t>
            </w:r>
          </w:p>
        </w:tc>
        <w:tc>
          <w:tcPr>
            <w:tcBorders>
              <w:bottom w:val="single" w:sz="6" w:color="000000"/>
            </w:tcBorders>
          </w:tcPr>
          <w:p>
            <w:pPr>
              <w:pStyle w:val="Compact"/>
              <w:jc w:val="right"/>
            </w:pPr>
            <w:r>
              <w:rPr>
                <w:rFonts w:hint="eastAsia"/>
                <w:sz w:val="18"/>
              </w:rPr>
              <w:t xml:space="preserve">夕方−夜</w:t>
            </w:r>
          </w:p>
        </w:tc>
        <w:tc>
          <w:tcPr>
            <w:tcBorders>
              <w:bottom w:val="single" w:sz="6" w:color="000000"/>
            </w:tcBorders>
          </w:tcPr>
          <w:p>
            <w:pPr>
              <w:pStyle w:val="Compact"/>
              <w:jc w:val="right"/>
            </w:pPr>
            <w:r>
              <w:rPr>
                <w:rFonts w:hint="eastAsia"/>
                <w:sz w:val="18"/>
              </w:rPr>
              <w:t xml:space="preserve">平行シフト</w:t>
            </w:r>
            <w:r>
              <w:rPr>
                <w:sz w:val="18"/>
              </w:rPr>
              <w:t xml:space="preserve"> p</w:t>
            </w:r>
          </w:p>
        </w:tc>
        <w:tc>
          <w:tcPr>
            <w:tcBorders>
              <w:bottom w:val="single" w:sz="6" w:color="000000"/>
            </w:tcBorders>
          </w:tcPr>
          <w:p>
            <w:pPr>
              <w:pStyle w:val="Compact"/>
              <w:jc w:val="right"/>
            </w:pPr>
            <w:r>
              <w:rPr>
                <w:rFonts w:hint="eastAsia"/>
                <w:sz w:val="18"/>
              </w:rPr>
              <w:t xml:space="preserve">比例シフト</w:t>
            </w:r>
            <w:r>
              <w:rPr>
                <w:sz w:val="18"/>
              </w:rPr>
              <w:t xml:space="preserve"> p</w:t>
            </w:r>
          </w:p>
        </w:tc>
      </w:tr>
      <w:tr>
        <w:tc>
          <w:tcPr/>
          <w:p>
            <w:pPr>
              <w:pStyle w:val="Compact"/>
            </w:pPr>
            <w:r>
              <w:rPr>
                <w:rFonts w:hint="eastAsia"/>
                <w:sz w:val="18"/>
              </w:rPr>
              <w:t xml:space="preserve">風力・夏</w:t>
            </w:r>
          </w:p>
        </w:tc>
        <w:tc>
          <w:tcPr/>
          <w:p>
            <w:pPr>
              <w:pStyle w:val="Compact"/>
              <w:jc w:val="right"/>
            </w:pPr>
            <w:r>
              <w:rPr>
                <w:sz w:val="18"/>
              </w:rPr>
              <w:t xml:space="preserve">−0.236</w:t>
            </w:r>
          </w:p>
        </w:tc>
        <w:tc>
          <w:tcPr/>
          <w:p>
            <w:pPr>
              <w:pStyle w:val="Compact"/>
              <w:jc w:val="right"/>
            </w:pPr>
            <w:r>
              <w:rPr>
                <w:sz w:val="18"/>
              </w:rPr>
              <w:t xml:space="preserve">−0.40〜−0.11</w:t>
            </w:r>
          </w:p>
        </w:tc>
        <w:tc>
          <w:tcPr/>
          <w:p>
            <w:pPr>
              <w:pStyle w:val="Compact"/>
              <w:jc w:val="right"/>
            </w:pPr>
            <w:r>
              <w:rPr>
                <w:sz w:val="18"/>
              </w:rPr>
              <w:t xml:space="preserve">+0.04</w:t>
            </w:r>
          </w:p>
        </w:tc>
        <w:tc>
          <w:tcPr/>
          <w:p>
            <w:pPr>
              <w:pStyle w:val="Compact"/>
              <w:jc w:val="right"/>
            </w:pPr>
            <w:r>
              <w:rPr>
                <w:sz w:val="18"/>
              </w:rPr>
              <w:t xml:space="preserve">−0.08</w:t>
            </w:r>
          </w:p>
        </w:tc>
        <w:tc>
          <w:tcPr/>
          <w:p>
            <w:pPr>
              <w:pStyle w:val="Compact"/>
              <w:jc w:val="right"/>
            </w:pPr>
            <w:r>
              <w:rPr>
                <w:sz w:val="18"/>
              </w:rPr>
              <w:t xml:space="preserve">0.021</w:t>
            </w:r>
          </w:p>
        </w:tc>
        <w:tc>
          <w:tcPr/>
          <w:p>
            <w:pPr>
              <w:pStyle w:val="Compact"/>
              <w:jc w:val="right"/>
            </w:pPr>
            <w:r>
              <w:rPr>
                <w:sz w:val="18"/>
              </w:rPr>
              <w:t xml:space="preserve">0.027</w:t>
            </w:r>
          </w:p>
        </w:tc>
      </w:tr>
      <w:tr>
        <w:tc>
          <w:tcPr/>
          <w:p>
            <w:pPr>
              <w:pStyle w:val="Compact"/>
            </w:pPr>
            <w:r>
              <w:rPr>
                <w:rFonts w:hint="eastAsia"/>
                <w:sz w:val="18"/>
              </w:rPr>
              <w:t xml:space="preserve">風力・冬</w:t>
            </w:r>
          </w:p>
        </w:tc>
        <w:tc>
          <w:tcPr/>
          <w:p>
            <w:pPr>
              <w:pStyle w:val="Compact"/>
              <w:jc w:val="right"/>
            </w:pPr>
            <w:r>
              <w:rPr>
                <w:sz w:val="18"/>
              </w:rPr>
              <w:t xml:space="preserve">−0.269</w:t>
            </w:r>
          </w:p>
        </w:tc>
        <w:tc>
          <w:tcPr/>
          <w:p>
            <w:pPr>
              <w:pStyle w:val="Compact"/>
              <w:jc w:val="right"/>
            </w:pPr>
            <w:r>
              <w:rPr>
                <w:sz w:val="18"/>
              </w:rPr>
              <w:t xml:space="preserve">−0.47〜−0.17</w:t>
            </w:r>
          </w:p>
        </w:tc>
        <w:tc>
          <w:tcPr/>
          <w:p>
            <w:pPr>
              <w:pStyle w:val="Compact"/>
              <w:jc w:val="right"/>
            </w:pPr>
            <w:r>
              <w:rPr>
                <w:sz w:val="18"/>
              </w:rPr>
              <w:t xml:space="preserve">−0.18</w:t>
            </w:r>
          </w:p>
        </w:tc>
        <w:tc>
          <w:tcPr/>
          <w:p>
            <w:pPr>
              <w:pStyle w:val="Compact"/>
              <w:jc w:val="right"/>
            </w:pPr>
            <w:r>
              <w:rPr>
                <w:sz w:val="18"/>
              </w:rPr>
              <w:t xml:space="preserve">−0.22**</w:t>
            </w:r>
          </w:p>
        </w:tc>
        <w:tc>
          <w:tcPr/>
          <w:p>
            <w:pPr>
              <w:pStyle w:val="Compact"/>
              <w:jc w:val="right"/>
            </w:pPr>
            <w:r>
              <w:rPr>
                <w:sz w:val="18"/>
              </w:rPr>
              <w:t xml:space="preserve">0.005</w:t>
            </w:r>
          </w:p>
        </w:tc>
        <w:tc>
          <w:tcPr/>
          <w:p>
            <w:pPr>
              <w:pStyle w:val="Compact"/>
              <w:jc w:val="right"/>
            </w:pPr>
            <w:r>
              <w:rPr>
                <w:sz w:val="18"/>
              </w:rPr>
              <w:t xml:space="preserve">0.030</w:t>
            </w:r>
          </w:p>
        </w:tc>
      </w:tr>
      <w:tr>
        <w:tc>
          <w:tcPr/>
          <w:p>
            <w:pPr>
              <w:pStyle w:val="Compact"/>
            </w:pPr>
            <w:r>
              <w:rPr>
                <w:rFonts w:hint="eastAsia"/>
                <w:sz w:val="18"/>
              </w:rPr>
              <w:t xml:space="preserve">風力・不需要期</w:t>
            </w:r>
          </w:p>
        </w:tc>
        <w:tc>
          <w:tcPr/>
          <w:p>
            <w:pPr>
              <w:pStyle w:val="Compact"/>
              <w:jc w:val="right"/>
            </w:pPr>
            <w:r>
              <w:rPr>
                <w:sz w:val="18"/>
              </w:rPr>
              <w:t xml:space="preserve">−0.331</w:t>
            </w:r>
          </w:p>
        </w:tc>
        <w:tc>
          <w:tcPr/>
          <w:p>
            <w:pPr>
              <w:pStyle w:val="Compact"/>
              <w:jc w:val="right"/>
            </w:pPr>
            <w:r>
              <w:rPr>
                <w:sz w:val="18"/>
              </w:rPr>
              <w:t xml:space="preserve">−0.49〜−0.18</w:t>
            </w:r>
          </w:p>
        </w:tc>
        <w:tc>
          <w:tcPr/>
          <w:p>
            <w:pPr>
              <w:pStyle w:val="Compact"/>
              <w:jc w:val="right"/>
            </w:pPr>
            <w:r>
              <w:rPr>
                <w:sz w:val="18"/>
              </w:rPr>
              <w:t xml:space="preserve">+0.03</w:t>
            </w:r>
          </w:p>
        </w:tc>
        <w:tc>
          <w:tcPr/>
          <w:p>
            <w:pPr>
              <w:pStyle w:val="Compact"/>
              <w:jc w:val="right"/>
            </w:pPr>
            <w:r>
              <w:rPr>
                <w:sz w:val="18"/>
              </w:rPr>
              <w:t xml:space="preserve">−0.20***</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sz w:val="18"/>
              </w:rPr>
              <w:t xml:space="preserve">太陽光・夏</w:t>
            </w:r>
          </w:p>
        </w:tc>
        <w:tc>
          <w:tcPr/>
          <w:p>
            <w:pPr>
              <w:pStyle w:val="Compact"/>
              <w:jc w:val="right"/>
            </w:pPr>
            <w:r>
              <w:rPr>
                <w:sz w:val="18"/>
              </w:rPr>
              <w:t xml:space="preserve">−0.335</w:t>
            </w:r>
          </w:p>
        </w:tc>
        <w:tc>
          <w:tcPr/>
          <w:p>
            <w:pPr>
              <w:pStyle w:val="Compact"/>
              <w:jc w:val="right"/>
            </w:pPr>
            <w:r>
              <w:rPr>
                <w:sz w:val="18"/>
              </w:rPr>
              <w:t xml:space="preserve">−0.69〜−0.04</w:t>
            </w:r>
          </w:p>
        </w:tc>
        <w:tc>
          <w:tcPr/>
          <w:p>
            <w:pPr>
              <w:pStyle w:val="Compact"/>
              <w:jc w:val="right"/>
            </w:pPr>
            <w:r>
              <w:rPr>
                <w:sz w:val="18"/>
              </w:rPr>
              <w:t xml:space="preserve">+0.57***</w:t>
            </w:r>
          </w:p>
        </w:tc>
        <w:tc>
          <w:tcPr/>
          <w:p>
            <w:pPr>
              <w:pStyle w:val="Compact"/>
              <w:jc w:val="right"/>
            </w:pPr>
            <w:r>
              <w:rPr>
                <w:sz w:val="18"/>
              </w:rPr>
              <w:t xml:space="preserve">+0.11</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rFonts w:hint="eastAsia"/>
                <w:sz w:val="18"/>
              </w:rPr>
              <w:t xml:space="preserve">太陽光・冬</w:t>
            </w:r>
          </w:p>
        </w:tc>
        <w:tc>
          <w:tcPr/>
          <w:p>
            <w:pPr>
              <w:pStyle w:val="Compact"/>
              <w:jc w:val="right"/>
            </w:pPr>
            <w:r>
              <w:rPr>
                <w:sz w:val="18"/>
              </w:rPr>
              <w:t xml:space="preserve">−0.431</w:t>
            </w:r>
          </w:p>
        </w:tc>
        <w:tc>
          <w:tcPr/>
          <w:p>
            <w:pPr>
              <w:pStyle w:val="Compact"/>
              <w:jc w:val="right"/>
            </w:pPr>
            <w:r>
              <w:rPr>
                <w:sz w:val="18"/>
              </w:rPr>
              <w:t xml:space="preserve">−0.84〜−0.03</w:t>
            </w:r>
          </w:p>
        </w:tc>
        <w:tc>
          <w:tcPr/>
          <w:p>
            <w:pPr>
              <w:pStyle w:val="Compact"/>
              <w:jc w:val="right"/>
            </w:pPr>
            <w:r>
              <w:rPr>
                <w:sz w:val="18"/>
              </w:rPr>
              <w:t xml:space="preserve">−0.05</w:t>
            </w:r>
          </w:p>
        </w:tc>
        <w:tc>
          <w:tcPr/>
          <w:p>
            <w:pPr>
              <w:pStyle w:val="Compact"/>
              <w:jc w:val="right"/>
            </w:pPr>
            <w:r>
              <w:rPr>
                <w:sz w:val="18"/>
              </w:rPr>
              <w:t xml:space="preserve">−0.57***</w:t>
            </w:r>
          </w:p>
        </w:tc>
        <w:tc>
          <w:tcPr/>
          <w:p>
            <w:pPr>
              <w:pStyle w:val="Compact"/>
              <w:jc w:val="right"/>
            </w:pPr>
            <w:r>
              <w:rPr>
                <w:sz w:val="18"/>
              </w:rPr>
              <w:t xml:space="preserve">0.001</w:t>
            </w:r>
          </w:p>
        </w:tc>
        <w:tc>
          <w:tcPr/>
          <w:p>
            <w:pPr>
              <w:pStyle w:val="Compact"/>
              <w:jc w:val="right"/>
            </w:pPr>
            <w:r>
              <w:rPr>
                <w:sz w:val="18"/>
              </w:rPr>
              <w:t xml:space="preserve">0.003</w:t>
            </w:r>
          </w:p>
        </w:tc>
      </w:tr>
      <w:tr>
        <w:tc>
          <w:tcPr/>
          <w:p>
            <w:pPr>
              <w:pStyle w:val="Compact"/>
            </w:pPr>
            <w:r>
              <w:rPr>
                <w:rFonts w:hint="eastAsia"/>
                <w:sz w:val="18"/>
              </w:rPr>
              <w:t xml:space="preserve">太陽光・不需要期</w:t>
            </w:r>
          </w:p>
        </w:tc>
        <w:tc>
          <w:tcPr/>
          <w:p>
            <w:pPr>
              <w:pStyle w:val="Compact"/>
              <w:jc w:val="right"/>
            </w:pPr>
            <w:r>
              <w:rPr>
                <w:sz w:val="18"/>
              </w:rPr>
              <w:t xml:space="preserve">−0.345</w:t>
            </w:r>
          </w:p>
        </w:tc>
        <w:tc>
          <w:tcPr/>
          <w:p>
            <w:pPr>
              <w:pStyle w:val="Compact"/>
              <w:jc w:val="right"/>
            </w:pPr>
            <w:r>
              <w:rPr>
                <w:sz w:val="18"/>
              </w:rPr>
              <w:t xml:space="preserve">−0.73〜−0.05</w:t>
            </w:r>
          </w:p>
        </w:tc>
        <w:tc>
          <w:tcPr/>
          <w:p>
            <w:pPr>
              <w:pStyle w:val="Compact"/>
              <w:jc w:val="right"/>
            </w:pPr>
            <w:r>
              <w:rPr>
                <w:sz w:val="18"/>
              </w:rPr>
              <w:t xml:space="preserve">+0.42***</w:t>
            </w:r>
          </w:p>
        </w:tc>
        <w:tc>
          <w:tcPr/>
          <w:p>
            <w:pPr>
              <w:pStyle w:val="Compact"/>
              <w:jc w:val="right"/>
            </w:pPr>
            <w:r>
              <w:rPr>
                <w:sz w:val="18"/>
              </w:rPr>
              <w:t xml:space="preserve">−0.18*</w:t>
            </w:r>
          </w:p>
        </w:tc>
        <w:tc>
          <w:tcPr/>
          <w:p>
            <w:pPr>
              <w:pStyle w:val="Compact"/>
              <w:jc w:val="right"/>
            </w:pPr>
            <w:r>
              <w:rPr>
                <w:sz w:val="18"/>
              </w:rPr>
              <w:t xml:space="preserve">&lt;0.001</w:t>
            </w:r>
          </w:p>
        </w:tc>
        <w:tc>
          <w:tcPr/>
          <w:p>
            <w:pPr>
              <w:pStyle w:val="Compact"/>
              <w:jc w:val="right"/>
            </w:pPr>
            <w:r>
              <w:rPr>
                <w:sz w:val="18"/>
              </w:rPr>
              <w:t xml:space="preserve">&lt;0.001</w:t>
            </w:r>
          </w:p>
        </w:tc>
      </w:tr>
    </w:tbl>
    <w:p>
      <w:pPr>
        <w:pStyle w:val="TableNote"/>
      </w:pPr>
      <w:r>
        <w:rPr>
          <w:rFonts w:hint="eastAsia"/>
        </w:rPr>
        <w:t xml:space="preserve">注）単位は円/kWh</w:t>
      </w:r>
      <w:r>
        <w:t xml:space="preserve"> per </w:t>
      </w:r>
      <w:r>
        <w:rPr>
          <w:rFonts w:hint="eastAsia"/>
        </w:rPr>
        <w:t xml:space="preserve">GWh/日。表C.9</w:t>
      </w:r>
      <w:r>
        <w:t xml:space="preserve"> のパネルA </w:t>
      </w:r>
      <w:r>
        <w:rPr>
          <w:rFonts w:hint="eastAsia"/>
        </w:rPr>
        <w:t xml:space="preserve">と同じ計算を、2021年1月の31日を除いた標本で行った。日平均への効果は24時刻の平均。変動係数は求めていない。星と</w:t>
      </w:r>
      <w:r>
        <w:t xml:space="preserve"> p </w:t>
      </w:r>
      <w:r>
        <w:rPr>
          <w:rFonts w:hint="eastAsia"/>
        </w:rPr>
        <w:t xml:space="preserve">の求め方は表C.9</w:t>
      </w:r>
      <w:r>
        <w:t xml:space="preserve"> </w:t>
      </w:r>
      <w:r>
        <w:rPr>
          <w:rFonts w:hint="eastAsia"/>
        </w:rPr>
        <w:t xml:space="preserve">と同じ。2021年1月を除かない標本の日平均への効果は、FY2016〜25</w:t>
      </w:r>
      <w:r>
        <w:t xml:space="preserve"> </w:t>
      </w:r>
      <w:r>
        <w:rPr>
          <w:rFonts w:hint="eastAsia"/>
        </w:rPr>
        <w:t xml:space="preserve">では表5.2</w:t>
      </w:r>
      <w:r>
        <w:t xml:space="preserve"> </w:t>
      </w:r>
      <w:r>
        <w:rPr>
          <w:rFonts w:hint="eastAsia"/>
        </w:rPr>
        <w:t xml:space="preserve">の水準の係数に等しく、FY2023〜25</w:t>
      </w:r>
      <w:r>
        <w:t xml:space="preserve"> </w:t>
      </w:r>
      <w:r>
        <w:rPr>
          <w:rFonts w:hint="eastAsia"/>
        </w:rPr>
        <w:t xml:space="preserve">では風力が夏−0.202・冬−0.161・不需要期−0.302、太陽光が夏−0.228・冬−0.080・不需要期−0.242</w:t>
      </w:r>
      <w:r>
        <w:t xml:space="preserve"> である。</w:t>
      </w:r>
    </w:p>
    <w:p>
      <w:pPr>
        <w:pStyle w:val="TableNote"/>
      </w:pPr>
      <w:r>
        <w:rPr>
          <w:rFonts w:hint="eastAsia"/>
        </w:rPr>
        <w:t xml:space="preserve">出所）表5.2</w:t>
      </w:r>
      <w:r>
        <w:t xml:space="preserve"> </w:t>
      </w:r>
      <w:r>
        <w:rPr>
          <w:rFonts w:hint="eastAsia"/>
        </w:rPr>
        <w:t xml:space="preserve">と同じ（北海道のみ）。</w:t>
      </w:r>
    </w:p>
    <w:bookmarkEnd w:id="358"/>
    <w:bookmarkStart w:id="359" w:name="c.1.6-fuke-and-ohashi2025の仕様の再現"/>
    <w:p>
      <w:pPr>
        <w:pStyle w:val="Heading3"/>
      </w:pPr>
      <w:r>
        <w:t xml:space="preserve">C.1.6　Fuke and </w:t>
      </w:r>
      <w:r>
        <w:rPr>
          <w:rFonts w:hint="eastAsia"/>
        </w:rPr>
        <w:t xml:space="preserve">Ohashi（2025）の仕様の再現</w:t>
      </w:r>
    </w:p>
    <w:p>
      <w:pPr>
        <w:pStyle w:val="FirstParagraph"/>
      </w:pPr>
      <w:r>
        <w:rPr>
          <w:rFonts w:hint="eastAsia"/>
          <w:b/>
          <w:bCs/>
        </w:rPr>
        <w:t xml:space="preserve">仕様</w:t>
      </w:r>
      <w:r>
        <w:t xml:space="preserve">　Fuke and </w:t>
      </w:r>
      <w:r>
        <w:rPr>
          <w:rFonts w:hint="eastAsia"/>
        </w:rPr>
        <w:t xml:space="preserve">Ohashi（2025）に従い、被説明変数を太陽光が発電している時間帯の時間値価格の単純平均（以下、昼間平均価格）とする。説明変数は、季節ダミー（冬12/16〜3/15、春3/16〜6/30、夏7/1〜9/30、秋10/1〜12/15）と、需要（エリア需要＋域外送電）・太陽光・原子力との交互作用、7日分のラグ価格、土日祝ダミー、バイオマスの増設ダミー（2018年10月以降）である。τ=0.1〜0.9</w:t>
      </w:r>
      <w:r>
        <w:t xml:space="preserve"> </w:t>
      </w:r>
      <w:r>
        <w:rPr>
          <w:rFonts w:hint="eastAsia"/>
        </w:rPr>
        <w:t xml:space="preserve">の分位点回帰を推定し、変動性への効果を</w:t>
      </w:r>
      <w:r>
        <w:t xml:space="preserve"> </w:t>
      </w:r>
      <m:oMath>
        <m:sSub>
          <m:e>
            <m:r>
              <m:t>β</m:t>
            </m:r>
          </m:e>
          <m:sub>
            <m:r>
              <m:t>0.9</m:t>
            </m:r>
          </m:sub>
        </m:sSub>
        <m:r>
          <m:rPr>
            <m:sty m:val="p"/>
          </m:rPr>
          <m:t>−</m:t>
        </m:r>
        <m:sSub>
          <m:e>
            <m:r>
              <m:t>β</m:t>
            </m:r>
          </m:e>
          <m:sub>
            <m:r>
              <m:t>0.1</m:t>
            </m:r>
          </m:sub>
        </m:sSub>
      </m:oMath>
      <w:r>
        <w:rPr>
          <w:rFonts w:hint="eastAsia"/>
        </w:rPr>
        <w:t xml:space="preserve">（IQR</w:t>
      </w:r>
      <w:r>
        <w:t xml:space="preserve"> </w:t>
      </w:r>
      <w:r>
        <w:rPr>
          <w:rFonts w:hint="eastAsia"/>
        </w:rPr>
        <w:t xml:space="preserve">係数）で測る。次に、同じ日次の標本・同じ説明変数で、被説明変数を</w:t>
      </w:r>
      <w:r>
        <w:t xml:space="preserve"> TB4h </w:t>
      </w:r>
      <w:r>
        <w:rPr>
          <w:rFonts w:hint="eastAsia"/>
        </w:rPr>
        <w:t xml:space="preserve">に替えた最小二乗推定を行う。前者は昼間平均価格の日間の散らばりを、後者は日内の形状を測るので、両者の符号の違いは時間スケールの違いを示す。同じ仕様を北海道（風力を追加）と</w:t>
      </w:r>
      <w:r>
        <w:t xml:space="preserve"> FY2023〜25 </w:t>
      </w:r>
      <w:r>
        <w:rPr>
          <w:rFonts w:hint="eastAsia"/>
        </w:rPr>
        <w:t xml:space="preserve">にも当てる。IQR</w:t>
      </w:r>
      <w:r>
        <w:t xml:space="preserve"> </w:t>
      </w:r>
      <w:r>
        <w:rPr>
          <w:rFonts w:hint="eastAsia"/>
        </w:rPr>
        <w:t xml:space="preserve">係数は、原典に従う日の独立なペア・ブートストラップに加え、日単位の14日移動ブロック・ブートストラップ（299回）で検定する。TB4h</w:t>
      </w:r>
      <w:r>
        <w:t xml:space="preserve"> </w:t>
      </w:r>
      <w:r>
        <w:rPr>
          <w:rFonts w:hint="eastAsia"/>
        </w:rPr>
        <w:t xml:space="preserve">の推定は</w:t>
      </w:r>
      <w:r>
        <w:t xml:space="preserve"> </w:t>
      </w:r>
      <w:r>
        <w:rPr>
          <w:rFonts w:hint="eastAsia"/>
        </w:rPr>
        <w:t xml:space="preserve">EWC（暦日の格子、FY2016〜19</w:t>
      </w:r>
      <w:r>
        <w:t xml:space="preserve"> で</w:t>
      </w:r>
      <w:r>
        <w:t xml:space="preserve"> </w:t>
      </w:r>
      <m:oMath>
        <m:r>
          <m:t>ν</m:t>
        </m:r>
        <m:r>
          <m:rPr>
            <m:sty m:val="p"/>
          </m:rPr>
          <m:t>=</m:t>
        </m:r>
        <m:r>
          <m:t>51</m:t>
        </m:r>
      </m:oMath>
      <w:r>
        <w:t xml:space="preserve">、FY2023〜25 で</w:t>
      </w:r>
      <w:r>
        <w:t xml:space="preserve"> </w:t>
      </w:r>
      <m:oMath>
        <m:r>
          <m:t>ν</m:t>
        </m:r>
        <m:r>
          <m:rPr>
            <m:sty m:val="p"/>
          </m:rPr>
          <m:t>=</m:t>
        </m:r>
        <m:r>
          <m:t>42</m:t>
        </m:r>
      </m:oMath>
      <w:r>
        <w:rPr>
          <w:rFonts w:hint="eastAsia"/>
        </w:rPr>
        <w:t xml:space="preserve">）による。ただしこの仕様は7日分のラグ価格を右辺に含むので、残差の自己相関（0.36〜0.44）の下ではラグ価格が誤差と相関し、係数そのものにも偏りがありうる。EWC</w:t>
      </w:r>
      <w:r>
        <w:t xml:space="preserve"> </w:t>
      </w:r>
      <w:r>
        <w:rPr>
          <w:rFonts w:hint="eastAsia"/>
        </w:rPr>
        <w:t xml:space="preserve">はこの偏りを直さない。</w:t>
      </w:r>
    </w:p>
    <w:p>
      <w:pPr>
        <w:pStyle w:val="BodyText"/>
      </w:pPr>
      <w:r>
        <w:rPr>
          <w:rFonts w:hint="eastAsia"/>
          <w:b/>
          <w:bCs/>
        </w:rPr>
        <w:t xml:space="preserve">結果</w:t>
      </w:r>
      <w:r>
        <w:t xml:space="preserve">　</w:t>
      </w:r>
      <w:r>
        <w:rPr>
          <w:rFonts w:hint="eastAsia"/>
        </w:rPr>
        <w:t xml:space="preserve">九州の</w:t>
      </w:r>
      <w:r>
        <w:t xml:space="preserve"> FY2016〜19 </w:t>
      </w:r>
      <w:r>
        <w:rPr>
          <w:rFonts w:hint="eastAsia"/>
        </w:rPr>
        <w:t xml:space="preserve">で再現した結果を表C.11</w:t>
      </w:r>
      <w:r>
        <w:t xml:space="preserve"> </w:t>
      </w:r>
      <w:r>
        <w:rPr>
          <w:rFonts w:hint="eastAsia"/>
        </w:rPr>
        <w:t xml:space="preserve">に示す（n=1,434日、ペア・ブートストラップ150回）。需要の</w:t>
      </w:r>
      <w:r>
        <w:t xml:space="preserve"> IQR </w:t>
      </w:r>
      <w:r>
        <w:rPr>
          <w:rFonts w:hint="eastAsia"/>
        </w:rPr>
        <w:t xml:space="preserve">係数は夏だけ有意に正、太陽光の</w:t>
      </w:r>
      <w:r>
        <w:t xml:space="preserve"> IQR </w:t>
      </w:r>
      <w:r>
        <w:rPr>
          <w:rFonts w:hint="eastAsia"/>
        </w:rPr>
        <w:t xml:space="preserve">係数は春だけ有意に負で、夏は負だが有意でなく、秋・冬は有意でない。符号はすべての季節で原典の表9と一致し、有意な係数（夏の需要、春の太陽光）も同じである（春の太陽光は本研究で5%、原典で10%水準で有意）。大きさは冬を除いて近い。水準の分位点係数（太陽光は冬が最も負で夏が最も弱く、高分位ほど大きい）も再現された。需要に域外送電を加える近似、外れ値を除かないこと、祝日の判定の実装が原典と異なり、冬の差の一部はこれによる可能性がある（これらの違いの影響は個別には検証していない）。</w:t>
      </w:r>
    </w:p>
    <w:p>
      <w:pPr>
        <w:pStyle w:val="TableCaption"/>
      </w:pPr>
      <w:r>
        <w:rPr>
          <w:rFonts w:hint="eastAsia"/>
        </w:rPr>
        <w:t xml:space="preserve">表C.11</w:t>
      </w:r>
      <w:r>
        <w:t xml:space="preserve">　Fuke and </w:t>
      </w:r>
      <w:r>
        <w:rPr>
          <w:rFonts w:hint="eastAsia"/>
        </w:rPr>
        <w:t xml:space="preserve">Ohashi（2025）の仕様の再現（九州）</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C.11　Fuke and Ohashi（2025）の仕様の再現（九州）"/>
      </w:tblPr>
      <w:tblGrid>
        <w:gridCol w:w="1584"/>
        <w:gridCol w:w="1584"/>
        <w:gridCol w:w="1584"/>
        <w:gridCol w:w="1584"/>
        <w:gridCol w:w="1584"/>
      </w:tblGrid>
      <w:tr>
        <w:trPr>
          <w:tblHeader w:val="on"/>
        </w:trPr>
        <w:tc>
          <w:tcPr>
            <w:tcBorders>
              <w:bottom w:val="single" w:sz="6" w:color="000000"/>
            </w:tcBorders>
          </w:tcPr>
          <w:p>
            <w:pPr>
              <w:pStyle w:val="Compact"/>
            </w:pPr>
            <w:r>
              <w:rPr>
                <w:sz w:val="18"/>
              </w:rPr>
              <w:t xml:space="preserve">IQR </w:t>
            </w:r>
            <w:r>
              <w:rPr>
                <w:rFonts w:hint="eastAsia"/>
                <w:sz w:val="18"/>
              </w:rPr>
              <w:t xml:space="preserve">係数（</w:t>
            </w:r>
            <m:oMath>
              <m:sSub>
                <m:e>
                  <m:r>
                    <m:t>β</m:t>
                  </m:r>
                </m:e>
                <m:sub>
                  <m:r>
                    <m:t>0.9</m:t>
                  </m:r>
                </m:sub>
              </m:sSub>
              <m:r>
                <m:rPr>
                  <m:sty m:val="p"/>
                </m:rPr>
                <m:t>−</m:t>
              </m:r>
              <m:sSub>
                <m:e>
                  <m:r>
                    <m:t>β</m:t>
                  </m:r>
                </m:e>
                <m:sub>
                  <m:r>
                    <m:t>0.1</m:t>
                  </m:r>
                </m:sub>
              </m:sSub>
            </m:oMath>
            <w:r>
              <w:rPr>
                <w:rFonts w:hint="eastAsia"/>
                <w:sz w:val="18"/>
              </w:rPr>
              <w:t xml:space="preserve">）</w:t>
            </w:r>
          </w:p>
        </w:tc>
        <w:tc>
          <w:tcPr>
            <w:tcBorders>
              <w:bottom w:val="single" w:sz="6" w:color="000000"/>
            </w:tcBorders>
          </w:tcPr>
          <w:p>
            <w:pPr>
              <w:pStyle w:val="Compact"/>
              <w:jc w:val="right"/>
            </w:pPr>
            <w:r>
              <w:rPr>
                <w:rFonts w:hint="eastAsia"/>
                <w:sz w:val="18"/>
              </w:rPr>
              <w:t xml:space="preserve">冬</w:t>
            </w:r>
          </w:p>
        </w:tc>
        <w:tc>
          <w:tcPr>
            <w:tcBorders>
              <w:bottom w:val="single" w:sz="6" w:color="000000"/>
            </w:tcBorders>
          </w:tcPr>
          <w:p>
            <w:pPr>
              <w:pStyle w:val="Compact"/>
              <w:jc w:val="right"/>
            </w:pPr>
            <w:r>
              <w:rPr>
                <w:rFonts w:hint="eastAsia"/>
                <w:sz w:val="18"/>
              </w:rPr>
              <w:t xml:space="preserve">春</w:t>
            </w:r>
          </w:p>
        </w:tc>
        <w:tc>
          <w:tcPr>
            <w:tcBorders>
              <w:bottom w:val="single" w:sz="6" w:color="000000"/>
            </w:tcBorders>
          </w:tcPr>
          <w:p>
            <w:pPr>
              <w:pStyle w:val="Compact"/>
              <w:jc w:val="right"/>
            </w:pPr>
            <w:r>
              <w:rPr>
                <w:rFonts w:hint="eastAsia"/>
                <w:sz w:val="18"/>
              </w:rPr>
              <w:t xml:space="preserve">夏</w:t>
            </w:r>
          </w:p>
        </w:tc>
        <w:tc>
          <w:tcPr>
            <w:tcBorders>
              <w:bottom w:val="single" w:sz="6" w:color="000000"/>
            </w:tcBorders>
          </w:tcPr>
          <w:p>
            <w:pPr>
              <w:pStyle w:val="Compact"/>
              <w:jc w:val="right"/>
            </w:pPr>
            <w:r>
              <w:rPr>
                <w:rFonts w:hint="eastAsia"/>
                <w:sz w:val="18"/>
              </w:rPr>
              <w:t xml:space="preserve">秋</w:t>
            </w:r>
          </w:p>
        </w:tc>
      </w:tr>
      <w:tr>
        <w:tc>
          <w:tcPr/>
          <w:p>
            <w:pPr>
              <w:pStyle w:val="Compact"/>
            </w:pPr>
            <w:r>
              <w:rPr>
                <w:rFonts w:hint="eastAsia"/>
                <w:sz w:val="18"/>
              </w:rPr>
              <w:t xml:space="preserve">需要：本研究の再現</w:t>
            </w:r>
          </w:p>
        </w:tc>
        <w:tc>
          <w:tcPr/>
          <w:p>
            <w:pPr>
              <w:pStyle w:val="Compact"/>
              <w:jc w:val="right"/>
            </w:pPr>
            <w:r>
              <w:rPr>
                <w:sz w:val="18"/>
              </w:rPr>
              <w:t xml:space="preserve">0.111</w:t>
            </w:r>
          </w:p>
        </w:tc>
        <w:tc>
          <w:tcPr/>
          <w:p>
            <w:pPr>
              <w:pStyle w:val="Compact"/>
              <w:jc w:val="right"/>
            </w:pPr>
            <w:r>
              <w:rPr>
                <w:sz w:val="18"/>
              </w:rPr>
              <w:t xml:space="preserve">0.158</w:t>
            </w:r>
          </w:p>
        </w:tc>
        <w:tc>
          <w:tcPr/>
          <w:p>
            <w:pPr>
              <w:pStyle w:val="Compact"/>
              <w:jc w:val="right"/>
            </w:pPr>
            <w:r>
              <w:rPr>
                <w:sz w:val="18"/>
              </w:rPr>
              <w:t xml:space="preserve">0.330**</w:t>
            </w:r>
          </w:p>
        </w:tc>
        <w:tc>
          <w:tcPr/>
          <w:p>
            <w:pPr>
              <w:pStyle w:val="Compact"/>
              <w:jc w:val="right"/>
            </w:pPr>
            <w:r>
              <w:rPr>
                <w:sz w:val="18"/>
              </w:rPr>
              <w:t xml:space="preserve">0.168</w:t>
            </w:r>
          </w:p>
        </w:tc>
      </w:tr>
      <w:tr>
        <w:tc>
          <w:tcPr/>
          <w:p>
            <w:pPr>
              <w:pStyle w:val="Compact"/>
            </w:pPr>
            <w:r>
              <w:rPr>
                <w:rFonts w:hint="eastAsia"/>
                <w:sz w:val="18"/>
              </w:rPr>
              <w:t xml:space="preserve">需要：原典の表9</w:t>
            </w:r>
          </w:p>
        </w:tc>
        <w:tc>
          <w:tcPr/>
          <w:p>
            <w:pPr>
              <w:pStyle w:val="Compact"/>
              <w:jc w:val="right"/>
            </w:pPr>
            <w:r>
              <w:rPr>
                <w:sz w:val="18"/>
              </w:rPr>
              <w:t xml:space="preserve">0.189</w:t>
            </w:r>
          </w:p>
        </w:tc>
        <w:tc>
          <w:tcPr/>
          <w:p>
            <w:pPr>
              <w:pStyle w:val="Compact"/>
              <w:jc w:val="right"/>
            </w:pPr>
            <w:r>
              <w:rPr>
                <w:sz w:val="18"/>
              </w:rPr>
              <w:t xml:space="preserve">0.195</w:t>
            </w:r>
          </w:p>
        </w:tc>
        <w:tc>
          <w:tcPr/>
          <w:p>
            <w:pPr>
              <w:pStyle w:val="Compact"/>
              <w:jc w:val="right"/>
            </w:pPr>
            <w:r>
              <w:rPr>
                <w:sz w:val="18"/>
              </w:rPr>
              <w:t xml:space="preserve">0.325**</w:t>
            </w:r>
          </w:p>
        </w:tc>
        <w:tc>
          <w:tcPr/>
          <w:p>
            <w:pPr>
              <w:pStyle w:val="Compact"/>
              <w:jc w:val="right"/>
            </w:pPr>
            <w:r>
              <w:rPr>
                <w:sz w:val="18"/>
              </w:rPr>
              <w:t xml:space="preserve">0.212</w:t>
            </w:r>
          </w:p>
        </w:tc>
      </w:tr>
      <w:tr>
        <w:tc>
          <w:tcPr/>
          <w:p>
            <w:pPr>
              <w:pStyle w:val="Compact"/>
            </w:pPr>
            <w:r>
              <w:rPr>
                <w:rFonts w:hint="eastAsia"/>
                <w:sz w:val="18"/>
              </w:rPr>
              <w:t xml:space="preserve">太陽光：本研究の再現</w:t>
            </w:r>
          </w:p>
        </w:tc>
        <w:tc>
          <w:tcPr/>
          <w:p>
            <w:pPr>
              <w:pStyle w:val="Compact"/>
              <w:jc w:val="right"/>
            </w:pPr>
            <w:r>
              <w:rPr>
                <w:sz w:val="18"/>
              </w:rPr>
              <w:t xml:space="preserve">−0.100</w:t>
            </w:r>
          </w:p>
        </w:tc>
        <w:tc>
          <w:tcPr/>
          <w:p>
            <w:pPr>
              <w:pStyle w:val="Compact"/>
              <w:jc w:val="right"/>
            </w:pPr>
            <w:r>
              <w:rPr>
                <w:sz w:val="18"/>
              </w:rPr>
              <w:t xml:space="preserve">−0.259**</w:t>
            </w:r>
          </w:p>
        </w:tc>
        <w:tc>
          <w:tcPr/>
          <w:p>
            <w:pPr>
              <w:pStyle w:val="Compact"/>
              <w:jc w:val="right"/>
            </w:pPr>
            <w:r>
              <w:rPr>
                <w:sz w:val="18"/>
              </w:rPr>
              <w:t xml:space="preserve">−0.421</w:t>
            </w:r>
          </w:p>
        </w:tc>
        <w:tc>
          <w:tcPr/>
          <w:p>
            <w:pPr>
              <w:pStyle w:val="Compact"/>
              <w:jc w:val="right"/>
            </w:pPr>
            <w:r>
              <w:rPr>
                <w:sz w:val="18"/>
              </w:rPr>
              <w:t xml:space="preserve">−0.189</w:t>
            </w:r>
          </w:p>
        </w:tc>
      </w:tr>
      <w:tr>
        <w:tc>
          <w:tcPr/>
          <w:p>
            <w:pPr>
              <w:pStyle w:val="Compact"/>
            </w:pPr>
            <w:r>
              <w:rPr>
                <w:rFonts w:hint="eastAsia"/>
                <w:sz w:val="18"/>
              </w:rPr>
              <w:t xml:space="preserve">太陽光：原典の表9</w:t>
            </w:r>
          </w:p>
        </w:tc>
        <w:tc>
          <w:tcPr/>
          <w:p>
            <w:pPr>
              <w:pStyle w:val="Compact"/>
              <w:jc w:val="right"/>
            </w:pPr>
            <w:r>
              <w:rPr>
                <w:sz w:val="18"/>
              </w:rPr>
              <w:t xml:space="preserve">−0.280</w:t>
            </w:r>
          </w:p>
        </w:tc>
        <w:tc>
          <w:tcPr/>
          <w:p>
            <w:pPr>
              <w:pStyle w:val="Compact"/>
              <w:jc w:val="right"/>
            </w:pPr>
            <w:r>
              <w:rPr>
                <w:sz w:val="18"/>
              </w:rPr>
              <w:t xml:space="preserve">−0.228*</w:t>
            </w:r>
          </w:p>
        </w:tc>
        <w:tc>
          <w:tcPr/>
          <w:p>
            <w:pPr>
              <w:pStyle w:val="Compact"/>
              <w:jc w:val="right"/>
            </w:pPr>
            <w:r>
              <w:rPr>
                <w:sz w:val="18"/>
              </w:rPr>
              <w:t xml:space="preserve">−0.356</w:t>
            </w:r>
          </w:p>
        </w:tc>
        <w:tc>
          <w:tcPr/>
          <w:p>
            <w:pPr>
              <w:pStyle w:val="Compact"/>
              <w:jc w:val="right"/>
            </w:pPr>
            <w:r>
              <w:rPr>
                <w:sz w:val="18"/>
              </w:rPr>
              <w:t xml:space="preserve">−0.197</w:t>
            </w:r>
          </w:p>
        </w:tc>
      </w:tr>
    </w:tbl>
    <w:p>
      <w:pPr>
        <w:pStyle w:val="TableNote"/>
      </w:pPr>
      <w:r>
        <w:rPr>
          <w:rFonts w:hint="eastAsia"/>
        </w:rPr>
        <w:t xml:space="preserve">注）九州の</w:t>
      </w:r>
      <w:r>
        <w:t xml:space="preserve"> FY2016〜19 </w:t>
      </w:r>
      <w:r>
        <w:rPr>
          <w:rFonts w:hint="eastAsia"/>
        </w:rPr>
        <w:t xml:space="preserve">の日次（1,434日）。単位は円/kWh</w:t>
      </w:r>
      <w:r>
        <w:t xml:space="preserve"> per GW。***、**、* </w:t>
      </w:r>
      <w:r>
        <w:rPr>
          <w:rFonts w:hint="eastAsia"/>
        </w:rPr>
        <w:t xml:space="preserve">はそれぞれ1%、5%、10%水準で有意。本研究の再現の星は、日を独立とみなすペア・ブートストラップ（150回）の標準誤差による正規近似の</w:t>
      </w:r>
      <w:r>
        <w:t xml:space="preserve"> p </w:t>
      </w:r>
      <w:r>
        <w:rPr>
          <w:rFonts w:hint="eastAsia"/>
        </w:rPr>
        <w:t xml:space="preserve">値による。日の系列相関を考慮する日単位の14日移動ブロック・ブートストラップ（299回）でも、本研究の再現の星は変わらない。原典の星は原典のまま。</w:t>
      </w:r>
    </w:p>
    <w:p>
      <w:pPr>
        <w:pStyle w:val="TableNote"/>
      </w:pPr>
      <w:r>
        <w:rPr>
          <w:rFonts w:hint="eastAsia"/>
        </w:rPr>
        <w:t xml:space="preserve">出所）日本卸電力取引所『スポット市場取引結果』、九州電力送配電『エリア需給実績』より筆者作成。原典の値は</w:t>
      </w:r>
      <w:r>
        <w:t xml:space="preserve"> Fuke and </w:t>
      </w:r>
      <w:r>
        <w:rPr>
          <w:rFonts w:hint="eastAsia"/>
        </w:rPr>
        <w:t xml:space="preserve">Ohashi（2025）の表9。</w:t>
      </w:r>
    </w:p>
    <w:bookmarkEnd w:id="359"/>
    <w:bookmarkStart w:id="360" w:name="c.1.7-同じ標本で被説明変数を日内スプレッドに替えた結果"/>
    <w:p>
      <w:pPr>
        <w:pStyle w:val="Heading3"/>
      </w:pPr>
      <w:r>
        <w:t xml:space="preserve">C.1.7　</w:t>
      </w:r>
      <w:r>
        <w:rPr>
          <w:rFonts w:hint="eastAsia"/>
        </w:rPr>
        <w:t xml:space="preserve">同じ標本で被説明変数を日内スプレッドに替えた結果</w:t>
      </w:r>
    </w:p>
    <w:p>
      <w:pPr>
        <w:pStyle w:val="FirstParagraph"/>
      </w:pPr>
      <w:r>
        <w:rPr>
          <w:rFonts w:hint="eastAsia"/>
        </w:rPr>
        <w:t xml:space="preserve">表C.12</w:t>
      </w:r>
      <w:r>
        <w:t xml:space="preserve"> </w:t>
      </w:r>
      <w:r>
        <w:rPr>
          <w:rFonts w:hint="eastAsia"/>
        </w:rPr>
        <w:t xml:space="preserve">は、同じ日次の標本・同じ説明変数で、被説明変数を</w:t>
      </w:r>
      <w:r>
        <w:t xml:space="preserve"> TB4h </w:t>
      </w:r>
      <w:r>
        <w:rPr>
          <w:rFonts w:hint="eastAsia"/>
        </w:rPr>
        <w:t xml:space="preserve">に替えた推定を、日間の</w:t>
      </w:r>
      <w:r>
        <w:t xml:space="preserve"> IQR </w:t>
      </w:r>
      <w:r>
        <w:rPr>
          <w:rFonts w:hint="eastAsia"/>
        </w:rPr>
        <w:t xml:space="preserve">係数と並べたものである。九州の</w:t>
      </w:r>
      <w:r>
        <w:t xml:space="preserve"> FY2016〜19 </w:t>
      </w:r>
      <w:r>
        <w:rPr>
          <w:rFonts w:hint="eastAsia"/>
        </w:rPr>
        <w:t xml:space="preserve">の春は、太陽光の係数が日間の</w:t>
      </w:r>
      <w:r>
        <w:t xml:space="preserve"> IQR </w:t>
      </w:r>
      <w:r>
        <w:rPr>
          <w:rFonts w:hint="eastAsia"/>
        </w:rPr>
        <w:t xml:space="preserve">で負（−0.259、5%水準で有意）、日内の</w:t>
      </w:r>
      <w:r>
        <w:t xml:space="preserve"> TB4h </w:t>
      </w:r>
      <w:r>
        <w:rPr>
          <w:rFonts w:hint="eastAsia"/>
        </w:rPr>
        <w:t xml:space="preserve">で正（+0.284、EWC</w:t>
      </w:r>
      <w:r>
        <w:t xml:space="preserve"> </w:t>
      </w:r>
      <w:r>
        <w:rPr>
          <w:rFonts w:hint="eastAsia"/>
        </w:rPr>
        <w:t xml:space="preserve">では有意でない）と符号が分かれる。冬・秋の</w:t>
      </w:r>
      <w:r>
        <w:t xml:space="preserve"> TB4h は EWC </w:t>
      </w:r>
      <w:r>
        <w:rPr>
          <w:rFonts w:hint="eastAsia"/>
        </w:rPr>
        <w:t xml:space="preserve">でも5%水準で有意である（+0.739、+0.913）。夏は両指標とも効果が弱い。冷房需要と日射が同じ方向に動くため昼間平均価格が安定し、日内の落ち込みも需要に吸収されるためである。FY2023〜25</w:t>
      </w:r>
      <w:r>
        <w:t xml:space="preserve"> </w:t>
      </w:r>
      <w:r>
        <w:rPr>
          <w:rFonts w:hint="eastAsia"/>
        </w:rPr>
        <w:t xml:space="preserve">の九州では乖離がさらに明瞭で、太陽光は冬・春に日間の</w:t>
      </w:r>
      <w:r>
        <w:t xml:space="preserve"> IQR </w:t>
      </w:r>
      <w:r>
        <w:rPr>
          <w:rFonts w:hint="eastAsia"/>
        </w:rPr>
        <w:t xml:space="preserve">を1%水準で縮め（−0.54、−0.74。夏・秋も負だが有意でない）、冬・春・秋に</w:t>
      </w:r>
      <w:r>
        <w:t xml:space="preserve"> TB4h </w:t>
      </w:r>
      <w:r>
        <w:rPr>
          <w:rFonts w:hint="eastAsia"/>
        </w:rPr>
        <w:t xml:space="preserve">を1%水準で広げる（+1.68〜+2.15。夏も+0.77で10%水準で有意）。北海道の</w:t>
      </w:r>
      <w:r>
        <w:t xml:space="preserve"> FY2023〜25 </w:t>
      </w:r>
      <w:r>
        <w:rPr>
          <w:rFonts w:hint="eastAsia"/>
        </w:rPr>
        <w:t xml:space="preserve">の太陽光も、TB4h</w:t>
      </w:r>
      <w:r>
        <w:t xml:space="preserve"> </w:t>
      </w:r>
      <w:r>
        <w:rPr>
          <w:rFonts w:hint="eastAsia"/>
        </w:rPr>
        <w:t xml:space="preserve">を全季節で5%以上の水準で広げる（+4.40〜+7.72）一方、日間の</w:t>
      </w:r>
      <w:r>
        <w:t xml:space="preserve"> IQR </w:t>
      </w:r>
      <w:r>
        <w:rPr>
          <w:rFonts w:hint="eastAsia"/>
        </w:rPr>
        <w:t xml:space="preserve">は春・秋に負である（10%水準）。太陽光は昼間平均価格を日々安定させながら、昼と夕方の差を開いている。</w:t>
      </w:r>
    </w:p>
    <w:p>
      <w:pPr>
        <w:pStyle w:val="TableCaption"/>
      </w:pPr>
      <w:r>
        <w:rPr>
          <w:rFonts w:hint="eastAsia"/>
        </w:rPr>
        <w:t xml:space="preserve">表C.12</w:t>
      </w:r>
      <w:r>
        <w:t xml:space="preserve">　</w:t>
      </w:r>
      <w:r>
        <w:rPr>
          <w:rFonts w:hint="eastAsia"/>
        </w:rPr>
        <w:t xml:space="preserve">太陽光の日間変動性（IQR</w:t>
      </w:r>
      <w:r>
        <w:t xml:space="preserve"> </w:t>
      </w:r>
      <w:r>
        <w:rPr>
          <w:rFonts w:hint="eastAsia"/>
        </w:rPr>
        <w:t xml:space="preserve">係数）と日内スプレッド（TB4h）への効果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2　太陽光の日間変動性（IQR 係数）と日内スプレッド（TB4h）への効果"/>
      </w:tblPr>
      <w:tblGrid>
        <w:gridCol w:w="1250"/>
        <w:gridCol w:w="1667"/>
        <w:gridCol w:w="1667"/>
        <w:gridCol w:w="1667"/>
        <w:gridCol w:w="1667"/>
      </w:tblGrid>
      <w:tr>
        <w:trPr>
          <w:tblHeader w:val="on"/>
        </w:trPr>
        <w:tc>
          <w:tcPr>
            <w:tcBorders>
              <w:bottom w:val="single" w:sz="6" w:color="000000"/>
            </w:tcBorders>
          </w:tcPr>
          <w:p>
            <w:pPr>
              <w:pStyle w:val="Compact"/>
            </w:pPr>
            <w:r>
              <w:rPr>
                <w:rFonts w:hint="eastAsia"/>
                <w:sz w:val="18"/>
              </w:rPr>
              <w:t xml:space="preserve">太陽光の係数</w:t>
            </w:r>
          </w:p>
        </w:tc>
        <w:tc>
          <w:tcPr>
            <w:tcBorders>
              <w:bottom w:val="single" w:sz="6" w:color="000000"/>
            </w:tcBorders>
          </w:tcPr>
          <w:p>
            <w:pPr>
              <w:pStyle w:val="Compact"/>
              <w:jc w:val="right"/>
            </w:pPr>
            <w:r>
              <w:rPr>
                <w:rFonts w:hint="eastAsia"/>
                <w:sz w:val="18"/>
              </w:rPr>
              <w:t xml:space="preserve">冬</w:t>
            </w:r>
          </w:p>
        </w:tc>
        <w:tc>
          <w:tcPr>
            <w:tcBorders>
              <w:bottom w:val="single" w:sz="6" w:color="000000"/>
            </w:tcBorders>
          </w:tcPr>
          <w:p>
            <w:pPr>
              <w:pStyle w:val="Compact"/>
              <w:jc w:val="right"/>
            </w:pPr>
            <w:r>
              <w:rPr>
                <w:rFonts w:hint="eastAsia"/>
                <w:sz w:val="18"/>
              </w:rPr>
              <w:t xml:space="preserve">春</w:t>
            </w:r>
          </w:p>
        </w:tc>
        <w:tc>
          <w:tcPr>
            <w:tcBorders>
              <w:bottom w:val="single" w:sz="6" w:color="000000"/>
            </w:tcBorders>
          </w:tcPr>
          <w:p>
            <w:pPr>
              <w:pStyle w:val="Compact"/>
              <w:jc w:val="right"/>
            </w:pPr>
            <w:r>
              <w:rPr>
                <w:rFonts w:hint="eastAsia"/>
                <w:sz w:val="18"/>
              </w:rPr>
              <w:t xml:space="preserve">夏</w:t>
            </w:r>
          </w:p>
        </w:tc>
        <w:tc>
          <w:tcPr>
            <w:tcBorders>
              <w:bottom w:val="single" w:sz="6" w:color="000000"/>
            </w:tcBorders>
          </w:tcPr>
          <w:p>
            <w:pPr>
              <w:pStyle w:val="Compact"/>
              <w:jc w:val="right"/>
            </w:pPr>
            <w:r>
              <w:rPr>
                <w:rFonts w:hint="eastAsia"/>
                <w:sz w:val="18"/>
              </w:rPr>
              <w:t xml:space="preserve">秋</w:t>
            </w:r>
          </w:p>
        </w:tc>
      </w:tr>
      <w:tr>
        <w:tc>
          <w:tcPr/>
          <w:p>
            <w:pPr>
              <w:pStyle w:val="Compact"/>
            </w:pPr>
            <w:r>
              <w:rPr>
                <w:rFonts w:hint="eastAsia"/>
                <w:sz w:val="18"/>
              </w:rPr>
              <w:t xml:space="preserve">九州</w:t>
            </w:r>
            <w:r>
              <w:rPr>
                <w:sz w:val="18"/>
              </w:rPr>
              <w:t xml:space="preserve"> </w:t>
            </w:r>
            <w:r>
              <w:rPr>
                <w:rFonts w:hint="eastAsia"/>
                <w:sz w:val="18"/>
              </w:rPr>
              <w:t xml:space="preserve">FY2016〜19：日間</w:t>
            </w:r>
            <w:r>
              <w:rPr>
                <w:sz w:val="18"/>
              </w:rPr>
              <w:t xml:space="preserve"> IQR</w:t>
            </w:r>
          </w:p>
        </w:tc>
        <w:tc>
          <w:tcPr/>
          <w:p>
            <w:pPr>
              <w:pStyle w:val="Compact"/>
              <w:jc w:val="right"/>
            </w:pPr>
            <w:r>
              <w:rPr>
                <w:sz w:val="18"/>
              </w:rPr>
              <w:t xml:space="preserve">−0.100</w:t>
            </w:r>
          </w:p>
        </w:tc>
        <w:tc>
          <w:tcPr/>
          <w:p>
            <w:pPr>
              <w:pStyle w:val="Compact"/>
              <w:jc w:val="right"/>
            </w:pPr>
            <w:r>
              <w:rPr>
                <w:sz w:val="18"/>
              </w:rPr>
              <w:t xml:space="preserve">−0.259**</w:t>
            </w:r>
          </w:p>
        </w:tc>
        <w:tc>
          <w:tcPr/>
          <w:p>
            <w:pPr>
              <w:pStyle w:val="Compact"/>
              <w:jc w:val="right"/>
            </w:pPr>
            <w:r>
              <w:rPr>
                <w:sz w:val="18"/>
              </w:rPr>
              <w:t xml:space="preserve">−0.421</w:t>
            </w:r>
          </w:p>
        </w:tc>
        <w:tc>
          <w:tcPr/>
          <w:p>
            <w:pPr>
              <w:pStyle w:val="Compact"/>
              <w:jc w:val="right"/>
            </w:pPr>
            <w:r>
              <w:rPr>
                <w:sz w:val="18"/>
              </w:rPr>
              <w:t xml:space="preserve">−0.189</w:t>
            </w:r>
          </w:p>
        </w:tc>
      </w:tr>
      <w:tr>
        <w:tc>
          <w:tcPr/>
          <w:p>
            <w:pPr>
              <w:pStyle w:val="Compact"/>
            </w:pPr>
            <w:r>
              <w:rPr>
                <w:rFonts w:hint="eastAsia"/>
                <w:sz w:val="18"/>
              </w:rPr>
              <w:t xml:space="preserve">九州</w:t>
            </w:r>
            <w:r>
              <w:rPr>
                <w:sz w:val="18"/>
              </w:rPr>
              <w:t xml:space="preserve"> </w:t>
            </w:r>
            <w:r>
              <w:rPr>
                <w:rFonts w:hint="eastAsia"/>
                <w:sz w:val="18"/>
              </w:rPr>
              <w:t xml:space="preserve">FY2016〜19：日内</w:t>
            </w:r>
            <w:r>
              <w:rPr>
                <w:sz w:val="18"/>
              </w:rPr>
              <w:t xml:space="preserve"> TB4h</w:t>
            </w:r>
          </w:p>
        </w:tc>
        <w:tc>
          <w:tcPr/>
          <w:p>
            <w:pPr>
              <w:pStyle w:val="Compact"/>
              <w:jc w:val="right"/>
            </w:pPr>
            <w:r>
              <w:rPr>
                <w:sz w:val="18"/>
              </w:rPr>
              <w:t xml:space="preserve">+0.739**</w:t>
            </w:r>
          </w:p>
        </w:tc>
        <w:tc>
          <w:tcPr/>
          <w:p>
            <w:pPr>
              <w:pStyle w:val="Compact"/>
              <w:jc w:val="right"/>
            </w:pPr>
            <w:r>
              <w:rPr>
                <w:sz w:val="18"/>
              </w:rPr>
              <w:t xml:space="preserve">+0.284</w:t>
            </w:r>
          </w:p>
        </w:tc>
        <w:tc>
          <w:tcPr/>
          <w:p>
            <w:pPr>
              <w:pStyle w:val="Compact"/>
              <w:jc w:val="right"/>
            </w:pPr>
            <w:r>
              <w:rPr>
                <w:sz w:val="18"/>
              </w:rPr>
              <w:t xml:space="preserve">+0.016</w:t>
            </w:r>
          </w:p>
        </w:tc>
        <w:tc>
          <w:tcPr/>
          <w:p>
            <w:pPr>
              <w:pStyle w:val="Compact"/>
              <w:jc w:val="right"/>
            </w:pPr>
            <w:r>
              <w:rPr>
                <w:sz w:val="18"/>
              </w:rPr>
              <w:t xml:space="preserve">+0.913**</w:t>
            </w:r>
          </w:p>
        </w:tc>
      </w:tr>
      <w:tr>
        <w:tc>
          <w:tcPr/>
          <w:p>
            <w:pPr>
              <w:pStyle w:val="Compact"/>
            </w:pPr>
            <w:r>
              <w:rPr>
                <w:rFonts w:hint="eastAsia"/>
                <w:sz w:val="18"/>
              </w:rPr>
              <w:t xml:space="preserve">九州</w:t>
            </w:r>
            <w:r>
              <w:rPr>
                <w:sz w:val="18"/>
              </w:rPr>
              <w:t xml:space="preserve"> </w:t>
            </w:r>
            <w:r>
              <w:rPr>
                <w:rFonts w:hint="eastAsia"/>
                <w:sz w:val="18"/>
              </w:rPr>
              <w:t xml:space="preserve">FY2023〜25：日間</w:t>
            </w:r>
            <w:r>
              <w:rPr>
                <w:sz w:val="18"/>
              </w:rPr>
              <w:t xml:space="preserve"> IQR</w:t>
            </w:r>
          </w:p>
        </w:tc>
        <w:tc>
          <w:tcPr/>
          <w:p>
            <w:pPr>
              <w:pStyle w:val="Compact"/>
              <w:jc w:val="right"/>
            </w:pPr>
            <w:r>
              <w:rPr>
                <w:sz w:val="18"/>
              </w:rPr>
              <w:t xml:space="preserve">−0.542***</w:t>
            </w:r>
          </w:p>
        </w:tc>
        <w:tc>
          <w:tcPr/>
          <w:p>
            <w:pPr>
              <w:pStyle w:val="Compact"/>
              <w:jc w:val="right"/>
            </w:pPr>
            <w:r>
              <w:rPr>
                <w:sz w:val="18"/>
              </w:rPr>
              <w:t xml:space="preserve">−0.738***</w:t>
            </w:r>
          </w:p>
        </w:tc>
        <w:tc>
          <w:tcPr/>
          <w:p>
            <w:pPr>
              <w:pStyle w:val="Compact"/>
              <w:jc w:val="right"/>
            </w:pPr>
            <w:r>
              <w:rPr>
                <w:sz w:val="18"/>
              </w:rPr>
              <w:t xml:space="preserve">−0.478</w:t>
            </w:r>
          </w:p>
        </w:tc>
        <w:tc>
          <w:tcPr/>
          <w:p>
            <w:pPr>
              <w:pStyle w:val="Compact"/>
              <w:jc w:val="right"/>
            </w:pPr>
            <w:r>
              <w:rPr>
                <w:sz w:val="18"/>
              </w:rPr>
              <w:t xml:space="preserve">−0.423</w:t>
            </w:r>
          </w:p>
        </w:tc>
      </w:tr>
      <w:tr>
        <w:tc>
          <w:tcPr/>
          <w:p>
            <w:pPr>
              <w:pStyle w:val="Compact"/>
            </w:pPr>
            <w:r>
              <w:rPr>
                <w:rFonts w:hint="eastAsia"/>
                <w:sz w:val="18"/>
              </w:rPr>
              <w:t xml:space="preserve">九州</w:t>
            </w:r>
            <w:r>
              <w:rPr>
                <w:sz w:val="18"/>
              </w:rPr>
              <w:t xml:space="preserve"> </w:t>
            </w:r>
            <w:r>
              <w:rPr>
                <w:rFonts w:hint="eastAsia"/>
                <w:sz w:val="18"/>
              </w:rPr>
              <w:t xml:space="preserve">FY2023〜25：日内</w:t>
            </w:r>
            <w:r>
              <w:rPr>
                <w:sz w:val="18"/>
              </w:rPr>
              <w:t xml:space="preserve"> TB4h</w:t>
            </w:r>
          </w:p>
        </w:tc>
        <w:tc>
          <w:tcPr/>
          <w:p>
            <w:pPr>
              <w:pStyle w:val="Compact"/>
              <w:jc w:val="right"/>
            </w:pPr>
            <w:r>
              <w:rPr>
                <w:sz w:val="18"/>
              </w:rPr>
              <w:t xml:space="preserve">+2.111***</w:t>
            </w:r>
          </w:p>
        </w:tc>
        <w:tc>
          <w:tcPr/>
          <w:p>
            <w:pPr>
              <w:pStyle w:val="Compact"/>
              <w:jc w:val="right"/>
            </w:pPr>
            <w:r>
              <w:rPr>
                <w:sz w:val="18"/>
              </w:rPr>
              <w:t xml:space="preserve">+1.678***</w:t>
            </w:r>
          </w:p>
        </w:tc>
        <w:tc>
          <w:tcPr/>
          <w:p>
            <w:pPr>
              <w:pStyle w:val="Compact"/>
              <w:jc w:val="right"/>
            </w:pPr>
            <w:r>
              <w:rPr>
                <w:sz w:val="18"/>
              </w:rPr>
              <w:t xml:space="preserve">+0.770*</w:t>
            </w:r>
          </w:p>
        </w:tc>
        <w:tc>
          <w:tcPr/>
          <w:p>
            <w:pPr>
              <w:pStyle w:val="Compact"/>
              <w:jc w:val="right"/>
            </w:pPr>
            <w:r>
              <w:rPr>
                <w:sz w:val="18"/>
              </w:rPr>
              <w:t xml:space="preserve">+2.152***</w:t>
            </w:r>
          </w:p>
        </w:tc>
      </w:tr>
      <w:tr>
        <w:tc>
          <w:tcPr/>
          <w:p>
            <w:pPr>
              <w:pStyle w:val="Compact"/>
            </w:pPr>
            <w:r>
              <w:rPr>
                <w:rFonts w:hint="eastAsia"/>
                <w:sz w:val="18"/>
              </w:rPr>
              <w:t xml:space="preserve">北海道</w:t>
            </w:r>
            <w:r>
              <w:rPr>
                <w:sz w:val="18"/>
              </w:rPr>
              <w:t xml:space="preserve"> </w:t>
            </w:r>
            <w:r>
              <w:rPr>
                <w:rFonts w:hint="eastAsia"/>
                <w:sz w:val="18"/>
              </w:rPr>
              <w:t xml:space="preserve">FY2016〜19：日間</w:t>
            </w:r>
            <w:r>
              <w:rPr>
                <w:sz w:val="18"/>
              </w:rPr>
              <w:t xml:space="preserve"> IQR</w:t>
            </w:r>
          </w:p>
        </w:tc>
        <w:tc>
          <w:tcPr/>
          <w:p>
            <w:pPr>
              <w:pStyle w:val="Compact"/>
              <w:jc w:val="right"/>
            </w:pPr>
            <w:r>
              <w:rPr>
                <w:sz w:val="18"/>
              </w:rPr>
              <w:t xml:space="preserve">+1.454</w:t>
            </w:r>
          </w:p>
        </w:tc>
        <w:tc>
          <w:tcPr/>
          <w:p>
            <w:pPr>
              <w:pStyle w:val="Compact"/>
              <w:jc w:val="right"/>
            </w:pPr>
            <w:r>
              <w:rPr>
                <w:sz w:val="18"/>
              </w:rPr>
              <w:t xml:space="preserve">+3.276</w:t>
            </w:r>
          </w:p>
        </w:tc>
        <w:tc>
          <w:tcPr/>
          <w:p>
            <w:pPr>
              <w:pStyle w:val="Compact"/>
              <w:jc w:val="right"/>
            </w:pPr>
            <w:r>
              <w:rPr>
                <w:sz w:val="18"/>
              </w:rPr>
              <w:t xml:space="preserve">+2.096</w:t>
            </w:r>
          </w:p>
        </w:tc>
        <w:tc>
          <w:tcPr/>
          <w:p>
            <w:pPr>
              <w:pStyle w:val="Compact"/>
              <w:jc w:val="right"/>
            </w:pPr>
            <w:r>
              <w:rPr>
                <w:sz w:val="18"/>
              </w:rPr>
              <w:t xml:space="preserve">+0.870</w:t>
            </w:r>
          </w:p>
        </w:tc>
      </w:tr>
      <w:tr>
        <w:tc>
          <w:tcPr/>
          <w:p>
            <w:pPr>
              <w:pStyle w:val="Compact"/>
            </w:pPr>
            <w:r>
              <w:rPr>
                <w:rFonts w:hint="eastAsia"/>
                <w:sz w:val="18"/>
              </w:rPr>
              <w:t xml:space="preserve">北海道</w:t>
            </w:r>
            <w:r>
              <w:rPr>
                <w:sz w:val="18"/>
              </w:rPr>
              <w:t xml:space="preserve"> </w:t>
            </w:r>
            <w:r>
              <w:rPr>
                <w:rFonts w:hint="eastAsia"/>
                <w:sz w:val="18"/>
              </w:rPr>
              <w:t xml:space="preserve">FY2016〜19：日内</w:t>
            </w:r>
            <w:r>
              <w:rPr>
                <w:sz w:val="18"/>
              </w:rPr>
              <w:t xml:space="preserve"> TB4h</w:t>
            </w:r>
          </w:p>
        </w:tc>
        <w:tc>
          <w:tcPr/>
          <w:p>
            <w:pPr>
              <w:pStyle w:val="Compact"/>
              <w:jc w:val="right"/>
            </w:pPr>
            <w:r>
              <w:rPr>
                <w:sz w:val="18"/>
              </w:rPr>
              <w:t xml:space="preserve">+4.363</w:t>
            </w:r>
          </w:p>
        </w:tc>
        <w:tc>
          <w:tcPr/>
          <w:p>
            <w:pPr>
              <w:pStyle w:val="Compact"/>
              <w:jc w:val="right"/>
            </w:pPr>
            <w:r>
              <w:rPr>
                <w:sz w:val="18"/>
              </w:rPr>
              <w:t xml:space="preserve">+7.169</w:t>
            </w:r>
          </w:p>
        </w:tc>
        <w:tc>
          <w:tcPr/>
          <w:p>
            <w:pPr>
              <w:pStyle w:val="Compact"/>
              <w:jc w:val="right"/>
            </w:pPr>
            <w:r>
              <w:rPr>
                <w:sz w:val="18"/>
              </w:rPr>
              <w:t xml:space="preserve">+2.174</w:t>
            </w:r>
          </w:p>
        </w:tc>
        <w:tc>
          <w:tcPr/>
          <w:p>
            <w:pPr>
              <w:pStyle w:val="Compact"/>
              <w:jc w:val="right"/>
            </w:pPr>
            <w:r>
              <w:rPr>
                <w:sz w:val="18"/>
              </w:rPr>
              <w:t xml:space="preserve">+5.748*</w:t>
            </w:r>
          </w:p>
        </w:tc>
      </w:tr>
      <w:tr>
        <w:tc>
          <w:tcPr/>
          <w:p>
            <w:pPr>
              <w:pStyle w:val="Compact"/>
            </w:pPr>
            <w:r>
              <w:rPr>
                <w:rFonts w:hint="eastAsia"/>
                <w:sz w:val="18"/>
              </w:rPr>
              <w:t xml:space="preserve">北海道</w:t>
            </w:r>
            <w:r>
              <w:rPr>
                <w:sz w:val="18"/>
              </w:rPr>
              <w:t xml:space="preserve"> </w:t>
            </w:r>
            <w:r>
              <w:rPr>
                <w:rFonts w:hint="eastAsia"/>
                <w:sz w:val="18"/>
              </w:rPr>
              <w:t xml:space="preserve">FY2023〜25：日間</w:t>
            </w:r>
            <w:r>
              <w:rPr>
                <w:sz w:val="18"/>
              </w:rPr>
              <w:t xml:space="preserve"> IQR</w:t>
            </w:r>
          </w:p>
        </w:tc>
        <w:tc>
          <w:tcPr/>
          <w:p>
            <w:pPr>
              <w:pStyle w:val="Compact"/>
              <w:jc w:val="right"/>
            </w:pPr>
            <w:r>
              <w:rPr>
                <w:sz w:val="18"/>
              </w:rPr>
              <w:t xml:space="preserve">−1.964</w:t>
            </w:r>
          </w:p>
        </w:tc>
        <w:tc>
          <w:tcPr/>
          <w:p>
            <w:pPr>
              <w:pStyle w:val="Compact"/>
              <w:jc w:val="right"/>
            </w:pPr>
            <w:r>
              <w:rPr>
                <w:sz w:val="18"/>
              </w:rPr>
              <w:t xml:space="preserve">−2.909*</w:t>
            </w:r>
          </w:p>
        </w:tc>
        <w:tc>
          <w:tcPr/>
          <w:p>
            <w:pPr>
              <w:pStyle w:val="Compact"/>
              <w:jc w:val="right"/>
            </w:pPr>
            <w:r>
              <w:rPr>
                <w:sz w:val="18"/>
              </w:rPr>
              <w:t xml:space="preserve">+0.773</w:t>
            </w:r>
          </w:p>
        </w:tc>
        <w:tc>
          <w:tcPr/>
          <w:p>
            <w:pPr>
              <w:pStyle w:val="Compact"/>
              <w:jc w:val="right"/>
            </w:pPr>
            <w:r>
              <w:rPr>
                <w:sz w:val="18"/>
              </w:rPr>
              <w:t xml:space="preserve">−3.864*</w:t>
            </w:r>
          </w:p>
        </w:tc>
      </w:tr>
      <w:tr>
        <w:tc>
          <w:tcPr/>
          <w:p>
            <w:pPr>
              <w:pStyle w:val="Compact"/>
            </w:pPr>
            <w:r>
              <w:rPr>
                <w:rFonts w:hint="eastAsia"/>
                <w:sz w:val="18"/>
              </w:rPr>
              <w:t xml:space="preserve">北海道</w:t>
            </w:r>
            <w:r>
              <w:rPr>
                <w:sz w:val="18"/>
              </w:rPr>
              <w:t xml:space="preserve"> </w:t>
            </w:r>
            <w:r>
              <w:rPr>
                <w:rFonts w:hint="eastAsia"/>
                <w:sz w:val="18"/>
              </w:rPr>
              <w:t xml:space="preserve">FY2023〜25：日内</w:t>
            </w:r>
            <w:r>
              <w:rPr>
                <w:sz w:val="18"/>
              </w:rPr>
              <w:t xml:space="preserve"> TB4h</w:t>
            </w:r>
          </w:p>
        </w:tc>
        <w:tc>
          <w:tcPr/>
          <w:p>
            <w:pPr>
              <w:pStyle w:val="Compact"/>
              <w:jc w:val="right"/>
            </w:pPr>
            <w:r>
              <w:rPr>
                <w:sz w:val="18"/>
              </w:rPr>
              <w:t xml:space="preserve">+4.399**</w:t>
            </w:r>
          </w:p>
        </w:tc>
        <w:tc>
          <w:tcPr/>
          <w:p>
            <w:pPr>
              <w:pStyle w:val="Compact"/>
              <w:jc w:val="right"/>
            </w:pPr>
            <w:r>
              <w:rPr>
                <w:sz w:val="18"/>
              </w:rPr>
              <w:t xml:space="preserve">+7.716***</w:t>
            </w:r>
          </w:p>
        </w:tc>
        <w:tc>
          <w:tcPr/>
          <w:p>
            <w:pPr>
              <w:pStyle w:val="Compact"/>
              <w:jc w:val="right"/>
            </w:pPr>
            <w:r>
              <w:rPr>
                <w:sz w:val="18"/>
              </w:rPr>
              <w:t xml:space="preserve">+4.974**</w:t>
            </w:r>
          </w:p>
        </w:tc>
        <w:tc>
          <w:tcPr/>
          <w:p>
            <w:pPr>
              <w:pStyle w:val="Compact"/>
              <w:jc w:val="right"/>
            </w:pPr>
            <w:r>
              <w:rPr>
                <w:sz w:val="18"/>
              </w:rPr>
              <w:t xml:space="preserve">+4.747**</w:t>
            </w:r>
          </w:p>
        </w:tc>
      </w:tr>
    </w:tbl>
    <w:p>
      <w:pPr>
        <w:pStyle w:val="TableNote"/>
      </w:pPr>
      <w:r>
        <w:rPr>
          <w:rFonts w:hint="eastAsia"/>
        </w:rPr>
        <w:t xml:space="preserve">注）単位は円/kWh</w:t>
      </w:r>
      <w:r>
        <w:t xml:space="preserve"> per GW。IQR </w:t>
      </w:r>
      <w:r>
        <w:rPr>
          <w:rFonts w:hint="eastAsia"/>
        </w:rPr>
        <w:t xml:space="preserve">係数の星は日単位の14日移動ブロック・ブートストラップ（299回）の標準誤差による正規近似、TB4h</w:t>
      </w:r>
      <w:r>
        <w:t xml:space="preserve"> </w:t>
      </w:r>
      <w:r>
        <w:rPr>
          <w:rFonts w:hint="eastAsia"/>
        </w:rPr>
        <w:t xml:space="preserve">の星は</w:t>
      </w:r>
      <w:r>
        <w:t xml:space="preserve"> </w:t>
      </w:r>
      <w:r>
        <w:rPr>
          <w:rFonts w:hint="eastAsia"/>
        </w:rPr>
        <w:t xml:space="preserve">EWC（暦日の格子、FY2016〜19</w:t>
      </w:r>
      <w:r>
        <w:t xml:space="preserve"> は</w:t>
      </w:r>
      <w:r>
        <w:t xml:space="preserve"> </w:t>
      </w:r>
      <m:oMath>
        <m:r>
          <m:t>ν</m:t>
        </m:r>
        <m:r>
          <m:rPr>
            <m:sty m:val="p"/>
          </m:rPr>
          <m:t>=</m:t>
        </m:r>
        <m:r>
          <m:t>51</m:t>
        </m:r>
      </m:oMath>
      <w:r>
        <w:t xml:space="preserve">、FY2023〜25 は</w:t>
      </w:r>
      <w:r>
        <w:t xml:space="preserve"> </w:t>
      </w:r>
      <m:oMath>
        <m:r>
          <m:t>ν</m:t>
        </m:r>
        <m:r>
          <m:rPr>
            <m:sty m:val="p"/>
          </m:rPr>
          <m:t>=</m:t>
        </m:r>
        <m:r>
          <m:t>42</m:t>
        </m:r>
      </m:oMath>
      <w:r>
        <w:rPr>
          <w:rFonts w:hint="eastAsia"/>
        </w:rPr>
        <w:t xml:space="preserve">）による。記号は表C.11</w:t>
      </w:r>
      <w:r>
        <w:t xml:space="preserve"> </w:t>
      </w:r>
      <w:r>
        <w:rPr>
          <w:rFonts w:hint="eastAsia"/>
        </w:rPr>
        <w:t xml:space="preserve">と同じ。HC3</w:t>
      </w:r>
      <w:r>
        <w:t xml:space="preserve"> </w:t>
      </w:r>
      <w:r>
        <w:rPr>
          <w:rFonts w:hint="eastAsia"/>
        </w:rPr>
        <w:t xml:space="preserve">では有意でも</w:t>
      </w:r>
      <w:r>
        <w:t xml:space="preserve"> EWC </w:t>
      </w:r>
      <w:r>
        <w:rPr>
          <w:rFonts w:hint="eastAsia"/>
        </w:rPr>
        <w:t xml:space="preserve">では有意でなくなるか、有意水準が下がる係数がある（九州</w:t>
      </w:r>
      <w:r>
        <w:t xml:space="preserve"> FY2016〜19 </w:t>
      </w:r>
      <w:r>
        <w:rPr>
          <w:rFonts w:hint="eastAsia"/>
        </w:rPr>
        <w:t xml:space="preserve">の春の+0.284</w:t>
      </w:r>
      <w:r>
        <w:t xml:space="preserve"> は HC3 の p=0.009 </w:t>
      </w:r>
      <w:r>
        <w:rPr>
          <w:rFonts w:hint="eastAsia"/>
        </w:rPr>
        <w:t xml:space="preserve">に対し</w:t>
      </w:r>
      <w:r>
        <w:t xml:space="preserve"> EWC </w:t>
      </w:r>
      <w:r>
        <w:rPr>
          <w:rFonts w:hint="eastAsia"/>
        </w:rPr>
        <w:t xml:space="preserve">で0.139、北海道</w:t>
      </w:r>
      <w:r>
        <w:t xml:space="preserve"> FY2016〜19 </w:t>
      </w:r>
      <w:r>
        <w:rPr>
          <w:rFonts w:hint="eastAsia"/>
        </w:rPr>
        <w:t xml:space="preserve">の冬・春・秋は0.057・0.001・0.004</w:t>
      </w:r>
      <w:r>
        <w:t xml:space="preserve"> </w:t>
      </w:r>
      <w:r>
        <w:rPr>
          <w:rFonts w:hint="eastAsia"/>
        </w:rPr>
        <w:t xml:space="preserve">に対し0.134・0.129・0.058、九州</w:t>
      </w:r>
      <w:r>
        <w:t xml:space="preserve"> FY2023〜25 </w:t>
      </w:r>
      <w:r>
        <w:rPr>
          <w:rFonts w:hint="eastAsia"/>
        </w:rPr>
        <w:t xml:space="preserve">の夏の+0.770</w:t>
      </w:r>
      <w:r>
        <w:t xml:space="preserve"> は0.003 </w:t>
      </w:r>
      <w:r>
        <w:rPr>
          <w:rFonts w:hint="eastAsia"/>
        </w:rPr>
        <w:t xml:space="preserve">に対し0.062）。IQR</w:t>
      </w:r>
      <w:r>
        <w:t xml:space="preserve"> </w:t>
      </w:r>
      <w:r>
        <w:rPr>
          <w:rFonts w:hint="eastAsia"/>
        </w:rPr>
        <w:t xml:space="preserve">のブロック・ブートストラップでは、北海道</w:t>
      </w:r>
      <w:r>
        <w:t xml:space="preserve"> FY2016〜19 </w:t>
      </w:r>
      <w:r>
        <w:rPr>
          <w:rFonts w:hint="eastAsia"/>
        </w:rPr>
        <w:t xml:space="preserve">の春の+3.276（日を独立とみなす場合の</w:t>
      </w:r>
      <w:r>
        <w:t xml:space="preserve"> </w:t>
      </w:r>
      <w:r>
        <w:rPr>
          <w:rFonts w:hint="eastAsia"/>
        </w:rPr>
        <w:t xml:space="preserve">p=0.035→0.143）と九州</w:t>
      </w:r>
      <w:r>
        <w:t xml:space="preserve"> FY2023〜25 </w:t>
      </w:r>
      <w:r>
        <w:rPr>
          <w:rFonts w:hint="eastAsia"/>
        </w:rPr>
        <w:t xml:space="preserve">の秋の−0.423（0.095→0.205）が有意でなくなる。</w:t>
      </w:r>
    </w:p>
    <w:p>
      <w:pPr>
        <w:pStyle w:val="TableNote"/>
      </w:pPr>
      <w:r>
        <w:rPr>
          <w:rFonts w:hint="eastAsia"/>
        </w:rPr>
        <w:t xml:space="preserve">出所）日本卸電力取引所『スポット市場取引結果』、北海道電力ネットワーク・九州電力送配電『エリア需給実績』より筆者作成。</w:t>
      </w:r>
    </w:p>
    <w:bookmarkEnd w:id="360"/>
    <w:bookmarkStart w:id="361" w:name="c.1.8-風力についての同じ比較"/>
    <w:p>
      <w:pPr>
        <w:pStyle w:val="Heading3"/>
      </w:pPr>
      <w:r>
        <w:t xml:space="preserve">C.1.8　</w:t>
      </w:r>
      <w:r>
        <w:rPr>
          <w:rFonts w:hint="eastAsia"/>
        </w:rPr>
        <w:t xml:space="preserve">風力についての同じ比較</w:t>
      </w:r>
    </w:p>
    <w:p>
      <w:pPr>
        <w:pStyle w:val="FirstParagraph"/>
      </w:pPr>
      <w:r>
        <w:rPr>
          <w:rFonts w:hint="eastAsia"/>
        </w:rPr>
        <w:t xml:space="preserve">北海道で風力を加えた結果を表C.13</w:t>
      </w:r>
      <w:r>
        <w:t xml:space="preserve"> </w:t>
      </w:r>
      <w:r>
        <w:rPr>
          <w:rFonts w:hint="eastAsia"/>
        </w:rPr>
        <w:t xml:space="preserve">に示す。日間では、風力は</w:t>
      </w:r>
      <w:r>
        <w:t xml:space="preserve"> FY2016〜19 </w:t>
      </w:r>
      <w:r>
        <w:rPr>
          <w:rFonts w:hint="eastAsia"/>
        </w:rPr>
        <w:t xml:space="preserve">に有意な効果をもたず、FY2023〜25</w:t>
      </w:r>
      <w:r>
        <w:t xml:space="preserve"> </w:t>
      </w:r>
      <w:r>
        <w:rPr>
          <w:rFonts w:hint="eastAsia"/>
        </w:rPr>
        <w:t xml:space="preserve">には冬に日間の</w:t>
      </w:r>
      <w:r>
        <w:t xml:space="preserve"> IQR </w:t>
      </w:r>
      <w:r>
        <w:rPr>
          <w:rFonts w:hint="eastAsia"/>
        </w:rPr>
        <w:t xml:space="preserve">を縮める（−3.17、1%水準。秋の−3.87</w:t>
      </w:r>
      <w:r>
        <w:t xml:space="preserve"> </w:t>
      </w:r>
      <w:r>
        <w:rPr>
          <w:rFonts w:hint="eastAsia"/>
        </w:rPr>
        <w:t xml:space="preserve">はブロック・ブートストラップでは有意でない）。風力の</w:t>
      </w:r>
      <w:r>
        <w:t xml:space="preserve"> MOE </w:t>
      </w:r>
      <w:r>
        <w:rPr>
          <w:rFonts w:hint="eastAsia"/>
        </w:rPr>
        <w:t xml:space="preserve">は高分位で最も強く（τ=0.9</w:t>
      </w:r>
      <w:r>
        <w:t xml:space="preserve"> </w:t>
      </w:r>
      <w:r>
        <w:rPr>
          <w:rFonts w:hint="eastAsia"/>
        </w:rPr>
        <w:t xml:space="preserve">の係数が最も負）、上側の裾を圧縮するためである。これは本文5.4節の分位点回帰と</w:t>
      </w:r>
      <w:r>
        <w:t xml:space="preserve"> Sakaguchi and </w:t>
      </w:r>
      <w:r>
        <w:rPr>
          <w:rFonts w:hint="eastAsia"/>
        </w:rPr>
        <w:t xml:space="preserve">Fujii（2021）に整合する。日内では、FY2016〜19</w:t>
      </w:r>
      <w:r>
        <w:t xml:space="preserve"> </w:t>
      </w:r>
      <w:r>
        <w:rPr>
          <w:rFonts w:hint="eastAsia"/>
        </w:rPr>
        <w:t xml:space="preserve">は春・夏とも負（夏の−7.94</w:t>
      </w:r>
      <w:r>
        <w:t xml:space="preserve"> は EWC </w:t>
      </w:r>
      <w:r>
        <w:rPr>
          <w:rFonts w:hint="eastAsia"/>
        </w:rPr>
        <w:t xml:space="preserve">で5%水準で有意、春の−14.65</w:t>
      </w:r>
      <w:r>
        <w:t xml:space="preserve"> は </w:t>
      </w:r>
      <w:r>
        <w:rPr>
          <w:rFonts w:hint="eastAsia"/>
        </w:rPr>
        <w:t xml:space="preserve">p=0.14）、FY2023〜25</w:t>
      </w:r>
      <w:r>
        <w:t xml:space="preserve"> </w:t>
      </w:r>
      <w:r>
        <w:rPr>
          <w:rFonts w:hint="eastAsia"/>
        </w:rPr>
        <w:t xml:space="preserve">は春が正（+5.03、EWC</w:t>
      </w:r>
      <w:r>
        <w:t xml:space="preserve"> </w:t>
      </w:r>
      <w:r>
        <w:rPr>
          <w:rFonts w:hint="eastAsia"/>
        </w:rPr>
        <w:t xml:space="preserve">で1%水準で有意）、夏は+3.48で有意でない（p=0.18）。</w:t>
      </w:r>
    </w:p>
    <w:p>
      <w:pPr>
        <w:pStyle w:val="BodyText"/>
      </w:pPr>
      <w:r>
        <w:rPr>
          <w:rFonts w:hint="eastAsia"/>
        </w:rPr>
        <w:t xml:space="preserve">主仕様でも、不需要期を暦月の春（3〜6月）と秋（10〜11月）に分けると、FY2023〜25</w:t>
      </w:r>
      <w:r>
        <w:t xml:space="preserve"> </w:t>
      </w:r>
      <w:r>
        <w:rPr>
          <w:rFonts w:hint="eastAsia"/>
        </w:rPr>
        <w:t xml:space="preserve">の春は+0.084（EWC</w:t>
      </w:r>
      <w:r>
        <w:t xml:space="preserve"> の </w:t>
      </w:r>
      <w:r>
        <w:rPr>
          <w:rFonts w:hint="eastAsia"/>
        </w:rPr>
        <w:t xml:space="preserve">p=0.13、補正</w:t>
      </w:r>
      <w:r>
        <w:t xml:space="preserve"> p </w:t>
      </w:r>
      <w:r>
        <w:rPr>
          <w:rFonts w:hint="eastAsia"/>
        </w:rPr>
        <w:t xml:space="preserve">値0.16）と正で、年月固定効果と日平均価格のラグを加えると+0.099（p=0.024）になる。秋は−0.20（p=0.11）で、3季節の区分の不需要期の係数（−0.025）は両者の平均にあたる（表C.16）。この仕様の春の+5.03</w:t>
      </w:r>
      <w:r>
        <w:t xml:space="preserve"> per GW を </w:t>
      </w:r>
      <w:r>
        <w:rPr>
          <w:rFonts w:hint="eastAsia"/>
        </w:rPr>
        <w:t xml:space="preserve">GWh/日あたりに直すと約+0.21</w:t>
      </w:r>
      <w:r>
        <w:t xml:space="preserve"> </w:t>
      </w:r>
      <w:r>
        <w:rPr>
          <w:rFonts w:hint="eastAsia"/>
        </w:rPr>
        <w:t xml:space="preserve">で、符号は同じで、大きさは</w:t>
      </w:r>
      <w:r>
        <w:t xml:space="preserve"> FY2023〜25 </w:t>
      </w:r>
      <w:r>
        <w:rPr>
          <w:rFonts w:hint="eastAsia"/>
        </w:rPr>
        <w:t xml:space="preserve">の年月固定効果と価格のラグの仕様（+0.10）の約2倍である（FY2016〜25</w:t>
      </w:r>
      <w:r>
        <w:t xml:space="preserve"> </w:t>
      </w:r>
      <w:r>
        <w:rPr>
          <w:rFonts w:hint="eastAsia"/>
        </w:rPr>
        <w:t xml:space="preserve">では+0.17）。食い違いには、季節の区分（3季節か暦月の4季節か）、固定効果と価格のラグの有無、星を付けた推論法（HC3</w:t>
      </w:r>
      <w:r>
        <w:t xml:space="preserve"> か EWC </w:t>
      </w:r>
      <w:r>
        <w:rPr>
          <w:rFonts w:hint="eastAsia"/>
        </w:rPr>
        <w:t xml:space="preserve">か）が関わる。</w:t>
      </w:r>
    </w:p>
    <w:p>
      <w:pPr>
        <w:pStyle w:val="BodyText"/>
      </w:pPr>
      <w:r>
        <w:rPr>
          <w:rFonts w:hint="eastAsia"/>
        </w:rPr>
        <w:t xml:space="preserve">この春の正の係数が、純需要の低い日（供給曲線の下端の急勾配域。限界費用ゼロの電源への切り替わり）に集中するかを確かめた。FY2023〜25</w:t>
      </w:r>
      <w:r>
        <w:t xml:space="preserve"> </w:t>
      </w:r>
      <w:r>
        <w:rPr>
          <w:rFonts w:hint="eastAsia"/>
        </w:rPr>
        <w:t xml:space="preserve">の春の日を日次の純需要（需要−太陽光−風力）の三分位に分けると、風力の係数は低+0.086（p=0.47）、中+0.231（p=0.012）、高−0.009</w:t>
      </w:r>
      <w:r>
        <w:t xml:space="preserve"> </w:t>
      </w:r>
      <w:r>
        <w:rPr>
          <w:rFonts w:hint="eastAsia"/>
        </w:rPr>
        <w:t xml:space="preserve">で、低−高の差は有意でない（p=0.48。純需要を需要−太陽光で定義しても低+0.044、高+0.100</w:t>
      </w:r>
      <w:r>
        <w:t xml:space="preserve"> </w:t>
      </w:r>
      <w:r>
        <w:rPr>
          <w:rFonts w:hint="eastAsia"/>
        </w:rPr>
        <w:t xml:space="preserve">で、差の</w:t>
      </w:r>
      <w:r>
        <w:t xml:space="preserve"> </w:t>
      </w:r>
      <w:r>
        <w:rPr>
          <w:rFonts w:hint="eastAsia"/>
        </w:rPr>
        <w:t xml:space="preserve">p=0.67）。仕様A′</w:t>
      </w:r>
      <w:r>
        <w:t xml:space="preserve"> </w:t>
      </w:r>
      <w:r>
        <w:rPr>
          <w:rFonts w:hint="eastAsia"/>
        </w:rPr>
        <w:t xml:space="preserve">では、風力が3倍でもスプレッドが開く効果は+258円/kW-年にとどまり、実行可能な戦略</w:t>
      </w:r>
      <w:r>
        <w:t xml:space="preserve"> c </w:t>
      </w:r>
      <w:r>
        <w:rPr>
          <w:rFonts w:hint="eastAsia"/>
        </w:rPr>
        <w:t xml:space="preserve">の粗利はむしろ241円/kW-年下がる（7.3節）。</w:t>
      </w:r>
    </w:p>
    <w:p>
      <w:pPr>
        <w:pStyle w:val="TableCaption"/>
      </w:pPr>
      <w:r>
        <w:rPr>
          <w:rFonts w:hint="eastAsia"/>
        </w:rPr>
        <w:t xml:space="preserve">表C.13</w:t>
      </w:r>
      <w:r>
        <w:t xml:space="preserve">　</w:t>
      </w:r>
      <w:r>
        <w:rPr>
          <w:rFonts w:hint="eastAsia"/>
        </w:rPr>
        <w:t xml:space="preserve">風力の日間変動性と日内スプレッドへの効果（北海道）</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C.13　風力の日間変動性と日内スプレッドへの効果（北海道）"/>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風力の係数</w:t>
            </w:r>
          </w:p>
        </w:tc>
        <w:tc>
          <w:tcPr>
            <w:tcBorders>
              <w:bottom w:val="single" w:sz="6" w:color="000000"/>
            </w:tcBorders>
          </w:tcPr>
          <w:p>
            <w:pPr>
              <w:pStyle w:val="Compact"/>
              <w:jc w:val="right"/>
            </w:pPr>
            <w:r>
              <w:rPr>
                <w:rFonts w:hint="eastAsia"/>
                <w:sz w:val="18"/>
              </w:rPr>
              <w:t xml:space="preserve">冬</w:t>
            </w:r>
          </w:p>
        </w:tc>
        <w:tc>
          <w:tcPr>
            <w:tcBorders>
              <w:bottom w:val="single" w:sz="6" w:color="000000"/>
            </w:tcBorders>
          </w:tcPr>
          <w:p>
            <w:pPr>
              <w:pStyle w:val="Compact"/>
              <w:jc w:val="right"/>
            </w:pPr>
            <w:r>
              <w:rPr>
                <w:rFonts w:hint="eastAsia"/>
                <w:sz w:val="18"/>
              </w:rPr>
              <w:t xml:space="preserve">春</w:t>
            </w:r>
          </w:p>
        </w:tc>
        <w:tc>
          <w:tcPr>
            <w:tcBorders>
              <w:bottom w:val="single" w:sz="6" w:color="000000"/>
            </w:tcBorders>
          </w:tcPr>
          <w:p>
            <w:pPr>
              <w:pStyle w:val="Compact"/>
              <w:jc w:val="right"/>
            </w:pPr>
            <w:r>
              <w:rPr>
                <w:rFonts w:hint="eastAsia"/>
                <w:sz w:val="18"/>
              </w:rPr>
              <w:t xml:space="preserve">夏</w:t>
            </w:r>
          </w:p>
        </w:tc>
        <w:tc>
          <w:tcPr>
            <w:tcBorders>
              <w:bottom w:val="single" w:sz="6" w:color="000000"/>
            </w:tcBorders>
          </w:tcPr>
          <w:p>
            <w:pPr>
              <w:pStyle w:val="Compact"/>
              <w:jc w:val="right"/>
            </w:pPr>
            <w:r>
              <w:rPr>
                <w:rFonts w:hint="eastAsia"/>
                <w:sz w:val="18"/>
              </w:rPr>
              <w:t xml:space="preserve">秋</w:t>
            </w:r>
          </w:p>
        </w:tc>
      </w:tr>
      <w:tr>
        <w:tc>
          <w:tcPr/>
          <w:p>
            <w:pPr>
              <w:pStyle w:val="Compact"/>
            </w:pPr>
            <w:r>
              <w:rPr>
                <w:rFonts w:hint="eastAsia"/>
                <w:sz w:val="18"/>
              </w:rPr>
              <w:t xml:space="preserve">FY2016〜19：日間</w:t>
            </w:r>
            <w:r>
              <w:rPr>
                <w:sz w:val="18"/>
              </w:rPr>
              <w:t xml:space="preserve"> IQR</w:t>
            </w:r>
          </w:p>
        </w:tc>
        <w:tc>
          <w:tcPr/>
          <w:p>
            <w:pPr>
              <w:pStyle w:val="Compact"/>
              <w:jc w:val="right"/>
            </w:pPr>
            <w:r>
              <w:rPr>
                <w:sz w:val="18"/>
              </w:rPr>
              <w:t xml:space="preserve">+3.303</w:t>
            </w:r>
          </w:p>
        </w:tc>
        <w:tc>
          <w:tcPr/>
          <w:p>
            <w:pPr>
              <w:pStyle w:val="Compact"/>
              <w:jc w:val="right"/>
            </w:pPr>
            <w:r>
              <w:rPr>
                <w:sz w:val="18"/>
              </w:rPr>
              <w:t xml:space="preserve">−2.438</w:t>
            </w:r>
          </w:p>
        </w:tc>
        <w:tc>
          <w:tcPr/>
          <w:p>
            <w:pPr>
              <w:pStyle w:val="Compact"/>
              <w:jc w:val="right"/>
            </w:pPr>
            <w:r>
              <w:rPr>
                <w:sz w:val="18"/>
              </w:rPr>
              <w:t xml:space="preserve">+3.574</w:t>
            </w:r>
          </w:p>
        </w:tc>
        <w:tc>
          <w:tcPr/>
          <w:p>
            <w:pPr>
              <w:pStyle w:val="Compact"/>
              <w:jc w:val="right"/>
            </w:pPr>
            <w:r>
              <w:rPr>
                <w:sz w:val="18"/>
              </w:rPr>
              <w:t xml:space="preserve">+2.734</w:t>
            </w:r>
          </w:p>
        </w:tc>
      </w:tr>
      <w:tr>
        <w:tc>
          <w:tcPr/>
          <w:p>
            <w:pPr>
              <w:pStyle w:val="Compact"/>
            </w:pPr>
            <w:r>
              <w:rPr>
                <w:rFonts w:hint="eastAsia"/>
                <w:sz w:val="18"/>
              </w:rPr>
              <w:t xml:space="preserve">FY2016〜19：日内</w:t>
            </w:r>
            <w:r>
              <w:rPr>
                <w:sz w:val="18"/>
              </w:rPr>
              <w:t xml:space="preserve"> TB4h</w:t>
            </w:r>
          </w:p>
        </w:tc>
        <w:tc>
          <w:tcPr/>
          <w:p>
            <w:pPr>
              <w:pStyle w:val="Compact"/>
              <w:jc w:val="right"/>
            </w:pPr>
            <w:r>
              <w:rPr>
                <w:sz w:val="18"/>
              </w:rPr>
              <w:t xml:space="preserve">+1.564</w:t>
            </w:r>
          </w:p>
        </w:tc>
        <w:tc>
          <w:tcPr/>
          <w:p>
            <w:pPr>
              <w:pStyle w:val="Compact"/>
              <w:jc w:val="right"/>
            </w:pPr>
            <w:r>
              <w:rPr>
                <w:sz w:val="18"/>
              </w:rPr>
              <w:t xml:space="preserve">−14.646</w:t>
            </w:r>
          </w:p>
        </w:tc>
        <w:tc>
          <w:tcPr/>
          <w:p>
            <w:pPr>
              <w:pStyle w:val="Compact"/>
              <w:jc w:val="right"/>
            </w:pPr>
            <w:r>
              <w:rPr>
                <w:sz w:val="18"/>
              </w:rPr>
              <w:t xml:space="preserve">−7.936**</w:t>
            </w:r>
          </w:p>
        </w:tc>
        <w:tc>
          <w:tcPr/>
          <w:p>
            <w:pPr>
              <w:pStyle w:val="Compact"/>
              <w:jc w:val="right"/>
            </w:pPr>
            <w:r>
              <w:rPr>
                <w:sz w:val="18"/>
              </w:rPr>
              <w:t xml:space="preserve">−1.638</w:t>
            </w:r>
          </w:p>
        </w:tc>
      </w:tr>
      <w:tr>
        <w:tc>
          <w:tcPr/>
          <w:p>
            <w:pPr>
              <w:pStyle w:val="Compact"/>
            </w:pPr>
            <w:r>
              <w:rPr>
                <w:rFonts w:hint="eastAsia"/>
                <w:sz w:val="18"/>
              </w:rPr>
              <w:t xml:space="preserve">FY2023〜25：日間</w:t>
            </w:r>
            <w:r>
              <w:rPr>
                <w:sz w:val="18"/>
              </w:rPr>
              <w:t xml:space="preserve"> IQR</w:t>
            </w:r>
          </w:p>
        </w:tc>
        <w:tc>
          <w:tcPr/>
          <w:p>
            <w:pPr>
              <w:pStyle w:val="Compact"/>
              <w:jc w:val="right"/>
            </w:pPr>
            <w:r>
              <w:rPr>
                <w:sz w:val="18"/>
              </w:rPr>
              <w:t xml:space="preserve">−3.166***</w:t>
            </w:r>
          </w:p>
        </w:tc>
        <w:tc>
          <w:tcPr/>
          <w:p>
            <w:pPr>
              <w:pStyle w:val="Compact"/>
              <w:jc w:val="right"/>
            </w:pPr>
            <w:r>
              <w:rPr>
                <w:sz w:val="18"/>
              </w:rPr>
              <w:t xml:space="preserve">−0.994</w:t>
            </w:r>
          </w:p>
        </w:tc>
        <w:tc>
          <w:tcPr/>
          <w:p>
            <w:pPr>
              <w:pStyle w:val="Compact"/>
              <w:jc w:val="right"/>
            </w:pPr>
            <w:r>
              <w:rPr>
                <w:sz w:val="18"/>
              </w:rPr>
              <w:t xml:space="preserve">+2.822</w:t>
            </w:r>
          </w:p>
        </w:tc>
        <w:tc>
          <w:tcPr/>
          <w:p>
            <w:pPr>
              <w:pStyle w:val="Compact"/>
              <w:jc w:val="right"/>
            </w:pPr>
            <w:r>
              <w:rPr>
                <w:sz w:val="18"/>
              </w:rPr>
              <w:t xml:space="preserve">−3.870</w:t>
            </w:r>
          </w:p>
        </w:tc>
      </w:tr>
      <w:tr>
        <w:tc>
          <w:tcPr/>
          <w:p>
            <w:pPr>
              <w:pStyle w:val="Compact"/>
            </w:pPr>
            <w:r>
              <w:rPr>
                <w:rFonts w:hint="eastAsia"/>
                <w:sz w:val="18"/>
              </w:rPr>
              <w:t xml:space="preserve">FY2023〜25：日内</w:t>
            </w:r>
            <w:r>
              <w:rPr>
                <w:sz w:val="18"/>
              </w:rPr>
              <w:t xml:space="preserve"> TB4h</w:t>
            </w:r>
          </w:p>
        </w:tc>
        <w:tc>
          <w:tcPr/>
          <w:p>
            <w:pPr>
              <w:pStyle w:val="Compact"/>
              <w:jc w:val="right"/>
            </w:pPr>
            <w:r>
              <w:rPr>
                <w:sz w:val="18"/>
              </w:rPr>
              <w:t xml:space="preserve">−1.477</w:t>
            </w:r>
          </w:p>
        </w:tc>
        <w:tc>
          <w:tcPr/>
          <w:p>
            <w:pPr>
              <w:pStyle w:val="Compact"/>
              <w:jc w:val="right"/>
            </w:pPr>
            <w:r>
              <w:rPr>
                <w:sz w:val="18"/>
              </w:rPr>
              <w:t xml:space="preserve">+5.025***</w:t>
            </w:r>
          </w:p>
        </w:tc>
        <w:tc>
          <w:tcPr/>
          <w:p>
            <w:pPr>
              <w:pStyle w:val="Compact"/>
              <w:jc w:val="right"/>
            </w:pPr>
            <w:r>
              <w:rPr>
                <w:sz w:val="18"/>
              </w:rPr>
              <w:t xml:space="preserve">+3.481</w:t>
            </w:r>
          </w:p>
        </w:tc>
        <w:tc>
          <w:tcPr/>
          <w:p>
            <w:pPr>
              <w:pStyle w:val="Compact"/>
              <w:jc w:val="right"/>
            </w:pPr>
            <w:r>
              <w:rPr>
                <w:sz w:val="18"/>
              </w:rPr>
              <w:t xml:space="preserve">−2.133</w:t>
            </w:r>
          </w:p>
        </w:tc>
      </w:tr>
    </w:tbl>
    <w:p>
      <w:pPr>
        <w:pStyle w:val="TableNote"/>
      </w:pPr>
      <w:r>
        <w:rPr>
          <w:rFonts w:hint="eastAsia"/>
        </w:rPr>
        <w:t xml:space="preserve">注）単位は円/kWh</w:t>
      </w:r>
      <w:r>
        <w:t xml:space="preserve"> per </w:t>
      </w:r>
      <w:r>
        <w:rPr>
          <w:rFonts w:hint="eastAsia"/>
        </w:rPr>
        <w:t xml:space="preserve">GW。星の付け方は表C.12</w:t>
      </w:r>
      <w:r>
        <w:t xml:space="preserve"> </w:t>
      </w:r>
      <w:r>
        <w:rPr>
          <w:rFonts w:hint="eastAsia"/>
        </w:rPr>
        <w:t xml:space="preserve">と同じ。HC3</w:t>
      </w:r>
      <w:r>
        <w:t xml:space="preserve"> では FY2016〜19 </w:t>
      </w:r>
      <w:r>
        <w:rPr>
          <w:rFonts w:hint="eastAsia"/>
        </w:rPr>
        <w:t xml:space="preserve">の春の−14.646</w:t>
      </w:r>
      <w:r>
        <w:t xml:space="preserve"> </w:t>
      </w:r>
      <w:r>
        <w:rPr>
          <w:rFonts w:hint="eastAsia"/>
        </w:rPr>
        <w:t xml:space="preserve">が1%水準、FY2023〜25</w:t>
      </w:r>
      <w:r>
        <w:t xml:space="preserve"> </w:t>
      </w:r>
      <w:r>
        <w:rPr>
          <w:rFonts w:hint="eastAsia"/>
        </w:rPr>
        <w:t xml:space="preserve">の夏の+3.481</w:t>
      </w:r>
      <w:r>
        <w:t xml:space="preserve"> </w:t>
      </w:r>
      <w:r>
        <w:rPr>
          <w:rFonts w:hint="eastAsia"/>
        </w:rPr>
        <w:t xml:space="preserve">が10%水準で有意だが、EWC</w:t>
      </w:r>
      <w:r>
        <w:t xml:space="preserve"> </w:t>
      </w:r>
      <w:r>
        <w:rPr>
          <w:rFonts w:hint="eastAsia"/>
        </w:rPr>
        <w:t xml:space="preserve">では有意でない（p=0.14、0.18）。逆に</w:t>
      </w:r>
      <w:r>
        <w:t xml:space="preserve"> FY2016〜19 </w:t>
      </w:r>
      <w:r>
        <w:rPr>
          <w:rFonts w:hint="eastAsia"/>
        </w:rPr>
        <w:t xml:space="preserve">の夏の−7.936</w:t>
      </w:r>
      <w:r>
        <w:t xml:space="preserve"> は HC3 </w:t>
      </w:r>
      <w:r>
        <w:rPr>
          <w:rFonts w:hint="eastAsia"/>
        </w:rPr>
        <w:t xml:space="preserve">では有意でない（p=0.17）。FY2023〜25</w:t>
      </w:r>
      <w:r>
        <w:t xml:space="preserve"> </w:t>
      </w:r>
      <w:r>
        <w:rPr>
          <w:rFonts w:hint="eastAsia"/>
        </w:rPr>
        <w:t xml:space="preserve">の秋の</w:t>
      </w:r>
      <w:r>
        <w:t xml:space="preserve"> IQR の−3.870 </w:t>
      </w:r>
      <w:r>
        <w:rPr>
          <w:rFonts w:hint="eastAsia"/>
        </w:rPr>
        <w:t xml:space="preserve">は、日を独立とみなすブートストラップでは10%水準で有意だが、ブロック・ブートストラップでは有意でない（p=0.13）。</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b/>
          <w:bCs/>
        </w:rPr>
        <w:t xml:space="preserve">含意</w:t>
      </w:r>
      <w:r>
        <w:t xml:space="preserve">　</w:t>
      </w:r>
      <w:r>
        <w:rPr>
          <w:rFonts w:hint="eastAsia"/>
        </w:rPr>
        <w:t xml:space="preserve">本研究の3分解でいえば、Fuke</w:t>
      </w:r>
      <w:r>
        <w:t xml:space="preserve"> and </w:t>
      </w:r>
      <w:r>
        <w:rPr>
          <w:rFonts w:hint="eastAsia"/>
        </w:rPr>
        <w:t xml:space="preserve">Ohashi（2025）の指標は多日変動、TB4h</w:t>
      </w:r>
      <w:r>
        <w:t xml:space="preserve"> </w:t>
      </w:r>
      <w:r>
        <w:rPr>
          <w:rFonts w:hint="eastAsia"/>
        </w:rPr>
        <w:t xml:space="preserve">は日内形状に対応する。式(5.2)の年度固定効果付きの回帰と</w:t>
      </w:r>
      <w:r>
        <w:t xml:space="preserve"> Fuke and Ohashi </w:t>
      </w:r>
      <w:r>
        <w:rPr>
          <w:rFonts w:hint="eastAsia"/>
        </w:rPr>
        <w:t xml:space="preserve">型の仕様（ラグ価格あり・固定効果なし）は季節区分と単位が異なるので係数の水準は直接比較できないが、太陽光が日内のスプレッドを広げるという符号の結論は両仕様で共通である。FY2016〜19</w:t>
      </w:r>
      <w:r>
        <w:t xml:space="preserve"> </w:t>
      </w:r>
      <w:r>
        <w:rPr>
          <w:rFonts w:hint="eastAsia"/>
        </w:rPr>
        <w:t xml:space="preserve">には、どちらの仕様でも風力が日内スプレッドを広げる証拠はない（Fuke</w:t>
      </w:r>
      <w:r>
        <w:t xml:space="preserve"> and Ohashi </w:t>
      </w:r>
      <w:r>
        <w:rPr>
          <w:rFonts w:hint="eastAsia"/>
        </w:rPr>
        <w:t xml:space="preserve">型の仕様では春・夏とも負）。FY2023〜25</w:t>
      </w:r>
      <w:r>
        <w:t xml:space="preserve"> </w:t>
      </w:r>
      <w:r>
        <w:rPr>
          <w:rFonts w:hint="eastAsia"/>
        </w:rPr>
        <w:t xml:space="preserve">の春の正の係数は、主仕様でも暦月の春に分けると点推定で現れ、境界的な証拠である。夏の正の係数（Fuke</w:t>
      </w:r>
      <w:r>
        <w:t xml:space="preserve"> and Ohashi </w:t>
      </w:r>
      <w:r>
        <w:rPr>
          <w:rFonts w:hint="eastAsia"/>
        </w:rPr>
        <w:t xml:space="preserve">型の仕様の+3.48）は</w:t>
      </w:r>
      <w:r>
        <w:t xml:space="preserve"> EWC </w:t>
      </w:r>
      <w:r>
        <w:rPr>
          <w:rFonts w:hint="eastAsia"/>
        </w:rPr>
        <w:t xml:space="preserve">では有意でなく、主仕様の暦月の夏（FY2023〜25</w:t>
      </w:r>
      <w:r>
        <w:t xml:space="preserve"> </w:t>
      </w:r>
      <w:r>
        <w:rPr>
          <w:rFonts w:hint="eastAsia"/>
        </w:rPr>
        <w:t xml:space="preserve">で+0.089）も有意でない。</w:t>
      </w:r>
    </w:p>
    <w:bookmarkEnd w:id="361"/>
    <w:bookmarkStart w:id="362" w:name="c.1.9-燃料危機期を除いた日次回帰"/>
    <w:p>
      <w:pPr>
        <w:pStyle w:val="Heading3"/>
      </w:pPr>
      <w:r>
        <w:t xml:space="preserve">C.1.9　</w:t>
      </w:r>
      <w:r>
        <w:rPr>
          <w:rFonts w:hint="eastAsia"/>
        </w:rPr>
        <w:t xml:space="preserve">燃料危機期を除いた日次回帰</w:t>
      </w:r>
    </w:p>
    <w:p>
      <w:pPr>
        <w:pStyle w:val="FirstParagraph"/>
      </w:pPr>
      <w:r>
        <w:t xml:space="preserve">FY2021〜22 </w:t>
      </w:r>
      <w:r>
        <w:rPr>
          <w:rFonts w:hint="eastAsia"/>
        </w:rPr>
        <w:t xml:space="preserve">の燃料価格の高騰期は主分析では年度固定効果で吸収しているが、価格水準の急変が季節×電源種の係数を歪める可能性を確かめるため、両年度を除いた推定（北海道・九州とも2,902日）を表C.14</w:t>
      </w:r>
      <w:r>
        <w:t xml:space="preserve"> </w:t>
      </w:r>
      <w:r>
        <w:rPr>
          <w:rFonts w:hint="eastAsia"/>
        </w:rPr>
        <w:t xml:space="preserve">に示す。北海道では、太陽光が不需要期に</w:t>
      </w:r>
      <w:r>
        <w:t xml:space="preserve"> TB4h </w:t>
      </w:r>
      <w:r>
        <w:rPr>
          <w:rFonts w:hint="eastAsia"/>
        </w:rPr>
        <w:t xml:space="preserve">を広げる係数は+0.233</w:t>
      </w:r>
      <w:r>
        <w:t xml:space="preserve"> </w:t>
      </w:r>
      <w:r>
        <w:rPr>
          <w:rFonts w:hint="eastAsia"/>
        </w:rPr>
        <w:t xml:space="preserve">から+0.314（5%水準で有意）へむしろ大きくなる。風力の</w:t>
      </w:r>
      <w:r>
        <w:t xml:space="preserve"> TB4h </w:t>
      </w:r>
      <w:r>
        <w:rPr>
          <w:rFonts w:hint="eastAsia"/>
        </w:rPr>
        <w:t xml:space="preserve">への係数は冬−0.388（5%水準で有意）、夏−0.053、不需要期−0.015</w:t>
      </w:r>
      <w:r>
        <w:t xml:space="preserve"> </w:t>
      </w:r>
      <w:r>
        <w:rPr>
          <w:rFonts w:hint="eastAsia"/>
        </w:rPr>
        <w:t xml:space="preserve">で、風力が</w:t>
      </w:r>
      <w:r>
        <w:t xml:space="preserve"> TB4h </w:t>
      </w:r>
      <w:r>
        <w:rPr>
          <w:rFonts w:hint="eastAsia"/>
        </w:rPr>
        <w:t xml:space="preserve">を広げる証拠はないという結論は変わらない。水準への効果は、太陽光・冬（−0.644、有意でない）を除いて有意な負のまま（太陽光・夏は5%、他は1%水準）で、絶対値が14〜44%小さくなる。燃料危機期には価格水準が高く、同じ1GWh</w:t>
      </w:r>
      <w:r>
        <w:t xml:space="preserve"> </w:t>
      </w:r>
      <w:r>
        <w:rPr>
          <w:rFonts w:hint="eastAsia"/>
        </w:rPr>
        <w:t xml:space="preserve">の再エネが円建てで大きな価格低下を生んでいたことが一因である。年度平均価格で割った相対価格で比べると、風力の係数の差は4〜11%に縮まる（除外÷主分析の比0.89〜0.96）。一方、太陽光の夏・不需要期は23〜27%小さいまま残る（比0.77、0.73。冬は0.95）。九州では太陽光の冬・不需要期の拡大効果が維持される（冬+0.077、5%水準、不需要期+0.083、1%水準で有意）。風力の</w:t>
      </w:r>
      <w:r>
        <w:t xml:space="preserve"> TB4h </w:t>
      </w:r>
      <w:r>
        <w:rPr>
          <w:rFonts w:hint="eastAsia"/>
        </w:rPr>
        <w:t xml:space="preserve">への係数は、主分析と同じくいずれの季節でも有意でない。なお付録C.1.6〜C.1.8</w:t>
      </w:r>
      <w:r>
        <w:t xml:space="preserve"> </w:t>
      </w:r>
      <w:r>
        <w:rPr>
          <w:rFonts w:hint="eastAsia"/>
        </w:rPr>
        <w:t xml:space="preserve">の推定期間は</w:t>
      </w:r>
      <w:r>
        <w:t xml:space="preserve"> FY2016〜19 と FY2023〜25 </w:t>
      </w:r>
      <w:r>
        <w:rPr>
          <w:rFonts w:hint="eastAsia"/>
        </w:rPr>
        <w:t xml:space="preserve">で、燃料危機期をもともと含まない。2021年1月の価格高騰は</w:t>
      </w:r>
      <w:r>
        <w:t xml:space="preserve"> FY2020 </w:t>
      </w:r>
      <w:r>
        <w:rPr>
          <w:rFonts w:hint="eastAsia"/>
        </w:rPr>
        <w:t xml:space="preserve">に属するので、この除外標本にも残る（その除外は付録C.1.10）。</w:t>
      </w:r>
    </w:p>
    <w:p>
      <w:pPr>
        <w:pStyle w:val="TableCaption"/>
      </w:pPr>
      <w:r>
        <w:rPr>
          <w:rFonts w:hint="eastAsia"/>
        </w:rPr>
        <w:t xml:space="preserve">表C.14</w:t>
      </w:r>
      <w:r>
        <w:t xml:space="preserve">　</w:t>
      </w:r>
      <w:r>
        <w:rPr>
          <w:rFonts w:hint="eastAsia"/>
        </w:rPr>
        <w:t xml:space="preserve">燃料危機期（FY2021〜22）を除いた日次回帰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4　燃料危機期（FY2021〜22）を除いた日次回帰"/>
      </w:tblPr>
      <w:tblGrid>
        <w:gridCol w:w="1250"/>
        <w:gridCol w:w="1667"/>
        <w:gridCol w:w="1667"/>
        <w:gridCol w:w="1667"/>
        <w:gridCol w:w="1667"/>
      </w:tblGrid>
      <w:tr>
        <w:trPr>
          <w:tblHeader w:val="on"/>
        </w:trPr>
        <w:tc>
          <w:tcPr>
            <w:tcBorders>
              <w:bottom w:val="single" w:sz="6" w:color="000000"/>
            </w:tcBorders>
          </w:tcPr>
          <w:p>
            <w:pPr>
              <w:pStyle w:val="Compact"/>
            </w:pPr>
            <w:r>
              <w:rPr>
                <w:rFonts w:hint="eastAsia"/>
                <w:sz w:val="18"/>
              </w:rPr>
              <w:t xml:space="preserve">被説明変数・係数</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主分析</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除外</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主分析</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除外</w:t>
            </w:r>
          </w:p>
        </w:tc>
      </w:tr>
      <w:tr>
        <w:tc>
          <w:tcPr/>
          <w:p>
            <w:pPr>
              <w:pStyle w:val="Compact"/>
            </w:pPr>
            <w:r>
              <w:rPr>
                <w:rFonts w:hint="eastAsia"/>
                <w:sz w:val="18"/>
              </w:rPr>
              <w:t xml:space="preserve">水準：太陽光・夏</w:t>
            </w:r>
          </w:p>
        </w:tc>
        <w:tc>
          <w:tcPr/>
          <w:p>
            <w:pPr>
              <w:pStyle w:val="Compact"/>
              <w:jc w:val="right"/>
            </w:pPr>
            <w:r>
              <w:rPr>
                <w:sz w:val="18"/>
              </w:rPr>
              <w:t xml:space="preserve">−0.406***</w:t>
            </w:r>
          </w:p>
        </w:tc>
        <w:tc>
          <w:tcPr/>
          <w:p>
            <w:pPr>
              <w:pStyle w:val="Compact"/>
              <w:jc w:val="right"/>
            </w:pPr>
            <w:r>
              <w:rPr>
                <w:sz w:val="18"/>
              </w:rPr>
              <w:t xml:space="preserve">−0.268**</w:t>
            </w:r>
          </w:p>
        </w:tc>
        <w:tc>
          <w:tcPr/>
          <w:p>
            <w:pPr>
              <w:pStyle w:val="Compact"/>
              <w:jc w:val="right"/>
            </w:pPr>
            <w:r>
              <w:rPr>
                <w:sz w:val="18"/>
              </w:rPr>
              <w:t xml:space="preserve">−0.100***</w:t>
            </w:r>
          </w:p>
        </w:tc>
        <w:tc>
          <w:tcPr/>
          <w:p>
            <w:pPr>
              <w:pStyle w:val="Compact"/>
              <w:jc w:val="right"/>
            </w:pPr>
            <w:r>
              <w:rPr>
                <w:sz w:val="18"/>
              </w:rPr>
              <w:t xml:space="preserve">−0.080**†</w:t>
            </w:r>
          </w:p>
        </w:tc>
      </w:tr>
      <w:tr>
        <w:tc>
          <w:tcPr/>
          <w:p>
            <w:pPr>
              <w:pStyle w:val="Compact"/>
            </w:pPr>
            <w:r>
              <w:rPr>
                <w:rFonts w:hint="eastAsia"/>
                <w:sz w:val="18"/>
              </w:rPr>
              <w:t xml:space="preserve">水準：太陽光・冬</w:t>
            </w:r>
          </w:p>
        </w:tc>
        <w:tc>
          <w:tcPr/>
          <w:p>
            <w:pPr>
              <w:pStyle w:val="Compact"/>
              <w:jc w:val="right"/>
            </w:pPr>
            <w:r>
              <w:rPr>
                <w:sz w:val="18"/>
              </w:rPr>
              <w:t xml:space="preserve">−0.761*†</w:t>
            </w:r>
          </w:p>
        </w:tc>
        <w:tc>
          <w:tcPr/>
          <w:p>
            <w:pPr>
              <w:pStyle w:val="Compact"/>
              <w:jc w:val="right"/>
            </w:pPr>
            <w:r>
              <w:rPr>
                <w:sz w:val="18"/>
              </w:rPr>
              <w:t xml:space="preserve">−0.644</w:t>
            </w:r>
          </w:p>
        </w:tc>
        <w:tc>
          <w:tcPr/>
          <w:p>
            <w:pPr>
              <w:pStyle w:val="Compact"/>
              <w:jc w:val="right"/>
            </w:pPr>
            <w:r>
              <w:rPr>
                <w:sz w:val="18"/>
              </w:rPr>
              <w:t xml:space="preserve">−0.071***†</w:t>
            </w:r>
          </w:p>
        </w:tc>
        <w:tc>
          <w:tcPr/>
          <w:p>
            <w:pPr>
              <w:pStyle w:val="Compact"/>
              <w:jc w:val="right"/>
            </w:pPr>
            <w:r>
              <w:rPr>
                <w:sz w:val="18"/>
              </w:rPr>
              <w:t xml:space="preserve">−0.066***†</w:t>
            </w:r>
          </w:p>
        </w:tc>
      </w:tr>
      <w:tr>
        <w:tc>
          <w:tcPr/>
          <w:p>
            <w:pPr>
              <w:pStyle w:val="Compact"/>
            </w:pPr>
            <w:r>
              <w:rPr>
                <w:rFonts w:hint="eastAsia"/>
                <w:sz w:val="18"/>
              </w:rPr>
              <w:t xml:space="preserve">水準：太陽光・不需要期</w:t>
            </w:r>
          </w:p>
        </w:tc>
        <w:tc>
          <w:tcPr/>
          <w:p>
            <w:pPr>
              <w:pStyle w:val="Compact"/>
              <w:jc w:val="right"/>
            </w:pPr>
            <w:r>
              <w:rPr>
                <w:sz w:val="18"/>
              </w:rPr>
              <w:t xml:space="preserve">−0.351***</w:t>
            </w:r>
          </w:p>
        </w:tc>
        <w:tc>
          <w:tcPr/>
          <w:p>
            <w:pPr>
              <w:pStyle w:val="Compact"/>
              <w:jc w:val="right"/>
            </w:pPr>
            <w:r>
              <w:rPr>
                <w:sz w:val="18"/>
              </w:rPr>
              <w:t xml:space="preserve">−0.196***†</w:t>
            </w:r>
          </w:p>
        </w:tc>
        <w:tc>
          <w:tcPr/>
          <w:p>
            <w:pPr>
              <w:pStyle w:val="Compact"/>
              <w:jc w:val="right"/>
            </w:pPr>
            <w:r>
              <w:rPr>
                <w:sz w:val="18"/>
              </w:rPr>
              <w:t xml:space="preserve">−0.058***</w:t>
            </w:r>
          </w:p>
        </w:tc>
        <w:tc>
          <w:tcPr/>
          <w:p>
            <w:pPr>
              <w:pStyle w:val="Compact"/>
              <w:jc w:val="right"/>
            </w:pPr>
            <w:r>
              <w:rPr>
                <w:sz w:val="18"/>
              </w:rPr>
              <w:t xml:space="preserve">−0.050***</w:t>
            </w:r>
          </w:p>
        </w:tc>
      </w:tr>
      <w:tr>
        <w:tc>
          <w:tcPr/>
          <w:p>
            <w:pPr>
              <w:pStyle w:val="Compact"/>
            </w:pPr>
            <w:r>
              <w:rPr>
                <w:rFonts w:hint="eastAsia"/>
                <w:sz w:val="18"/>
              </w:rPr>
              <w:t xml:space="preserve">水準：風力・夏</w:t>
            </w:r>
          </w:p>
        </w:tc>
        <w:tc>
          <w:tcPr/>
          <w:p>
            <w:pPr>
              <w:pStyle w:val="Compact"/>
              <w:jc w:val="right"/>
            </w:pPr>
            <w:r>
              <w:rPr>
                <w:sz w:val="18"/>
              </w:rPr>
              <w:t xml:space="preserve">−0.245***</w:t>
            </w:r>
          </w:p>
        </w:tc>
        <w:tc>
          <w:tcPr/>
          <w:p>
            <w:pPr>
              <w:pStyle w:val="Compact"/>
              <w:jc w:val="right"/>
            </w:pPr>
            <w:r>
              <w:rPr>
                <w:sz w:val="18"/>
              </w:rPr>
              <w:t xml:space="preserve">−0.206***</w:t>
            </w:r>
          </w:p>
        </w:tc>
        <w:tc>
          <w:tcPr/>
          <w:p>
            <w:pPr>
              <w:pStyle w:val="Compact"/>
              <w:jc w:val="right"/>
            </w:pPr>
            <w:r>
              <w:rPr>
                <w:sz w:val="18"/>
              </w:rPr>
              <w:t xml:space="preserve">−0.048</w:t>
            </w:r>
          </w:p>
        </w:tc>
        <w:tc>
          <w:tcPr/>
          <w:p>
            <w:pPr>
              <w:pStyle w:val="Compact"/>
              <w:jc w:val="right"/>
            </w:pPr>
            <w:r>
              <w:rPr>
                <w:sz w:val="18"/>
              </w:rPr>
              <w:t xml:space="preserve">0.103</w:t>
            </w:r>
          </w:p>
        </w:tc>
      </w:tr>
      <w:tr>
        <w:tc>
          <w:tcPr/>
          <w:p>
            <w:pPr>
              <w:pStyle w:val="Compact"/>
            </w:pPr>
            <w:r>
              <w:rPr>
                <w:rFonts w:hint="eastAsia"/>
                <w:sz w:val="18"/>
              </w:rPr>
              <w:t xml:space="preserve">水準：風力・冬</w:t>
            </w:r>
          </w:p>
        </w:tc>
        <w:tc>
          <w:tcPr/>
          <w:p>
            <w:pPr>
              <w:pStyle w:val="Compact"/>
              <w:jc w:val="right"/>
            </w:pPr>
            <w:r>
              <w:rPr>
                <w:sz w:val="18"/>
              </w:rPr>
              <w:t xml:space="preserve">−0.353***</w:t>
            </w:r>
          </w:p>
        </w:tc>
        <w:tc>
          <w:tcPr/>
          <w:p>
            <w:pPr>
              <w:pStyle w:val="Compact"/>
              <w:jc w:val="right"/>
            </w:pPr>
            <w:r>
              <w:rPr>
                <w:sz w:val="18"/>
              </w:rPr>
              <w:t xml:space="preserve">−0.302***†</w:t>
            </w:r>
          </w:p>
        </w:tc>
        <w:tc>
          <w:tcPr/>
          <w:p>
            <w:pPr>
              <w:pStyle w:val="Compact"/>
              <w:jc w:val="right"/>
            </w:pPr>
            <w:r>
              <w:rPr>
                <w:sz w:val="18"/>
              </w:rPr>
              <w:t xml:space="preserve">−0.369</w:t>
            </w:r>
          </w:p>
        </w:tc>
        <w:tc>
          <w:tcPr/>
          <w:p>
            <w:pPr>
              <w:pStyle w:val="Compact"/>
              <w:jc w:val="right"/>
            </w:pPr>
            <w:r>
              <w:rPr>
                <w:sz w:val="18"/>
              </w:rPr>
              <w:t xml:space="preserve">−0.431</w:t>
            </w:r>
          </w:p>
        </w:tc>
      </w:tr>
      <w:tr>
        <w:tc>
          <w:tcPr/>
          <w:p>
            <w:pPr>
              <w:pStyle w:val="Compact"/>
            </w:pPr>
            <w:r>
              <w:rPr>
                <w:rFonts w:hint="eastAsia"/>
                <w:sz w:val="18"/>
              </w:rPr>
              <w:t xml:space="preserve">水準：風力・不需要期</w:t>
            </w:r>
          </w:p>
        </w:tc>
        <w:tc>
          <w:tcPr/>
          <w:p>
            <w:pPr>
              <w:pStyle w:val="Compact"/>
              <w:jc w:val="right"/>
            </w:pPr>
            <w:r>
              <w:rPr>
                <w:sz w:val="18"/>
              </w:rPr>
              <w:t xml:space="preserve">−0.355***</w:t>
            </w:r>
          </w:p>
        </w:tc>
        <w:tc>
          <w:tcPr/>
          <w:p>
            <w:pPr>
              <w:pStyle w:val="Compact"/>
              <w:jc w:val="right"/>
            </w:pPr>
            <w:r>
              <w:rPr>
                <w:sz w:val="18"/>
              </w:rPr>
              <w:t xml:space="preserve">−0.293***</w:t>
            </w:r>
          </w:p>
        </w:tc>
        <w:tc>
          <w:tcPr/>
          <w:p>
            <w:pPr>
              <w:pStyle w:val="Compact"/>
              <w:jc w:val="right"/>
            </w:pPr>
            <w:r>
              <w:rPr>
                <w:sz w:val="18"/>
              </w:rPr>
              <w:t xml:space="preserve">−0.021</w:t>
            </w:r>
          </w:p>
        </w:tc>
        <w:tc>
          <w:tcPr/>
          <w:p>
            <w:pPr>
              <w:pStyle w:val="Compact"/>
              <w:jc w:val="right"/>
            </w:pPr>
            <w:r>
              <w:rPr>
                <w:sz w:val="18"/>
              </w:rPr>
              <w:t xml:space="preserve">−0.104</w:t>
            </w:r>
          </w:p>
        </w:tc>
      </w:tr>
      <w:tr>
        <w:tc>
          <w:tcPr/>
          <w:p>
            <w:pPr>
              <w:pStyle w:val="Compact"/>
            </w:pPr>
            <w:r>
              <w:rPr>
                <w:rFonts w:hint="eastAsia"/>
                <w:sz w:val="18"/>
              </w:rPr>
              <w:t xml:space="preserve">TB4h：太陽光・夏</w:t>
            </w:r>
          </w:p>
        </w:tc>
        <w:tc>
          <w:tcPr/>
          <w:p>
            <w:pPr>
              <w:pStyle w:val="Compact"/>
              <w:jc w:val="right"/>
            </w:pPr>
            <w:r>
              <w:rPr>
                <w:sz w:val="18"/>
              </w:rPr>
              <w:t xml:space="preserve">0.033</w:t>
            </w:r>
          </w:p>
        </w:tc>
        <w:tc>
          <w:tcPr/>
          <w:p>
            <w:pPr>
              <w:pStyle w:val="Compact"/>
              <w:jc w:val="right"/>
            </w:pPr>
            <w:r>
              <w:rPr>
                <w:sz w:val="18"/>
              </w:rPr>
              <w:t xml:space="preserve">0.101</w:t>
            </w:r>
          </w:p>
        </w:tc>
        <w:tc>
          <w:tcPr/>
          <w:p>
            <w:pPr>
              <w:pStyle w:val="Compact"/>
              <w:jc w:val="right"/>
            </w:pPr>
            <w:r>
              <w:rPr>
                <w:sz w:val="18"/>
              </w:rPr>
              <w:t xml:space="preserve">−0.014</w:t>
            </w:r>
          </w:p>
        </w:tc>
        <w:tc>
          <w:tcPr/>
          <w:p>
            <w:pPr>
              <w:pStyle w:val="Compact"/>
              <w:jc w:val="right"/>
            </w:pPr>
            <w:r>
              <w:rPr>
                <w:sz w:val="18"/>
              </w:rPr>
              <w:t xml:space="preserve">−0.036</w:t>
            </w:r>
          </w:p>
        </w:tc>
      </w:tr>
      <w:tr>
        <w:tc>
          <w:tcPr/>
          <w:p>
            <w:pPr>
              <w:pStyle w:val="Compact"/>
            </w:pPr>
            <w:r>
              <w:rPr>
                <w:rFonts w:hint="eastAsia"/>
                <w:sz w:val="18"/>
              </w:rPr>
              <w:t xml:space="preserve">TB4h：太陽光・冬</w:t>
            </w:r>
          </w:p>
        </w:tc>
        <w:tc>
          <w:tcPr/>
          <w:p>
            <w:pPr>
              <w:pStyle w:val="Compact"/>
              <w:jc w:val="right"/>
            </w:pPr>
            <w:r>
              <w:rPr>
                <w:sz w:val="18"/>
              </w:rPr>
              <w:t xml:space="preserve">−0.807**†</w:t>
            </w:r>
          </w:p>
        </w:tc>
        <w:tc>
          <w:tcPr/>
          <w:p>
            <w:pPr>
              <w:pStyle w:val="Compact"/>
              <w:jc w:val="right"/>
            </w:pPr>
            <w:r>
              <w:rPr>
                <w:sz w:val="18"/>
              </w:rPr>
              <w:t xml:space="preserve">−0.565</w:t>
            </w:r>
          </w:p>
        </w:tc>
        <w:tc>
          <w:tcPr/>
          <w:p>
            <w:pPr>
              <w:pStyle w:val="Compact"/>
              <w:jc w:val="right"/>
            </w:pPr>
            <w:r>
              <w:rPr>
                <w:sz w:val="18"/>
              </w:rPr>
              <w:t xml:space="preserve">0.112***</w:t>
            </w:r>
          </w:p>
        </w:tc>
        <w:tc>
          <w:tcPr/>
          <w:p>
            <w:pPr>
              <w:pStyle w:val="Compact"/>
              <w:jc w:val="right"/>
            </w:pPr>
            <w:r>
              <w:rPr>
                <w:sz w:val="18"/>
              </w:rPr>
              <w:t xml:space="preserve">0.077**</w:t>
            </w:r>
          </w:p>
        </w:tc>
      </w:tr>
      <w:tr>
        <w:tc>
          <w:tcPr/>
          <w:p>
            <w:pPr>
              <w:pStyle w:val="Compact"/>
            </w:pPr>
            <w:r>
              <w:rPr>
                <w:rFonts w:hint="eastAsia"/>
                <w:sz w:val="18"/>
              </w:rPr>
              <w:t xml:space="preserve">TB4h：太陽光・不需要期</w:t>
            </w:r>
          </w:p>
        </w:tc>
        <w:tc>
          <w:tcPr/>
          <w:p>
            <w:pPr>
              <w:pStyle w:val="Compact"/>
              <w:jc w:val="right"/>
            </w:pPr>
            <w:r>
              <w:rPr>
                <w:sz w:val="18"/>
              </w:rPr>
              <w:t xml:space="preserve">0.233</w:t>
            </w:r>
          </w:p>
        </w:tc>
        <w:tc>
          <w:tcPr/>
          <w:p>
            <w:pPr>
              <w:pStyle w:val="Compact"/>
              <w:jc w:val="right"/>
            </w:pPr>
            <w:r>
              <w:rPr>
                <w:sz w:val="18"/>
              </w:rPr>
              <w:t xml:space="preserve">0.314**</w:t>
            </w:r>
          </w:p>
        </w:tc>
        <w:tc>
          <w:tcPr/>
          <w:p>
            <w:pPr>
              <w:pStyle w:val="Compact"/>
              <w:jc w:val="right"/>
            </w:pPr>
            <w:r>
              <w:rPr>
                <w:sz w:val="18"/>
              </w:rPr>
              <w:t xml:space="preserve">0.101***</w:t>
            </w:r>
          </w:p>
        </w:tc>
        <w:tc>
          <w:tcPr/>
          <w:p>
            <w:pPr>
              <w:pStyle w:val="Compact"/>
              <w:jc w:val="right"/>
            </w:pPr>
            <w:r>
              <w:rPr>
                <w:sz w:val="18"/>
              </w:rPr>
              <w:t xml:space="preserve">0.083***</w:t>
            </w:r>
          </w:p>
        </w:tc>
      </w:tr>
      <w:tr>
        <w:tc>
          <w:tcPr/>
          <w:p>
            <w:pPr>
              <w:pStyle w:val="Compact"/>
            </w:pPr>
            <w:r>
              <w:rPr>
                <w:rFonts w:hint="eastAsia"/>
                <w:sz w:val="18"/>
              </w:rPr>
              <w:t xml:space="preserve">TB4h：風力・夏</w:t>
            </w:r>
          </w:p>
        </w:tc>
        <w:tc>
          <w:tcPr/>
          <w:p>
            <w:pPr>
              <w:pStyle w:val="Compact"/>
              <w:jc w:val="right"/>
            </w:pPr>
            <w:r>
              <w:rPr>
                <w:sz w:val="18"/>
              </w:rPr>
              <w:t xml:space="preserve">−0.156</w:t>
            </w:r>
          </w:p>
        </w:tc>
        <w:tc>
          <w:tcPr/>
          <w:p>
            <w:pPr>
              <w:pStyle w:val="Compact"/>
              <w:jc w:val="right"/>
            </w:pPr>
            <w:r>
              <w:rPr>
                <w:sz w:val="18"/>
              </w:rPr>
              <w:t xml:space="preserve">−0.053</w:t>
            </w:r>
          </w:p>
        </w:tc>
        <w:tc>
          <w:tcPr/>
          <w:p>
            <w:pPr>
              <w:pStyle w:val="Compact"/>
              <w:jc w:val="right"/>
            </w:pPr>
            <w:r>
              <w:rPr>
                <w:sz w:val="18"/>
              </w:rPr>
              <w:t xml:space="preserve">0.085</w:t>
            </w:r>
          </w:p>
        </w:tc>
        <w:tc>
          <w:tcPr/>
          <w:p>
            <w:pPr>
              <w:pStyle w:val="Compact"/>
              <w:jc w:val="right"/>
            </w:pPr>
            <w:r>
              <w:rPr>
                <w:sz w:val="18"/>
              </w:rPr>
              <w:t xml:space="preserve">−0.156</w:t>
            </w:r>
          </w:p>
        </w:tc>
      </w:tr>
      <w:tr>
        <w:tc>
          <w:tcPr/>
          <w:p>
            <w:pPr>
              <w:pStyle w:val="Compact"/>
            </w:pPr>
            <w:r>
              <w:rPr>
                <w:rFonts w:hint="eastAsia"/>
                <w:sz w:val="18"/>
              </w:rPr>
              <w:t xml:space="preserve">TB4h：風力・冬</w:t>
            </w:r>
          </w:p>
        </w:tc>
        <w:tc>
          <w:tcPr/>
          <w:p>
            <w:pPr>
              <w:pStyle w:val="Compact"/>
              <w:jc w:val="right"/>
            </w:pPr>
            <w:r>
              <w:rPr>
                <w:sz w:val="18"/>
              </w:rPr>
              <w:t xml:space="preserve">−0.363**†</w:t>
            </w:r>
          </w:p>
        </w:tc>
        <w:tc>
          <w:tcPr/>
          <w:p>
            <w:pPr>
              <w:pStyle w:val="Compact"/>
              <w:jc w:val="right"/>
            </w:pPr>
            <w:r>
              <w:rPr>
                <w:sz w:val="18"/>
              </w:rPr>
              <w:t xml:space="preserve">−0.388**†</w:t>
            </w:r>
          </w:p>
        </w:tc>
        <w:tc>
          <w:tcPr/>
          <w:p>
            <w:pPr>
              <w:pStyle w:val="Compact"/>
              <w:jc w:val="right"/>
            </w:pPr>
            <w:r>
              <w:rPr>
                <w:sz w:val="18"/>
              </w:rPr>
              <w:t xml:space="preserve">−0.463</w:t>
            </w:r>
          </w:p>
        </w:tc>
        <w:tc>
          <w:tcPr/>
          <w:p>
            <w:pPr>
              <w:pStyle w:val="Compact"/>
              <w:jc w:val="right"/>
            </w:pPr>
            <w:r>
              <w:rPr>
                <w:sz w:val="18"/>
              </w:rPr>
              <w:t xml:space="preserve">−0.736</w:t>
            </w:r>
          </w:p>
        </w:tc>
      </w:tr>
      <w:tr>
        <w:tc>
          <w:tcPr/>
          <w:p>
            <w:pPr>
              <w:pStyle w:val="Compact"/>
            </w:pPr>
            <w:r>
              <w:rPr>
                <w:rFonts w:hint="eastAsia"/>
                <w:sz w:val="18"/>
              </w:rPr>
              <w:t xml:space="preserve">TB4h：風力・不需要期</w:t>
            </w:r>
          </w:p>
        </w:tc>
        <w:tc>
          <w:tcPr/>
          <w:p>
            <w:pPr>
              <w:pStyle w:val="Compact"/>
              <w:jc w:val="right"/>
            </w:pPr>
            <w:r>
              <w:rPr>
                <w:sz w:val="18"/>
              </w:rPr>
              <w:t xml:space="preserve">−0.067</w:t>
            </w:r>
          </w:p>
        </w:tc>
        <w:tc>
          <w:tcPr/>
          <w:p>
            <w:pPr>
              <w:pStyle w:val="Compact"/>
              <w:jc w:val="right"/>
            </w:pPr>
            <w:r>
              <w:rPr>
                <w:sz w:val="18"/>
              </w:rPr>
              <w:t xml:space="preserve">−0.015</w:t>
            </w:r>
          </w:p>
        </w:tc>
        <w:tc>
          <w:tcPr/>
          <w:p>
            <w:pPr>
              <w:pStyle w:val="Compact"/>
              <w:jc w:val="right"/>
            </w:pPr>
            <w:r>
              <w:rPr>
                <w:sz w:val="18"/>
              </w:rPr>
              <w:t xml:space="preserve">0.173</w:t>
            </w:r>
          </w:p>
        </w:tc>
        <w:tc>
          <w:tcPr/>
          <w:p>
            <w:pPr>
              <w:pStyle w:val="Compact"/>
              <w:jc w:val="right"/>
            </w:pPr>
            <w:r>
              <w:rPr>
                <w:sz w:val="18"/>
              </w:rPr>
              <w:t xml:space="preserve">0.049</w:t>
            </w:r>
          </w:p>
        </w:tc>
      </w:tr>
    </w:tbl>
    <w:p>
      <w:pPr>
        <w:pStyle w:val="TableNote"/>
      </w:pPr>
      <w:r>
        <w:rPr>
          <w:rFonts w:hint="eastAsia"/>
        </w:rPr>
        <w:t xml:space="preserve">注）単位は円/kWh</w:t>
      </w:r>
      <w:r>
        <w:t xml:space="preserve"> per </w:t>
      </w:r>
      <w:r>
        <w:rPr>
          <w:rFonts w:hint="eastAsia"/>
        </w:rPr>
        <w:t xml:space="preserve">GWh/日。仕様は表5.2</w:t>
      </w:r>
      <w:r>
        <w:t xml:space="preserve"> </w:t>
      </w:r>
      <w:r>
        <w:rPr>
          <w:rFonts w:hint="eastAsia"/>
        </w:rPr>
        <w:t xml:space="preserve">と同じで、主分析の列は表5.2</w:t>
      </w:r>
      <w:r>
        <w:t xml:space="preserve"> </w:t>
      </w:r>
      <w:r>
        <w:rPr>
          <w:rFonts w:hint="eastAsia"/>
        </w:rPr>
        <w:t xml:space="preserve">の値。除外期間は暦日の格子の上で欠測として扱う。星は</w:t>
      </w:r>
      <w:r>
        <w:t xml:space="preserve"> </w:t>
      </w:r>
      <w:r>
        <w:rPr>
          <w:rFonts w:hint="eastAsia"/>
        </w:rPr>
        <w:t xml:space="preserve">EWC（</w:t>
      </w:r>
      <m:oMath>
        <m:r>
          <m:t>ν</m:t>
        </m:r>
        <m:r>
          <m:rPr>
            <m:sty m:val="p"/>
          </m:rPr>
          <m:t>=</m:t>
        </m:r>
        <m:r>
          <m:t>94</m:t>
        </m:r>
      </m:oMath>
      <w:r>
        <w:rPr>
          <w:rFonts w:hint="eastAsia"/>
        </w:rPr>
        <w:t xml:space="preserve">）により、記号は表5.2</w:t>
      </w:r>
      <w:r>
        <w:t xml:space="preserve"> </w:t>
      </w:r>
      <w:r>
        <w:rPr>
          <w:rFonts w:hint="eastAsia"/>
        </w:rPr>
        <w:t xml:space="preserve">と同じ。†は、ふるいブートストラップの補正</w:t>
      </w:r>
      <w:r>
        <w:t xml:space="preserve"> p </w:t>
      </w:r>
      <w:r>
        <w:rPr>
          <w:rFonts w:hint="eastAsia"/>
        </w:rPr>
        <w:t xml:space="preserve">値で有意水準が1段以上下がる係数。</w:t>
      </w:r>
    </w:p>
    <w:p>
      <w:pPr>
        <w:pStyle w:val="TableNote"/>
      </w:pPr>
      <w:r>
        <w:rPr>
          <w:rFonts w:hint="eastAsia"/>
        </w:rPr>
        <w:t xml:space="preserve">出所）表5.2</w:t>
      </w:r>
      <w:r>
        <w:t xml:space="preserve"> </w:t>
      </w:r>
      <w:r>
        <w:rPr>
          <w:rFonts w:hint="eastAsia"/>
        </w:rPr>
        <w:t xml:space="preserve">と同じ。</w:t>
      </w:r>
    </w:p>
    <w:bookmarkEnd w:id="362"/>
    <w:bookmarkStart w:id="363" w:name="c.1.10-推論法の実効的な棄却率と同月内の識別"/>
    <w:p>
      <w:pPr>
        <w:pStyle w:val="Heading3"/>
      </w:pPr>
      <w:r>
        <w:t xml:space="preserve">C.1.10　</w:t>
      </w:r>
      <w:r>
        <w:rPr>
          <w:rFonts w:hint="eastAsia"/>
        </w:rPr>
        <w:t xml:space="preserve">推論法の実効的な棄却率と同月内の識別</w:t>
      </w:r>
    </w:p>
    <w:p>
      <w:pPr>
        <w:pStyle w:val="FirstParagraph"/>
      </w:pPr>
      <w:r>
        <w:rPr>
          <w:rFonts w:hint="eastAsia"/>
          <w:b/>
          <w:bCs/>
        </w:rPr>
        <w:t xml:space="preserve">系列相関と実効的な棄却率</w:t>
      </w:r>
      <w:r>
        <w:t xml:space="preserve">　</w:t>
      </w:r>
      <w:r>
        <w:rPr>
          <w:rFonts w:hint="eastAsia"/>
        </w:rPr>
        <w:t xml:space="preserve">表5.2</w:t>
      </w:r>
      <w:r>
        <w:t xml:space="preserve"> </w:t>
      </w:r>
      <w:r>
        <w:rPr>
          <w:rFonts w:hint="eastAsia"/>
        </w:rPr>
        <w:t xml:space="preserve">の日次回帰の残差は強く自己相関している（1次自己相関は北海道0.76〜0.86、九州0.83〜0.91。燃料危機期を除いた標本ではさらに高い）。日々の価格は燃料価格、気温、水力・原子力の稼働といった持続的な要因で動くため、気象由来の発電量で識別しても、誤差は日をまたいで強く相関する。係数36本の中央値で、EWC</w:t>
      </w:r>
      <w:r>
        <w:t xml:space="preserve"> </w:t>
      </w:r>
      <w:r>
        <w:rPr>
          <w:rFonts w:hint="eastAsia"/>
        </w:rPr>
        <w:t xml:space="preserve">標準誤差は</w:t>
      </w:r>
      <w:r>
        <w:t xml:space="preserve"> HC3 </w:t>
      </w:r>
      <w:r>
        <w:rPr>
          <w:rFonts w:hint="eastAsia"/>
        </w:rPr>
        <w:t xml:space="preserve">標準誤差の1.76倍である。付録B.2.2</w:t>
      </w:r>
      <w:r>
        <w:t xml:space="preserve"> </w:t>
      </w:r>
      <w:r>
        <w:rPr>
          <w:rFonts w:hint="eastAsia"/>
        </w:rPr>
        <w:t xml:space="preserve">のふるいブートストラップで求めた主仕様（北海道・九州×被説明変数3種の6設計。各設計で季節×電源の係数6本の平均）の名目5%の検定の棄却率は、HC3</w:t>
      </w:r>
      <w:r>
        <w:t xml:space="preserve"> </w:t>
      </w:r>
      <w:r>
        <w:rPr>
          <w:rFonts w:hint="eastAsia"/>
        </w:rPr>
        <w:t xml:space="preserve">で37〜42%、ラグ7日の</w:t>
      </w:r>
      <w:r>
        <w:t xml:space="preserve"> Newey–West </w:t>
      </w:r>
      <w:r>
        <w:rPr>
          <w:rFonts w:hint="eastAsia"/>
        </w:rPr>
        <w:t xml:space="preserve">で17〜21%、Andrews（1991）の自動帯域の</w:t>
      </w:r>
      <w:r>
        <w:t xml:space="preserve"> Newey–West </w:t>
      </w:r>
      <w:r>
        <w:rPr>
          <w:rFonts w:hint="eastAsia"/>
        </w:rPr>
        <w:t xml:space="preserve">でも12〜16%に達する。年月クラスタ（Cameron</w:t>
      </w:r>
      <w:r>
        <w:t xml:space="preserve"> &amp; Miller, </w:t>
      </w:r>
      <w:r>
        <w:rPr>
          <w:rFonts w:hint="eastAsia"/>
        </w:rPr>
        <w:t xml:space="preserve">2015）と固定</w:t>
      </w:r>
      <w:r>
        <w:t xml:space="preserve"> b </w:t>
      </w:r>
      <w:r>
        <w:rPr>
          <w:rFonts w:hint="eastAsia"/>
        </w:rPr>
        <w:t xml:space="preserve">の臨界値の</w:t>
      </w:r>
      <w:r>
        <w:t xml:space="preserve"> Newey–West は9〜11%、EWC </w:t>
      </w:r>
      <w:r>
        <w:rPr>
          <w:rFonts w:hint="eastAsia"/>
        </w:rPr>
        <w:t xml:space="preserve">は8〜10%である。主仕様では、比較した中で</w:t>
      </w:r>
      <w:r>
        <w:t xml:space="preserve"> EWC </w:t>
      </w:r>
      <w:r>
        <w:rPr>
          <w:rFonts w:hint="eastAsia"/>
        </w:rPr>
        <w:t xml:space="preserve">の歪みが最も小さい。年月固定効果の仕様では、年月クラスタ（5.0〜6.0%）が</w:t>
      </w:r>
      <w:r>
        <w:t xml:space="preserve"> </w:t>
      </w:r>
      <w:r>
        <w:rPr>
          <w:rFonts w:hint="eastAsia"/>
        </w:rPr>
        <w:t xml:space="preserve">EWC（6.4〜7.2%）よりわずかに小さい。誤差を独立な正規分布にしても</w:t>
      </w:r>
      <w:r>
        <w:t xml:space="preserve"> EWC </w:t>
      </w:r>
      <w:r>
        <w:rPr>
          <w:rFonts w:hint="eastAsia"/>
        </w:rPr>
        <w:t xml:space="preserve">の棄却率は6〜7%であり、残る歪みの一部は季節交互作用という設計から生じる。この帰無分布での</w:t>
      </w:r>
      <w:r>
        <w:t xml:space="preserve"> EWC の t </w:t>
      </w:r>
      <w:r>
        <w:rPr>
          <w:rFonts w:hint="eastAsia"/>
        </w:rPr>
        <w:t xml:space="preserve">統計量の5%臨界値は、t</w:t>
      </w:r>
      <w:r>
        <w:t xml:space="preserve"> </w:t>
      </w:r>
      <w:r>
        <w:rPr>
          <w:rFonts w:hint="eastAsia"/>
        </w:rPr>
        <w:t xml:space="preserve">分布の1.99ではなく2.1〜2.6である。</w:t>
      </w:r>
    </w:p>
    <w:p>
      <w:pPr>
        <w:pStyle w:val="BodyText"/>
      </w:pPr>
      <w:r>
        <w:rPr>
          <w:rFonts w:hint="eastAsia"/>
          <w:b/>
          <w:bCs/>
        </w:rPr>
        <w:t xml:space="preserve">同月内の識別と2021年1月</w:t>
      </w:r>
      <w:r>
        <w:t xml:space="preserve">　</w:t>
      </w:r>
      <w:r>
        <w:rPr>
          <w:rFonts w:hint="eastAsia"/>
        </w:rPr>
        <w:t xml:space="preserve">年度・季節の固定効果を年月固定効果（120セル）に置き換え、曜日・祝日を統制すると、残差の1次自己相関は0.55〜0.78に下がる。2021年1月の</w:t>
      </w:r>
      <w:r>
        <w:t xml:space="preserve"> TB4h </w:t>
      </w:r>
      <w:r>
        <w:rPr>
          <w:rFonts w:hint="eastAsia"/>
        </w:rPr>
        <w:t xml:space="preserve">の月平均は北海道86.7円/kWh、九州76.0円/kWh</w:t>
      </w:r>
      <w:r>
        <w:t xml:space="preserve"> </w:t>
      </w:r>
      <w:r>
        <w:rPr>
          <w:rFonts w:hint="eastAsia"/>
        </w:rPr>
        <w:t xml:space="preserve">で、他の年の1月（北海道10.7、九州10.2円/kWh）の7〜8倍である。この月は冬の日だが、需要の係数と年度固定効果という共通の係数を通じて他の季節の係数にも影響するので、この31日を除いた推定（3,601日）も併記する。結果を表C.15</w:t>
      </w:r>
      <w:r>
        <w:t xml:space="preserve"> </w:t>
      </w:r>
      <w:r>
        <w:rPr>
          <w:rFonts w:hint="eastAsia"/>
        </w:rPr>
        <w:t xml:space="preserve">と表C.16</w:t>
      </w:r>
      <w:r>
        <w:t xml:space="preserve"> </w:t>
      </w:r>
      <w:r>
        <w:rPr>
          <w:rFonts w:hint="eastAsia"/>
        </w:rPr>
        <w:t xml:space="preserve">に、冬の</w:t>
      </w:r>
      <w:r>
        <w:t xml:space="preserve"> TB4h </w:t>
      </w:r>
      <w:r>
        <w:rPr>
          <w:rFonts w:hint="eastAsia"/>
        </w:rPr>
        <w:t xml:space="preserve">の上位・下位4時間への分解を表C.1（付録C.1.2）に示す。結果は係数によって次のように分かれる。</w:t>
      </w:r>
    </w:p>
    <w:p>
      <w:pPr>
        <w:pStyle w:val="BodyText"/>
      </w:pPr>
      <w:r>
        <w:rPr>
          <w:rFonts w:hint="eastAsia"/>
        </w:rPr>
        <w:t xml:space="preserve">第一に、北海道の風力が日平均価格を下げる効果は、主仕様・月固定効果・年月固定効果・価格のラグ付き・FY2023〜25・FGLS・2021年1月の除外・燃料危機期の除外のいずれでも、全季節で1%水準で有意である。</w:t>
      </w:r>
    </w:p>
    <w:p>
      <w:pPr>
        <w:pStyle w:val="BodyText"/>
      </w:pPr>
      <w:r>
        <w:rPr>
          <w:rFonts w:hint="eastAsia"/>
        </w:rPr>
        <w:t xml:space="preserve">第二に、北海道の風力の</w:t>
      </w:r>
      <w:r>
        <w:t xml:space="preserve"> TB4h </w:t>
      </w:r>
      <w:r>
        <w:rPr>
          <w:rFonts w:hint="eastAsia"/>
        </w:rPr>
        <w:t xml:space="preserve">への係数は、3季節の区分ではどの仕様・標本でも正に有意にならない。95%区間の上限を年度内の1標準偏差あたりに直すと、主仕様で</w:t>
      </w:r>
      <w:r>
        <w:t xml:space="preserve"> FY2016〜25 </w:t>
      </w:r>
      <w:r>
        <w:rPr>
          <w:rFonts w:hint="eastAsia"/>
        </w:rPr>
        <w:t xml:space="preserve">の夏+0.37・不需要期+0.35円/kWh（季節平均</w:t>
      </w:r>
      <w:r>
        <w:t xml:space="preserve"> TB4h </w:t>
      </w:r>
      <w:r>
        <w:rPr>
          <w:rFonts w:hint="eastAsia"/>
        </w:rPr>
        <w:t xml:space="preserve">の3.0%・3.5%）、FY2023〜25</w:t>
      </w:r>
      <w:r>
        <w:t xml:space="preserve"> </w:t>
      </w:r>
      <w:r>
        <w:rPr>
          <w:rFonts w:hint="eastAsia"/>
        </w:rPr>
        <w:t xml:space="preserve">の夏+1.20（10.9%）・冬+0.35（5.3%）・不需要期+0.53（5.1%）であり、ブートストラップ‐t</w:t>
      </w:r>
      <w:r>
        <w:t xml:space="preserve"> </w:t>
      </w:r>
      <w:r>
        <w:rPr>
          <w:rFonts w:hint="eastAsia"/>
        </w:rPr>
        <w:t xml:space="preserve">区間では4.0〜12.2%である。EWC</w:t>
      </w:r>
      <w:r>
        <w:t xml:space="preserve"> </w:t>
      </w:r>
      <w:r>
        <w:rPr>
          <w:rFonts w:hint="eastAsia"/>
        </w:rPr>
        <w:t xml:space="preserve">の95%区間は、FY2016〜25</w:t>
      </w:r>
      <w:r>
        <w:t xml:space="preserve"> </w:t>
      </w:r>
      <w:r>
        <w:rPr>
          <w:rFonts w:hint="eastAsia"/>
        </w:rPr>
        <w:t xml:space="preserve">で夏</w:t>
      </w:r>
      <w:r>
        <w:t xml:space="preserve"> [−0.48, </w:t>
      </w:r>
      <w:r>
        <w:rPr>
          <w:rFonts w:hint="eastAsia"/>
        </w:rPr>
        <w:t xml:space="preserve">+0.17]、冬</w:t>
      </w:r>
      <w:r>
        <w:t xml:space="preserve"> [−0.71, </w:t>
      </w:r>
      <w:r>
        <w:rPr>
          <w:rFonts w:hint="eastAsia"/>
        </w:rPr>
        <w:t xml:space="preserve">−0.02]、不需要期</w:t>
      </w:r>
      <w:r>
        <w:t xml:space="preserve"> [−0.26, +0.13]、FY2023〜25 </w:t>
      </w:r>
      <w:r>
        <w:rPr>
          <w:rFonts w:hint="eastAsia"/>
        </w:rPr>
        <w:t xml:space="preserve">で夏</w:t>
      </w:r>
      <w:r>
        <w:t xml:space="preserve"> [−0.17, </w:t>
      </w:r>
      <w:r>
        <w:rPr>
          <w:rFonts w:hint="eastAsia"/>
        </w:rPr>
        <w:t xml:space="preserve">+0.34]、冬</w:t>
      </w:r>
      <w:r>
        <w:t xml:space="preserve"> [−0.29, </w:t>
      </w:r>
      <w:r>
        <w:rPr>
          <w:rFonts w:hint="eastAsia"/>
        </w:rPr>
        <w:t xml:space="preserve">+0.07]、不需要期</w:t>
      </w:r>
      <w:r>
        <w:t xml:space="preserve"> [−0.18, +0.12] </w:t>
      </w:r>
      <w:r>
        <w:rPr>
          <w:rFonts w:hint="eastAsia"/>
        </w:rPr>
        <w:t xml:space="preserve">である。年月固定効果でも、上限は</w:t>
      </w:r>
      <w:r>
        <w:t xml:space="preserve"> FY2016〜25 </w:t>
      </w:r>
      <w:r>
        <w:rPr>
          <w:rFonts w:hint="eastAsia"/>
        </w:rPr>
        <w:t xml:space="preserve">の夏4.2%・不需要期3.3%、FY2023〜25</w:t>
      </w:r>
      <w:r>
        <w:t xml:space="preserve"> </w:t>
      </w:r>
      <w:r>
        <w:rPr>
          <w:rFonts w:hint="eastAsia"/>
        </w:rPr>
        <w:t xml:space="preserve">の夏10.4%・冬2.9%・不需要期5.0%である。不需要期を暦月の春と秋に分けると（表C.16）、FY2023〜25</w:t>
      </w:r>
      <w:r>
        <w:t xml:space="preserve"> </w:t>
      </w:r>
      <w:r>
        <w:rPr>
          <w:rFonts w:hint="eastAsia"/>
        </w:rPr>
        <w:t xml:space="preserve">の春は主仕様で+0.084（EWC</w:t>
      </w:r>
      <w:r>
        <w:t xml:space="preserve"> の </w:t>
      </w:r>
      <w:r>
        <w:rPr>
          <w:rFonts w:hint="eastAsia"/>
        </w:rPr>
        <w:t xml:space="preserve">p=0.13、補正</w:t>
      </w:r>
      <w:r>
        <w:t xml:space="preserve"> p </w:t>
      </w:r>
      <w:r>
        <w:rPr>
          <w:rFonts w:hint="eastAsia"/>
        </w:rPr>
        <w:t xml:space="preserve">値0.16）、年月固定効果で+0.076（p=0.11、補正</w:t>
      </w:r>
      <w:r>
        <w:t xml:space="preserve"> p </w:t>
      </w:r>
      <w:r>
        <w:rPr>
          <w:rFonts w:hint="eastAsia"/>
        </w:rPr>
        <w:t xml:space="preserve">値0.14）、年月固定効果と価格のラグで+0.099（p=0.024）となる。FY2016〜25</w:t>
      </w:r>
      <w:r>
        <w:t xml:space="preserve"> </w:t>
      </w:r>
      <w:r>
        <w:rPr>
          <w:rFonts w:hint="eastAsia"/>
        </w:rPr>
        <w:t xml:space="preserve">では、年月固定効果と価格のラグで+0.167（p=0.007）である。秋は−0.08〜−0.20</w:t>
      </w:r>
      <w:r>
        <w:t xml:space="preserve"> </w:t>
      </w:r>
      <w:r>
        <w:rPr>
          <w:rFonts w:hint="eastAsia"/>
        </w:rPr>
        <w:t xml:space="preserve">で、3季節の不需要期の係数（−0.02〜−0.07）は春と秋の平均にあたる。補正</w:t>
      </w:r>
      <w:r>
        <w:t xml:space="preserve"> p </w:t>
      </w:r>
      <w:r>
        <w:rPr>
          <w:rFonts w:hint="eastAsia"/>
        </w:rPr>
        <w:t xml:space="preserve">値で5%を下回る仕様はない。価格のラグを含む仕様は、残差の自己相関（0.55〜0.86）の下でラグ価格が内生的になりうるうえ、補正</w:t>
      </w:r>
      <w:r>
        <w:t xml:space="preserve"> p </w:t>
      </w:r>
      <w:r>
        <w:rPr>
          <w:rFonts w:hint="eastAsia"/>
        </w:rPr>
        <w:t xml:space="preserve">値も出せない。したがって春の正の係数は境界的な証拠にとどまる（太陽光・冬の+0.593（年月固定効果と価格のラグ）を頑健でないとするのと同じ扱いである）。大きさは</w:t>
      </w:r>
      <w:r>
        <w:t xml:space="preserve"> FY2023〜25 </w:t>
      </w:r>
      <w:r>
        <w:rPr>
          <w:rFonts w:hint="eastAsia"/>
        </w:rPr>
        <w:t xml:space="preserve">の春の1標準偏差あたりで、風力+0.29〜+0.38、太陽光+1.72〜+1.80円/kWh</w:t>
      </w:r>
      <w:r>
        <w:t xml:space="preserve"> </w:t>
      </w:r>
      <w:r>
        <w:rPr>
          <w:rFonts w:hint="eastAsia"/>
        </w:rPr>
        <w:t xml:space="preserve">で、風力は太陽光の約5分の1である。夏の係数は7〜8月に限ると−0.35（10%水準で有意）で、9月を含めると縮小するが負のままである。</w:t>
      </w:r>
    </w:p>
    <w:p>
      <w:pPr>
        <w:pStyle w:val="BodyText"/>
      </w:pPr>
      <w:r>
        <w:rPr>
          <w:rFonts w:hint="eastAsia"/>
        </w:rPr>
        <w:t xml:space="preserve">第三に、風力が冬に</w:t>
      </w:r>
      <w:r>
        <w:t xml:space="preserve"> TB4h </w:t>
      </w:r>
      <w:r>
        <w:rPr>
          <w:rFonts w:hint="eastAsia"/>
        </w:rPr>
        <w:t xml:space="preserve">を縮める効果は弱い。主仕様の−0.363</w:t>
      </w:r>
      <w:r>
        <w:t xml:space="preserve"> は EWC </w:t>
      </w:r>
      <w:r>
        <w:rPr>
          <w:rFonts w:hint="eastAsia"/>
        </w:rPr>
        <w:t xml:space="preserve">では5%水準で有意（p=0.040）だが、補正</w:t>
      </w:r>
      <w:r>
        <w:t xml:space="preserve"> p </w:t>
      </w:r>
      <w:r>
        <w:rPr>
          <w:rFonts w:hint="eastAsia"/>
        </w:rPr>
        <w:t xml:space="preserve">値は0.099</w:t>
      </w:r>
      <w:r>
        <w:t xml:space="preserve"> </w:t>
      </w:r>
      <w:r>
        <w:rPr>
          <w:rFonts w:hint="eastAsia"/>
        </w:rPr>
        <w:t xml:space="preserve">である。Newey–West（14日）では1%水準で有意である。年月固定効果では−0.181</w:t>
      </w:r>
      <w:r>
        <w:t xml:space="preserve"> </w:t>
      </w:r>
      <w:r>
        <w:rPr>
          <w:rFonts w:hint="eastAsia"/>
        </w:rPr>
        <w:t xml:space="preserve">に半減し（EWC</w:t>
      </w:r>
      <w:r>
        <w:t xml:space="preserve"> の </w:t>
      </w:r>
      <w:r>
        <w:rPr>
          <w:rFonts w:hint="eastAsia"/>
        </w:rPr>
        <w:t xml:space="preserve">p=0.047、補正</w:t>
      </w:r>
      <w:r>
        <w:t xml:space="preserve"> p </w:t>
      </w:r>
      <w:r>
        <w:rPr>
          <w:rFonts w:hint="eastAsia"/>
        </w:rPr>
        <w:t xml:space="preserve">値0.073）、日平均価格の1〜7日のラグを加えると−0.086</w:t>
      </w:r>
      <w:r>
        <w:t xml:space="preserve"> </w:t>
      </w:r>
      <w:r>
        <w:rPr>
          <w:rFonts w:hint="eastAsia"/>
        </w:rPr>
        <w:t xml:space="preserve">で有意でなくなる。FY2023〜25</w:t>
      </w:r>
      <w:r>
        <w:t xml:space="preserve"> </w:t>
      </w:r>
      <w:r>
        <w:rPr>
          <w:rFonts w:hint="eastAsia"/>
        </w:rPr>
        <w:t xml:space="preserve">でも−0.112（p=0.22）で有意でない。2021年1月を除くと、主仕様で−0.232（p=0.063）、年月固定効果で−0.172（p=0.052）である。AR(1)</w:t>
      </w:r>
      <w:r>
        <w:t xml:space="preserve"> </w:t>
      </w:r>
      <w:r>
        <w:rPr>
          <w:rFonts w:hint="eastAsia"/>
        </w:rPr>
        <w:t xml:space="preserve">誤差の</w:t>
      </w:r>
      <w:r>
        <w:t xml:space="preserve"> </w:t>
      </w:r>
      <w:r>
        <w:rPr>
          <w:rFonts w:hint="eastAsia"/>
        </w:rPr>
        <w:t xml:space="preserve">FGLS（Cochrane</w:t>
      </w:r>
      <w:r>
        <w:t xml:space="preserve"> &amp; Orcutt, </w:t>
      </w:r>
      <w:r>
        <w:rPr>
          <w:rFonts w:hint="eastAsia"/>
        </w:rPr>
        <w:t xml:space="preserve">1949。暦日で準差分し、準差分後の回帰に</w:t>
      </w:r>
      <w:r>
        <w:t xml:space="preserve"> EWC </w:t>
      </w:r>
      <w:r>
        <w:rPr>
          <w:rFonts w:hint="eastAsia"/>
        </w:rPr>
        <w:t xml:space="preserve">をかけ直す）では−0.220（p=0.018）である。上位・下位4時間に分けると、冬の風力による引下げは比例的な引下げとも平行移動とも頑健には区別できない（付録C.1.2、表C.1）。</w:t>
      </w:r>
    </w:p>
    <w:p>
      <w:pPr>
        <w:pStyle w:val="BodyText"/>
      </w:pPr>
      <w:r>
        <w:rPr>
          <w:rFonts w:hint="eastAsia"/>
        </w:rPr>
        <w:t xml:space="preserve">第四に、太陽光が不需要期に</w:t>
      </w:r>
      <w:r>
        <w:t xml:space="preserve"> TB4h </w:t>
      </w:r>
      <w:r>
        <w:rPr>
          <w:rFonts w:hint="eastAsia"/>
        </w:rPr>
        <w:t xml:space="preserve">を広げる効果は、同月内の識別でむしろ強まる。主仕様の+0.233</w:t>
      </w:r>
      <w:r>
        <w:t xml:space="preserve"> は EWC </w:t>
      </w:r>
      <w:r>
        <w:rPr>
          <w:rFonts w:hint="eastAsia"/>
        </w:rPr>
        <w:t xml:space="preserve">では有意でない（p=0.14）が、月固定効果で+0.305（5%水準）、年月固定効果で+0.392（1%水準）、FY2023〜25</w:t>
      </w:r>
      <w:r>
        <w:t xml:space="preserve"> </w:t>
      </w:r>
      <w:r>
        <w:rPr>
          <w:rFonts w:hint="eastAsia"/>
        </w:rPr>
        <w:t xml:space="preserve">で+0.350（1%水準）となる。2021年1月を除いても、主仕様で+0.230、年月固定効果で+0.378（1%水準）とほぼ変わらない。北海道の夏も、年月固定効果（+0.210、5%水準）と</w:t>
      </w:r>
      <w:r>
        <w:t xml:space="preserve"> </w:t>
      </w:r>
      <w:r>
        <w:rPr>
          <w:rFonts w:hint="eastAsia"/>
        </w:rPr>
        <w:t xml:space="preserve">FY2023〜25（+0.296、1%水準）では</w:t>
      </w:r>
      <w:r>
        <w:t xml:space="preserve"> TB4h </w:t>
      </w:r>
      <w:r>
        <w:rPr>
          <w:rFonts w:hint="eastAsia"/>
        </w:rPr>
        <w:t xml:space="preserve">を広げる。主仕様で精度が低いのは、年度・季節の固定効果で除けない月単位の変動が残差に残るためと考えられる（年月固定効果で、北海道の</w:t>
      </w:r>
      <w:r>
        <w:t xml:space="preserve"> TB4h </w:t>
      </w:r>
      <w:r>
        <w:rPr>
          <w:rFonts w:hint="eastAsia"/>
        </w:rPr>
        <w:t xml:space="preserve">の残差の1次自己相関は0.76から0.55に下がる）。</w:t>
      </w:r>
    </w:p>
    <w:p>
      <w:pPr>
        <w:pStyle w:val="BodyText"/>
      </w:pPr>
      <w:r>
        <w:rPr>
          <w:rFonts w:hint="eastAsia"/>
        </w:rPr>
        <w:t xml:space="preserve">第五に、太陽光が冬に</w:t>
      </w:r>
      <w:r>
        <w:t xml:space="preserve"> TB4h </w:t>
      </w:r>
      <w:r>
        <w:rPr>
          <w:rFonts w:hint="eastAsia"/>
        </w:rPr>
        <w:t xml:space="preserve">を縮めるという主仕様の係数（−0.807）は頑健でない。月固定効果で−0.112、年月固定効果で+0.371、FY2023〜25</w:t>
      </w:r>
      <w:r>
        <w:t xml:space="preserve"> で+0.044 </w:t>
      </w:r>
      <w:r>
        <w:rPr>
          <w:rFonts w:hint="eastAsia"/>
        </w:rPr>
        <w:t xml:space="preserve">となり、いずれも有意でない。日平均価格のラグを加えた仕様（+0.593）と</w:t>
      </w:r>
      <w:r>
        <w:t xml:space="preserve"> </w:t>
      </w:r>
      <w:r>
        <w:rPr>
          <w:rFonts w:hint="eastAsia"/>
        </w:rPr>
        <w:t xml:space="preserve">FGLS（+0.280）では、逆に正で5%水準で有意となる。北海道の冬の日射は2月に多い（日平均で12月3.55、1月3.57、2月5.22GWh/日）。一方、TB4h</w:t>
      </w:r>
      <w:r>
        <w:t xml:space="preserve"> </w:t>
      </w:r>
      <w:r>
        <w:rPr>
          <w:rFonts w:hint="eastAsia"/>
        </w:rPr>
        <w:t xml:space="preserve">は12〜1月に大きい（12月11.05、1月10.74、2月8.57円/kWh。1月は2021年1月を除いた値で、含めると18.34）。主仕様の負の係数は、この月の違いと2021年1月の価格高騰を拾っている。2021年1月を除くと主仕様の係数は−0.592（5%水準、補正</w:t>
      </w:r>
      <w:r>
        <w:t xml:space="preserve"> p </w:t>
      </w:r>
      <w:r>
        <w:rPr>
          <w:rFonts w:hint="eastAsia"/>
        </w:rPr>
        <w:t xml:space="preserve">値0.065）に縮み、さらに月固定効果で−0.326、年月固定効果で+0.128</w:t>
      </w:r>
      <w:r>
        <w:t xml:space="preserve"> </w:t>
      </w:r>
      <w:r>
        <w:rPr>
          <w:rFonts w:hint="eastAsia"/>
        </w:rPr>
        <w:t xml:space="preserve">となって有意でない。同じ月の中では、太陽光は冬の下位4時間の価格だけを下げる（付録C.1.2）。</w:t>
      </w:r>
    </w:p>
    <w:p>
      <w:pPr>
        <w:pStyle w:val="BodyText"/>
      </w:pPr>
      <w:r>
        <w:rPr>
          <w:rFonts w:hint="eastAsia"/>
        </w:rPr>
        <w:t xml:space="preserve">第六に、九州の風力の係数も頑健でない。主仕様の不需要期の</w:t>
      </w:r>
      <w:r>
        <w:t xml:space="preserve"> TB4h </w:t>
      </w:r>
      <w:r>
        <w:rPr>
          <w:rFonts w:hint="eastAsia"/>
        </w:rPr>
        <w:t xml:space="preserve">への係数は+0.173</w:t>
      </w:r>
      <w:r>
        <w:t xml:space="preserve"> で、HC3 でも EWC </w:t>
      </w:r>
      <w:r>
        <w:rPr>
          <w:rFonts w:hint="eastAsia"/>
        </w:rPr>
        <w:t xml:space="preserve">でも有意でない（p=0.12、0.32）。年月固定効果で−0.020、FY2023〜25</w:t>
      </w:r>
      <w:r>
        <w:t xml:space="preserve"> で+0.113 </w:t>
      </w:r>
      <w:r>
        <w:rPr>
          <w:rFonts w:hint="eastAsia"/>
        </w:rPr>
        <w:t xml:space="preserve">となり、いずれも有意でない。日内標準偏差への係数+0.079</w:t>
      </w:r>
      <w:r>
        <w:t xml:space="preserve"> </w:t>
      </w:r>
      <w:r>
        <w:rPr>
          <w:rFonts w:hint="eastAsia"/>
        </w:rPr>
        <w:t xml:space="preserve">も同様である（EWC</w:t>
      </w:r>
      <w:r>
        <w:t xml:space="preserve"> の </w:t>
      </w:r>
      <w:r>
        <w:rPr>
          <w:rFonts w:hint="eastAsia"/>
        </w:rPr>
        <w:t xml:space="preserve">p=0.22、年月固定効果で+0.006）。2021年1月を除くと主仕様では+0.256（10%水準）に強まるが、年月固定効果では−0.021</w:t>
      </w:r>
      <w:r>
        <w:t xml:space="preserve"> </w:t>
      </w:r>
      <w:r>
        <w:rPr>
          <w:rFonts w:hint="eastAsia"/>
        </w:rPr>
        <w:t xml:space="preserve">で、ほぼゼロのままである。逆に、2021年1月を除いた年月固定効果では冬の</w:t>
      </w:r>
      <w:r>
        <w:t xml:space="preserve"> TB4h </w:t>
      </w:r>
      <w:r>
        <w:rPr>
          <w:rFonts w:hint="eastAsia"/>
        </w:rPr>
        <w:t xml:space="preserve">への係数が+0.294（5%水準）となる。暦月の春に分けると、FY2023〜25</w:t>
      </w:r>
      <w:r>
        <w:t xml:space="preserve"> </w:t>
      </w:r>
      <w:r>
        <w:rPr>
          <w:rFonts w:hint="eastAsia"/>
        </w:rPr>
        <w:t xml:space="preserve">の主仕様で+0.277（EWC</w:t>
      </w:r>
      <w:r>
        <w:t xml:space="preserve"> の </w:t>
      </w:r>
      <w:r>
        <w:rPr>
          <w:rFonts w:hint="eastAsia"/>
        </w:rPr>
        <w:t xml:space="preserve">p=0.017、補正</w:t>
      </w:r>
      <w:r>
        <w:t xml:space="preserve"> p </w:t>
      </w:r>
      <w:r>
        <w:rPr>
          <w:rFonts w:hint="eastAsia"/>
        </w:rPr>
        <w:t xml:space="preserve">値0.036）となるが、年月固定効果では−0.049</w:t>
      </w:r>
      <w:r>
        <w:t xml:space="preserve"> </w:t>
      </w:r>
      <w:r>
        <w:rPr>
          <w:rFonts w:hint="eastAsia"/>
        </w:rPr>
        <w:t xml:space="preserve">である。九州の風力は導入量が小さく精度も低いので、日内形状への効果は判定しない。これに対し、九州の太陽光が冬・不需要期に</w:t>
      </w:r>
      <w:r>
        <w:t xml:space="preserve"> TB4h </w:t>
      </w:r>
      <w:r>
        <w:rPr>
          <w:rFonts w:hint="eastAsia"/>
        </w:rPr>
        <w:t xml:space="preserve">を広げる効果は、どの仕様・標本でも1%水準で有意である（+0.09〜+0.19）。</w:t>
      </w:r>
    </w:p>
    <w:p>
      <w:pPr>
        <w:pStyle w:val="TableCaption"/>
      </w:pPr>
      <w:r>
        <w:rPr>
          <w:rFonts w:hint="eastAsia"/>
        </w:rPr>
        <w:t xml:space="preserve">表C.15</w:t>
      </w:r>
      <w:r>
        <w:t xml:space="preserve">　</w:t>
      </w:r>
      <w:r>
        <w:rPr>
          <w:rFonts w:hint="eastAsia"/>
        </w:rPr>
        <w:t xml:space="preserve">主要な係数の推論法・仕様・標本による違い</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5　主要な係数の推論法・仕様・標本による違い"/>
      </w:tblPr>
      <w:tblGrid>
        <w:gridCol w:w="552"/>
        <w:gridCol w:w="736"/>
        <w:gridCol w:w="736"/>
        <w:gridCol w:w="736"/>
        <w:gridCol w:w="736"/>
        <w:gridCol w:w="736"/>
        <w:gridCol w:w="736"/>
        <w:gridCol w:w="736"/>
        <w:gridCol w:w="736"/>
        <w:gridCol w:w="736"/>
        <w:gridCol w:w="736"/>
      </w:tblGrid>
      <w:tr>
        <w:trPr>
          <w:tblHeader w:val="on"/>
        </w:trPr>
        <w:tc>
          <w:tcPr>
            <w:tcBorders>
              <w:bottom w:val="single" w:sz="6" w:color="000000"/>
            </w:tcBorders>
          </w:tcPr>
          <w:p>
            <w:pPr>
              <w:pStyle w:val="Compact"/>
            </w:pPr>
            <w:r>
              <w:rPr>
                <w:rFonts w:hint="eastAsia"/>
                <w:sz w:val="18"/>
              </w:rPr>
              <w:t xml:space="preserve">係数</w:t>
            </w:r>
          </w:p>
        </w:tc>
        <w:tc>
          <w:tcPr>
            <w:tcBorders>
              <w:bottom w:val="single" w:sz="6" w:color="000000"/>
            </w:tcBorders>
          </w:tcPr>
          <w:p>
            <w:pPr>
              <w:pStyle w:val="Compact"/>
              <w:jc w:val="right"/>
            </w:pPr>
            <w:r>
              <w:rPr>
                <w:rFonts w:hint="eastAsia"/>
                <w:sz w:val="18"/>
              </w:rPr>
              <w:t xml:space="preserve">主仕様</w:t>
            </w:r>
          </w:p>
        </w:tc>
        <w:tc>
          <w:tcPr>
            <w:tcBorders>
              <w:bottom w:val="single" w:sz="6" w:color="000000"/>
            </w:tcBorders>
          </w:tcPr>
          <w:p>
            <w:pPr>
              <w:pStyle w:val="Compact"/>
              <w:jc w:val="right"/>
            </w:pPr>
            <w:r>
              <w:rPr>
                <w:rFonts w:hint="eastAsia"/>
                <w:sz w:val="18"/>
              </w:rPr>
              <w:t xml:space="preserve">p（HC3）</w:t>
            </w:r>
          </w:p>
        </w:tc>
        <w:tc>
          <w:tcPr>
            <w:tcBorders>
              <w:bottom w:val="single" w:sz="6" w:color="000000"/>
            </w:tcBorders>
          </w:tcPr>
          <w:p>
            <w:pPr>
              <w:pStyle w:val="Compact"/>
              <w:jc w:val="right"/>
            </w:pPr>
            <w:r>
              <w:rPr>
                <w:rFonts w:hint="eastAsia"/>
                <w:sz w:val="18"/>
              </w:rPr>
              <w:t xml:space="preserve">p（EWC）</w:t>
            </w:r>
          </w:p>
        </w:tc>
        <w:tc>
          <w:tcPr>
            <w:tcBorders>
              <w:bottom w:val="single" w:sz="6" w:color="000000"/>
            </w:tcBorders>
          </w:tcPr>
          <w:p>
            <w:pPr>
              <w:pStyle w:val="Compact"/>
              <w:jc w:val="right"/>
            </w:pPr>
            <w:r>
              <w:rPr>
                <w:rFonts w:hint="eastAsia"/>
                <w:sz w:val="18"/>
              </w:rPr>
              <w:t xml:space="preserve">p（補正）</w:t>
            </w:r>
          </w:p>
        </w:tc>
        <w:tc>
          <w:tcPr>
            <w:tcBorders>
              <w:bottom w:val="single" w:sz="6" w:color="000000"/>
            </w:tcBorders>
          </w:tcPr>
          <w:p>
            <w:pPr>
              <w:pStyle w:val="Compact"/>
              <w:jc w:val="right"/>
            </w:pPr>
            <w:r>
              <w:rPr>
                <w:rFonts w:hint="eastAsia"/>
                <w:sz w:val="18"/>
              </w:rPr>
              <w:t xml:space="preserve">月FE</w:t>
            </w:r>
          </w:p>
        </w:tc>
        <w:tc>
          <w:tcPr>
            <w:tcBorders>
              <w:bottom w:val="single" w:sz="6" w:color="000000"/>
            </w:tcBorders>
          </w:tcPr>
          <w:p>
            <w:pPr>
              <w:pStyle w:val="Compact"/>
              <w:jc w:val="right"/>
            </w:pPr>
            <w:r>
              <w:rPr>
                <w:rFonts w:hint="eastAsia"/>
                <w:sz w:val="18"/>
              </w:rPr>
              <w:t xml:space="preserve">年月FE</w:t>
            </w:r>
          </w:p>
        </w:tc>
        <w:tc>
          <w:tcPr>
            <w:tcBorders>
              <w:bottom w:val="single" w:sz="6" w:color="000000"/>
            </w:tcBorders>
          </w:tcPr>
          <w:p>
            <w:pPr>
              <w:pStyle w:val="Compact"/>
              <w:jc w:val="right"/>
            </w:pPr>
            <w:r>
              <w:rPr>
                <w:rFonts w:hint="eastAsia"/>
                <w:sz w:val="18"/>
              </w:rPr>
              <w:t xml:space="preserve">年月FE＋価格のラグ</w:t>
            </w:r>
          </w:p>
        </w:tc>
        <w:tc>
          <w:tcPr>
            <w:tcBorders>
              <w:bottom w:val="single" w:sz="6" w:color="000000"/>
            </w:tcBorders>
          </w:tcPr>
          <w:p>
            <w:pPr>
              <w:pStyle w:val="Compact"/>
              <w:jc w:val="right"/>
            </w:pPr>
            <w:r>
              <w:rPr>
                <w:sz w:val="18"/>
              </w:rPr>
              <w:t xml:space="preserve">FY2023〜25</w:t>
            </w:r>
          </w:p>
        </w:tc>
        <w:tc>
          <w:tcPr>
            <w:tcBorders>
              <w:bottom w:val="single" w:sz="6" w:color="000000"/>
            </w:tcBorders>
          </w:tcPr>
          <w:p>
            <w:pPr>
              <w:pStyle w:val="Compact"/>
              <w:jc w:val="right"/>
            </w:pPr>
            <w:r>
              <w:rPr>
                <w:sz w:val="18"/>
              </w:rPr>
              <w:t xml:space="preserve">FGLS</w:t>
            </w:r>
          </w:p>
        </w:tc>
        <w:tc>
          <w:tcPr>
            <w:tcBorders>
              <w:bottom w:val="single" w:sz="6" w:color="000000"/>
            </w:tcBorders>
          </w:tcPr>
          <w:p>
            <w:pPr>
              <w:pStyle w:val="Compact"/>
              <w:jc w:val="right"/>
            </w:pPr>
            <w:r>
              <w:rPr>
                <w:rFonts w:hint="eastAsia"/>
                <w:sz w:val="18"/>
              </w:rPr>
              <w:t xml:space="preserve">2021年1月を除く</w:t>
            </w:r>
          </w:p>
        </w:tc>
      </w:tr>
      <w:tr>
        <w:tc>
          <w:tcPr/>
          <w:p>
            <w:pPr>
              <w:pStyle w:val="Compact"/>
            </w:pPr>
            <w:r>
              <w:rPr>
                <w:rFonts w:hint="eastAsia"/>
                <w:sz w:val="18"/>
              </w:rPr>
              <w:t xml:space="preserve">北海道</w:t>
            </w:r>
            <w:r>
              <w:rPr>
                <w:sz w:val="18"/>
              </w:rPr>
              <w:t xml:space="preserve"> TB4h </w:t>
            </w:r>
            <w:r>
              <w:rPr>
                <w:rFonts w:hint="eastAsia"/>
                <w:sz w:val="18"/>
              </w:rPr>
              <w:t xml:space="preserve">風力・冬</w:t>
            </w:r>
          </w:p>
        </w:tc>
        <w:tc>
          <w:tcPr/>
          <w:p>
            <w:pPr>
              <w:pStyle w:val="Compact"/>
              <w:jc w:val="right"/>
            </w:pPr>
            <w:r>
              <w:rPr>
                <w:sz w:val="18"/>
              </w:rPr>
              <w:t xml:space="preserve">−0.363</w:t>
            </w:r>
          </w:p>
        </w:tc>
        <w:tc>
          <w:tcPr/>
          <w:p>
            <w:pPr>
              <w:pStyle w:val="Compact"/>
              <w:jc w:val="right"/>
            </w:pPr>
            <w:r>
              <w:rPr>
                <w:sz w:val="18"/>
              </w:rPr>
              <w:t xml:space="preserve">&lt;0.001</w:t>
            </w:r>
          </w:p>
        </w:tc>
        <w:tc>
          <w:tcPr/>
          <w:p>
            <w:pPr>
              <w:pStyle w:val="Compact"/>
              <w:jc w:val="right"/>
            </w:pPr>
            <w:r>
              <w:rPr>
                <w:sz w:val="18"/>
              </w:rPr>
              <w:t xml:space="preserve">0.040</w:t>
            </w:r>
          </w:p>
        </w:tc>
        <w:tc>
          <w:tcPr/>
          <w:p>
            <w:pPr>
              <w:pStyle w:val="Compact"/>
              <w:jc w:val="right"/>
            </w:pPr>
            <w:r>
              <w:rPr>
                <w:sz w:val="18"/>
              </w:rPr>
              <w:t xml:space="preserve">0.099</w:t>
            </w:r>
          </w:p>
        </w:tc>
        <w:tc>
          <w:tcPr/>
          <w:p>
            <w:pPr>
              <w:pStyle w:val="Compact"/>
              <w:jc w:val="right"/>
            </w:pPr>
            <w:r>
              <w:rPr>
                <w:sz w:val="18"/>
              </w:rPr>
              <w:t xml:space="preserve">−0.351**</w:t>
            </w:r>
          </w:p>
        </w:tc>
        <w:tc>
          <w:tcPr/>
          <w:p>
            <w:pPr>
              <w:pStyle w:val="Compact"/>
              <w:jc w:val="right"/>
            </w:pPr>
            <w:r>
              <w:rPr>
                <w:sz w:val="18"/>
              </w:rPr>
              <w:t xml:space="preserve">−0.181**</w:t>
            </w:r>
          </w:p>
        </w:tc>
        <w:tc>
          <w:tcPr/>
          <w:p>
            <w:pPr>
              <w:pStyle w:val="Compact"/>
              <w:jc w:val="right"/>
            </w:pPr>
            <w:r>
              <w:rPr>
                <w:sz w:val="18"/>
              </w:rPr>
              <w:t xml:space="preserve">−0.086</w:t>
            </w:r>
          </w:p>
        </w:tc>
        <w:tc>
          <w:tcPr/>
          <w:p>
            <w:pPr>
              <w:pStyle w:val="Compact"/>
              <w:jc w:val="right"/>
            </w:pPr>
            <w:r>
              <w:rPr>
                <w:sz w:val="18"/>
              </w:rPr>
              <w:t xml:space="preserve">−0.112</w:t>
            </w:r>
          </w:p>
        </w:tc>
        <w:tc>
          <w:tcPr/>
          <w:p>
            <w:pPr>
              <w:pStyle w:val="Compact"/>
              <w:jc w:val="right"/>
            </w:pPr>
            <w:r>
              <w:rPr>
                <w:sz w:val="18"/>
              </w:rPr>
              <w:t xml:space="preserve">−0.220**</w:t>
            </w:r>
          </w:p>
        </w:tc>
        <w:tc>
          <w:tcPr/>
          <w:p>
            <w:pPr>
              <w:pStyle w:val="Compact"/>
              <w:jc w:val="right"/>
            </w:pPr>
            <w:r>
              <w:rPr>
                <w:sz w:val="18"/>
              </w:rPr>
              <w:t xml:space="preserve">−0.232*</w:t>
            </w:r>
          </w:p>
        </w:tc>
      </w:tr>
      <w:tr>
        <w:tc>
          <w:tcPr/>
          <w:p>
            <w:pPr>
              <w:pStyle w:val="Compact"/>
            </w:pPr>
            <w:r>
              <w:rPr>
                <w:rFonts w:hint="eastAsia"/>
                <w:sz w:val="18"/>
              </w:rPr>
              <w:t xml:space="preserve">北海道</w:t>
            </w:r>
            <w:r>
              <w:rPr>
                <w:sz w:val="18"/>
              </w:rPr>
              <w:t xml:space="preserve"> TB4h </w:t>
            </w:r>
            <w:r>
              <w:rPr>
                <w:rFonts w:hint="eastAsia"/>
                <w:sz w:val="18"/>
              </w:rPr>
              <w:t xml:space="preserve">風力・夏</w:t>
            </w:r>
          </w:p>
        </w:tc>
        <w:tc>
          <w:tcPr/>
          <w:p>
            <w:pPr>
              <w:pStyle w:val="Compact"/>
              <w:jc w:val="right"/>
            </w:pPr>
            <w:r>
              <w:rPr>
                <w:sz w:val="18"/>
              </w:rPr>
              <w:t xml:space="preserve">−0.156</w:t>
            </w:r>
          </w:p>
        </w:tc>
        <w:tc>
          <w:tcPr/>
          <w:p>
            <w:pPr>
              <w:pStyle w:val="Compact"/>
              <w:jc w:val="right"/>
            </w:pPr>
            <w:r>
              <w:rPr>
                <w:sz w:val="18"/>
              </w:rPr>
              <w:t xml:space="preserve">0.119</w:t>
            </w:r>
          </w:p>
        </w:tc>
        <w:tc>
          <w:tcPr/>
          <w:p>
            <w:pPr>
              <w:pStyle w:val="Compact"/>
              <w:jc w:val="right"/>
            </w:pPr>
            <w:r>
              <w:rPr>
                <w:sz w:val="18"/>
              </w:rPr>
              <w:t xml:space="preserve">0.339</w:t>
            </w:r>
          </w:p>
        </w:tc>
        <w:tc>
          <w:tcPr/>
          <w:p>
            <w:pPr>
              <w:pStyle w:val="Compact"/>
              <w:jc w:val="right"/>
            </w:pPr>
            <w:r>
              <w:rPr>
                <w:sz w:val="18"/>
              </w:rPr>
              <w:t xml:space="preserve">0.414</w:t>
            </w:r>
          </w:p>
        </w:tc>
        <w:tc>
          <w:tcPr/>
          <w:p>
            <w:pPr>
              <w:pStyle w:val="Compact"/>
              <w:jc w:val="right"/>
            </w:pPr>
            <w:r>
              <w:rPr>
                <w:sz w:val="18"/>
              </w:rPr>
              <w:t xml:space="preserve">−0.099</w:t>
            </w:r>
          </w:p>
        </w:tc>
        <w:tc>
          <w:tcPr/>
          <w:p>
            <w:pPr>
              <w:pStyle w:val="Compact"/>
              <w:jc w:val="right"/>
            </w:pPr>
            <w:r>
              <w:rPr>
                <w:sz w:val="18"/>
              </w:rPr>
              <w:t xml:space="preserve">−0.075</w:t>
            </w:r>
          </w:p>
        </w:tc>
        <w:tc>
          <w:tcPr/>
          <w:p>
            <w:pPr>
              <w:pStyle w:val="Compact"/>
              <w:jc w:val="right"/>
            </w:pPr>
            <w:r>
              <w:rPr>
                <w:sz w:val="18"/>
              </w:rPr>
              <w:t xml:space="preserve">−0.031</w:t>
            </w:r>
          </w:p>
        </w:tc>
        <w:tc>
          <w:tcPr/>
          <w:p>
            <w:pPr>
              <w:pStyle w:val="Compact"/>
              <w:jc w:val="right"/>
            </w:pPr>
            <w:r>
              <w:rPr>
                <w:sz w:val="18"/>
              </w:rPr>
              <w:t xml:space="preserve">0.088</w:t>
            </w:r>
          </w:p>
        </w:tc>
        <w:tc>
          <w:tcPr/>
          <w:p>
            <w:pPr>
              <w:pStyle w:val="Compact"/>
              <w:jc w:val="right"/>
            </w:pPr>
            <w:r>
              <w:rPr>
                <w:sz w:val="18"/>
              </w:rPr>
              <w:t xml:space="preserve">−0.054</w:t>
            </w:r>
          </w:p>
        </w:tc>
        <w:tc>
          <w:tcPr/>
          <w:p>
            <w:pPr>
              <w:pStyle w:val="Compact"/>
              <w:jc w:val="right"/>
            </w:pPr>
            <w:r>
              <w:rPr>
                <w:sz w:val="18"/>
              </w:rPr>
              <w:t xml:space="preserve">−0.163</w:t>
            </w:r>
          </w:p>
        </w:tc>
      </w:tr>
      <w:tr>
        <w:tc>
          <w:tcPr/>
          <w:p>
            <w:pPr>
              <w:pStyle w:val="Compact"/>
            </w:pPr>
            <w:r>
              <w:rPr>
                <w:rFonts w:hint="eastAsia"/>
                <w:sz w:val="18"/>
              </w:rPr>
              <w:t xml:space="preserve">北海道</w:t>
            </w:r>
            <w:r>
              <w:rPr>
                <w:sz w:val="18"/>
              </w:rPr>
              <w:t xml:space="preserve"> TB4h </w:t>
            </w:r>
            <w:r>
              <w:rPr>
                <w:rFonts w:hint="eastAsia"/>
                <w:sz w:val="18"/>
              </w:rPr>
              <w:t xml:space="preserve">風力・不需要期</w:t>
            </w:r>
          </w:p>
        </w:tc>
        <w:tc>
          <w:tcPr/>
          <w:p>
            <w:pPr>
              <w:pStyle w:val="Compact"/>
              <w:jc w:val="right"/>
            </w:pPr>
            <w:r>
              <w:rPr>
                <w:sz w:val="18"/>
              </w:rPr>
              <w:t xml:space="preserve">−0.067</w:t>
            </w:r>
          </w:p>
        </w:tc>
        <w:tc>
          <w:tcPr/>
          <w:p>
            <w:pPr>
              <w:pStyle w:val="Compact"/>
              <w:jc w:val="right"/>
            </w:pPr>
            <w:r>
              <w:rPr>
                <w:sz w:val="18"/>
              </w:rPr>
              <w:t xml:space="preserve">0.243</w:t>
            </w:r>
          </w:p>
        </w:tc>
        <w:tc>
          <w:tcPr/>
          <w:p>
            <w:pPr>
              <w:pStyle w:val="Compact"/>
              <w:jc w:val="right"/>
            </w:pPr>
            <w:r>
              <w:rPr>
                <w:sz w:val="18"/>
              </w:rPr>
              <w:t xml:space="preserve">0.504</w:t>
            </w:r>
          </w:p>
        </w:tc>
        <w:tc>
          <w:tcPr/>
          <w:p>
            <w:pPr>
              <w:pStyle w:val="Compact"/>
              <w:jc w:val="right"/>
            </w:pPr>
            <w:r>
              <w:rPr>
                <w:sz w:val="18"/>
              </w:rPr>
              <w:t xml:space="preserve">0.567</w:t>
            </w:r>
          </w:p>
        </w:tc>
        <w:tc>
          <w:tcPr/>
          <w:p>
            <w:pPr>
              <w:pStyle w:val="Compact"/>
              <w:jc w:val="right"/>
            </w:pPr>
            <w:r>
              <w:rPr>
                <w:sz w:val="18"/>
              </w:rPr>
              <w:t xml:space="preserve">0.080</w:t>
            </w:r>
          </w:p>
        </w:tc>
        <w:tc>
          <w:tcPr/>
          <w:p>
            <w:pPr>
              <w:pStyle w:val="Compact"/>
              <w:jc w:val="right"/>
            </w:pPr>
            <w:r>
              <w:rPr>
                <w:sz w:val="18"/>
              </w:rPr>
              <w:t xml:space="preserve">−0.030</w:t>
            </w:r>
          </w:p>
        </w:tc>
        <w:tc>
          <w:tcPr/>
          <w:p>
            <w:pPr>
              <w:pStyle w:val="Compact"/>
              <w:jc w:val="right"/>
            </w:pPr>
            <w:r>
              <w:rPr>
                <w:sz w:val="18"/>
              </w:rPr>
              <w:t xml:space="preserve">0.068</w:t>
            </w:r>
          </w:p>
        </w:tc>
        <w:tc>
          <w:tcPr/>
          <w:p>
            <w:pPr>
              <w:pStyle w:val="Compact"/>
              <w:jc w:val="right"/>
            </w:pPr>
            <w:r>
              <w:rPr>
                <w:sz w:val="18"/>
              </w:rPr>
              <w:t xml:space="preserve">−0.025</w:t>
            </w:r>
          </w:p>
        </w:tc>
        <w:tc>
          <w:tcPr/>
          <w:p>
            <w:pPr>
              <w:pStyle w:val="Compact"/>
              <w:jc w:val="right"/>
            </w:pPr>
            <w:r>
              <w:rPr>
                <w:sz w:val="18"/>
              </w:rPr>
              <w:t xml:space="preserve">−0.024</w:t>
            </w:r>
          </w:p>
        </w:tc>
        <w:tc>
          <w:tcPr/>
          <w:p>
            <w:pPr>
              <w:pStyle w:val="Compact"/>
              <w:jc w:val="right"/>
            </w:pPr>
            <w:r>
              <w:rPr>
                <w:sz w:val="18"/>
              </w:rPr>
              <w:t xml:space="preserve">−0.054</w:t>
            </w:r>
          </w:p>
        </w:tc>
      </w:tr>
      <w:tr>
        <w:tc>
          <w:tcPr/>
          <w:p>
            <w:pPr>
              <w:pStyle w:val="Compact"/>
            </w:pPr>
            <w:r>
              <w:rPr>
                <w:rFonts w:hint="eastAsia"/>
                <w:sz w:val="18"/>
              </w:rPr>
              <w:t xml:space="preserve">北海道</w:t>
            </w:r>
            <w:r>
              <w:rPr>
                <w:sz w:val="18"/>
              </w:rPr>
              <w:t xml:space="preserve"> TB4h </w:t>
            </w:r>
            <w:r>
              <w:rPr>
                <w:rFonts w:hint="eastAsia"/>
                <w:sz w:val="18"/>
              </w:rPr>
              <w:t xml:space="preserve">太陽光・冬</w:t>
            </w:r>
          </w:p>
        </w:tc>
        <w:tc>
          <w:tcPr/>
          <w:p>
            <w:pPr>
              <w:pStyle w:val="Compact"/>
              <w:jc w:val="right"/>
            </w:pPr>
            <w:r>
              <w:rPr>
                <w:sz w:val="18"/>
              </w:rPr>
              <w:t xml:space="preserve">−0.807</w:t>
            </w:r>
          </w:p>
        </w:tc>
        <w:tc>
          <w:tcPr/>
          <w:p>
            <w:pPr>
              <w:pStyle w:val="Compact"/>
              <w:jc w:val="right"/>
            </w:pPr>
            <w:r>
              <w:rPr>
                <w:sz w:val="18"/>
              </w:rPr>
              <w:t xml:space="preserve">0.005</w:t>
            </w:r>
          </w:p>
        </w:tc>
        <w:tc>
          <w:tcPr/>
          <w:p>
            <w:pPr>
              <w:pStyle w:val="Compact"/>
              <w:jc w:val="right"/>
            </w:pPr>
            <w:r>
              <w:rPr>
                <w:sz w:val="18"/>
              </w:rPr>
              <w:t xml:space="preserve">0.048</w:t>
            </w:r>
          </w:p>
        </w:tc>
        <w:tc>
          <w:tcPr/>
          <w:p>
            <w:pPr>
              <w:pStyle w:val="Compact"/>
              <w:jc w:val="right"/>
            </w:pPr>
            <w:r>
              <w:rPr>
                <w:sz w:val="18"/>
              </w:rPr>
              <w:t xml:space="preserve">0.123</w:t>
            </w:r>
          </w:p>
        </w:tc>
        <w:tc>
          <w:tcPr/>
          <w:p>
            <w:pPr>
              <w:pStyle w:val="Compact"/>
              <w:jc w:val="right"/>
            </w:pPr>
            <w:r>
              <w:rPr>
                <w:sz w:val="18"/>
              </w:rPr>
              <w:t xml:space="preserve">−0.112</w:t>
            </w:r>
          </w:p>
        </w:tc>
        <w:tc>
          <w:tcPr/>
          <w:p>
            <w:pPr>
              <w:pStyle w:val="Compact"/>
              <w:jc w:val="right"/>
            </w:pPr>
            <w:r>
              <w:rPr>
                <w:sz w:val="18"/>
              </w:rPr>
              <w:t xml:space="preserve">0.371</w:t>
            </w:r>
          </w:p>
        </w:tc>
        <w:tc>
          <w:tcPr/>
          <w:p>
            <w:pPr>
              <w:pStyle w:val="Compact"/>
              <w:jc w:val="right"/>
            </w:pPr>
            <w:r>
              <w:rPr>
                <w:sz w:val="18"/>
              </w:rPr>
              <w:t xml:space="preserve">0.593**</w:t>
            </w:r>
          </w:p>
        </w:tc>
        <w:tc>
          <w:tcPr/>
          <w:p>
            <w:pPr>
              <w:pStyle w:val="Compact"/>
              <w:jc w:val="right"/>
            </w:pPr>
            <w:r>
              <w:rPr>
                <w:sz w:val="18"/>
              </w:rPr>
              <w:t xml:space="preserve">0.044</w:t>
            </w:r>
          </w:p>
        </w:tc>
        <w:tc>
          <w:tcPr/>
          <w:p>
            <w:pPr>
              <w:pStyle w:val="Compact"/>
              <w:jc w:val="right"/>
            </w:pPr>
            <w:r>
              <w:rPr>
                <w:sz w:val="18"/>
              </w:rPr>
              <w:t xml:space="preserve">0.280**</w:t>
            </w:r>
          </w:p>
        </w:tc>
        <w:tc>
          <w:tcPr/>
          <w:p>
            <w:pPr>
              <w:pStyle w:val="Compact"/>
              <w:jc w:val="right"/>
            </w:pPr>
            <w:r>
              <w:rPr>
                <w:sz w:val="18"/>
              </w:rPr>
              <w:t xml:space="preserve">−0.592**</w:t>
            </w:r>
          </w:p>
        </w:tc>
      </w:tr>
      <w:tr>
        <w:tc>
          <w:tcPr/>
          <w:p>
            <w:pPr>
              <w:pStyle w:val="Compact"/>
            </w:pPr>
            <w:r>
              <w:rPr>
                <w:rFonts w:hint="eastAsia"/>
                <w:sz w:val="18"/>
              </w:rPr>
              <w:t xml:space="preserve">北海道</w:t>
            </w:r>
            <w:r>
              <w:rPr>
                <w:sz w:val="18"/>
              </w:rPr>
              <w:t xml:space="preserve"> TB4h </w:t>
            </w:r>
            <w:r>
              <w:rPr>
                <w:rFonts w:hint="eastAsia"/>
                <w:sz w:val="18"/>
              </w:rPr>
              <w:t xml:space="preserve">太陽光・不需要期</w:t>
            </w:r>
          </w:p>
        </w:tc>
        <w:tc>
          <w:tcPr/>
          <w:p>
            <w:pPr>
              <w:pStyle w:val="Compact"/>
              <w:jc w:val="right"/>
            </w:pPr>
            <w:r>
              <w:rPr>
                <w:sz w:val="18"/>
              </w:rPr>
              <w:t xml:space="preserve">0.233</w:t>
            </w:r>
          </w:p>
        </w:tc>
        <w:tc>
          <w:tcPr/>
          <w:p>
            <w:pPr>
              <w:pStyle w:val="Compact"/>
              <w:jc w:val="right"/>
            </w:pPr>
            <w:r>
              <w:rPr>
                <w:sz w:val="18"/>
              </w:rPr>
              <w:t xml:space="preserve">&lt;0.001</w:t>
            </w:r>
          </w:p>
        </w:tc>
        <w:tc>
          <w:tcPr/>
          <w:p>
            <w:pPr>
              <w:pStyle w:val="Compact"/>
              <w:jc w:val="right"/>
            </w:pPr>
            <w:r>
              <w:rPr>
                <w:sz w:val="18"/>
              </w:rPr>
              <w:t xml:space="preserve">0.140</w:t>
            </w:r>
          </w:p>
        </w:tc>
        <w:tc>
          <w:tcPr/>
          <w:p>
            <w:pPr>
              <w:pStyle w:val="Compact"/>
              <w:jc w:val="right"/>
            </w:pPr>
            <w:r>
              <w:rPr>
                <w:sz w:val="18"/>
              </w:rPr>
              <w:t xml:space="preserve">0.214</w:t>
            </w:r>
          </w:p>
        </w:tc>
        <w:tc>
          <w:tcPr/>
          <w:p>
            <w:pPr>
              <w:pStyle w:val="Compact"/>
              <w:jc w:val="right"/>
            </w:pPr>
            <w:r>
              <w:rPr>
                <w:sz w:val="18"/>
              </w:rPr>
              <w:t xml:space="preserve">0.305**</w:t>
            </w:r>
          </w:p>
        </w:tc>
        <w:tc>
          <w:tcPr/>
          <w:p>
            <w:pPr>
              <w:pStyle w:val="Compact"/>
              <w:jc w:val="right"/>
            </w:pPr>
            <w:r>
              <w:rPr>
                <w:sz w:val="18"/>
              </w:rPr>
              <w:t xml:space="preserve">0.392***</w:t>
            </w:r>
          </w:p>
        </w:tc>
        <w:tc>
          <w:tcPr/>
          <w:p>
            <w:pPr>
              <w:pStyle w:val="Compact"/>
              <w:jc w:val="right"/>
            </w:pPr>
            <w:r>
              <w:rPr>
                <w:sz w:val="18"/>
              </w:rPr>
              <w:t xml:space="preserve">0.408***</w:t>
            </w:r>
          </w:p>
        </w:tc>
        <w:tc>
          <w:tcPr/>
          <w:p>
            <w:pPr>
              <w:pStyle w:val="Compact"/>
              <w:jc w:val="right"/>
            </w:pPr>
            <w:r>
              <w:rPr>
                <w:sz w:val="18"/>
              </w:rPr>
              <w:t xml:space="preserve">0.350***</w:t>
            </w:r>
          </w:p>
        </w:tc>
        <w:tc>
          <w:tcPr/>
          <w:p>
            <w:pPr>
              <w:pStyle w:val="Compact"/>
              <w:jc w:val="right"/>
            </w:pPr>
            <w:r>
              <w:rPr>
                <w:sz w:val="18"/>
              </w:rPr>
              <w:t xml:space="preserve">0.434***</w:t>
            </w:r>
          </w:p>
        </w:tc>
        <w:tc>
          <w:tcPr/>
          <w:p>
            <w:pPr>
              <w:pStyle w:val="Compact"/>
              <w:jc w:val="right"/>
            </w:pPr>
            <w:r>
              <w:rPr>
                <w:sz w:val="18"/>
              </w:rPr>
              <w:t xml:space="preserve">0.230</w:t>
            </w:r>
          </w:p>
        </w:tc>
      </w:tr>
      <w:tr>
        <w:tc>
          <w:tcPr/>
          <w:p>
            <w:pPr>
              <w:pStyle w:val="Compact"/>
            </w:pPr>
            <w:r>
              <w:rPr>
                <w:rFonts w:hint="eastAsia"/>
                <w:sz w:val="18"/>
              </w:rPr>
              <w:t xml:space="preserve">北海道</w:t>
            </w:r>
            <w:r>
              <w:rPr>
                <w:sz w:val="18"/>
              </w:rPr>
              <w:t xml:space="preserve"> TB4h </w:t>
            </w:r>
            <w:r>
              <w:rPr>
                <w:rFonts w:hint="eastAsia"/>
                <w:sz w:val="18"/>
              </w:rPr>
              <w:t xml:space="preserve">太陽光・夏</w:t>
            </w:r>
          </w:p>
        </w:tc>
        <w:tc>
          <w:tcPr/>
          <w:p>
            <w:pPr>
              <w:pStyle w:val="Compact"/>
              <w:jc w:val="right"/>
            </w:pPr>
            <w:r>
              <w:rPr>
                <w:sz w:val="18"/>
              </w:rPr>
              <w:t xml:space="preserve">0.033</w:t>
            </w:r>
          </w:p>
        </w:tc>
        <w:tc>
          <w:tcPr/>
          <w:p>
            <w:pPr>
              <w:pStyle w:val="Compact"/>
              <w:jc w:val="right"/>
            </w:pPr>
            <w:r>
              <w:rPr>
                <w:sz w:val="18"/>
              </w:rPr>
              <w:t xml:space="preserve">0.747</w:t>
            </w:r>
          </w:p>
        </w:tc>
        <w:tc>
          <w:tcPr/>
          <w:p>
            <w:pPr>
              <w:pStyle w:val="Compact"/>
              <w:jc w:val="right"/>
            </w:pPr>
            <w:r>
              <w:rPr>
                <w:sz w:val="18"/>
              </w:rPr>
              <w:t xml:space="preserve">0.836</w:t>
            </w:r>
          </w:p>
        </w:tc>
        <w:tc>
          <w:tcPr/>
          <w:p>
            <w:pPr>
              <w:pStyle w:val="Compact"/>
              <w:jc w:val="right"/>
            </w:pPr>
            <w:r>
              <w:rPr>
                <w:sz w:val="18"/>
              </w:rPr>
              <w:t xml:space="preserve">0.866</w:t>
            </w:r>
          </w:p>
        </w:tc>
        <w:tc>
          <w:tcPr/>
          <w:p>
            <w:pPr>
              <w:pStyle w:val="Compact"/>
              <w:jc w:val="right"/>
            </w:pPr>
            <w:r>
              <w:rPr>
                <w:sz w:val="18"/>
              </w:rPr>
              <w:t xml:space="preserve">0.110</w:t>
            </w:r>
          </w:p>
        </w:tc>
        <w:tc>
          <w:tcPr/>
          <w:p>
            <w:pPr>
              <w:pStyle w:val="Compact"/>
              <w:jc w:val="right"/>
            </w:pPr>
            <w:r>
              <w:rPr>
                <w:sz w:val="18"/>
              </w:rPr>
              <w:t xml:space="preserve">0.210**</w:t>
            </w:r>
          </w:p>
        </w:tc>
        <w:tc>
          <w:tcPr/>
          <w:p>
            <w:pPr>
              <w:pStyle w:val="Compact"/>
              <w:jc w:val="right"/>
            </w:pPr>
            <w:r>
              <w:rPr>
                <w:sz w:val="18"/>
              </w:rPr>
              <w:t xml:space="preserve">0.312***</w:t>
            </w:r>
          </w:p>
        </w:tc>
        <w:tc>
          <w:tcPr/>
          <w:p>
            <w:pPr>
              <w:pStyle w:val="Compact"/>
              <w:jc w:val="right"/>
            </w:pPr>
            <w:r>
              <w:rPr>
                <w:sz w:val="18"/>
              </w:rPr>
              <w:t xml:space="preserve">0.296***</w:t>
            </w:r>
          </w:p>
        </w:tc>
        <w:tc>
          <w:tcPr/>
          <w:p>
            <w:pPr>
              <w:pStyle w:val="Compact"/>
              <w:jc w:val="right"/>
            </w:pPr>
            <w:r>
              <w:rPr>
                <w:sz w:val="18"/>
              </w:rPr>
              <w:t xml:space="preserve">0.195</w:t>
            </w:r>
          </w:p>
        </w:tc>
        <w:tc>
          <w:tcPr/>
          <w:p>
            <w:pPr>
              <w:pStyle w:val="Compact"/>
              <w:jc w:val="right"/>
            </w:pPr>
            <w:r>
              <w:rPr>
                <w:sz w:val="18"/>
              </w:rPr>
              <w:t xml:space="preserve">0.110</w:t>
            </w:r>
          </w:p>
        </w:tc>
      </w:tr>
      <w:tr>
        <w:tc>
          <w:tcPr/>
          <w:p>
            <w:pPr>
              <w:pStyle w:val="Compact"/>
            </w:pPr>
            <w:r>
              <w:rPr>
                <w:rFonts w:hint="eastAsia"/>
                <w:sz w:val="18"/>
              </w:rPr>
              <w:t xml:space="preserve">北海道</w:t>
            </w:r>
            <w:r>
              <w:rPr>
                <w:sz w:val="18"/>
              </w:rPr>
              <w:t xml:space="preserve"> </w:t>
            </w:r>
            <w:r>
              <w:rPr>
                <w:rFonts w:hint="eastAsia"/>
                <w:sz w:val="18"/>
              </w:rPr>
              <w:t xml:space="preserve">水準</w:t>
            </w:r>
            <w:r>
              <w:rPr>
                <w:sz w:val="18"/>
              </w:rPr>
              <w:t xml:space="preserve"> </w:t>
            </w:r>
            <w:r>
              <w:rPr>
                <w:rFonts w:hint="eastAsia"/>
                <w:sz w:val="18"/>
              </w:rPr>
              <w:t xml:space="preserve">風力・冬</w:t>
            </w:r>
          </w:p>
        </w:tc>
        <w:tc>
          <w:tcPr/>
          <w:p>
            <w:pPr>
              <w:pStyle w:val="Compact"/>
              <w:jc w:val="right"/>
            </w:pPr>
            <w:r>
              <w:rPr>
                <w:sz w:val="18"/>
              </w:rPr>
              <w:t xml:space="preserve">−0.353</w:t>
            </w:r>
          </w:p>
        </w:tc>
        <w:tc>
          <w:tcPr/>
          <w:p>
            <w:pPr>
              <w:pStyle w:val="Compact"/>
              <w:jc w:val="right"/>
            </w:pPr>
            <w:r>
              <w:rPr>
                <w:sz w:val="18"/>
              </w:rPr>
              <w:t xml:space="preserve">&lt;0.001</w:t>
            </w:r>
          </w:p>
        </w:tc>
        <w:tc>
          <w:tcPr/>
          <w:p>
            <w:pPr>
              <w:pStyle w:val="Compact"/>
              <w:jc w:val="right"/>
            </w:pPr>
            <w:r>
              <w:rPr>
                <w:sz w:val="18"/>
              </w:rPr>
              <w:t xml:space="preserve">0.001</w:t>
            </w:r>
          </w:p>
        </w:tc>
        <w:tc>
          <w:tcPr/>
          <w:p>
            <w:pPr>
              <w:pStyle w:val="Compact"/>
              <w:jc w:val="right"/>
            </w:pPr>
            <w:r>
              <w:rPr>
                <w:sz w:val="18"/>
              </w:rPr>
              <w:t xml:space="preserve">0.006</w:t>
            </w:r>
          </w:p>
        </w:tc>
        <w:tc>
          <w:tcPr/>
          <w:p>
            <w:pPr>
              <w:pStyle w:val="Compact"/>
              <w:jc w:val="right"/>
            </w:pPr>
            <w:r>
              <w:rPr>
                <w:sz w:val="18"/>
              </w:rPr>
              <w:t xml:space="preserve">−0.340***</w:t>
            </w:r>
          </w:p>
        </w:tc>
        <w:tc>
          <w:tcPr/>
          <w:p>
            <w:pPr>
              <w:pStyle w:val="Compact"/>
              <w:jc w:val="right"/>
            </w:pPr>
            <w:r>
              <w:rPr>
                <w:sz w:val="18"/>
              </w:rPr>
              <w:t xml:space="preserve">−0.256***</w:t>
            </w:r>
          </w:p>
        </w:tc>
        <w:tc>
          <w:tcPr/>
          <w:p>
            <w:pPr>
              <w:pStyle w:val="Compact"/>
              <w:jc w:val="right"/>
            </w:pPr>
            <w:r>
              <w:rPr>
                <w:sz w:val="18"/>
              </w:rPr>
              <w:t xml:space="preserve">−0.170***</w:t>
            </w:r>
          </w:p>
        </w:tc>
        <w:tc>
          <w:tcPr/>
          <w:p>
            <w:pPr>
              <w:pStyle w:val="Compact"/>
              <w:jc w:val="right"/>
            </w:pPr>
            <w:r>
              <w:rPr>
                <w:sz w:val="18"/>
              </w:rPr>
              <w:t xml:space="preserve">−0.161***</w:t>
            </w:r>
          </w:p>
        </w:tc>
        <w:tc>
          <w:tcPr/>
          <w:p>
            <w:pPr>
              <w:pStyle w:val="Compact"/>
              <w:jc w:val="right"/>
            </w:pPr>
            <w:r>
              <w:rPr>
                <w:sz w:val="18"/>
              </w:rPr>
              <w:t xml:space="preserve">−0.219***</w:t>
            </w:r>
          </w:p>
        </w:tc>
        <w:tc>
          <w:tcPr/>
          <w:p>
            <w:pPr>
              <w:pStyle w:val="Compact"/>
              <w:jc w:val="right"/>
            </w:pPr>
            <w:r>
              <w:rPr>
                <w:sz w:val="18"/>
              </w:rPr>
              <w:t xml:space="preserve">−0.269***</w:t>
            </w:r>
          </w:p>
        </w:tc>
      </w:tr>
      <w:tr>
        <w:tc>
          <w:tcPr/>
          <w:p>
            <w:pPr>
              <w:pStyle w:val="Compact"/>
            </w:pPr>
            <w:r>
              <w:rPr>
                <w:rFonts w:hint="eastAsia"/>
                <w:sz w:val="18"/>
              </w:rPr>
              <w:t xml:space="preserve">北海道</w:t>
            </w:r>
            <w:r>
              <w:rPr>
                <w:sz w:val="18"/>
              </w:rPr>
              <w:t xml:space="preserve"> </w:t>
            </w:r>
            <w:r>
              <w:rPr>
                <w:rFonts w:hint="eastAsia"/>
                <w:sz w:val="18"/>
              </w:rPr>
              <w:t xml:space="preserve">水準</w:t>
            </w:r>
            <w:r>
              <w:rPr>
                <w:sz w:val="18"/>
              </w:rPr>
              <w:t xml:space="preserve"> </w:t>
            </w:r>
            <w:r>
              <w:rPr>
                <w:rFonts w:hint="eastAsia"/>
                <w:sz w:val="18"/>
              </w:rPr>
              <w:t xml:space="preserve">太陽光・冬</w:t>
            </w:r>
          </w:p>
        </w:tc>
        <w:tc>
          <w:tcPr/>
          <w:p>
            <w:pPr>
              <w:pStyle w:val="Compact"/>
              <w:jc w:val="right"/>
            </w:pPr>
            <w:r>
              <w:rPr>
                <w:sz w:val="18"/>
              </w:rPr>
              <w:t xml:space="preserve">−0.761</w:t>
            </w:r>
          </w:p>
        </w:tc>
        <w:tc>
          <w:tcPr/>
          <w:p>
            <w:pPr>
              <w:pStyle w:val="Compact"/>
              <w:jc w:val="right"/>
            </w:pPr>
            <w:r>
              <w:rPr>
                <w:sz w:val="18"/>
              </w:rPr>
              <w:t xml:space="preserve">&lt;0.001</w:t>
            </w:r>
          </w:p>
        </w:tc>
        <w:tc>
          <w:tcPr/>
          <w:p>
            <w:pPr>
              <w:pStyle w:val="Compact"/>
              <w:jc w:val="right"/>
            </w:pPr>
            <w:r>
              <w:rPr>
                <w:sz w:val="18"/>
              </w:rPr>
              <w:t xml:space="preserve">0.051</w:t>
            </w:r>
          </w:p>
        </w:tc>
        <w:tc>
          <w:tcPr/>
          <w:p>
            <w:pPr>
              <w:pStyle w:val="Compact"/>
              <w:jc w:val="right"/>
            </w:pPr>
            <w:r>
              <w:rPr>
                <w:sz w:val="18"/>
              </w:rPr>
              <w:t xml:space="preserve">0.124</w:t>
            </w:r>
          </w:p>
        </w:tc>
        <w:tc>
          <w:tcPr/>
          <w:p>
            <w:pPr>
              <w:pStyle w:val="Compact"/>
              <w:jc w:val="right"/>
            </w:pPr>
            <w:r>
              <w:rPr>
                <w:sz w:val="18"/>
              </w:rPr>
              <w:t xml:space="preserve">−0.317*</w:t>
            </w:r>
          </w:p>
        </w:tc>
        <w:tc>
          <w:tcPr/>
          <w:p>
            <w:pPr>
              <w:pStyle w:val="Compact"/>
              <w:jc w:val="right"/>
            </w:pPr>
            <w:r>
              <w:rPr>
                <w:sz w:val="18"/>
              </w:rPr>
              <w:t xml:space="preserve">−0.225</w:t>
            </w:r>
          </w:p>
        </w:tc>
        <w:tc>
          <w:tcPr/>
          <w:p>
            <w:pPr>
              <w:pStyle w:val="Compact"/>
              <w:jc w:val="right"/>
            </w:pPr>
            <w:r>
              <w:rPr>
                <w:sz w:val="18"/>
              </w:rPr>
              <w:t xml:space="preserve">−0.059</w:t>
            </w:r>
          </w:p>
        </w:tc>
        <w:tc>
          <w:tcPr/>
          <w:p>
            <w:pPr>
              <w:pStyle w:val="Compact"/>
              <w:jc w:val="right"/>
            </w:pPr>
            <w:r>
              <w:rPr>
                <w:sz w:val="18"/>
              </w:rPr>
              <w:t xml:space="preserve">−0.080</w:t>
            </w:r>
          </w:p>
        </w:tc>
        <w:tc>
          <w:tcPr/>
          <w:p>
            <w:pPr>
              <w:pStyle w:val="Compact"/>
              <w:jc w:val="right"/>
            </w:pPr>
            <w:r>
              <w:rPr>
                <w:sz w:val="18"/>
              </w:rPr>
              <w:t xml:space="preserve">0.123**</w:t>
            </w:r>
          </w:p>
        </w:tc>
        <w:tc>
          <w:tcPr/>
          <w:p>
            <w:pPr>
              <w:pStyle w:val="Compact"/>
              <w:jc w:val="right"/>
            </w:pPr>
            <w:r>
              <w:rPr>
                <w:sz w:val="18"/>
              </w:rPr>
              <w:t xml:space="preserve">−0.431***</w:t>
            </w:r>
          </w:p>
        </w:tc>
      </w:tr>
      <w:tr>
        <w:tc>
          <w:tcPr/>
          <w:p>
            <w:pPr>
              <w:pStyle w:val="Compact"/>
            </w:pPr>
            <w:r>
              <w:rPr>
                <w:rFonts w:hint="eastAsia"/>
                <w:sz w:val="18"/>
              </w:rPr>
              <w:t xml:space="preserve">九州</w:t>
            </w:r>
            <w:r>
              <w:rPr>
                <w:sz w:val="18"/>
              </w:rPr>
              <w:t xml:space="preserve"> TB4h </w:t>
            </w:r>
            <w:r>
              <w:rPr>
                <w:rFonts w:hint="eastAsia"/>
                <w:sz w:val="18"/>
              </w:rPr>
              <w:t xml:space="preserve">風力・不需要期</w:t>
            </w:r>
          </w:p>
        </w:tc>
        <w:tc>
          <w:tcPr/>
          <w:p>
            <w:pPr>
              <w:pStyle w:val="Compact"/>
              <w:jc w:val="right"/>
            </w:pPr>
            <w:r>
              <w:rPr>
                <w:sz w:val="18"/>
              </w:rPr>
              <w:t xml:space="preserve">0.173</w:t>
            </w:r>
          </w:p>
        </w:tc>
        <w:tc>
          <w:tcPr/>
          <w:p>
            <w:pPr>
              <w:pStyle w:val="Compact"/>
              <w:jc w:val="right"/>
            </w:pPr>
            <w:r>
              <w:rPr>
                <w:sz w:val="18"/>
              </w:rPr>
              <w:t xml:space="preserve">0.124</w:t>
            </w:r>
          </w:p>
        </w:tc>
        <w:tc>
          <w:tcPr/>
          <w:p>
            <w:pPr>
              <w:pStyle w:val="Compact"/>
              <w:jc w:val="right"/>
            </w:pPr>
            <w:r>
              <w:rPr>
                <w:sz w:val="18"/>
              </w:rPr>
              <w:t xml:space="preserve">0.317</w:t>
            </w:r>
          </w:p>
        </w:tc>
        <w:tc>
          <w:tcPr/>
          <w:p>
            <w:pPr>
              <w:pStyle w:val="Compact"/>
              <w:jc w:val="right"/>
            </w:pPr>
            <w:r>
              <w:rPr>
                <w:sz w:val="18"/>
              </w:rPr>
              <w:t xml:space="preserve">0.384</w:t>
            </w:r>
          </w:p>
        </w:tc>
        <w:tc>
          <w:tcPr/>
          <w:p>
            <w:pPr>
              <w:pStyle w:val="Compact"/>
              <w:jc w:val="right"/>
            </w:pPr>
            <w:r>
              <w:rPr>
                <w:sz w:val="18"/>
              </w:rPr>
              <w:t xml:space="preserve">0.150</w:t>
            </w:r>
          </w:p>
        </w:tc>
        <w:tc>
          <w:tcPr/>
          <w:p>
            <w:pPr>
              <w:pStyle w:val="Compact"/>
              <w:jc w:val="right"/>
            </w:pPr>
            <w:r>
              <w:rPr>
                <w:sz w:val="18"/>
              </w:rPr>
              <w:t xml:space="preserve">−0.020</w:t>
            </w:r>
          </w:p>
        </w:tc>
        <w:tc>
          <w:tcPr/>
          <w:p>
            <w:pPr>
              <w:pStyle w:val="Compact"/>
              <w:jc w:val="right"/>
            </w:pPr>
            <w:r>
              <w:rPr>
                <w:sz w:val="18"/>
              </w:rPr>
              <w:t xml:space="preserve">−0.105</w:t>
            </w:r>
          </w:p>
        </w:tc>
        <w:tc>
          <w:tcPr/>
          <w:p>
            <w:pPr>
              <w:pStyle w:val="Compact"/>
              <w:jc w:val="right"/>
            </w:pPr>
            <w:r>
              <w:rPr>
                <w:sz w:val="18"/>
              </w:rPr>
              <w:t xml:space="preserve">0.113</w:t>
            </w:r>
          </w:p>
        </w:tc>
        <w:tc>
          <w:tcPr/>
          <w:p>
            <w:pPr>
              <w:pStyle w:val="Compact"/>
              <w:jc w:val="right"/>
            </w:pPr>
            <w:r>
              <w:rPr>
                <w:sz w:val="18"/>
              </w:rPr>
              <w:t xml:space="preserve">0.073</w:t>
            </w:r>
          </w:p>
        </w:tc>
        <w:tc>
          <w:tcPr/>
          <w:p>
            <w:pPr>
              <w:pStyle w:val="Compact"/>
              <w:jc w:val="right"/>
            </w:pPr>
            <w:r>
              <w:rPr>
                <w:sz w:val="18"/>
              </w:rPr>
              <w:t xml:space="preserve">0.256*</w:t>
            </w:r>
          </w:p>
        </w:tc>
      </w:tr>
      <w:tr>
        <w:tc>
          <w:tcPr/>
          <w:p>
            <w:pPr>
              <w:pStyle w:val="Compact"/>
            </w:pPr>
            <w:r>
              <w:rPr>
                <w:rFonts w:hint="eastAsia"/>
                <w:sz w:val="18"/>
              </w:rPr>
              <w:t xml:space="preserve">九州</w:t>
            </w:r>
            <w:r>
              <w:rPr>
                <w:sz w:val="18"/>
              </w:rPr>
              <w:t xml:space="preserve"> TB4h </w:t>
            </w:r>
            <w:r>
              <w:rPr>
                <w:rFonts w:hint="eastAsia"/>
                <w:sz w:val="18"/>
              </w:rPr>
              <w:t xml:space="preserve">風力・冬</w:t>
            </w:r>
          </w:p>
        </w:tc>
        <w:tc>
          <w:tcPr/>
          <w:p>
            <w:pPr>
              <w:pStyle w:val="Compact"/>
              <w:jc w:val="right"/>
            </w:pPr>
            <w:r>
              <w:rPr>
                <w:sz w:val="18"/>
              </w:rPr>
              <w:t xml:space="preserve">−0.463</w:t>
            </w:r>
          </w:p>
        </w:tc>
        <w:tc>
          <w:tcPr/>
          <w:p>
            <w:pPr>
              <w:pStyle w:val="Compact"/>
              <w:jc w:val="right"/>
            </w:pPr>
            <w:r>
              <w:rPr>
                <w:sz w:val="18"/>
              </w:rPr>
              <w:t xml:space="preserve">0.099</w:t>
            </w:r>
          </w:p>
        </w:tc>
        <w:tc>
          <w:tcPr/>
          <w:p>
            <w:pPr>
              <w:pStyle w:val="Compact"/>
              <w:jc w:val="right"/>
            </w:pPr>
            <w:r>
              <w:rPr>
                <w:sz w:val="18"/>
              </w:rPr>
              <w:t xml:space="preserve">0.345</w:t>
            </w:r>
          </w:p>
        </w:tc>
        <w:tc>
          <w:tcPr/>
          <w:p>
            <w:pPr>
              <w:pStyle w:val="Compact"/>
              <w:jc w:val="right"/>
            </w:pPr>
            <w:r>
              <w:rPr>
                <w:sz w:val="18"/>
              </w:rPr>
              <w:t xml:space="preserve">0.462</w:t>
            </w:r>
          </w:p>
        </w:tc>
        <w:tc>
          <w:tcPr/>
          <w:p>
            <w:pPr>
              <w:pStyle w:val="Compact"/>
              <w:jc w:val="right"/>
            </w:pPr>
            <w:r>
              <w:rPr>
                <w:sz w:val="18"/>
              </w:rPr>
              <w:t xml:space="preserve">−0.467</w:t>
            </w:r>
          </w:p>
        </w:tc>
        <w:tc>
          <w:tcPr/>
          <w:p>
            <w:pPr>
              <w:pStyle w:val="Compact"/>
              <w:jc w:val="right"/>
            </w:pPr>
            <w:r>
              <w:rPr>
                <w:sz w:val="18"/>
              </w:rPr>
              <w:t xml:space="preserve">−0.189</w:t>
            </w:r>
          </w:p>
        </w:tc>
        <w:tc>
          <w:tcPr/>
          <w:p>
            <w:pPr>
              <w:pStyle w:val="Compact"/>
              <w:jc w:val="right"/>
            </w:pPr>
            <w:r>
              <w:rPr>
                <w:sz w:val="18"/>
              </w:rPr>
              <w:t xml:space="preserve">0.183</w:t>
            </w:r>
          </w:p>
        </w:tc>
        <w:tc>
          <w:tcPr/>
          <w:p>
            <w:pPr>
              <w:pStyle w:val="Compact"/>
              <w:jc w:val="right"/>
            </w:pPr>
            <w:r>
              <w:rPr>
                <w:sz w:val="18"/>
              </w:rPr>
              <w:t xml:space="preserve">0.039</w:t>
            </w:r>
          </w:p>
        </w:tc>
        <w:tc>
          <w:tcPr/>
          <w:p>
            <w:pPr>
              <w:pStyle w:val="Compact"/>
              <w:jc w:val="right"/>
            </w:pPr>
            <w:r>
              <w:rPr>
                <w:sz w:val="18"/>
              </w:rPr>
              <w:t xml:space="preserve">0.033</w:t>
            </w:r>
          </w:p>
        </w:tc>
        <w:tc>
          <w:tcPr/>
          <w:p>
            <w:pPr>
              <w:pStyle w:val="Compact"/>
              <w:jc w:val="right"/>
            </w:pPr>
            <w:r>
              <w:rPr>
                <w:sz w:val="18"/>
              </w:rPr>
              <w:t xml:space="preserve">0.008</w:t>
            </w:r>
          </w:p>
        </w:tc>
      </w:tr>
      <w:tr>
        <w:tc>
          <w:tcPr/>
          <w:p>
            <w:pPr>
              <w:pStyle w:val="Compact"/>
            </w:pPr>
            <w:r>
              <w:rPr>
                <w:rFonts w:hint="eastAsia"/>
                <w:sz w:val="18"/>
              </w:rPr>
              <w:t xml:space="preserve">九州</w:t>
            </w:r>
            <w:r>
              <w:rPr>
                <w:sz w:val="18"/>
              </w:rPr>
              <w:t xml:space="preserve"> TB4h </w:t>
            </w:r>
            <w:r>
              <w:rPr>
                <w:rFonts w:hint="eastAsia"/>
                <w:sz w:val="18"/>
              </w:rPr>
              <w:t xml:space="preserve">太陽光・冬</w:t>
            </w:r>
          </w:p>
        </w:tc>
        <w:tc>
          <w:tcPr/>
          <w:p>
            <w:pPr>
              <w:pStyle w:val="Compact"/>
              <w:jc w:val="right"/>
            </w:pPr>
            <w:r>
              <w:rPr>
                <w:sz w:val="18"/>
              </w:rPr>
              <w:t xml:space="preserve">0.112</w:t>
            </w:r>
          </w:p>
        </w:tc>
        <w:tc>
          <w:tcPr/>
          <w:p>
            <w:pPr>
              <w:pStyle w:val="Compact"/>
              <w:jc w:val="right"/>
            </w:pPr>
            <w:r>
              <w:rPr>
                <w:sz w:val="18"/>
              </w:rPr>
              <w:t xml:space="preserve">&lt;0.001</w:t>
            </w:r>
          </w:p>
        </w:tc>
        <w:tc>
          <w:tcPr/>
          <w:p>
            <w:pPr>
              <w:pStyle w:val="Compact"/>
              <w:jc w:val="right"/>
            </w:pPr>
            <w:r>
              <w:rPr>
                <w:sz w:val="18"/>
              </w:rPr>
              <w:t xml:space="preserve">0.001</w:t>
            </w:r>
          </w:p>
        </w:tc>
        <w:tc>
          <w:tcPr/>
          <w:p>
            <w:pPr>
              <w:pStyle w:val="Compact"/>
              <w:jc w:val="right"/>
            </w:pPr>
            <w:r>
              <w:rPr>
                <w:sz w:val="18"/>
              </w:rPr>
              <w:t xml:space="preserve">0.009</w:t>
            </w:r>
          </w:p>
        </w:tc>
        <w:tc>
          <w:tcPr/>
          <w:p>
            <w:pPr>
              <w:pStyle w:val="Compact"/>
              <w:jc w:val="right"/>
            </w:pPr>
            <w:r>
              <w:rPr>
                <w:sz w:val="18"/>
              </w:rPr>
              <w:t xml:space="preserve">0.145***</w:t>
            </w:r>
          </w:p>
        </w:tc>
        <w:tc>
          <w:tcPr/>
          <w:p>
            <w:pPr>
              <w:pStyle w:val="Compact"/>
              <w:jc w:val="right"/>
            </w:pPr>
            <w:r>
              <w:rPr>
                <w:sz w:val="18"/>
              </w:rPr>
              <w:t xml:space="preserve">0.187***</w:t>
            </w:r>
          </w:p>
        </w:tc>
        <w:tc>
          <w:tcPr/>
          <w:p>
            <w:pPr>
              <w:pStyle w:val="Compact"/>
              <w:jc w:val="right"/>
            </w:pPr>
            <w:r>
              <w:rPr>
                <w:sz w:val="18"/>
              </w:rPr>
              <w:t xml:space="preserve">0.182***</w:t>
            </w:r>
          </w:p>
        </w:tc>
        <w:tc>
          <w:tcPr/>
          <w:p>
            <w:pPr>
              <w:pStyle w:val="Compact"/>
              <w:jc w:val="right"/>
            </w:pPr>
            <w:r>
              <w:rPr>
                <w:sz w:val="18"/>
              </w:rPr>
              <w:t xml:space="preserve">0.183***</w:t>
            </w:r>
          </w:p>
        </w:tc>
        <w:tc>
          <w:tcPr/>
          <w:p>
            <w:pPr>
              <w:pStyle w:val="Compact"/>
              <w:jc w:val="right"/>
            </w:pPr>
            <w:r>
              <w:rPr>
                <w:sz w:val="18"/>
              </w:rPr>
              <w:t xml:space="preserve">0.152***</w:t>
            </w:r>
          </w:p>
        </w:tc>
        <w:tc>
          <w:tcPr/>
          <w:p>
            <w:pPr>
              <w:pStyle w:val="Compact"/>
              <w:jc w:val="right"/>
            </w:pPr>
            <w:r>
              <w:rPr>
                <w:sz w:val="18"/>
              </w:rPr>
              <w:t xml:space="preserve">0.105***</w:t>
            </w:r>
          </w:p>
        </w:tc>
      </w:tr>
      <w:tr>
        <w:tc>
          <w:tcPr/>
          <w:p>
            <w:pPr>
              <w:pStyle w:val="Compact"/>
            </w:pPr>
            <w:r>
              <w:rPr>
                <w:rFonts w:hint="eastAsia"/>
                <w:sz w:val="18"/>
              </w:rPr>
              <w:t xml:space="preserve">九州</w:t>
            </w:r>
            <w:r>
              <w:rPr>
                <w:sz w:val="18"/>
              </w:rPr>
              <w:t xml:space="preserve"> TB4h </w:t>
            </w:r>
            <w:r>
              <w:rPr>
                <w:rFonts w:hint="eastAsia"/>
                <w:sz w:val="18"/>
              </w:rPr>
              <w:t xml:space="preserve">太陽光・不需要期</w:t>
            </w:r>
          </w:p>
        </w:tc>
        <w:tc>
          <w:tcPr/>
          <w:p>
            <w:pPr>
              <w:pStyle w:val="Compact"/>
              <w:jc w:val="right"/>
            </w:pPr>
            <w:r>
              <w:rPr>
                <w:sz w:val="18"/>
              </w:rPr>
              <w:t xml:space="preserve">0.101</w:t>
            </w:r>
          </w:p>
        </w:tc>
        <w:tc>
          <w:tcPr/>
          <w:p>
            <w:pPr>
              <w:pStyle w:val="Compact"/>
              <w:jc w:val="right"/>
            </w:pPr>
            <w:r>
              <w:rPr>
                <w:sz w:val="18"/>
              </w:rPr>
              <w:t xml:space="preserve">&lt;0.001</w:t>
            </w:r>
          </w:p>
        </w:tc>
        <w:tc>
          <w:tcPr/>
          <w:p>
            <w:pPr>
              <w:pStyle w:val="Compact"/>
              <w:jc w:val="right"/>
            </w:pPr>
            <w:r>
              <w:rPr>
                <w:sz w:val="18"/>
              </w:rPr>
              <w:t xml:space="preserve">&lt;0.001</w:t>
            </w:r>
          </w:p>
        </w:tc>
        <w:tc>
          <w:tcPr/>
          <w:p>
            <w:pPr>
              <w:pStyle w:val="Compact"/>
              <w:jc w:val="right"/>
            </w:pPr>
            <w:r>
              <w:rPr>
                <w:sz w:val="18"/>
              </w:rPr>
              <w:t xml:space="preserve">&lt;0.001</w:t>
            </w:r>
          </w:p>
        </w:tc>
        <w:tc>
          <w:tcPr/>
          <w:p>
            <w:pPr>
              <w:pStyle w:val="Compact"/>
              <w:jc w:val="right"/>
            </w:pPr>
            <w:r>
              <w:rPr>
                <w:sz w:val="18"/>
              </w:rPr>
              <w:t xml:space="preserve">0.116***</w:t>
            </w:r>
          </w:p>
        </w:tc>
        <w:tc>
          <w:tcPr/>
          <w:p>
            <w:pPr>
              <w:pStyle w:val="Compact"/>
              <w:jc w:val="right"/>
            </w:pPr>
            <w:r>
              <w:rPr>
                <w:sz w:val="18"/>
              </w:rPr>
              <w:t xml:space="preserve">0.101***</w:t>
            </w:r>
          </w:p>
        </w:tc>
        <w:tc>
          <w:tcPr/>
          <w:p>
            <w:pPr>
              <w:pStyle w:val="Compact"/>
              <w:jc w:val="right"/>
            </w:pPr>
            <w:r>
              <w:rPr>
                <w:sz w:val="18"/>
              </w:rPr>
              <w:t xml:space="preserve">0.103***</w:t>
            </w:r>
          </w:p>
        </w:tc>
        <w:tc>
          <w:tcPr/>
          <w:p>
            <w:pPr>
              <w:pStyle w:val="Compact"/>
              <w:jc w:val="right"/>
            </w:pPr>
            <w:r>
              <w:rPr>
                <w:sz w:val="18"/>
              </w:rPr>
              <w:t xml:space="preserve">0.123***</w:t>
            </w:r>
          </w:p>
        </w:tc>
        <w:tc>
          <w:tcPr/>
          <w:p>
            <w:pPr>
              <w:pStyle w:val="Compact"/>
              <w:jc w:val="right"/>
            </w:pPr>
            <w:r>
              <w:rPr>
                <w:sz w:val="18"/>
              </w:rPr>
              <w:t xml:space="preserve">0.088***</w:t>
            </w:r>
          </w:p>
        </w:tc>
        <w:tc>
          <w:tcPr/>
          <w:p>
            <w:pPr>
              <w:pStyle w:val="Compact"/>
              <w:jc w:val="right"/>
            </w:pPr>
            <w:r>
              <w:rPr>
                <w:sz w:val="18"/>
              </w:rPr>
              <w:t xml:space="preserve">0.108***</w:t>
            </w:r>
          </w:p>
        </w:tc>
      </w:tr>
    </w:tbl>
    <w:p>
      <w:pPr>
        <w:pStyle w:val="TableNote"/>
      </w:pPr>
      <w:r>
        <w:rPr>
          <w:rFonts w:hint="eastAsia"/>
        </w:rPr>
        <w:t xml:space="preserve">注）単位は円/kWh</w:t>
      </w:r>
      <w:r>
        <w:t xml:space="preserve"> per </w:t>
      </w:r>
      <w:r>
        <w:rPr>
          <w:rFonts w:hint="eastAsia"/>
        </w:rPr>
        <w:t xml:space="preserve">GWh/日。主仕様は表5.2。p（補正）は、ふるいブートストラップ（1,999回）で求めた</w:t>
      </w:r>
      <w:r>
        <w:t xml:space="preserve"> EWC の p </w:t>
      </w:r>
      <w:r>
        <w:rPr>
          <w:rFonts w:hint="eastAsia"/>
        </w:rPr>
        <w:t xml:space="preserve">値。月FE</w:t>
      </w:r>
      <w:r>
        <w:t xml:space="preserve"> </w:t>
      </w:r>
      <w:r>
        <w:rPr>
          <w:rFonts w:hint="eastAsia"/>
        </w:rPr>
        <w:t xml:space="preserve">は曜日・祝日を加えて季節固定効果を月固定効果に替えた仕様、年月FE</w:t>
      </w:r>
      <w:r>
        <w:t xml:space="preserve"> </w:t>
      </w:r>
      <w:r>
        <w:rPr>
          <w:rFonts w:hint="eastAsia"/>
        </w:rPr>
        <w:t xml:space="preserve">は需要・曜日・祝日と年月固定効果（120セル）の仕様、価格のラグは日平均価格の1〜7日前、FY2023〜25</w:t>
      </w:r>
      <w:r>
        <w:t xml:space="preserve"> </w:t>
      </w:r>
      <w:r>
        <w:rPr>
          <w:rFonts w:hint="eastAsia"/>
        </w:rPr>
        <w:t xml:space="preserve">は主仕様を同期間で推定したもの、FGLS</w:t>
      </w:r>
      <w:r>
        <w:t xml:space="preserve"> は AR(1) </w:t>
      </w:r>
      <w:r>
        <w:rPr>
          <w:rFonts w:hint="eastAsia"/>
        </w:rPr>
        <w:t xml:space="preserve">誤差の</w:t>
      </w:r>
      <w:r>
        <w:t xml:space="preserve"> Cochrane-Orcutt </w:t>
      </w:r>
      <w:r>
        <w:rPr>
          <w:rFonts w:hint="eastAsia"/>
        </w:rPr>
        <w:t xml:space="preserve">推定（暦日で準差分、自己回帰係数0.77〜0.92）、2021年1月を除くは主仕様からその31日を除いた標本（3,601日）。年月FE</w:t>
      </w:r>
      <w:r>
        <w:t xml:space="preserve"> </w:t>
      </w:r>
      <w:r>
        <w:rPr>
          <w:rFonts w:hint="eastAsia"/>
        </w:rPr>
        <w:t xml:space="preserve">で2021年1月を除くと、北海道の</w:t>
      </w:r>
      <w:r>
        <w:t xml:space="preserve"> TB4h </w:t>
      </w:r>
      <w:r>
        <w:rPr>
          <w:rFonts w:hint="eastAsia"/>
        </w:rPr>
        <w:t xml:space="preserve">は風力・冬−0.172*、太陽光・冬+0.128、太陽光・不需要期+0.378***、九州の</w:t>
      </w:r>
      <w:r>
        <w:t xml:space="preserve"> TB4h </w:t>
      </w:r>
      <w:r>
        <w:rPr>
          <w:rFonts w:hint="eastAsia"/>
        </w:rPr>
        <w:t xml:space="preserve">は風力・不需要期−0.021、風力・冬+0.294**</w:t>
      </w:r>
      <w:r>
        <w:t xml:space="preserve"> </w:t>
      </w:r>
      <w:r>
        <w:rPr>
          <w:rFonts w:hint="eastAsia"/>
        </w:rPr>
        <w:t xml:space="preserve">である。星は</w:t>
      </w:r>
      <w:r>
        <w:t xml:space="preserve"> EWC </w:t>
      </w:r>
      <w:r>
        <w:rPr>
          <w:rFonts w:hint="eastAsia"/>
        </w:rPr>
        <w:t xml:space="preserve">により（FY2023〜25</w:t>
      </w:r>
      <w:r>
        <w:t xml:space="preserve"> は</w:t>
      </w:r>
      <w:r>
        <w:t xml:space="preserve"> </w:t>
      </w:r>
      <m:oMath>
        <m:r>
          <m:t>ν</m:t>
        </m:r>
        <m:r>
          <m:rPr>
            <m:sty m:val="p"/>
          </m:rPr>
          <m:t>=</m:t>
        </m:r>
        <m:r>
          <m:t>42</m:t>
        </m:r>
      </m:oMath>
      <w:r>
        <w:rPr>
          <w:rFonts w:hint="eastAsia"/>
        </w:rPr>
        <w:t xml:space="preserve">、他は</w:t>
      </w:r>
      <w:r>
        <w:t xml:space="preserve"> </w:t>
      </w:r>
      <m:oMath>
        <m:r>
          <m:t>ν</m:t>
        </m:r>
        <m:r>
          <m:rPr>
            <m:sty m:val="p"/>
          </m:rPr>
          <m:t>=</m:t>
        </m:r>
        <m:r>
          <m:t>94</m:t>
        </m:r>
      </m:oMath>
      <w:r>
        <w:rPr>
          <w:rFonts w:hint="eastAsia"/>
        </w:rPr>
        <w:t xml:space="preserve">）、記号は表5.2</w:t>
      </w:r>
      <w:r>
        <w:t xml:space="preserve"> </w:t>
      </w:r>
      <w:r>
        <w:rPr>
          <w:rFonts w:hint="eastAsia"/>
        </w:rPr>
        <w:t xml:space="preserve">と同じ。</w:t>
      </w:r>
    </w:p>
    <w:p>
      <w:pPr>
        <w:pStyle w:val="TableNote"/>
      </w:pPr>
      <w:r>
        <w:rPr>
          <w:rFonts w:hint="eastAsia"/>
        </w:rPr>
        <w:t xml:space="preserve">出所）表5.2</w:t>
      </w:r>
      <w:r>
        <w:t xml:space="preserve"> </w:t>
      </w:r>
      <w:r>
        <w:rPr>
          <w:rFonts w:hint="eastAsia"/>
        </w:rPr>
        <w:t xml:space="preserve">と同じ。</w:t>
      </w:r>
    </w:p>
    <w:p>
      <w:pPr>
        <w:pStyle w:val="TableCaption"/>
      </w:pPr>
      <w:r>
        <w:rPr>
          <w:rFonts w:hint="eastAsia"/>
        </w:rPr>
        <w:t xml:space="preserve">表C.16</w:t>
      </w:r>
      <w:r>
        <w:t xml:space="preserve">　</w:t>
      </w:r>
      <w:r>
        <w:rPr>
          <w:rFonts w:hint="eastAsia"/>
        </w:rPr>
        <w:t xml:space="preserve">暦月の4季節の区分による</w:t>
      </w:r>
      <w:r>
        <w:t xml:space="preserve"> TB4h </w:t>
      </w:r>
      <w:r>
        <w:rPr>
          <w:rFonts w:hint="eastAsia"/>
        </w:rPr>
        <w:t xml:space="preserve">の係数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6　暦月の4季節の区分による TB4h の係数"/>
      </w:tblPr>
      <w:tblGrid>
        <w:gridCol w:w="766"/>
        <w:gridCol w:w="1021"/>
        <w:gridCol w:w="1021"/>
        <w:gridCol w:w="1021"/>
        <w:gridCol w:w="1021"/>
        <w:gridCol w:w="1021"/>
        <w:gridCol w:w="1021"/>
        <w:gridCol w:w="1021"/>
      </w:tblGrid>
      <w:tr>
        <w:trPr>
          <w:tblHeader w:val="on"/>
        </w:trPr>
        <w:tc>
          <w:tcPr>
            <w:tcBorders>
              <w:bottom w:val="single" w:sz="6" w:color="000000"/>
            </w:tcBorders>
          </w:tcPr>
          <w:p>
            <w:pPr>
              <w:pStyle w:val="Compact"/>
            </w:pPr>
            <w:r>
              <w:rPr>
                <w:rFonts w:hint="eastAsia"/>
                <w:sz w:val="18"/>
              </w:rPr>
              <w:t xml:space="preserve">係数</w:t>
            </w:r>
          </w:p>
        </w:tc>
        <w:tc>
          <w:tcPr>
            <w:tcBorders>
              <w:bottom w:val="single" w:sz="6" w:color="000000"/>
            </w:tcBorders>
          </w:tcPr>
          <w:p>
            <w:pPr>
              <w:pStyle w:val="Compact"/>
              <w:jc w:val="right"/>
            </w:pPr>
            <w:r>
              <w:rPr>
                <w:rFonts w:hint="eastAsia"/>
                <w:sz w:val="18"/>
              </w:rPr>
              <w:t xml:space="preserve">主仕様</w:t>
            </w:r>
          </w:p>
        </w:tc>
        <w:tc>
          <w:tcPr>
            <w:tcBorders>
              <w:bottom w:val="single" w:sz="6" w:color="000000"/>
            </w:tcBorders>
          </w:tcPr>
          <w:p>
            <w:pPr>
              <w:pStyle w:val="Compact"/>
              <w:jc w:val="right"/>
            </w:pPr>
            <w:r>
              <w:rPr>
                <w:rFonts w:hint="eastAsia"/>
                <w:sz w:val="18"/>
              </w:rPr>
              <w:t xml:space="preserve">年月FE</w:t>
            </w:r>
          </w:p>
        </w:tc>
        <w:tc>
          <w:tcPr>
            <w:tcBorders>
              <w:bottom w:val="single" w:sz="6" w:color="000000"/>
            </w:tcBorders>
          </w:tcPr>
          <w:p>
            <w:pPr>
              <w:pStyle w:val="Compact"/>
              <w:jc w:val="right"/>
            </w:pPr>
            <w:r>
              <w:rPr>
                <w:rFonts w:hint="eastAsia"/>
                <w:sz w:val="18"/>
              </w:rPr>
              <w:t xml:space="preserve">年月FE＋価格のラグ</w:t>
            </w:r>
          </w:p>
        </w:tc>
        <w:tc>
          <w:tcPr>
            <w:tcBorders>
              <w:bottom w:val="single" w:sz="6" w:color="000000"/>
            </w:tcBorders>
          </w:tcPr>
          <w:p>
            <w:pPr>
              <w:pStyle w:val="Compact"/>
              <w:jc w:val="right"/>
            </w:pPr>
            <w:r>
              <w:rPr>
                <w:rFonts w:hint="eastAsia"/>
                <w:sz w:val="18"/>
              </w:rPr>
              <w:t xml:space="preserve">主仕様</w:t>
            </w:r>
            <w:r>
              <w:rPr>
                <w:sz w:val="18"/>
              </w:rPr>
              <w:t xml:space="preserve"> FY2023〜25</w:t>
            </w:r>
          </w:p>
        </w:tc>
        <w:tc>
          <w:tcPr>
            <w:tcBorders>
              <w:bottom w:val="single" w:sz="6" w:color="000000"/>
            </w:tcBorders>
          </w:tcPr>
          <w:p>
            <w:pPr>
              <w:pStyle w:val="Compact"/>
              <w:jc w:val="right"/>
            </w:pPr>
            <w:r>
              <w:rPr>
                <w:rFonts w:hint="eastAsia"/>
                <w:sz w:val="18"/>
              </w:rPr>
              <w:t xml:space="preserve">年月FE</w:t>
            </w:r>
            <w:r>
              <w:rPr>
                <w:sz w:val="18"/>
              </w:rPr>
              <w:t xml:space="preserve"> FY2023〜25</w:t>
            </w:r>
          </w:p>
        </w:tc>
        <w:tc>
          <w:tcPr>
            <w:tcBorders>
              <w:bottom w:val="single" w:sz="6" w:color="000000"/>
            </w:tcBorders>
          </w:tcPr>
          <w:p>
            <w:pPr>
              <w:pStyle w:val="Compact"/>
              <w:jc w:val="right"/>
            </w:pPr>
            <w:r>
              <w:rPr>
                <w:rFonts w:hint="eastAsia"/>
                <w:sz w:val="18"/>
              </w:rPr>
              <w:t xml:space="preserve">年月FE＋価格のラグ</w:t>
            </w:r>
            <w:r>
              <w:rPr>
                <w:sz w:val="18"/>
              </w:rPr>
              <w:t xml:space="preserve"> FY2023〜25</w:t>
            </w:r>
          </w:p>
        </w:tc>
        <w:tc>
          <w:tcPr>
            <w:tcBorders>
              <w:bottom w:val="single" w:sz="6" w:color="000000"/>
            </w:tcBorders>
          </w:tcPr>
          <w:p>
            <w:pPr>
              <w:pStyle w:val="Compact"/>
              <w:jc w:val="right"/>
            </w:pPr>
            <w:r>
              <w:rPr>
                <w:rFonts w:hint="eastAsia"/>
                <w:sz w:val="18"/>
              </w:rPr>
              <w:t xml:space="preserve">主仕様・2021年1月を除く</w:t>
            </w:r>
          </w:p>
        </w:tc>
      </w:tr>
      <w:tr>
        <w:tc>
          <w:tcPr/>
          <w:p>
            <w:pPr>
              <w:pStyle w:val="Compact"/>
            </w:pPr>
            <w:r>
              <w:rPr>
                <w:rFonts w:hint="eastAsia"/>
                <w:sz w:val="18"/>
              </w:rPr>
              <w:t xml:space="preserve">北海道</w:t>
            </w:r>
            <w:r>
              <w:rPr>
                <w:sz w:val="18"/>
              </w:rPr>
              <w:t xml:space="preserve"> </w:t>
            </w:r>
            <w:r>
              <w:rPr>
                <w:rFonts w:hint="eastAsia"/>
                <w:sz w:val="18"/>
              </w:rPr>
              <w:t xml:space="preserve">風力・春</w:t>
            </w:r>
          </w:p>
        </w:tc>
        <w:tc>
          <w:tcPr/>
          <w:p>
            <w:pPr>
              <w:pStyle w:val="Compact"/>
              <w:jc w:val="right"/>
            </w:pPr>
            <w:r>
              <w:rPr>
                <w:sz w:val="18"/>
              </w:rPr>
              <w:t xml:space="preserve">−0.036</w:t>
            </w:r>
          </w:p>
        </w:tc>
        <w:tc>
          <w:tcPr/>
          <w:p>
            <w:pPr>
              <w:pStyle w:val="Compact"/>
              <w:jc w:val="right"/>
            </w:pPr>
            <w:r>
              <w:rPr>
                <w:sz w:val="18"/>
              </w:rPr>
              <w:t xml:space="preserve">+0.034</w:t>
            </w:r>
          </w:p>
        </w:tc>
        <w:tc>
          <w:tcPr/>
          <w:p>
            <w:pPr>
              <w:pStyle w:val="Compact"/>
              <w:jc w:val="right"/>
            </w:pPr>
            <w:r>
              <w:rPr>
                <w:sz w:val="18"/>
              </w:rPr>
              <w:t xml:space="preserve">+0.167***</w:t>
            </w:r>
          </w:p>
        </w:tc>
        <w:tc>
          <w:tcPr/>
          <w:p>
            <w:pPr>
              <w:pStyle w:val="Compact"/>
              <w:jc w:val="right"/>
            </w:pPr>
            <w:r>
              <w:rPr>
                <w:rFonts w:hint="eastAsia"/>
                <w:sz w:val="18"/>
              </w:rPr>
              <w:t xml:space="preserve">+0.084（0.16）</w:t>
            </w:r>
          </w:p>
        </w:tc>
        <w:tc>
          <w:tcPr/>
          <w:p>
            <w:pPr>
              <w:pStyle w:val="Compact"/>
              <w:jc w:val="right"/>
            </w:pPr>
            <w:r>
              <w:rPr>
                <w:rFonts w:hint="eastAsia"/>
                <w:sz w:val="18"/>
              </w:rPr>
              <w:t xml:space="preserve">+0.076（0.14）</w:t>
            </w:r>
          </w:p>
        </w:tc>
        <w:tc>
          <w:tcPr/>
          <w:p>
            <w:pPr>
              <w:pStyle w:val="Compact"/>
              <w:jc w:val="right"/>
            </w:pPr>
            <w:r>
              <w:rPr>
                <w:sz w:val="18"/>
              </w:rPr>
              <w:t xml:space="preserve">+0.099**</w:t>
            </w:r>
          </w:p>
        </w:tc>
        <w:tc>
          <w:tcPr/>
          <w:p>
            <w:pPr>
              <w:pStyle w:val="Compact"/>
              <w:jc w:val="right"/>
            </w:pPr>
            <w:r>
              <w:rPr>
                <w:sz w:val="18"/>
              </w:rPr>
              <w:t xml:space="preserve">−0.026</w:t>
            </w:r>
          </w:p>
        </w:tc>
      </w:tr>
      <w:tr>
        <w:tc>
          <w:tcPr/>
          <w:p>
            <w:pPr>
              <w:pStyle w:val="Compact"/>
            </w:pPr>
            <w:r>
              <w:rPr>
                <w:rFonts w:hint="eastAsia"/>
                <w:sz w:val="18"/>
              </w:rPr>
              <w:t xml:space="preserve">北海道</w:t>
            </w:r>
            <w:r>
              <w:rPr>
                <w:sz w:val="18"/>
              </w:rPr>
              <w:t xml:space="preserve"> </w:t>
            </w:r>
            <w:r>
              <w:rPr>
                <w:rFonts w:hint="eastAsia"/>
                <w:sz w:val="18"/>
              </w:rPr>
              <w:t xml:space="preserve">風力・夏</w:t>
            </w:r>
          </w:p>
        </w:tc>
        <w:tc>
          <w:tcPr/>
          <w:p>
            <w:pPr>
              <w:pStyle w:val="Compact"/>
              <w:jc w:val="right"/>
            </w:pPr>
            <w:r>
              <w:rPr>
                <w:sz w:val="18"/>
              </w:rPr>
              <w:t xml:space="preserve">−0.141</w:t>
            </w:r>
          </w:p>
        </w:tc>
        <w:tc>
          <w:tcPr/>
          <w:p>
            <w:pPr>
              <w:pStyle w:val="Compact"/>
              <w:jc w:val="right"/>
            </w:pPr>
            <w:r>
              <w:rPr>
                <w:sz w:val="18"/>
              </w:rPr>
              <w:t xml:space="preserve">−0.076</w:t>
            </w:r>
          </w:p>
        </w:tc>
        <w:tc>
          <w:tcPr/>
          <w:p>
            <w:pPr>
              <w:pStyle w:val="Compact"/>
              <w:jc w:val="right"/>
            </w:pPr>
            <w:r>
              <w:rPr>
                <w:sz w:val="18"/>
              </w:rPr>
              <w:t xml:space="preserve">−0.031</w:t>
            </w:r>
          </w:p>
        </w:tc>
        <w:tc>
          <w:tcPr/>
          <w:p>
            <w:pPr>
              <w:pStyle w:val="Compact"/>
              <w:jc w:val="right"/>
            </w:pPr>
            <w:r>
              <w:rPr>
                <w:sz w:val="18"/>
              </w:rPr>
              <w:t xml:space="preserve">+0.089</w:t>
            </w:r>
          </w:p>
        </w:tc>
        <w:tc>
          <w:tcPr/>
          <w:p>
            <w:pPr>
              <w:pStyle w:val="Compact"/>
              <w:jc w:val="right"/>
            </w:pPr>
            <w:r>
              <w:rPr>
                <w:sz w:val="18"/>
              </w:rPr>
              <w:t xml:space="preserve">+0.053</w:t>
            </w:r>
          </w:p>
        </w:tc>
        <w:tc>
          <w:tcPr/>
          <w:p>
            <w:pPr>
              <w:pStyle w:val="Compact"/>
              <w:jc w:val="right"/>
            </w:pPr>
            <w:r>
              <w:rPr>
                <w:sz w:val="18"/>
              </w:rPr>
              <w:t xml:space="preserve">+0.089</w:t>
            </w:r>
          </w:p>
        </w:tc>
        <w:tc>
          <w:tcPr/>
          <w:p>
            <w:pPr>
              <w:pStyle w:val="Compact"/>
              <w:jc w:val="right"/>
            </w:pPr>
            <w:r>
              <w:rPr>
                <w:sz w:val="18"/>
              </w:rPr>
              <w:t xml:space="preserve">−0.146</w:t>
            </w:r>
          </w:p>
        </w:tc>
      </w:tr>
      <w:tr>
        <w:tc>
          <w:tcPr/>
          <w:p>
            <w:pPr>
              <w:pStyle w:val="Compact"/>
            </w:pPr>
            <w:r>
              <w:rPr>
                <w:rFonts w:hint="eastAsia"/>
                <w:sz w:val="18"/>
              </w:rPr>
              <w:t xml:space="preserve">北海道</w:t>
            </w:r>
            <w:r>
              <w:rPr>
                <w:sz w:val="18"/>
              </w:rPr>
              <w:t xml:space="preserve"> </w:t>
            </w:r>
            <w:r>
              <w:rPr>
                <w:rFonts w:hint="eastAsia"/>
                <w:sz w:val="18"/>
              </w:rPr>
              <w:t xml:space="preserve">風力・秋</w:t>
            </w:r>
          </w:p>
        </w:tc>
        <w:tc>
          <w:tcPr/>
          <w:p>
            <w:pPr>
              <w:pStyle w:val="Compact"/>
              <w:jc w:val="right"/>
            </w:pPr>
            <w:r>
              <w:rPr>
                <w:sz w:val="18"/>
              </w:rPr>
              <w:t xml:space="preserve">−0.143</w:t>
            </w:r>
          </w:p>
        </w:tc>
        <w:tc>
          <w:tcPr/>
          <w:p>
            <w:pPr>
              <w:pStyle w:val="Compact"/>
              <w:jc w:val="right"/>
            </w:pPr>
            <w:r>
              <w:rPr>
                <w:sz w:val="18"/>
              </w:rPr>
              <w:t xml:space="preserve">−0.127</w:t>
            </w:r>
          </w:p>
        </w:tc>
        <w:tc>
          <w:tcPr/>
          <w:p>
            <w:pPr>
              <w:pStyle w:val="Compact"/>
              <w:jc w:val="right"/>
            </w:pPr>
            <w:r>
              <w:rPr>
                <w:sz w:val="18"/>
              </w:rPr>
              <w:t xml:space="preserve">−0.079</w:t>
            </w:r>
          </w:p>
        </w:tc>
        <w:tc>
          <w:tcPr/>
          <w:p>
            <w:pPr>
              <w:pStyle w:val="Compact"/>
              <w:jc w:val="right"/>
            </w:pPr>
            <w:r>
              <w:rPr>
                <w:rFonts w:hint="eastAsia"/>
                <w:sz w:val="18"/>
              </w:rPr>
              <w:t xml:space="preserve">−0.204（0.17）</w:t>
            </w:r>
          </w:p>
        </w:tc>
        <w:tc>
          <w:tcPr/>
          <w:p>
            <w:pPr>
              <w:pStyle w:val="Compact"/>
              <w:jc w:val="right"/>
            </w:pPr>
            <w:r>
              <w:rPr>
                <w:sz w:val="18"/>
              </w:rPr>
              <w:t xml:space="preserve">−0.165</w:t>
            </w:r>
          </w:p>
        </w:tc>
        <w:tc>
          <w:tcPr/>
          <w:p>
            <w:pPr>
              <w:pStyle w:val="Compact"/>
              <w:jc w:val="right"/>
            </w:pPr>
            <w:r>
              <w:rPr>
                <w:sz w:val="18"/>
              </w:rPr>
              <w:t xml:space="preserve">−0.135</w:t>
            </w:r>
          </w:p>
        </w:tc>
        <w:tc>
          <w:tcPr/>
          <w:p>
            <w:pPr>
              <w:pStyle w:val="Compact"/>
              <w:jc w:val="right"/>
            </w:pPr>
            <w:r>
              <w:rPr>
                <w:sz w:val="18"/>
              </w:rPr>
              <w:t xml:space="preserve">−0.134</w:t>
            </w:r>
          </w:p>
        </w:tc>
      </w:tr>
      <w:tr>
        <w:tc>
          <w:tcPr/>
          <w:p>
            <w:pPr>
              <w:pStyle w:val="Compact"/>
            </w:pPr>
            <w:r>
              <w:rPr>
                <w:rFonts w:hint="eastAsia"/>
                <w:sz w:val="18"/>
              </w:rPr>
              <w:t xml:space="preserve">北海道</w:t>
            </w:r>
            <w:r>
              <w:rPr>
                <w:sz w:val="18"/>
              </w:rPr>
              <w:t xml:space="preserve"> </w:t>
            </w:r>
            <w:r>
              <w:rPr>
                <w:rFonts w:hint="eastAsia"/>
                <w:sz w:val="18"/>
              </w:rPr>
              <w:t xml:space="preserve">風力・冬</w:t>
            </w:r>
          </w:p>
        </w:tc>
        <w:tc>
          <w:tcPr/>
          <w:p>
            <w:pPr>
              <w:pStyle w:val="Compact"/>
              <w:jc w:val="right"/>
            </w:pPr>
            <w:r>
              <w:rPr>
                <w:rFonts w:hint="eastAsia"/>
                <w:sz w:val="18"/>
              </w:rPr>
              <w:t xml:space="preserve">−0.351**（0.10）</w:t>
            </w:r>
          </w:p>
        </w:tc>
        <w:tc>
          <w:tcPr/>
          <w:p>
            <w:pPr>
              <w:pStyle w:val="Compact"/>
              <w:jc w:val="right"/>
            </w:pPr>
            <w:r>
              <w:rPr>
                <w:rFonts w:hint="eastAsia"/>
                <w:sz w:val="18"/>
              </w:rPr>
              <w:t xml:space="preserve">−0.181**（0.08）</w:t>
            </w:r>
          </w:p>
        </w:tc>
        <w:tc>
          <w:tcPr/>
          <w:p>
            <w:pPr>
              <w:pStyle w:val="Compact"/>
              <w:jc w:val="right"/>
            </w:pPr>
            <w:r>
              <w:rPr>
                <w:sz w:val="18"/>
              </w:rPr>
              <w:t xml:space="preserve">−0.087</w:t>
            </w:r>
          </w:p>
        </w:tc>
        <w:tc>
          <w:tcPr/>
          <w:p>
            <w:pPr>
              <w:pStyle w:val="Compact"/>
              <w:jc w:val="right"/>
            </w:pPr>
            <w:r>
              <w:rPr>
                <w:sz w:val="18"/>
              </w:rPr>
              <w:t xml:space="preserve">−0.112</w:t>
            </w:r>
          </w:p>
        </w:tc>
        <w:tc>
          <w:tcPr/>
          <w:p>
            <w:pPr>
              <w:pStyle w:val="Compact"/>
              <w:jc w:val="right"/>
            </w:pPr>
            <w:r>
              <w:rPr>
                <w:sz w:val="18"/>
              </w:rPr>
              <w:t xml:space="preserve">−0.154</w:t>
            </w:r>
          </w:p>
        </w:tc>
        <w:tc>
          <w:tcPr/>
          <w:p>
            <w:pPr>
              <w:pStyle w:val="Compact"/>
              <w:jc w:val="right"/>
            </w:pPr>
            <w:r>
              <w:rPr>
                <w:sz w:val="18"/>
              </w:rPr>
              <w:t xml:space="preserve">−0.123</w:t>
            </w:r>
          </w:p>
        </w:tc>
        <w:tc>
          <w:tcPr/>
          <w:p>
            <w:pPr>
              <w:pStyle w:val="Compact"/>
              <w:jc w:val="right"/>
            </w:pPr>
            <w:r>
              <w:rPr>
                <w:sz w:val="18"/>
              </w:rPr>
              <w:t xml:space="preserve">−0.219*</w:t>
            </w:r>
          </w:p>
        </w:tc>
      </w:tr>
      <w:tr>
        <w:tc>
          <w:tcPr/>
          <w:p>
            <w:pPr>
              <w:pStyle w:val="Compact"/>
            </w:pPr>
            <w:r>
              <w:rPr>
                <w:rFonts w:hint="eastAsia"/>
                <w:sz w:val="18"/>
              </w:rPr>
              <w:t xml:space="preserve">北海道</w:t>
            </w:r>
            <w:r>
              <w:rPr>
                <w:sz w:val="18"/>
              </w:rPr>
              <w:t xml:space="preserve"> </w:t>
            </w:r>
            <w:r>
              <w:rPr>
                <w:rFonts w:hint="eastAsia"/>
                <w:sz w:val="18"/>
              </w:rPr>
              <w:t xml:space="preserve">太陽光・春</w:t>
            </w:r>
          </w:p>
        </w:tc>
        <w:tc>
          <w:tcPr/>
          <w:p>
            <w:pPr>
              <w:pStyle w:val="Compact"/>
              <w:jc w:val="right"/>
            </w:pPr>
            <w:r>
              <w:rPr>
                <w:sz w:val="18"/>
              </w:rPr>
              <w:t xml:space="preserve">+0.280*</w:t>
            </w:r>
          </w:p>
        </w:tc>
        <w:tc>
          <w:tcPr/>
          <w:p>
            <w:pPr>
              <w:pStyle w:val="Compact"/>
              <w:jc w:val="right"/>
            </w:pPr>
            <w:r>
              <w:rPr>
                <w:sz w:val="18"/>
              </w:rPr>
              <w:t xml:space="preserve">+0.422***</w:t>
            </w:r>
          </w:p>
        </w:tc>
        <w:tc>
          <w:tcPr/>
          <w:p>
            <w:pPr>
              <w:pStyle w:val="Compact"/>
              <w:jc w:val="right"/>
            </w:pPr>
            <w:r>
              <w:rPr>
                <w:sz w:val="18"/>
              </w:rPr>
              <w:t xml:space="preserve">+0.439***</w:t>
            </w:r>
          </w:p>
        </w:tc>
        <w:tc>
          <w:tcPr/>
          <w:p>
            <w:pPr>
              <w:pStyle w:val="Compact"/>
              <w:jc w:val="right"/>
            </w:pPr>
            <w:r>
              <w:rPr>
                <w:sz w:val="18"/>
              </w:rPr>
              <w:t xml:space="preserve">+0.461***</w:t>
            </w:r>
          </w:p>
        </w:tc>
        <w:tc>
          <w:tcPr/>
          <w:p>
            <w:pPr>
              <w:pStyle w:val="Compact"/>
              <w:jc w:val="right"/>
            </w:pPr>
            <w:r>
              <w:rPr>
                <w:sz w:val="18"/>
              </w:rPr>
              <w:t xml:space="preserve">+0.481***</w:t>
            </w:r>
          </w:p>
        </w:tc>
        <w:tc>
          <w:tcPr/>
          <w:p>
            <w:pPr>
              <w:pStyle w:val="Compact"/>
              <w:jc w:val="right"/>
            </w:pPr>
            <w:r>
              <w:rPr>
                <w:sz w:val="18"/>
              </w:rPr>
              <w:t xml:space="preserve">+0.466***</w:t>
            </w:r>
          </w:p>
        </w:tc>
        <w:tc>
          <w:tcPr/>
          <w:p>
            <w:pPr>
              <w:pStyle w:val="Compact"/>
              <w:jc w:val="right"/>
            </w:pPr>
            <w:r>
              <w:rPr>
                <w:sz w:val="18"/>
              </w:rPr>
              <w:t xml:space="preserve">+0.291**</w:t>
            </w:r>
          </w:p>
        </w:tc>
      </w:tr>
      <w:tr>
        <w:tc>
          <w:tcPr/>
          <w:p>
            <w:pPr>
              <w:pStyle w:val="Compact"/>
            </w:pPr>
            <w:r>
              <w:rPr>
                <w:rFonts w:hint="eastAsia"/>
                <w:sz w:val="18"/>
              </w:rPr>
              <w:t xml:space="preserve">北海道</w:t>
            </w:r>
            <w:r>
              <w:rPr>
                <w:sz w:val="18"/>
              </w:rPr>
              <w:t xml:space="preserve"> </w:t>
            </w:r>
            <w:r>
              <w:rPr>
                <w:rFonts w:hint="eastAsia"/>
                <w:sz w:val="18"/>
              </w:rPr>
              <w:t xml:space="preserve">太陽光・夏</w:t>
            </w:r>
          </w:p>
        </w:tc>
        <w:tc>
          <w:tcPr/>
          <w:p>
            <w:pPr>
              <w:pStyle w:val="Compact"/>
              <w:jc w:val="right"/>
            </w:pPr>
            <w:r>
              <w:rPr>
                <w:sz w:val="18"/>
              </w:rPr>
              <w:t xml:space="preserve">+0.050</w:t>
            </w:r>
          </w:p>
        </w:tc>
        <w:tc>
          <w:tcPr/>
          <w:p>
            <w:pPr>
              <w:pStyle w:val="Compact"/>
              <w:jc w:val="right"/>
            </w:pPr>
            <w:r>
              <w:rPr>
                <w:sz w:val="18"/>
              </w:rPr>
              <w:t xml:space="preserve">+0.210**</w:t>
            </w:r>
          </w:p>
        </w:tc>
        <w:tc>
          <w:tcPr/>
          <w:p>
            <w:pPr>
              <w:pStyle w:val="Compact"/>
              <w:jc w:val="right"/>
            </w:pPr>
            <w:r>
              <w:rPr>
                <w:sz w:val="18"/>
              </w:rPr>
              <w:t xml:space="preserve">+0.311***</w:t>
            </w:r>
          </w:p>
        </w:tc>
        <w:tc>
          <w:tcPr/>
          <w:p>
            <w:pPr>
              <w:pStyle w:val="Compact"/>
              <w:jc w:val="right"/>
            </w:pPr>
            <w:r>
              <w:rPr>
                <w:sz w:val="18"/>
              </w:rPr>
              <w:t xml:space="preserve">+0.296***</w:t>
            </w:r>
          </w:p>
        </w:tc>
        <w:tc>
          <w:tcPr/>
          <w:p>
            <w:pPr>
              <w:pStyle w:val="Compact"/>
              <w:jc w:val="right"/>
            </w:pPr>
            <w:r>
              <w:rPr>
                <w:sz w:val="18"/>
              </w:rPr>
              <w:t xml:space="preserve">+0.238**</w:t>
            </w:r>
          </w:p>
        </w:tc>
        <w:tc>
          <w:tcPr/>
          <w:p>
            <w:pPr>
              <w:pStyle w:val="Compact"/>
              <w:jc w:val="right"/>
            </w:pPr>
            <w:r>
              <w:rPr>
                <w:sz w:val="18"/>
              </w:rPr>
              <w:t xml:space="preserve">+0.267***</w:t>
            </w:r>
          </w:p>
        </w:tc>
        <w:tc>
          <w:tcPr/>
          <w:p>
            <w:pPr>
              <w:pStyle w:val="Compact"/>
              <w:jc w:val="right"/>
            </w:pPr>
            <w:r>
              <w:rPr>
                <w:sz w:val="18"/>
              </w:rPr>
              <w:t xml:space="preserve">+0.130</w:t>
            </w:r>
          </w:p>
        </w:tc>
      </w:tr>
      <w:tr>
        <w:tc>
          <w:tcPr/>
          <w:p>
            <w:pPr>
              <w:pStyle w:val="Compact"/>
            </w:pPr>
            <w:r>
              <w:rPr>
                <w:rFonts w:hint="eastAsia"/>
                <w:sz w:val="18"/>
              </w:rPr>
              <w:t xml:space="preserve">北海道</w:t>
            </w:r>
            <w:r>
              <w:rPr>
                <w:sz w:val="18"/>
              </w:rPr>
              <w:t xml:space="preserve"> </w:t>
            </w:r>
            <w:r>
              <w:rPr>
                <w:rFonts w:hint="eastAsia"/>
                <w:sz w:val="18"/>
              </w:rPr>
              <w:t xml:space="preserve">太陽光・秋</w:t>
            </w:r>
          </w:p>
        </w:tc>
        <w:tc>
          <w:tcPr/>
          <w:p>
            <w:pPr>
              <w:pStyle w:val="Compact"/>
              <w:jc w:val="right"/>
            </w:pPr>
            <w:r>
              <w:rPr>
                <w:sz w:val="18"/>
              </w:rPr>
              <w:t xml:space="preserve">+0.394</w:t>
            </w:r>
          </w:p>
        </w:tc>
        <w:tc>
          <w:tcPr/>
          <w:p>
            <w:pPr>
              <w:pStyle w:val="Compact"/>
              <w:jc w:val="right"/>
            </w:pPr>
            <w:r>
              <w:rPr>
                <w:sz w:val="18"/>
              </w:rPr>
              <w:t xml:space="preserve">+0.266*</w:t>
            </w:r>
          </w:p>
        </w:tc>
        <w:tc>
          <w:tcPr/>
          <w:p>
            <w:pPr>
              <w:pStyle w:val="Compact"/>
              <w:jc w:val="right"/>
            </w:pPr>
            <w:r>
              <w:rPr>
                <w:sz w:val="18"/>
              </w:rPr>
              <w:t xml:space="preserve">+0.288*</w:t>
            </w:r>
          </w:p>
        </w:tc>
        <w:tc>
          <w:tcPr/>
          <w:p>
            <w:pPr>
              <w:pStyle w:val="Compact"/>
              <w:jc w:val="right"/>
            </w:pPr>
            <w:r>
              <w:rPr>
                <w:sz w:val="18"/>
              </w:rPr>
              <w:t xml:space="preserve">+0.480***</w:t>
            </w:r>
          </w:p>
        </w:tc>
        <w:tc>
          <w:tcPr/>
          <w:p>
            <w:pPr>
              <w:pStyle w:val="Compact"/>
              <w:jc w:val="right"/>
            </w:pPr>
            <w:r>
              <w:rPr>
                <w:sz w:val="18"/>
              </w:rPr>
              <w:t xml:space="preserve">+0.418***</w:t>
            </w:r>
          </w:p>
        </w:tc>
        <w:tc>
          <w:tcPr/>
          <w:p>
            <w:pPr>
              <w:pStyle w:val="Compact"/>
              <w:jc w:val="right"/>
            </w:pPr>
            <w:r>
              <w:rPr>
                <w:sz w:val="18"/>
              </w:rPr>
              <w:t xml:space="preserve">+0.461***</w:t>
            </w:r>
          </w:p>
        </w:tc>
        <w:tc>
          <w:tcPr/>
          <w:p>
            <w:pPr>
              <w:pStyle w:val="Compact"/>
              <w:jc w:val="right"/>
            </w:pPr>
            <w:r>
              <w:rPr>
                <w:sz w:val="18"/>
              </w:rPr>
              <w:t xml:space="preserve">+0.392*</w:t>
            </w:r>
          </w:p>
        </w:tc>
      </w:tr>
      <w:tr>
        <w:tc>
          <w:tcPr/>
          <w:p>
            <w:pPr>
              <w:pStyle w:val="Compact"/>
            </w:pPr>
            <w:r>
              <w:rPr>
                <w:rFonts w:hint="eastAsia"/>
                <w:sz w:val="18"/>
              </w:rPr>
              <w:t xml:space="preserve">北海道</w:t>
            </w:r>
            <w:r>
              <w:rPr>
                <w:sz w:val="18"/>
              </w:rPr>
              <w:t xml:space="preserve"> </w:t>
            </w:r>
            <w:r>
              <w:rPr>
                <w:rFonts w:hint="eastAsia"/>
                <w:sz w:val="18"/>
              </w:rPr>
              <w:t xml:space="preserve">太陽光・冬</w:t>
            </w:r>
          </w:p>
        </w:tc>
        <w:tc>
          <w:tcPr/>
          <w:p>
            <w:pPr>
              <w:pStyle w:val="Compact"/>
              <w:jc w:val="right"/>
            </w:pPr>
            <w:r>
              <w:rPr>
                <w:sz w:val="18"/>
              </w:rPr>
              <w:t xml:space="preserve">−0.782*</w:t>
            </w:r>
          </w:p>
        </w:tc>
        <w:tc>
          <w:tcPr/>
          <w:p>
            <w:pPr>
              <w:pStyle w:val="Compact"/>
              <w:jc w:val="right"/>
            </w:pPr>
            <w:r>
              <w:rPr>
                <w:sz w:val="18"/>
              </w:rPr>
              <w:t xml:space="preserve">+0.372</w:t>
            </w:r>
          </w:p>
        </w:tc>
        <w:tc>
          <w:tcPr/>
          <w:p>
            <w:pPr>
              <w:pStyle w:val="Compact"/>
              <w:jc w:val="right"/>
            </w:pPr>
            <w:r>
              <w:rPr>
                <w:sz w:val="18"/>
              </w:rPr>
              <w:t xml:space="preserve">+0.596**</w:t>
            </w:r>
          </w:p>
        </w:tc>
        <w:tc>
          <w:tcPr/>
          <w:p>
            <w:pPr>
              <w:pStyle w:val="Compact"/>
              <w:jc w:val="right"/>
            </w:pPr>
            <w:r>
              <w:rPr>
                <w:sz w:val="18"/>
              </w:rPr>
              <w:t xml:space="preserve">+0.051</w:t>
            </w:r>
          </w:p>
        </w:tc>
        <w:tc>
          <w:tcPr/>
          <w:p>
            <w:pPr>
              <w:pStyle w:val="Compact"/>
              <w:jc w:val="right"/>
            </w:pPr>
            <w:r>
              <w:rPr>
                <w:sz w:val="18"/>
              </w:rPr>
              <w:t xml:space="preserve">+0.189</w:t>
            </w:r>
          </w:p>
        </w:tc>
        <w:tc>
          <w:tcPr/>
          <w:p>
            <w:pPr>
              <w:pStyle w:val="Compact"/>
              <w:jc w:val="right"/>
            </w:pPr>
            <w:r>
              <w:rPr>
                <w:sz w:val="18"/>
              </w:rPr>
              <w:t xml:space="preserve">+0.229</w:t>
            </w:r>
          </w:p>
        </w:tc>
        <w:tc>
          <w:tcPr/>
          <w:p>
            <w:pPr>
              <w:pStyle w:val="Compact"/>
              <w:jc w:val="right"/>
            </w:pPr>
            <w:r>
              <w:rPr>
                <w:sz w:val="18"/>
              </w:rPr>
              <w:t xml:space="preserve">−0.564**</w:t>
            </w:r>
          </w:p>
        </w:tc>
      </w:tr>
      <w:tr>
        <w:tc>
          <w:tcPr/>
          <w:p>
            <w:pPr>
              <w:pStyle w:val="Compact"/>
            </w:pPr>
            <w:r>
              <w:rPr>
                <w:rFonts w:hint="eastAsia"/>
                <w:sz w:val="18"/>
              </w:rPr>
              <w:t xml:space="preserve">九州</w:t>
            </w:r>
            <w:r>
              <w:rPr>
                <w:sz w:val="18"/>
              </w:rPr>
              <w:t xml:space="preserve"> </w:t>
            </w:r>
            <w:r>
              <w:rPr>
                <w:rFonts w:hint="eastAsia"/>
                <w:sz w:val="18"/>
              </w:rPr>
              <w:t xml:space="preserve">風力・春</w:t>
            </w:r>
          </w:p>
        </w:tc>
        <w:tc>
          <w:tcPr/>
          <w:p>
            <w:pPr>
              <w:pStyle w:val="Compact"/>
              <w:jc w:val="right"/>
            </w:pPr>
            <w:r>
              <w:rPr>
                <w:sz w:val="18"/>
              </w:rPr>
              <w:t xml:space="preserve">+0.351*</w:t>
            </w:r>
          </w:p>
        </w:tc>
        <w:tc>
          <w:tcPr/>
          <w:p>
            <w:pPr>
              <w:pStyle w:val="Compact"/>
              <w:jc w:val="right"/>
            </w:pPr>
            <w:r>
              <w:rPr>
                <w:sz w:val="18"/>
              </w:rPr>
              <w:t xml:space="preserve">+0.081</w:t>
            </w:r>
          </w:p>
        </w:tc>
        <w:tc>
          <w:tcPr/>
          <w:p>
            <w:pPr>
              <w:pStyle w:val="Compact"/>
              <w:jc w:val="right"/>
            </w:pPr>
            <w:r>
              <w:rPr>
                <w:sz w:val="18"/>
              </w:rPr>
              <w:t xml:space="preserve">+0.058</w:t>
            </w:r>
          </w:p>
        </w:tc>
        <w:tc>
          <w:tcPr/>
          <w:p>
            <w:pPr>
              <w:pStyle w:val="Compact"/>
              <w:jc w:val="right"/>
            </w:pPr>
            <w:r>
              <w:rPr>
                <w:rFonts w:hint="eastAsia"/>
                <w:sz w:val="18"/>
              </w:rPr>
              <w:t xml:space="preserve">+0.277**（0.036）</w:t>
            </w:r>
          </w:p>
        </w:tc>
        <w:tc>
          <w:tcPr/>
          <w:p>
            <w:pPr>
              <w:pStyle w:val="Compact"/>
              <w:jc w:val="right"/>
            </w:pPr>
            <w:r>
              <w:rPr>
                <w:sz w:val="18"/>
              </w:rPr>
              <w:t xml:space="preserve">−0.049</w:t>
            </w:r>
          </w:p>
        </w:tc>
        <w:tc>
          <w:tcPr/>
          <w:p>
            <w:pPr>
              <w:pStyle w:val="Compact"/>
              <w:jc w:val="right"/>
            </w:pPr>
            <w:r>
              <w:rPr>
                <w:sz w:val="18"/>
              </w:rPr>
              <w:t xml:space="preserve">−0.020</w:t>
            </w:r>
          </w:p>
        </w:tc>
        <w:tc>
          <w:tcPr/>
          <w:p>
            <w:pPr>
              <w:pStyle w:val="Compact"/>
              <w:jc w:val="right"/>
            </w:pPr>
            <w:r>
              <w:rPr>
                <w:sz w:val="18"/>
              </w:rPr>
              <w:t xml:space="preserve">+0.453***</w:t>
            </w:r>
          </w:p>
        </w:tc>
      </w:tr>
      <w:tr>
        <w:tc>
          <w:tcPr/>
          <w:p>
            <w:pPr>
              <w:pStyle w:val="Compact"/>
            </w:pPr>
            <w:r>
              <w:rPr>
                <w:rFonts w:hint="eastAsia"/>
                <w:sz w:val="18"/>
              </w:rPr>
              <w:t xml:space="preserve">九州</w:t>
            </w:r>
            <w:r>
              <w:rPr>
                <w:sz w:val="18"/>
              </w:rPr>
              <w:t xml:space="preserve"> </w:t>
            </w:r>
            <w:r>
              <w:rPr>
                <w:rFonts w:hint="eastAsia"/>
                <w:sz w:val="18"/>
              </w:rPr>
              <w:t xml:space="preserve">風力・秋</w:t>
            </w:r>
          </w:p>
        </w:tc>
        <w:tc>
          <w:tcPr/>
          <w:p>
            <w:pPr>
              <w:pStyle w:val="Compact"/>
              <w:jc w:val="right"/>
            </w:pPr>
            <w:r>
              <w:rPr>
                <w:sz w:val="18"/>
              </w:rPr>
              <w:t xml:space="preserve">+0.035</w:t>
            </w:r>
          </w:p>
        </w:tc>
        <w:tc>
          <w:tcPr/>
          <w:p>
            <w:pPr>
              <w:pStyle w:val="Compact"/>
              <w:jc w:val="right"/>
            </w:pPr>
            <w:r>
              <w:rPr>
                <w:sz w:val="18"/>
              </w:rPr>
              <w:t xml:space="preserve">−0.244</w:t>
            </w:r>
          </w:p>
        </w:tc>
        <w:tc>
          <w:tcPr/>
          <w:p>
            <w:pPr>
              <w:pStyle w:val="Compact"/>
              <w:jc w:val="right"/>
            </w:pPr>
            <w:r>
              <w:rPr>
                <w:sz w:val="18"/>
              </w:rPr>
              <w:t xml:space="preserve">−0.462***</w:t>
            </w:r>
          </w:p>
        </w:tc>
        <w:tc>
          <w:tcPr/>
          <w:p>
            <w:pPr>
              <w:pStyle w:val="Compact"/>
              <w:jc w:val="right"/>
            </w:pPr>
            <w:r>
              <w:rPr>
                <w:sz w:val="18"/>
              </w:rPr>
              <w:t xml:space="preserve">−0.145</w:t>
            </w:r>
          </w:p>
        </w:tc>
        <w:tc>
          <w:tcPr/>
          <w:p>
            <w:pPr>
              <w:pStyle w:val="Compact"/>
              <w:jc w:val="right"/>
            </w:pPr>
            <w:r>
              <w:rPr>
                <w:sz w:val="18"/>
              </w:rPr>
              <w:t xml:space="preserve">−0.182</w:t>
            </w:r>
          </w:p>
        </w:tc>
        <w:tc>
          <w:tcPr/>
          <w:p>
            <w:pPr>
              <w:pStyle w:val="Compact"/>
              <w:jc w:val="right"/>
            </w:pPr>
            <w:r>
              <w:rPr>
                <w:sz w:val="18"/>
              </w:rPr>
              <w:t xml:space="preserve">−0.305***</w:t>
            </w:r>
          </w:p>
        </w:tc>
        <w:tc>
          <w:tcPr/>
          <w:p>
            <w:pPr>
              <w:pStyle w:val="Compact"/>
              <w:jc w:val="right"/>
            </w:pPr>
            <w:r>
              <w:rPr>
                <w:sz w:val="18"/>
              </w:rPr>
              <w:t xml:space="preserve">+0.078</w:t>
            </w:r>
          </w:p>
        </w:tc>
      </w:tr>
    </w:tbl>
    <w:p>
      <w:pPr>
        <w:pStyle w:val="TableNote"/>
      </w:pPr>
      <w:r>
        <w:rPr>
          <w:rFonts w:hint="eastAsia"/>
        </w:rPr>
        <w:t xml:space="preserve">注）単位は円/kWh</w:t>
      </w:r>
      <w:r>
        <w:t xml:space="preserve"> per </w:t>
      </w:r>
      <w:r>
        <w:rPr>
          <w:rFonts w:hint="eastAsia"/>
        </w:rPr>
        <w:t xml:space="preserve">GWh/日。春は3〜6月、夏は7〜9月、秋は10〜11月、冬は12〜2月。3季節の区分の不需要期を春と秋に分けた仕様で、冬は3季節の冬と同じ月だが、需要・固定効果という共通の係数を通じて値がわずかに変わる。括弧内はふるいブートストラップの補正</w:t>
      </w:r>
      <w:r>
        <w:t xml:space="preserve"> p </w:t>
      </w:r>
      <w:r>
        <w:rPr>
          <w:rFonts w:hint="eastAsia"/>
        </w:rPr>
        <w:t xml:space="preserve">値（本文で参照するセルにだけ付す）。年月FE＋価格のラグの仕様はラグ価格が誤差と相関しうるので、補正</w:t>
      </w:r>
      <w:r>
        <w:t xml:space="preserve"> p </w:t>
      </w:r>
      <w:r>
        <w:rPr>
          <w:rFonts w:hint="eastAsia"/>
        </w:rPr>
        <w:t xml:space="preserve">値を出さない。九州の太陽光は、夏の主仕様（−0.010）を除き全列で正で、春・秋・冬はどの列も1%水準で有意、夏は主仕様・年月FE</w:t>
      </w:r>
      <w:r>
        <w:t xml:space="preserve"> </w:t>
      </w:r>
      <w:r>
        <w:rPr>
          <w:rFonts w:hint="eastAsia"/>
        </w:rPr>
        <w:t xml:space="preserve">と2021年1月を除く主仕様で有意でない。星は</w:t>
      </w:r>
      <w:r>
        <w:t xml:space="preserve"> EWC </w:t>
      </w:r>
      <w:r>
        <w:rPr>
          <w:rFonts w:hint="eastAsia"/>
        </w:rPr>
        <w:t xml:space="preserve">により（FY2023〜25</w:t>
      </w:r>
      <w:r>
        <w:t xml:space="preserve"> は</w:t>
      </w:r>
      <w:r>
        <w:t xml:space="preserve"> </w:t>
      </w:r>
      <m:oMath>
        <m:r>
          <m:t>ν</m:t>
        </m:r>
        <m:r>
          <m:rPr>
            <m:sty m:val="p"/>
          </m:rPr>
          <m:t>=</m:t>
        </m:r>
        <m:r>
          <m:t>42</m:t>
        </m:r>
      </m:oMath>
      <w:r>
        <w:rPr>
          <w:rFonts w:hint="eastAsia"/>
        </w:rPr>
        <w:t xml:space="preserve">、他は</w:t>
      </w:r>
      <w:r>
        <w:t xml:space="preserve"> </w:t>
      </w:r>
      <m:oMath>
        <m:r>
          <m:t>ν</m:t>
        </m:r>
        <m:r>
          <m:rPr>
            <m:sty m:val="p"/>
          </m:rPr>
          <m:t>=</m:t>
        </m:r>
        <m:r>
          <m:t>94</m:t>
        </m:r>
      </m:oMath>
      <w:r>
        <w:rPr>
          <w:rFonts w:hint="eastAsia"/>
        </w:rPr>
        <w:t xml:space="preserve">）、記号は表5.2</w:t>
      </w:r>
      <w:r>
        <w:t xml:space="preserve"> </w:t>
      </w:r>
      <w:r>
        <w:rPr>
          <w:rFonts w:hint="eastAsia"/>
        </w:rPr>
        <w:t xml:space="preserve">と同じ。</w:t>
      </w:r>
    </w:p>
    <w:p>
      <w:pPr>
        <w:pStyle w:val="TableNote"/>
      </w:pPr>
      <w:r>
        <w:rPr>
          <w:rFonts w:hint="eastAsia"/>
        </w:rPr>
        <w:t xml:space="preserve">出所）表5.2</w:t>
      </w:r>
      <w:r>
        <w:t xml:space="preserve"> </w:t>
      </w:r>
      <w:r>
        <w:rPr>
          <w:rFonts w:hint="eastAsia"/>
        </w:rPr>
        <w:t xml:space="preserve">と同じ。</w:t>
      </w:r>
    </w:p>
    <w:bookmarkEnd w:id="363"/>
    <w:bookmarkEnd w:id="364"/>
    <w:bookmarkStart w:id="372" w:name="c.2-蓄電池のスポット裁定価値第6章"/>
    <w:p>
      <w:pPr>
        <w:pStyle w:val="Heading2"/>
      </w:pPr>
      <w:r>
        <w:t xml:space="preserve">C.2　</w:t>
      </w:r>
      <w:r>
        <w:rPr>
          <w:rFonts w:hint="eastAsia"/>
        </w:rPr>
        <w:t xml:space="preserve">蓄電池のスポット裁定価値（第6章）</w:t>
      </w:r>
    </w:p>
    <w:p>
      <w:pPr>
        <w:pStyle w:val="FirstParagraph"/>
      </w:pPr>
      <w:r>
        <w:rPr>
          <w:rFonts w:hint="eastAsia"/>
        </w:rPr>
        <w:t xml:space="preserve">本節は、第6章の本文で要約した確認の詳細と検定の全結果を、本文の節の順に示す。付録C.2.1</w:t>
      </w:r>
      <w:r>
        <w:t xml:space="preserve"> </w:t>
      </w:r>
      <w:r>
        <w:rPr>
          <w:rFonts w:hint="eastAsia"/>
        </w:rPr>
        <w:t xml:space="preserve">は脚の比較（本文6.2節）、付録C.2.2</w:t>
      </w:r>
      <w:r>
        <w:t xml:space="preserve"> と C.2.3 </w:t>
      </w:r>
      <w:r>
        <w:rPr>
          <w:rFonts w:hint="eastAsia"/>
        </w:rPr>
        <w:t xml:space="preserve">は風力の日次水準と因子へのエクスポージャー（本文6.4節）、付録C.2.4</w:t>
      </w:r>
      <w:r>
        <w:t xml:space="preserve"> は duration </w:t>
      </w:r>
      <w:r>
        <w:rPr>
          <w:rFonts w:hint="eastAsia"/>
        </w:rPr>
        <w:t xml:space="preserve">と参入閾値（本文6.5節）、付録C.2.5</w:t>
      </w:r>
      <w:r>
        <w:t xml:space="preserve"> </w:t>
      </w:r>
      <w:r>
        <w:rPr>
          <w:rFonts w:hint="eastAsia"/>
        </w:rPr>
        <w:t xml:space="preserve">は層分解（本文6.6節）、付録C.2.6</w:t>
      </w:r>
      <w:r>
        <w:t xml:space="preserve"> </w:t>
      </w:r>
      <w:r>
        <w:rPr>
          <w:rFonts w:hint="eastAsia"/>
        </w:rPr>
        <w:t xml:space="preserve">は実行可能戦略の実現率と検定（本文6.3節・6.7節）、付録C.2.7</w:t>
      </w:r>
      <w:r>
        <w:t xml:space="preserve"> </w:t>
      </w:r>
      <w:r>
        <w:rPr>
          <w:rFonts w:hint="eastAsia"/>
        </w:rPr>
        <w:t xml:space="preserve">は収益の基準（本文6.8節）の補足である。特記のない限り、北海道、4時間・往復効率0.85・60分粒度で、FY2023〜25</w:t>
      </w:r>
      <w:r>
        <w:t xml:space="preserve"> </w:t>
      </w:r>
      <w:r>
        <w:rPr>
          <w:rFonts w:hint="eastAsia"/>
        </w:rPr>
        <w:t xml:space="preserve">の1,096日による。</w:t>
      </w:r>
    </w:p>
    <w:bookmarkStart w:id="365" w:name="c.2.1-北海道と九州の脚の比較の補足"/>
    <w:p>
      <w:pPr>
        <w:pStyle w:val="Heading3"/>
      </w:pPr>
      <w:r>
        <w:t xml:space="preserve">C.2.1　</w:t>
      </w:r>
      <w:r>
        <w:rPr>
          <w:rFonts w:hint="eastAsia"/>
        </w:rPr>
        <w:t xml:space="preserve">北海道と九州の脚の比較の補足</w:t>
      </w:r>
    </w:p>
    <w:p>
      <w:pPr>
        <w:pStyle w:val="FirstParagraph"/>
      </w:pPr>
      <w:r>
        <w:rPr>
          <w:rFonts w:hint="eastAsia"/>
        </w:rPr>
        <w:t xml:space="preserve">本文の表6.1</w:t>
      </w:r>
      <w:r>
        <w:t xml:space="preserve"> </w:t>
      </w:r>
      <w:r>
        <w:rPr>
          <w:rFonts w:hint="eastAsia"/>
        </w:rPr>
        <w:t xml:space="preserve">に加え、FY2016〜22</w:t>
      </w:r>
      <w:r>
        <w:t xml:space="preserve"> </w:t>
      </w:r>
      <w:r>
        <w:rPr>
          <w:rFonts w:hint="eastAsia"/>
        </w:rPr>
        <w:t xml:space="preserve">の通年（共通日2,536日）では、日平均価格が北海道14.01・九州9.92円/kWh、</w:t>
      </w:r>
      <m:oMath>
        <m:r>
          <m:t>T</m:t>
        </m:r>
        <m:r>
          <m:rPr>
            <m:sty m:val="p"/>
          </m:rPr>
          <m:t>/</m:t>
        </m:r>
        <m:r>
          <m:t>m</m:t>
        </m:r>
      </m:oMath>
      <w:r>
        <w:t xml:space="preserve"> </w:t>
      </w:r>
      <w:r>
        <w:t xml:space="preserve">が1.50・1.59、</w:t>
      </w:r>
      <m:oMath>
        <m:r>
          <m:t>B</m:t>
        </m:r>
        <m:r>
          <m:rPr>
            <m:sty m:val="p"/>
          </m:rPr>
          <m:t>/</m:t>
        </m:r>
        <m:r>
          <m:t>m</m:t>
        </m:r>
      </m:oMath>
      <w:r>
        <w:t xml:space="preserve"> </w:t>
      </w:r>
      <w:r>
        <w:rPr>
          <w:rFonts w:hint="eastAsia"/>
        </w:rPr>
        <w:t xml:space="preserve">が0.63・0.55、放電脚が23.6・20.1円/kW-日、充電脚が20.7・18.0円/kW-日で、休止を考えない完全予見粗利は35.9・32.2円/kW-日、比は1.12（95%区間0.996〜1.235）であった。放電脚の比率は両エリアとも0.57である。</w:t>
      </w:r>
    </w:p>
    <w:p>
      <w:pPr>
        <w:pStyle w:val="BodyText"/>
      </w:pPr>
      <w:r>
        <w:rPr>
          <w:rFonts w:hint="eastAsia"/>
        </w:rPr>
        <w:t xml:space="preserve">表6.1</w:t>
      </w:r>
      <w:r>
        <w:t xml:space="preserve"> </w:t>
      </w:r>
      <w:r>
        <w:rPr>
          <w:rFonts w:hint="eastAsia"/>
        </w:rPr>
        <w:t xml:space="preserve">の差の検定の</w:t>
      </w:r>
      <w:r>
        <w:t xml:space="preserve"> p </w:t>
      </w:r>
      <w:r>
        <w:rPr>
          <w:rFonts w:hint="eastAsia"/>
        </w:rPr>
        <w:t xml:space="preserve">は次のとおりである。FY2023〜25</w:t>
      </w:r>
      <w:r>
        <w:t xml:space="preserve"> </w:t>
      </w:r>
      <w:r>
        <w:rPr>
          <w:rFonts w:hint="eastAsia"/>
        </w:rPr>
        <w:t xml:space="preserve">の通年で</w:t>
      </w:r>
      <w:r>
        <w:t xml:space="preserve"> </w:t>
      </w:r>
      <m:oMath>
        <m:r>
          <m:t>T</m:t>
        </m:r>
        <m:r>
          <m:rPr>
            <m:sty m:val="p"/>
          </m:rPr>
          <m:t>/</m:t>
        </m:r>
        <m:r>
          <m:t>m</m:t>
        </m:r>
      </m:oMath>
      <w:r>
        <w:t xml:space="preserve">・</w:t>
      </w:r>
      <m:oMath>
        <m:r>
          <m:t>B</m:t>
        </m:r>
        <m:r>
          <m:rPr>
            <m:sty m:val="p"/>
          </m:rPr>
          <m:t>/</m:t>
        </m:r>
        <m:r>
          <m:t>m</m:t>
        </m:r>
      </m:oMath>
      <w:r>
        <w:t xml:space="preserve"> </w:t>
      </w:r>
      <w:r>
        <w:rPr>
          <w:rFonts w:hint="eastAsia"/>
        </w:rPr>
        <w:t xml:space="preserve">が&lt;0.001、放電脚の比率が0.43、冬の放電脚の比率が&lt;0.001である。FY2025</w:t>
      </w:r>
      <w:r>
        <w:t xml:space="preserve"> </w:t>
      </w:r>
      <w:r>
        <w:rPr>
          <w:rFonts w:hint="eastAsia"/>
        </w:rPr>
        <w:t xml:space="preserve">の通年では</w:t>
      </w:r>
      <w:r>
        <w:t xml:space="preserve"> </w:t>
      </w:r>
      <m:oMath>
        <m:r>
          <m:t>T</m:t>
        </m:r>
        <m:r>
          <m:rPr>
            <m:sty m:val="p"/>
          </m:rPr>
          <m:t>/</m:t>
        </m:r>
        <m:r>
          <m:t>m</m:t>
        </m:r>
      </m:oMath>
      <w:r>
        <w:t xml:space="preserve"> </w:t>
      </w:r>
      <w:r>
        <w:t xml:space="preserve">が1.00、</w:t>
      </w:r>
      <m:oMath>
        <m:r>
          <m:t>B</m:t>
        </m:r>
        <m:r>
          <m:rPr>
            <m:sty m:val="p"/>
          </m:rPr>
          <m:t>/</m:t>
        </m:r>
        <m:r>
          <m:t>m</m:t>
        </m:r>
      </m:oMath>
      <w:r>
        <w:t xml:space="preserve"> </w:t>
      </w:r>
      <w:r>
        <w:rPr>
          <w:rFonts w:hint="eastAsia"/>
        </w:rPr>
        <w:t xml:space="preserve">が0.14、放電脚の比率が0.044、FY2026</w:t>
      </w:r>
      <w:r>
        <w:t xml:space="preserve"> </w:t>
      </w:r>
      <w:r>
        <w:rPr>
          <w:rFonts w:hint="eastAsia"/>
        </w:rPr>
        <w:t xml:space="preserve">の4〜6月では</w:t>
      </w:r>
      <w:r>
        <w:t xml:space="preserve"> </w:t>
      </w:r>
      <m:oMath>
        <m:r>
          <m:t>B</m:t>
        </m:r>
        <m:r>
          <m:rPr>
            <m:sty m:val="p"/>
          </m:rPr>
          <m:t>/</m:t>
        </m:r>
        <m:r>
          <m:t>m</m:t>
        </m:r>
      </m:oMath>
      <w:r>
        <w:t xml:space="preserve"> </w:t>
      </w:r>
      <w:r>
        <w:rPr>
          <w:rFonts w:hint="eastAsia"/>
        </w:rPr>
        <w:t xml:space="preserve">が0.46である。期間（FY2016〜22、FY2016〜21、FY2023〜25、各年度、FY2026</w:t>
      </w:r>
      <w:r>
        <w:t xml:space="preserve"> </w:t>
      </w:r>
      <w:r>
        <w:rPr>
          <w:rFonts w:hint="eastAsia"/>
        </w:rPr>
        <w:t xml:space="preserve">の4〜6月）×季節の54区分のうち、北海道の</w:t>
      </w:r>
      <w:r>
        <w:t xml:space="preserve"> </w:t>
      </w:r>
      <m:oMath>
        <m:r>
          <m:t>T</m:t>
        </m:r>
        <m:r>
          <m:rPr>
            <m:sty m:val="p"/>
          </m:rPr>
          <m:t>/</m:t>
        </m:r>
        <m:r>
          <m:t>m</m:t>
        </m:r>
      </m:oMath>
      <w:r>
        <w:t xml:space="preserve"> </w:t>
      </w:r>
      <w:r>
        <w:rPr>
          <w:rFonts w:hint="eastAsia"/>
        </w:rPr>
        <w:t xml:space="preserve">が九州を有意（p&lt;0.10）に上回るのは</w:t>
      </w:r>
      <w:r>
        <w:t xml:space="preserve"> FY2016〜19 </w:t>
      </w:r>
      <w:r>
        <w:rPr>
          <w:rFonts w:hint="eastAsia"/>
        </w:rPr>
        <w:t xml:space="preserve">の4区分だけで、FY2020</w:t>
      </w:r>
      <w:r>
        <w:t xml:space="preserve"> </w:t>
      </w:r>
      <w:r>
        <w:rPr>
          <w:rFonts w:hint="eastAsia"/>
        </w:rPr>
        <w:t xml:space="preserve">以降はない（多重比較の補正なし）。冬の差は、北海道の夕方のプレミアムが大きいからではなく（</w:t>
      </w:r>
      <m:oMath>
        <m:r>
          <m:t>T</m:t>
        </m:r>
        <m:r>
          <m:rPr>
            <m:sty m:val="p"/>
          </m:rPr>
          <m:t>/</m:t>
        </m:r>
        <m:r>
          <m:t>m</m:t>
        </m:r>
      </m:oMath>
      <w:r>
        <w:t xml:space="preserve"> </w:t>
      </w:r>
      <w:r>
        <w:rPr>
          <w:rFonts w:hint="eastAsia"/>
        </w:rPr>
        <w:t xml:space="preserve">は北海道1.27、九州1.37）、冬の昼の窪みが九州で深い（</w:t>
      </w:r>
      <m:oMath>
        <m:r>
          <m:t>B</m:t>
        </m:r>
        <m:r>
          <m:rPr>
            <m:sty m:val="p"/>
          </m:rPr>
          <m:t>/</m:t>
        </m:r>
        <m:r>
          <m:t>m</m:t>
        </m:r>
      </m:oMath>
      <w:r>
        <w:t xml:space="preserve"> </w:t>
      </w:r>
      <w:r>
        <w:rPr>
          <w:rFonts w:hint="eastAsia"/>
        </w:rPr>
        <w:t xml:space="preserve">は北海道0.74、九州0.56）ためである。完全予見の窓は、FY2023〜25</w:t>
      </w:r>
      <w:r>
        <w:t xml:space="preserve"> </w:t>
      </w:r>
      <w:r>
        <w:rPr>
          <w:rFonts w:hint="eastAsia"/>
        </w:rPr>
        <w:t xml:space="preserve">に両エリアとも、充電が9〜15時に約3時間、放電が16〜21時に3.2〜3.4時間である。</w:t>
      </w:r>
    </w:p>
    <w:p>
      <w:pPr>
        <w:pStyle w:val="BodyText"/>
      </w:pPr>
      <w:r>
        <w:t xml:space="preserve">FY2023〜25 </w:t>
      </w:r>
      <w:r>
        <w:rPr>
          <w:rFonts w:hint="eastAsia"/>
        </w:rPr>
        <w:t xml:space="preserve">の戦略</w:t>
      </w:r>
      <w:r>
        <w:t xml:space="preserve"> c </w:t>
      </w:r>
      <w:r>
        <w:rPr>
          <w:rFonts w:hint="eastAsia"/>
        </w:rPr>
        <w:t xml:space="preserve">の実現額は、北海道8,427円、九州10,181円/kW-年で、比は0.83である。実現率は北海道0.817、九州0.866である。</w:t>
      </w:r>
    </w:p>
    <w:bookmarkEnd w:id="365"/>
    <w:bookmarkStart w:id="366" w:name="c.2.2-風力の三分位の境界と北本連系線の送電"/>
    <w:p>
      <w:pPr>
        <w:pStyle w:val="Heading3"/>
      </w:pPr>
      <w:r>
        <w:t xml:space="preserve">C.2.2　</w:t>
      </w:r>
      <w:r>
        <w:rPr>
          <w:rFonts w:hint="eastAsia"/>
        </w:rPr>
        <w:t xml:space="preserve">風力の三分位の境界と北本連系線の送電</w:t>
      </w:r>
    </w:p>
    <w:p>
      <w:pPr>
        <w:pStyle w:val="FirstParagraph"/>
      </w:pPr>
      <w:r>
        <w:rPr>
          <w:rFonts w:hint="eastAsia"/>
        </w:rPr>
        <w:t xml:space="preserve">表6.2</w:t>
      </w:r>
      <w:r>
        <w:t xml:space="preserve"> </w:t>
      </w:r>
      <w:r>
        <w:rPr>
          <w:rFonts w:hint="eastAsia"/>
        </w:rPr>
        <w:t xml:space="preserve">の冬（271日）の日次風力発電量の1/3分位点は7,800</w:t>
      </w:r>
      <w:r>
        <w:t xml:space="preserve"> </w:t>
      </w:r>
      <w:r>
        <w:rPr>
          <w:rFonts w:hint="eastAsia"/>
        </w:rPr>
        <w:t xml:space="preserve">MWh/日で、2026年2月26日の値がちょうどこれに一致する。この日を「小」に入れると冬・小は</w:t>
      </w:r>
      <w:r>
        <w:t xml:space="preserve"> TB4h </w:t>
      </w:r>
      <w:r>
        <w:rPr>
          <w:rFonts w:hint="eastAsia"/>
        </w:rPr>
        <w:t xml:space="preserve">7.24円・完全予見粗利19.0円/kW-日（91日）、「中」に入れると7.30円・19.2円/kW-日（90日）である。2/3分位点（12,760</w:t>
      </w:r>
      <w:r>
        <w:t xml:space="preserve"> </w:t>
      </w:r>
      <w:r>
        <w:rPr>
          <w:rFonts w:hint="eastAsia"/>
        </w:rPr>
        <w:t xml:space="preserve">MWh/日）にも2026年2月24日が一致し、これを「中」に入れると冬・大は5.95円・15.4円/kW-日になる。本文の表は、分位点以下を「小」、分位点以上を「大」とする定義どおりに扱っている。どちらに入れても結論は変わらない。</w:t>
      </w:r>
    </w:p>
    <w:p>
      <w:pPr>
        <w:pStyle w:val="BodyText"/>
      </w:pPr>
      <w:r>
        <w:rPr>
          <w:rFonts w:hint="eastAsia"/>
        </w:rPr>
        <w:t xml:space="preserve">表6.2</w:t>
      </w:r>
      <w:r>
        <w:t xml:space="preserve"> </w:t>
      </w:r>
      <w:r>
        <w:rPr>
          <w:rFonts w:hint="eastAsia"/>
        </w:rPr>
        <w:t xml:space="preserve">の安値分断のうち、北海道が東北を上回る時間は0.07〜0.77時間/日である。北本の拘束の時間の北本連系線の送電は中央値337MW（500MW</w:t>
      </w:r>
      <w:r>
        <w:t xml:space="preserve"> </w:t>
      </w:r>
      <w:r>
        <w:rPr>
          <w:rFonts w:hint="eastAsia"/>
        </w:rPr>
        <w:t xml:space="preserve">以上が26%）、東日本側の時間は112MW、安値分断でない時間は61MW</w:t>
      </w:r>
      <w:r>
        <w:t xml:space="preserve"> </w:t>
      </w:r>
      <w:r>
        <w:rPr>
          <w:rFonts w:hint="eastAsia"/>
        </w:rPr>
        <w:t xml:space="preserve">である。スポット市場に割り当てられた連系線の空き容量のデータがないため、運用容量に対する比は示さない。</w:t>
      </w:r>
    </w:p>
    <w:bookmarkEnd w:id="366"/>
    <w:bookmarkStart w:id="367" w:name="c.2.3-因子エクスポージャーの全結果"/>
    <w:p>
      <w:pPr>
        <w:pStyle w:val="Heading3"/>
      </w:pPr>
      <w:r>
        <w:t xml:space="preserve">C.2.3　</w:t>
      </w:r>
      <w:r>
        <w:rPr>
          <w:rFonts w:hint="eastAsia"/>
        </w:rPr>
        <w:t xml:space="preserve">因子エクスポージャーの全結果</w:t>
      </w:r>
    </w:p>
    <w:p>
      <w:pPr>
        <w:pStyle w:val="FirstParagraph"/>
      </w:pPr>
      <w:r>
        <w:t xml:space="preserve">FY2016〜25 </w:t>
      </w:r>
      <w:r>
        <w:rPr>
          <w:rFonts w:hint="eastAsia"/>
        </w:rPr>
        <w:t xml:space="preserve">の全期間の主成分では、完全予見粗利のエクスポージャー（因子1単位あたりの円/kW-日）は、第1主成分（水準）が0.80（t=53.4）、第2主成分（昼と夕方の差）が1.20（t=13.1）、第3主成分（夜と夕方の差）が−1.33（t=−13.8）で、右辺を含む決定係数は0.91である。この期間の第1主成分の負荷は夕方に偏る（18時0.32、3時0.08）。この連動は燃料危機期だけのものではない。FY2016〜19</w:t>
      </w:r>
      <w:r>
        <w:t xml:space="preserve"> </w:t>
      </w:r>
      <w:r>
        <w:rPr>
          <w:rFonts w:hint="eastAsia"/>
        </w:rPr>
        <w:t xml:space="preserve">だけで主成分を求めても、第1主成分へのエクスポージャーは1.17（t=44.0）で、年度・季節内の粗利の変動の80%を第1主成分だけで説明する。年度・季節内の粗利と日平均価格の相関も、FY2016〜21</w:t>
      </w:r>
      <w:r>
        <w:t xml:space="preserve"> は0.80〜0.87である。</w:t>
      </w:r>
    </w:p>
    <w:p>
      <w:pPr>
        <w:pStyle w:val="BodyText"/>
      </w:pPr>
      <w:r>
        <w:t xml:space="preserve">FY2023〜25 </w:t>
      </w:r>
      <w:r>
        <w:rPr>
          <w:rFonts w:hint="eastAsia"/>
        </w:rPr>
        <w:t xml:space="preserve">の主成分では、第1主成分へのエクスポージャーは0.01（t=0.1）で、第1主成分だけで説明される粗利の変動は0%、粗利と日平均価格の相関も0.05である。この期間の第1主成分は負荷が昼にも乗る（12時0.23、18時0.21）。昼と夕方の差の因子へのエクスポージャーは1.71（t=11.3）で、その1標準偏差は平均粗利の45%（12.7円/kW-日）に相当する。第3主成分は−0.63（t=−6.8）、決定係数は0.77である。年度別に主成分を求め直すと、第1主成分へのエクスポージャーは</w:t>
      </w:r>
      <w:r>
        <w:t xml:space="preserve"> FY2023 </w:t>
      </w:r>
      <w:r>
        <w:rPr>
          <w:rFonts w:hint="eastAsia"/>
        </w:rPr>
        <w:t xml:space="preserve">に−0.55（t=−11.2）、FY2024</w:t>
      </w:r>
      <w:r>
        <w:t xml:space="preserve"> </w:t>
      </w:r>
      <w:r>
        <w:rPr>
          <w:rFonts w:hint="eastAsia"/>
        </w:rPr>
        <w:t xml:space="preserve">に−0.25（t=−4.9）、FY2025</w:t>
      </w:r>
      <w:r>
        <w:t xml:space="preserve"> </w:t>
      </w:r>
      <w:r>
        <w:rPr>
          <w:rFonts w:hint="eastAsia"/>
        </w:rPr>
        <w:t xml:space="preserve">に+0.75（t=4.5）と符号が変わる。年度・季節内の粗利と日平均価格の相関も、年度別に</w:t>
      </w:r>
      <w:r>
        <w:t xml:space="preserve"> FY2023 −0.33、FY2024 −0.19、FY2025 </w:t>
      </w:r>
      <w:r>
        <w:rPr>
          <w:rFonts w:hint="eastAsia"/>
        </w:rPr>
        <w:t xml:space="preserve">+0.43、季節別に冬+0.48、夏+0.23、不需要期−0.18と揺れ、冬には水準と粗利の連動が残る。FY2023〜25</w:t>
      </w:r>
      <w:r>
        <w:t xml:space="preserve"> </w:t>
      </w:r>
      <w:r>
        <w:rPr>
          <w:rFonts w:hint="eastAsia"/>
        </w:rPr>
        <w:t xml:space="preserve">の平均で水準因子への感応がほぼ0となるのは、符号の異なる年度・季節の感応が打ち消し合った結果とみるのが自然である。主成分の負荷は期間によって変わるので、「水準」「昼と夕方の差」という名前は近似であり、期間をまたいだ比較は主成分によらない粗利と日平均価格の相関で補った。</w:t>
      </w:r>
    </w:p>
    <w:p>
      <w:pPr>
        <w:pStyle w:val="BodyText"/>
      </w:pPr>
      <w:r>
        <w:t xml:space="preserve">t </w:t>
      </w:r>
      <w:r>
        <w:rPr>
          <w:rFonts w:hint="eastAsia"/>
        </w:rPr>
        <w:t xml:space="preserve">値はラグ14日の</w:t>
      </w:r>
      <w:r>
        <w:t xml:space="preserve"> Newey–West によるもので、EWC </w:t>
      </w:r>
      <w:r>
        <w:rPr>
          <w:rFonts w:hint="eastAsia"/>
        </w:rPr>
        <w:t xml:space="preserve">で計算し直していない。系列相関の強い日次回帰では</w:t>
      </w:r>
      <w:r>
        <w:t xml:space="preserve"> Newey–West </w:t>
      </w:r>
      <w:r>
        <w:rPr>
          <w:rFonts w:hint="eastAsia"/>
        </w:rPr>
        <w:t xml:space="preserve">は過大に棄却しやすいので（5.9節）、境界的な有意性は割り引いて読む必要がある。また、FY2016〜25</w:t>
      </w:r>
      <w:r>
        <w:t xml:space="preserve"> </w:t>
      </w:r>
      <w:r>
        <w:rPr>
          <w:rFonts w:hint="eastAsia"/>
        </w:rPr>
        <w:t xml:space="preserve">の主成分は、2021年1月の31日（標本の0.85%）が偏差平方和の約49%を占めることに強く影響される（5.7.1項）。この31日を除いた主成分での因子回帰は計算していないが、2021年1月を含まない</w:t>
      </w:r>
      <w:r>
        <w:t xml:space="preserve"> FY2016〜19 </w:t>
      </w:r>
      <w:r>
        <w:rPr>
          <w:rFonts w:hint="eastAsia"/>
        </w:rPr>
        <w:t xml:space="preserve">の主成分でも、水準因子と粗利の連動は同じように現れる。</w:t>
      </w:r>
    </w:p>
    <w:p>
      <w:pPr>
        <w:pStyle w:val="BodyText"/>
      </w:pPr>
      <w:r>
        <w:rPr>
          <w:rFonts w:hint="eastAsia"/>
        </w:rPr>
        <w:t xml:space="preserve">経路分解（式(B.16)）では、FY2016〜25</w:t>
      </w:r>
      <w:r>
        <w:t xml:space="preserve"> </w:t>
      </w:r>
      <w:r>
        <w:rPr>
          <w:rFonts w:hint="eastAsia"/>
        </w:rPr>
        <w:t xml:space="preserve">に風力は冬の完全予見粗利を1GWh/日あたり1.09円/kW-日下げる（係数−1.09、Newey–West</w:t>
      </w:r>
      <w:r>
        <w:t xml:space="preserve"> </w:t>
      </w:r>
      <w:r>
        <w:rPr>
          <w:rFonts w:hint="eastAsia"/>
        </w:rPr>
        <w:t xml:space="preserve">で5%有意。冬の90日に換算して−98円/kW-年）。その経路は水準因子（−1.45）で、形状因子経由は+0.18にとどまる。FY2023〜25</w:t>
      </w:r>
      <w:r>
        <w:t xml:space="preserve"> </w:t>
      </w:r>
      <w:r>
        <w:rPr>
          <w:rFonts w:hint="eastAsia"/>
        </w:rPr>
        <w:t xml:space="preserve">の構造では、水準因子経由の効果はいずれも−0.01円程度まで消え、風力の効果（−0.28〜+0.45）は有意でない。太陽光は夏に+1.25、不需要期に+1.48円/kW-日（いずれも1%有意。季節の日数で年に換算して+115、+270円/kW-年）粗利を上げ、その大半が形状因子経由（+1.24、+1.18）である。</w:t>
      </w:r>
    </w:p>
    <w:p>
      <w:pPr>
        <w:pStyle w:val="BodyText"/>
      </w:pPr>
      <w:r>
        <w:rPr>
          <w:rFonts w:hint="eastAsia"/>
        </w:rPr>
        <w:t xml:space="preserve">因子別の感応度（付録B.3.7）の結果は次のとおりである。FY2023〜25</w:t>
      </w:r>
      <w:r>
        <w:t xml:space="preserve"> </w:t>
      </w:r>
      <w:r>
        <w:rPr>
          <w:rFonts w:hint="eastAsia"/>
        </w:rPr>
        <w:t xml:space="preserve">の実績価格の上で、風力の発電量の年度内偏差が作る価格変動だけを0〜3倍しても、年間の完全予見粗利（10,317円/kW-年）は−0.4〜−1.2%しか動かない（下限価格で打ち切る場合。季節別には−2.9〜+3.1%）。太陽光が作る変動を3倍にすると+8.3%（季節別に+5.0〜+13.4%）上がる。日内の形状成分を0にすると粗利は8,315円/kW-年（−19.4%）となり、2倍にすると+49.6%となる。全時刻に同額で効く日平均の偏差（水準成分）は、下限価格で打ち切らなければ粗利をほとんど動かさない（付録B.1.1）。0.01円/kWh</w:t>
      </w:r>
      <w:r>
        <w:t xml:space="preserve"> </w:t>
      </w:r>
      <w:r>
        <w:rPr>
          <w:rFonts w:hint="eastAsia"/>
        </w:rPr>
        <w:t xml:space="preserve">で打ち切ると、水準成分を2倍にしたとき粗利は−6.9%となる。風力の変動を3倍にした場合も、打ち切らなければ+2.6%、打ち切ると−1.2%であり、3倍での変化を負にしているのは下限での打ち切りである。この感応度は風力の平均の発電量を変えない。導入容量を3倍にして純需要の水準そのものを下げる反実仮想（7.3節）とは別の計算であり、両者の符号の違いは矛盾ではない。</w:t>
      </w:r>
    </w:p>
    <w:bookmarkEnd w:id="367"/>
    <w:bookmarkStart w:id="368" w:name="c.2.4-duration-と参入閾値の補足"/>
    <w:p>
      <w:pPr>
        <w:pStyle w:val="Heading3"/>
      </w:pPr>
      <w:r>
        <w:t xml:space="preserve">C.2.4　duration </w:t>
      </w:r>
      <w:r>
        <w:rPr>
          <w:rFonts w:hint="eastAsia"/>
        </w:rPr>
        <w:t xml:space="preserve">と参入閾値の補足</w:t>
      </w:r>
    </w:p>
    <w:p>
      <w:pPr>
        <w:pStyle w:val="FirstParagraph"/>
      </w:pPr>
      <w:r>
        <w:t xml:space="preserve">FY2023〜25 </w:t>
      </w:r>
      <w:r>
        <w:rPr>
          <w:rFonts w:hint="eastAsia"/>
        </w:rPr>
        <w:t xml:space="preserve">の完全予見粗利は、4時間比で2時間0.58、6時間1.27、8時間1.39で、4時間から6時間で+27%、6時間から8時間で+10%増える。容量市場の調整係数は、2029年度向けの北海道で4時間83.6%、6時間93.2%、8時間98.3%である。4時間から6時間の+9.6ポイントは、約定価格14,972円/kW</w:t>
      </w:r>
      <w:r>
        <w:t xml:space="preserve"> </w:t>
      </w:r>
      <w:r>
        <w:rPr>
          <w:rFonts w:hint="eastAsia"/>
        </w:rPr>
        <w:t xml:space="preserve">による4時間の実効容量収入（12,500円/kW-年）を調整係数の比で6時間に引き直すと、約1,430円/kW-年に相当する。6時間が4時間に見合うのは、価格水準係数</w:t>
      </w:r>
      <w:r>
        <w:t xml:space="preserve"> </w:t>
      </w:r>
      <m:oMath>
        <m:r>
          <m:t>θ</m:t>
        </m:r>
      </m:oMath>
      <w:r>
        <w:t xml:space="preserve"> </w:t>
      </w:r>
      <w:r>
        <w:rPr>
          <w:rFonts w:hint="eastAsia"/>
        </w:rPr>
        <w:t xml:space="preserve">が3.4〜5.9以上（主とする</w:t>
      </w:r>
      <w:r>
        <w:t xml:space="preserve"> kW </w:t>
      </w:r>
      <w:r>
        <w:rPr>
          <w:rFonts w:hint="eastAsia"/>
        </w:rPr>
        <w:t xml:space="preserve">比例部分24.3%で4.4）のときである。</w:t>
      </w:r>
    </w:p>
    <w:p>
      <w:pPr>
        <w:pStyle w:val="BodyText"/>
      </w:pPr>
      <w:r>
        <w:rPr>
          <w:rFonts w:hint="eastAsia"/>
        </w:rPr>
        <w:t xml:space="preserve">表C.17</w:t>
      </w:r>
      <w:r>
        <w:t xml:space="preserve"> は、duration </w:t>
      </w:r>
      <w:r>
        <w:rPr>
          <w:rFonts w:hint="eastAsia"/>
        </w:rPr>
        <w:t xml:space="preserve">別の静学の損益分岐</w:t>
      </w:r>
      <w:r>
        <w:t xml:space="preserve"> </w:t>
      </w:r>
      <m:oMath>
        <m:sSup>
          <m:e>
            <m:r>
              <m:t>θ</m:t>
            </m:r>
          </m:e>
          <m:sup>
            <m:r>
              <m:rPr>
                <m:sty m:val="p"/>
              </m:rPr>
              <m:t>*</m:t>
            </m:r>
          </m:sup>
        </m:sSup>
      </m:oMath>
      <w:r>
        <w:t xml:space="preserve"> </w:t>
      </w:r>
      <w:r>
        <w:rPr>
          <w:rFonts w:hint="eastAsia"/>
        </w:rPr>
        <w:t xml:space="preserve">と競争均衡の閾値</w:t>
      </w:r>
      <w:r>
        <w:t xml:space="preserve"> </w:t>
      </w:r>
      <m:oMath>
        <m:sSub>
          <m:e>
            <m:r>
              <m:t>θ</m:t>
            </m:r>
          </m:e>
          <m:sub>
            <m:r>
              <m:t>c</m:t>
            </m:r>
          </m:sub>
        </m:sSub>
      </m:oMath>
      <w:r>
        <w:t xml:space="preserve"> </w:t>
      </w:r>
      <w:r>
        <w:rPr>
          <w:rFonts w:hint="eastAsia"/>
        </w:rPr>
        <w:t xml:space="preserve">を、資本費6.8万円/kWh</w:t>
      </w:r>
      <w:r>
        <w:t xml:space="preserve"> </w:t>
      </w:r>
      <w:r>
        <w:rPr>
          <w:rFonts w:hint="eastAsia"/>
        </w:rPr>
        <w:t xml:space="preserve">と4.0万円/kWh</w:t>
      </w:r>
      <w:r>
        <w:t xml:space="preserve"> </w:t>
      </w:r>
      <w:r>
        <w:rPr>
          <w:rFonts w:hint="eastAsia"/>
        </w:rPr>
        <w:t xml:space="preserve">について示したものである（本文6.5節・7.8.4項。計算の手順は付録B.3.8）。</w:t>
      </w:r>
    </w:p>
    <w:p>
      <w:pPr>
        <w:pStyle w:val="TableCaption"/>
      </w:pPr>
      <w:r>
        <w:rPr>
          <w:rFonts w:hint="eastAsia"/>
        </w:rPr>
        <w:t xml:space="preserve">表C.17</w:t>
      </w:r>
      <w:r>
        <w:t xml:space="preserve">　duration </w:t>
      </w:r>
      <w:r>
        <w:rPr>
          <w:rFonts w:hint="eastAsia"/>
        </w:rPr>
        <w:t xml:space="preserve">別の参入閾値</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7　duration 別の参入閾値"/>
      </w:tblPr>
      <w:tblGrid>
        <w:gridCol w:w="698"/>
        <w:gridCol w:w="931"/>
        <w:gridCol w:w="931"/>
        <w:gridCol w:w="931"/>
        <w:gridCol w:w="931"/>
        <w:gridCol w:w="931"/>
        <w:gridCol w:w="931"/>
        <w:gridCol w:w="931"/>
        <w:gridCol w:w="698"/>
      </w:tblGrid>
      <w:tr>
        <w:trPr>
          <w:tblHeader w:val="on"/>
        </w:trPr>
        <w:tc>
          <w:tcPr>
            <w:tcBorders>
              <w:bottom w:val="single" w:sz="6" w:color="000000"/>
            </w:tcBorders>
          </w:tcPr>
          <w:p>
            <w:pPr>
              <w:pStyle w:val="Compact"/>
            </w:pPr>
            <w:r>
              <w:rPr>
                <w:rFonts w:hint="eastAsia"/>
                <w:sz w:val="18"/>
              </w:rPr>
              <w:t xml:space="preserve">仕様</w:t>
            </w:r>
          </w:p>
        </w:tc>
        <w:tc>
          <w:tcPr>
            <w:tcBorders>
              <w:bottom w:val="single" w:sz="6" w:color="000000"/>
            </w:tcBorders>
          </w:tcPr>
          <w:p>
            <w:pPr>
              <w:pStyle w:val="Compact"/>
              <w:jc w:val="right"/>
            </w:pPr>
            <w:r>
              <w:rPr>
                <w:rFonts w:hint="eastAsia"/>
                <w:sz w:val="18"/>
              </w:rPr>
              <w:t xml:space="preserve">資本費（万円/kWh、4時間換算）</w:t>
            </w:r>
          </w:p>
        </w:tc>
        <w:tc>
          <w:tcPr>
            <w:tcBorders>
              <w:bottom w:val="single" w:sz="6" w:color="000000"/>
            </w:tcBorders>
          </w:tcPr>
          <w:p>
            <w:pPr>
              <w:pStyle w:val="Compact"/>
              <w:jc w:val="right"/>
            </w:pPr>
            <w:r>
              <w:rPr>
                <w:rFonts w:hint="eastAsia"/>
                <w:sz w:val="18"/>
              </w:rPr>
              <w:t xml:space="preserve">実効容量収入（円/kW-年）</w:t>
            </w:r>
          </w:p>
        </w:tc>
        <w:tc>
          <w:tcPr>
            <w:tcBorders>
              <w:bottom w:val="single" w:sz="6" w:color="000000"/>
            </w:tcBorders>
          </w:tcPr>
          <w:p>
            <w:pPr>
              <w:pStyle w:val="Compact"/>
              <w:jc w:val="right"/>
            </w:pPr>
            <w:r>
              <w:rPr>
                <w:rFonts w:hint="eastAsia"/>
                <w:sz w:val="18"/>
              </w:rPr>
              <w:t xml:space="preserve">戦略</w:t>
            </w:r>
            <w:r>
              <w:rPr>
                <w:sz w:val="18"/>
              </w:rPr>
              <w:t xml:space="preserve"> </w:t>
            </w:r>
            <w:r>
              <w:rPr>
                <w:rFonts w:hint="eastAsia"/>
                <w:sz w:val="18"/>
              </w:rPr>
              <w:t xml:space="preserve">c（実績、円/kW-年）</w:t>
            </w:r>
          </w:p>
        </w:tc>
        <w:tc>
          <w:tcPr>
            <w:tcBorders>
              <w:bottom w:val="single" w:sz="6" w:color="000000"/>
            </w:tcBorders>
          </w:tcPr>
          <w:p>
            <w:pPr>
              <w:pStyle w:val="Compact"/>
              <w:jc w:val="right"/>
            </w:pPr>
            <w:r>
              <w:rPr>
                <w:rFonts w:hint="eastAsia"/>
                <w:sz w:val="18"/>
              </w:rPr>
              <w:t xml:space="preserve">静学</w:t>
            </w:r>
            <w:r>
              <w:rPr>
                <w:sz w:val="18"/>
              </w:rPr>
              <w:t xml:space="preserve"> </w:t>
            </w:r>
            <m:oMath>
              <m:sSup>
                <m:e>
                  <m:r>
                    <m:t>θ</m:t>
                  </m:r>
                </m:e>
                <m:sup>
                  <m:r>
                    <m:rPr>
                      <m:sty m:val="p"/>
                    </m:rPr>
                    <m:t>*</m:t>
                  </m:r>
                </m:sup>
              </m:sSup>
            </m:oMath>
            <w:r>
              <w:rPr>
                <w:rFonts w:hint="eastAsia"/>
                <w:sz w:val="18"/>
              </w:rPr>
              <w:t xml:space="preserve">（全額</w:t>
            </w:r>
            <w:r>
              <w:rPr>
                <w:sz w:val="18"/>
              </w:rPr>
              <w:t xml:space="preserve"> kWh </w:t>
            </w:r>
            <w:r>
              <w:rPr>
                <w:rFonts w:hint="eastAsia"/>
                <w:sz w:val="18"/>
              </w:rPr>
              <w:t xml:space="preserve">比例）</w:t>
            </w:r>
          </w:p>
        </w:tc>
        <w:tc>
          <w:tcPr>
            <w:tcBorders>
              <w:bottom w:val="single" w:sz="6" w:color="000000"/>
            </w:tcBorders>
          </w:tcPr>
          <w:p>
            <w:pPr>
              <w:pStyle w:val="Compact"/>
              <w:jc w:val="right"/>
            </w:pPr>
            <w:r>
              <w:rPr>
                <w:rFonts w:hint="eastAsia"/>
                <w:sz w:val="18"/>
              </w:rPr>
              <w:t xml:space="preserve">静学</w:t>
            </w:r>
            <w:r>
              <w:rPr>
                <w:sz w:val="18"/>
              </w:rPr>
              <w:t xml:space="preserve"> </w:t>
            </w:r>
            <m:oMath>
              <m:sSup>
                <m:e>
                  <m:r>
                    <m:t>θ</m:t>
                  </m:r>
                </m:e>
                <m:sup>
                  <m:r>
                    <m:rPr>
                      <m:sty m:val="p"/>
                    </m:rPr>
                    <m:t>*</m:t>
                  </m:r>
                </m:sup>
              </m:sSup>
            </m:oMath>
            <w:r>
              <w:rPr>
                <w:rFonts w:hint="eastAsia"/>
                <w:sz w:val="18"/>
              </w:rPr>
              <w:t xml:space="preserve">（kW</w:t>
            </w:r>
            <w:r>
              <w:rPr>
                <w:sz w:val="18"/>
              </w:rPr>
              <w:t xml:space="preserve"> </w:t>
            </w:r>
            <w:r>
              <w:rPr>
                <w:rFonts w:hint="eastAsia"/>
                <w:sz w:val="18"/>
              </w:rPr>
              <w:t xml:space="preserve">部分24.3%）</w:t>
            </w:r>
          </w:p>
        </w:tc>
        <w:tc>
          <w:tcPr>
            <w:tcBorders>
              <w:bottom w:val="single" w:sz="6" w:color="000000"/>
            </w:tcBorders>
          </w:tcPr>
          <w:p>
            <w:pPr>
              <w:pStyle w:val="Compact"/>
              <w:jc w:val="right"/>
            </w:pPr>
            <m:oMath>
              <m:sSub>
                <m:e>
                  <m:r>
                    <m:t>θ</m:t>
                  </m:r>
                </m:e>
                <m:sub>
                  <m:r>
                    <m:t>c</m:t>
                  </m:r>
                </m:sub>
              </m:sSub>
            </m:oMath>
            <w:r>
              <w:rPr>
                <w:rFonts w:hint="eastAsia"/>
                <w:sz w:val="18"/>
              </w:rPr>
              <w:t xml:space="preserve">（</w:t>
            </w:r>
            <m:oMath>
              <m:r>
                <m:t>σ</m:t>
              </m:r>
              <m:r>
                <m:rPr>
                  <m:sty m:val="p"/>
                </m:rPr>
                <m:t>=</m:t>
              </m:r>
              <m:r>
                <m:t>0.10</m:t>
              </m:r>
            </m:oMath>
            <w:r>
              <w:rPr>
                <w:rFonts w:hint="eastAsia"/>
                <w:sz w:val="18"/>
              </w:rPr>
              <w:t xml:space="preserve">）</w:t>
            </w:r>
          </w:p>
        </w:tc>
        <w:tc>
          <w:tcPr>
            <w:tcBorders>
              <w:bottom w:val="single" w:sz="6" w:color="000000"/>
            </w:tcBorders>
          </w:tcPr>
          <w:p>
            <w:pPr>
              <w:pStyle w:val="Compact"/>
              <w:jc w:val="right"/>
            </w:pPr>
            <m:oMath>
              <m:sSub>
                <m:e>
                  <m:r>
                    <m:t>θ</m:t>
                  </m:r>
                </m:e>
                <m:sub>
                  <m:r>
                    <m:t>c</m:t>
                  </m:r>
                </m:sub>
              </m:sSub>
            </m:oMath>
            <w:r>
              <w:rPr>
                <w:rFonts w:hint="eastAsia"/>
                <w:sz w:val="18"/>
              </w:rPr>
              <w:t xml:space="preserve">（</w:t>
            </w:r>
            <m:oMath>
              <m:r>
                <m:t>σ</m:t>
              </m:r>
              <m:r>
                <m:rPr>
                  <m:sty m:val="p"/>
                </m:rPr>
                <m:t>=</m:t>
              </m:r>
              <m:r>
                <m:t>0.30</m:t>
              </m:r>
            </m:oMath>
            <w:r>
              <w:rPr>
                <w:rFonts w:hint="eastAsia"/>
                <w:sz w:val="18"/>
              </w:rPr>
              <w:t xml:space="preserve">）</w:t>
            </w:r>
          </w:p>
        </w:tc>
        <w:tc>
          <w:tcPr>
            <w:tcBorders>
              <w:bottom w:val="single" w:sz="6" w:color="000000"/>
            </w:tcBorders>
          </w:tcPr>
          <w:p>
            <w:pPr>
              <w:pStyle w:val="Compact"/>
            </w:pPr>
            <w:r>
              <w:rPr>
                <w:rFonts w:hint="eastAsia"/>
                <w:sz w:val="18"/>
              </w:rPr>
              <w:t xml:space="preserve">静学</w:t>
            </w:r>
            <w:r>
              <w:rPr>
                <w:sz w:val="18"/>
              </w:rPr>
              <w:t xml:space="preserve"> NPV </w:t>
            </w:r>
            <w:r>
              <w:rPr>
                <w:rFonts w:hint="eastAsia"/>
                <w:sz w:val="18"/>
              </w:rPr>
              <w:t xml:space="preserve">が0になる年数（追加収入3万円／4万円）</w:t>
            </w:r>
          </w:p>
        </w:tc>
      </w:tr>
      <w:tr>
        <w:tc>
          <w:tcPr/>
          <w:p>
            <w:pPr>
              <w:pStyle w:val="Compact"/>
            </w:pPr>
            <w:r>
              <w:rPr>
                <w:rFonts w:hint="eastAsia"/>
                <w:sz w:val="18"/>
              </w:rPr>
              <w:t xml:space="preserve">2時間</w:t>
            </w:r>
          </w:p>
        </w:tc>
        <w:tc>
          <w:tcPr/>
          <w:p>
            <w:pPr>
              <w:pStyle w:val="Compact"/>
              <w:jc w:val="right"/>
            </w:pPr>
            <w:r>
              <w:rPr>
                <w:sz w:val="18"/>
              </w:rPr>
              <w:t xml:space="preserve">6.8</w:t>
            </w:r>
          </w:p>
        </w:tc>
        <w:tc>
          <w:tcPr/>
          <w:p>
            <w:pPr>
              <w:pStyle w:val="Compact"/>
              <w:jc w:val="right"/>
            </w:pPr>
            <w:r>
              <w:rPr>
                <w:sz w:val="18"/>
              </w:rPr>
              <w:t xml:space="preserve">0</w:t>
            </w:r>
          </w:p>
        </w:tc>
        <w:tc>
          <w:tcPr/>
          <w:p>
            <w:pPr>
              <w:pStyle w:val="Compact"/>
              <w:jc w:val="right"/>
            </w:pPr>
            <w:r>
              <w:rPr>
                <w:sz w:val="18"/>
              </w:rPr>
              <w:t xml:space="preserve">4,955</w:t>
            </w:r>
          </w:p>
        </w:tc>
        <w:tc>
          <w:tcPr/>
          <w:p>
            <w:pPr>
              <w:pStyle w:val="Compact"/>
              <w:jc w:val="right"/>
            </w:pPr>
            <w:r>
              <w:rPr>
                <w:sz w:val="18"/>
              </w:rPr>
              <w:t xml:space="preserve">5.00</w:t>
            </w:r>
          </w:p>
        </w:tc>
        <w:tc>
          <w:tcPr/>
          <w:p>
            <w:pPr>
              <w:pStyle w:val="Compact"/>
              <w:jc w:val="right"/>
            </w:pPr>
            <w:r>
              <w:rPr>
                <w:sz w:val="18"/>
              </w:rPr>
              <w:t xml:space="preserve">5.59</w:t>
            </w:r>
          </w:p>
        </w:tc>
        <w:tc>
          <w:tcPr/>
          <w:p>
            <w:pPr>
              <w:pStyle w:val="Compact"/>
              <w:jc w:val="right"/>
            </w:pPr>
            <w:r>
              <w:rPr>
                <w:sz w:val="18"/>
              </w:rPr>
              <w:t xml:space="preserve">5.83</w:t>
            </w:r>
          </w:p>
        </w:tc>
        <w:tc>
          <w:tcPr/>
          <w:p>
            <w:pPr>
              <w:pStyle w:val="Compact"/>
              <w:jc w:val="right"/>
            </w:pPr>
            <w:r>
              <w:rPr>
                <w:sz w:val="18"/>
              </w:rPr>
              <w:t xml:space="preserve">7.96</w:t>
            </w:r>
          </w:p>
        </w:tc>
        <w:tc>
          <w:tcPr/>
          <w:p>
            <w:pPr>
              <w:pStyle w:val="Compact"/>
            </w:pPr>
            <w:r>
              <w:rPr>
                <w:rFonts w:hint="eastAsia"/>
                <w:sz w:val="18"/>
              </w:rPr>
              <w:t xml:space="preserve">9.6年／6.7年</w:t>
            </w:r>
          </w:p>
        </w:tc>
      </w:tr>
      <w:tr>
        <w:tc>
          <w:tcPr/>
          <w:p>
            <w:pPr>
              <w:pStyle w:val="Compact"/>
            </w:pPr>
            <w:r>
              <w:rPr>
                <w:rFonts w:hint="eastAsia"/>
                <w:sz w:val="18"/>
              </w:rPr>
              <w:t xml:space="preserve">3時間</w:t>
            </w:r>
          </w:p>
        </w:tc>
        <w:tc>
          <w:tcPr/>
          <w:p>
            <w:pPr>
              <w:pStyle w:val="Compact"/>
              <w:jc w:val="right"/>
            </w:pPr>
            <w:r>
              <w:rPr>
                <w:sz w:val="18"/>
              </w:rPr>
              <w:t xml:space="preserve">6.8</w:t>
            </w:r>
          </w:p>
        </w:tc>
        <w:tc>
          <w:tcPr/>
          <w:p>
            <w:pPr>
              <w:pStyle w:val="Compact"/>
              <w:jc w:val="right"/>
            </w:pPr>
            <w:r>
              <w:rPr>
                <w:sz w:val="18"/>
              </w:rPr>
              <w:t xml:space="preserve">11,571</w:t>
            </w:r>
          </w:p>
        </w:tc>
        <w:tc>
          <w:tcPr/>
          <w:p>
            <w:pPr>
              <w:pStyle w:val="Compact"/>
              <w:jc w:val="right"/>
            </w:pPr>
            <w:r>
              <w:rPr>
                <w:sz w:val="18"/>
              </w:rPr>
              <w:t xml:space="preserve">6,881</w:t>
            </w:r>
          </w:p>
        </w:tc>
        <w:tc>
          <w:tcPr/>
          <w:p>
            <w:pPr>
              <w:pStyle w:val="Compact"/>
              <w:jc w:val="right"/>
            </w:pPr>
            <w:r>
              <w:rPr>
                <w:sz w:val="18"/>
              </w:rPr>
              <w:t xml:space="preserve">2.86</w:t>
            </w:r>
          </w:p>
        </w:tc>
        <w:tc>
          <w:tcPr/>
          <w:p>
            <w:pPr>
              <w:pStyle w:val="Compact"/>
              <w:jc w:val="right"/>
            </w:pPr>
            <w:r>
              <w:rPr>
                <w:sz w:val="18"/>
              </w:rPr>
              <w:t xml:space="preserve">3.07</w:t>
            </w:r>
          </w:p>
        </w:tc>
        <w:tc>
          <w:tcPr/>
          <w:p>
            <w:pPr>
              <w:pStyle w:val="Compact"/>
              <w:jc w:val="right"/>
            </w:pPr>
            <w:r>
              <w:rPr>
                <w:sz w:val="18"/>
              </w:rPr>
              <w:t xml:space="preserve">3.33</w:t>
            </w:r>
          </w:p>
        </w:tc>
        <w:tc>
          <w:tcPr/>
          <w:p>
            <w:pPr>
              <w:pStyle w:val="Compact"/>
              <w:jc w:val="right"/>
            </w:pPr>
            <w:r>
              <w:rPr>
                <w:sz w:val="18"/>
              </w:rPr>
              <w:t xml:space="preserve">4.55</w:t>
            </w:r>
          </w:p>
        </w:tc>
        <w:tc>
          <w:tcPr/>
          <w:p>
            <w:pPr>
              <w:pStyle w:val="Compact"/>
            </w:pPr>
            <w:r>
              <w:rPr>
                <w:rFonts w:hint="eastAsia"/>
                <w:sz w:val="18"/>
              </w:rPr>
              <w:t xml:space="preserve">5.1年／3.7年</w:t>
            </w:r>
          </w:p>
        </w:tc>
      </w:tr>
      <w:tr>
        <w:tc>
          <w:tcPr/>
          <w:p>
            <w:pPr>
              <w:pStyle w:val="Compact"/>
            </w:pPr>
            <w:r>
              <w:rPr>
                <w:rFonts w:hint="eastAsia"/>
                <w:sz w:val="18"/>
              </w:rPr>
              <w:t xml:space="preserve">4時間</w:t>
            </w:r>
          </w:p>
        </w:tc>
        <w:tc>
          <w:tcPr/>
          <w:p>
            <w:pPr>
              <w:pStyle w:val="Compact"/>
              <w:jc w:val="right"/>
            </w:pPr>
            <w:r>
              <w:rPr>
                <w:sz w:val="18"/>
              </w:rPr>
              <w:t xml:space="preserve">6.8</w:t>
            </w:r>
          </w:p>
        </w:tc>
        <w:tc>
          <w:tcPr/>
          <w:p>
            <w:pPr>
              <w:pStyle w:val="Compact"/>
              <w:jc w:val="right"/>
            </w:pPr>
            <w:r>
              <w:rPr>
                <w:sz w:val="18"/>
              </w:rPr>
              <w:t xml:space="preserve">12,500</w:t>
            </w:r>
          </w:p>
        </w:tc>
        <w:tc>
          <w:tcPr/>
          <w:p>
            <w:pPr>
              <w:pStyle w:val="Compact"/>
              <w:jc w:val="right"/>
            </w:pPr>
            <w:r>
              <w:rPr>
                <w:sz w:val="18"/>
              </w:rPr>
              <w:t xml:space="preserve">8,427</w:t>
            </w:r>
          </w:p>
        </w:tc>
        <w:tc>
          <w:tcPr/>
          <w:p>
            <w:pPr>
              <w:pStyle w:val="Compact"/>
              <w:jc w:val="right"/>
            </w:pPr>
            <w:r>
              <w:rPr>
                <w:sz w:val="18"/>
              </w:rPr>
              <w:t xml:space="preserve">2.99</w:t>
            </w:r>
          </w:p>
        </w:tc>
        <w:tc>
          <w:tcPr/>
          <w:p>
            <w:pPr>
              <w:pStyle w:val="Compact"/>
              <w:jc w:val="right"/>
            </w:pPr>
            <w:r>
              <w:rPr>
                <w:sz w:val="18"/>
              </w:rPr>
              <w:t xml:space="preserve">2.99</w:t>
            </w:r>
          </w:p>
        </w:tc>
        <w:tc>
          <w:tcPr/>
          <w:p>
            <w:pPr>
              <w:pStyle w:val="Compact"/>
              <w:jc w:val="right"/>
            </w:pPr>
            <w:r>
              <w:rPr>
                <w:sz w:val="18"/>
              </w:rPr>
              <w:t xml:space="preserve">3.48</w:t>
            </w:r>
          </w:p>
        </w:tc>
        <w:tc>
          <w:tcPr/>
          <w:p>
            <w:pPr>
              <w:pStyle w:val="Compact"/>
              <w:jc w:val="right"/>
            </w:pPr>
            <w:r>
              <w:rPr>
                <w:sz w:val="18"/>
              </w:rPr>
              <w:t xml:space="preserve">4.75</w:t>
            </w:r>
          </w:p>
        </w:tc>
        <w:tc>
          <w:tcPr/>
          <w:p>
            <w:pPr>
              <w:pStyle w:val="Compact"/>
            </w:pPr>
            <w:r>
              <w:rPr>
                <w:rFonts w:hint="eastAsia"/>
                <w:sz w:val="18"/>
              </w:rPr>
              <w:t xml:space="preserve">7.2年／5.1年</w:t>
            </w:r>
          </w:p>
        </w:tc>
      </w:tr>
      <w:tr>
        <w:tc>
          <w:tcPr/>
          <w:p>
            <w:pPr>
              <w:pStyle w:val="Compact"/>
            </w:pPr>
            <w:r>
              <w:rPr>
                <w:rFonts w:hint="eastAsia"/>
                <w:sz w:val="18"/>
              </w:rPr>
              <w:t xml:space="preserve">4時間（容量収入0）</w:t>
            </w:r>
          </w:p>
        </w:tc>
        <w:tc>
          <w:tcPr/>
          <w:p>
            <w:pPr>
              <w:pStyle w:val="Compact"/>
              <w:jc w:val="right"/>
            </w:pPr>
            <w:r>
              <w:rPr>
                <w:sz w:val="18"/>
              </w:rPr>
              <w:t xml:space="preserve">6.8</w:t>
            </w:r>
          </w:p>
        </w:tc>
        <w:tc>
          <w:tcPr/>
          <w:p>
            <w:pPr>
              <w:pStyle w:val="Compact"/>
              <w:jc w:val="right"/>
            </w:pPr>
            <w:r>
              <w:rPr>
                <w:sz w:val="18"/>
              </w:rPr>
              <w:t xml:space="preserve">0</w:t>
            </w:r>
          </w:p>
        </w:tc>
        <w:tc>
          <w:tcPr/>
          <w:p>
            <w:pPr>
              <w:pStyle w:val="Compact"/>
              <w:jc w:val="right"/>
            </w:pPr>
            <w:r>
              <w:rPr>
                <w:sz w:val="18"/>
              </w:rPr>
              <w:t xml:space="preserve">8,427</w:t>
            </w:r>
          </w:p>
        </w:tc>
        <w:tc>
          <w:tcPr/>
          <w:p>
            <w:pPr>
              <w:pStyle w:val="Compact"/>
              <w:jc w:val="right"/>
            </w:pPr>
            <w:r>
              <w:rPr>
                <w:sz w:val="18"/>
              </w:rPr>
              <w:t xml:space="preserve">4.47</w:t>
            </w:r>
          </w:p>
        </w:tc>
        <w:tc>
          <w:tcPr/>
          <w:p>
            <w:pPr>
              <w:pStyle w:val="Compact"/>
              <w:jc w:val="right"/>
            </w:pPr>
            <w:r>
              <w:rPr>
                <w:sz w:val="18"/>
              </w:rPr>
              <w:t xml:space="preserve">4.47</w:t>
            </w:r>
          </w:p>
        </w:tc>
        <w:tc>
          <w:tcPr/>
          <w:p>
            <w:pPr>
              <w:pStyle w:val="Compact"/>
              <w:jc w:val="right"/>
            </w:pPr>
            <w:r>
              <w:rPr>
                <w:sz w:val="18"/>
              </w:rPr>
              <w:t xml:space="preserve">5.21</w:t>
            </w:r>
          </w:p>
        </w:tc>
        <w:tc>
          <w:tcPr/>
          <w:p>
            <w:pPr>
              <w:pStyle w:val="Compact"/>
              <w:jc w:val="right"/>
            </w:pPr>
            <w:r>
              <w:rPr>
                <w:sz w:val="18"/>
              </w:rPr>
              <w:t xml:space="preserve">7.11</w:t>
            </w:r>
          </w:p>
        </w:tc>
        <w:tc>
          <w:tcPr/>
          <w:p>
            <w:pPr>
              <w:pStyle w:val="Compact"/>
            </w:pPr>
            <w:r>
              <w:rPr>
                <w:rFonts w:hint="eastAsia"/>
                <w:sz w:val="18"/>
              </w:rPr>
              <w:t xml:space="preserve">17.0年／10.9年</w:t>
            </w:r>
          </w:p>
        </w:tc>
      </w:tr>
      <w:tr>
        <w:tc>
          <w:tcPr/>
          <w:p>
            <w:pPr>
              <w:pStyle w:val="Compact"/>
            </w:pPr>
            <w:r>
              <w:rPr>
                <w:rFonts w:hint="eastAsia"/>
                <w:sz w:val="18"/>
              </w:rPr>
              <w:t xml:space="preserve">5時間</w:t>
            </w:r>
          </w:p>
        </w:tc>
        <w:tc>
          <w:tcPr/>
          <w:p>
            <w:pPr>
              <w:pStyle w:val="Compact"/>
              <w:jc w:val="right"/>
            </w:pPr>
            <w:r>
              <w:rPr>
                <w:sz w:val="18"/>
              </w:rPr>
              <w:t xml:space="preserve">6.8</w:t>
            </w:r>
          </w:p>
        </w:tc>
        <w:tc>
          <w:tcPr/>
          <w:p>
            <w:pPr>
              <w:pStyle w:val="Compact"/>
              <w:jc w:val="right"/>
            </w:pPr>
            <w:r>
              <w:rPr>
                <w:sz w:val="18"/>
              </w:rPr>
              <w:t xml:space="preserve">13,286</w:t>
            </w:r>
          </w:p>
        </w:tc>
        <w:tc>
          <w:tcPr/>
          <w:p>
            <w:pPr>
              <w:pStyle w:val="Compact"/>
              <w:jc w:val="right"/>
            </w:pPr>
            <w:r>
              <w:rPr>
                <w:sz w:val="18"/>
              </w:rPr>
              <w:t xml:space="preserve">9,614</w:t>
            </w:r>
          </w:p>
        </w:tc>
        <w:tc>
          <w:tcPr/>
          <w:p>
            <w:pPr>
              <w:pStyle w:val="Compact"/>
              <w:jc w:val="right"/>
            </w:pPr>
            <w:r>
              <w:rPr>
                <w:sz w:val="18"/>
              </w:rPr>
              <w:t xml:space="preserve">3.21</w:t>
            </w:r>
          </w:p>
        </w:tc>
        <w:tc>
          <w:tcPr/>
          <w:p>
            <w:pPr>
              <w:pStyle w:val="Compact"/>
              <w:jc w:val="right"/>
            </w:pPr>
            <w:r>
              <w:rPr>
                <w:sz w:val="18"/>
              </w:rPr>
              <w:t xml:space="preserve">3.05</w:t>
            </w:r>
          </w:p>
        </w:tc>
        <w:tc>
          <w:tcPr/>
          <w:p>
            <w:pPr>
              <w:pStyle w:val="Compact"/>
              <w:jc w:val="right"/>
            </w:pPr>
            <w:r>
              <w:rPr>
                <w:sz w:val="18"/>
              </w:rPr>
              <w:t xml:space="preserve">3.74</w:t>
            </w:r>
          </w:p>
        </w:tc>
        <w:tc>
          <w:tcPr/>
          <w:p>
            <w:pPr>
              <w:pStyle w:val="Compact"/>
              <w:jc w:val="right"/>
            </w:pPr>
            <w:r>
              <w:rPr>
                <w:sz w:val="18"/>
              </w:rPr>
              <w:t xml:space="preserve">5.10</w:t>
            </w:r>
          </w:p>
        </w:tc>
        <w:tc>
          <w:tcPr/>
          <w:p>
            <w:pPr>
              <w:pStyle w:val="Compact"/>
            </w:pPr>
            <w:r>
              <w:rPr>
                <w:rFonts w:hint="eastAsia"/>
                <w:sz w:val="18"/>
              </w:rPr>
              <w:t xml:space="preserve">9.9年／6.8年</w:t>
            </w:r>
          </w:p>
        </w:tc>
      </w:tr>
      <w:tr>
        <w:tc>
          <w:tcPr/>
          <w:p>
            <w:pPr>
              <w:pStyle w:val="Compact"/>
            </w:pPr>
            <w:r>
              <w:rPr>
                <w:rFonts w:hint="eastAsia"/>
                <w:sz w:val="18"/>
              </w:rPr>
              <w:t xml:space="preserve">6時間</w:t>
            </w:r>
          </w:p>
        </w:tc>
        <w:tc>
          <w:tcPr/>
          <w:p>
            <w:pPr>
              <w:pStyle w:val="Compact"/>
              <w:jc w:val="right"/>
            </w:pPr>
            <w:r>
              <w:rPr>
                <w:sz w:val="18"/>
              </w:rPr>
              <w:t xml:space="preserve">6.8</w:t>
            </w:r>
          </w:p>
        </w:tc>
        <w:tc>
          <w:tcPr/>
          <w:p>
            <w:pPr>
              <w:pStyle w:val="Compact"/>
              <w:jc w:val="right"/>
            </w:pPr>
            <w:r>
              <w:rPr>
                <w:sz w:val="18"/>
              </w:rPr>
              <w:t xml:space="preserve">13,930</w:t>
            </w:r>
          </w:p>
        </w:tc>
        <w:tc>
          <w:tcPr/>
          <w:p>
            <w:pPr>
              <w:pStyle w:val="Compact"/>
              <w:jc w:val="right"/>
            </w:pPr>
            <w:r>
              <w:rPr>
                <w:sz w:val="18"/>
              </w:rPr>
              <w:t xml:space="preserve">10,366</w:t>
            </w:r>
          </w:p>
        </w:tc>
        <w:tc>
          <w:tcPr/>
          <w:p>
            <w:pPr>
              <w:pStyle w:val="Compact"/>
              <w:jc w:val="right"/>
            </w:pPr>
            <w:r>
              <w:rPr>
                <w:sz w:val="18"/>
              </w:rPr>
              <w:t xml:space="preserve">3.53</w:t>
            </w:r>
          </w:p>
        </w:tc>
        <w:tc>
          <w:tcPr/>
          <w:p>
            <w:pPr>
              <w:pStyle w:val="Compact"/>
              <w:jc w:val="right"/>
            </w:pPr>
            <w:r>
              <w:rPr>
                <w:sz w:val="18"/>
              </w:rPr>
              <w:t xml:space="preserve">3.25</w:t>
            </w:r>
          </w:p>
        </w:tc>
        <w:tc>
          <w:tcPr/>
          <w:p>
            <w:pPr>
              <w:pStyle w:val="Compact"/>
              <w:jc w:val="right"/>
            </w:pPr>
            <w:r>
              <w:rPr>
                <w:sz w:val="18"/>
              </w:rPr>
              <w:t xml:space="preserve">4.12</w:t>
            </w:r>
          </w:p>
        </w:tc>
        <w:tc>
          <w:tcPr/>
          <w:p>
            <w:pPr>
              <w:pStyle w:val="Compact"/>
              <w:jc w:val="right"/>
            </w:pPr>
            <w:r>
              <w:rPr>
                <w:sz w:val="18"/>
              </w:rPr>
              <w:t xml:space="preserve">5.62</w:t>
            </w:r>
          </w:p>
        </w:tc>
        <w:tc>
          <w:tcPr/>
          <w:p>
            <w:pPr>
              <w:pStyle w:val="Compact"/>
            </w:pPr>
            <w:r>
              <w:rPr>
                <w:rFonts w:hint="eastAsia"/>
                <w:sz w:val="18"/>
              </w:rPr>
              <w:t xml:space="preserve">13.7年／9.1年</w:t>
            </w:r>
          </w:p>
        </w:tc>
      </w:tr>
      <w:tr>
        <w:tc>
          <w:tcPr/>
          <w:p>
            <w:pPr>
              <w:pStyle w:val="Compact"/>
            </w:pPr>
            <w:r>
              <w:rPr>
                <w:rFonts w:hint="eastAsia"/>
                <w:sz w:val="18"/>
              </w:rPr>
              <w:t xml:space="preserve">8時間</w:t>
            </w:r>
          </w:p>
        </w:tc>
        <w:tc>
          <w:tcPr/>
          <w:p>
            <w:pPr>
              <w:pStyle w:val="Compact"/>
              <w:jc w:val="right"/>
            </w:pPr>
            <w:r>
              <w:rPr>
                <w:sz w:val="18"/>
              </w:rPr>
              <w:t xml:space="preserve">6.8</w:t>
            </w:r>
          </w:p>
        </w:tc>
        <w:tc>
          <w:tcPr/>
          <w:p>
            <w:pPr>
              <w:pStyle w:val="Compact"/>
              <w:jc w:val="right"/>
            </w:pPr>
            <w:r>
              <w:rPr>
                <w:sz w:val="18"/>
              </w:rPr>
              <w:t xml:space="preserve">14,701</w:t>
            </w:r>
          </w:p>
        </w:tc>
        <w:tc>
          <w:tcPr/>
          <w:p>
            <w:pPr>
              <w:pStyle w:val="Compact"/>
              <w:jc w:val="right"/>
            </w:pPr>
            <w:r>
              <w:rPr>
                <w:sz w:val="18"/>
              </w:rPr>
              <w:t xml:space="preserve">11,033</w:t>
            </w:r>
          </w:p>
        </w:tc>
        <w:tc>
          <w:tcPr/>
          <w:p>
            <w:pPr>
              <w:pStyle w:val="Compact"/>
              <w:jc w:val="right"/>
            </w:pPr>
            <w:r>
              <w:rPr>
                <w:sz w:val="18"/>
              </w:rPr>
              <w:t xml:space="preserve">4.42</w:t>
            </w:r>
          </w:p>
        </w:tc>
        <w:tc>
          <w:tcPr/>
          <w:p>
            <w:pPr>
              <w:pStyle w:val="Compact"/>
              <w:jc w:val="right"/>
            </w:pPr>
            <w:r>
              <w:rPr>
                <w:sz w:val="18"/>
              </w:rPr>
              <w:t xml:space="preserve">3.89</w:t>
            </w:r>
          </w:p>
        </w:tc>
        <w:tc>
          <w:tcPr/>
          <w:p>
            <w:pPr>
              <w:pStyle w:val="Compact"/>
              <w:jc w:val="right"/>
            </w:pPr>
            <w:r>
              <w:rPr>
                <w:sz w:val="18"/>
              </w:rPr>
              <w:t xml:space="preserve">5.15</w:t>
            </w:r>
          </w:p>
        </w:tc>
        <w:tc>
          <w:tcPr/>
          <w:p>
            <w:pPr>
              <w:pStyle w:val="Compact"/>
              <w:jc w:val="right"/>
            </w:pPr>
            <w:r>
              <w:rPr>
                <w:sz w:val="18"/>
              </w:rPr>
              <w:t xml:space="preserve">7.03</w:t>
            </w:r>
          </w:p>
        </w:tc>
        <w:tc>
          <w:tcPr/>
          <w:p>
            <w:pPr>
              <w:pStyle w:val="Compact"/>
            </w:pPr>
            <w:r>
              <w:rPr>
                <w:rFonts w:hint="eastAsia"/>
                <w:sz w:val="18"/>
              </w:rPr>
              <w:t xml:space="preserve">28.5年／16.0年</w:t>
            </w:r>
          </w:p>
        </w:tc>
      </w:tr>
      <w:tr>
        <w:tc>
          <w:tcPr/>
          <w:p>
            <w:pPr>
              <w:pStyle w:val="Compact"/>
            </w:pPr>
            <w:r>
              <w:rPr>
                <w:rFonts w:hint="eastAsia"/>
                <w:sz w:val="18"/>
              </w:rPr>
              <w:t xml:space="preserve">2時間</w:t>
            </w:r>
          </w:p>
        </w:tc>
        <w:tc>
          <w:tcPr/>
          <w:p>
            <w:pPr>
              <w:pStyle w:val="Compact"/>
              <w:jc w:val="right"/>
            </w:pPr>
            <w:r>
              <w:rPr>
                <w:sz w:val="18"/>
              </w:rPr>
              <w:t xml:space="preserve">4.0</w:t>
            </w:r>
          </w:p>
        </w:tc>
        <w:tc>
          <w:tcPr/>
          <w:p>
            <w:pPr>
              <w:pStyle w:val="Compact"/>
              <w:jc w:val="right"/>
            </w:pPr>
            <w:r>
              <w:rPr>
                <w:sz w:val="18"/>
              </w:rPr>
              <w:t xml:space="preserve">0</w:t>
            </w:r>
          </w:p>
        </w:tc>
        <w:tc>
          <w:tcPr/>
          <w:p>
            <w:pPr>
              <w:pStyle w:val="Compact"/>
              <w:jc w:val="right"/>
            </w:pPr>
            <w:r>
              <w:rPr>
                <w:sz w:val="18"/>
              </w:rPr>
              <w:t xml:space="preserve">4,955</w:t>
            </w:r>
          </w:p>
        </w:tc>
        <w:tc>
          <w:tcPr/>
          <w:p>
            <w:pPr>
              <w:pStyle w:val="Compact"/>
              <w:jc w:val="right"/>
            </w:pPr>
            <w:r>
              <w:rPr>
                <w:sz w:val="18"/>
              </w:rPr>
              <w:t xml:space="preserve">4.02</w:t>
            </w:r>
          </w:p>
        </w:tc>
        <w:tc>
          <w:tcPr/>
          <w:p>
            <w:pPr>
              <w:pStyle w:val="Compact"/>
              <w:jc w:val="right"/>
            </w:pPr>
            <w:r>
              <w:rPr>
                <w:sz w:val="18"/>
              </w:rPr>
              <w:t xml:space="preserve">4.37</w:t>
            </w:r>
          </w:p>
        </w:tc>
        <w:tc>
          <w:tcPr/>
          <w:p>
            <w:pPr>
              <w:pStyle w:val="Compact"/>
              <w:jc w:val="right"/>
            </w:pPr>
            <w:r>
              <w:rPr>
                <w:sz w:val="18"/>
              </w:rPr>
              <w:t xml:space="preserve">4.68</w:t>
            </w:r>
          </w:p>
        </w:tc>
        <w:tc>
          <w:tcPr/>
          <w:p>
            <w:pPr>
              <w:pStyle w:val="Compact"/>
              <w:jc w:val="right"/>
            </w:pPr>
            <w:r>
              <w:rPr>
                <w:sz w:val="18"/>
              </w:rPr>
              <w:t xml:space="preserve">6.39</w:t>
            </w:r>
          </w:p>
        </w:tc>
        <w:tc>
          <w:tcPr/>
          <w:p>
            <w:pPr>
              <w:pStyle w:val="Compact"/>
            </w:pPr>
            <w:r>
              <w:rPr>
                <w:rFonts w:hint="eastAsia"/>
                <w:sz w:val="18"/>
              </w:rPr>
              <w:t xml:space="preserve">6.6年／4.7年</w:t>
            </w:r>
          </w:p>
        </w:tc>
      </w:tr>
      <w:tr>
        <w:tc>
          <w:tcPr/>
          <w:p>
            <w:pPr>
              <w:pStyle w:val="Compact"/>
            </w:pPr>
            <w:r>
              <w:rPr>
                <w:rFonts w:hint="eastAsia"/>
                <w:sz w:val="18"/>
              </w:rPr>
              <w:t xml:space="preserve">3時間</w:t>
            </w:r>
          </w:p>
        </w:tc>
        <w:tc>
          <w:tcPr/>
          <w:p>
            <w:pPr>
              <w:pStyle w:val="Compact"/>
              <w:jc w:val="right"/>
            </w:pPr>
            <w:r>
              <w:rPr>
                <w:sz w:val="18"/>
              </w:rPr>
              <w:t xml:space="preserve">4.0</w:t>
            </w:r>
          </w:p>
        </w:tc>
        <w:tc>
          <w:tcPr/>
          <w:p>
            <w:pPr>
              <w:pStyle w:val="Compact"/>
              <w:jc w:val="right"/>
            </w:pPr>
            <w:r>
              <w:rPr>
                <w:sz w:val="18"/>
              </w:rPr>
              <w:t xml:space="preserve">11,571</w:t>
            </w:r>
          </w:p>
        </w:tc>
        <w:tc>
          <w:tcPr/>
          <w:p>
            <w:pPr>
              <w:pStyle w:val="Compact"/>
              <w:jc w:val="right"/>
            </w:pPr>
            <w:r>
              <w:rPr>
                <w:sz w:val="18"/>
              </w:rPr>
              <w:t xml:space="preserve">6,881</w:t>
            </w:r>
          </w:p>
        </w:tc>
        <w:tc>
          <w:tcPr/>
          <w:p>
            <w:pPr>
              <w:pStyle w:val="Compact"/>
              <w:jc w:val="right"/>
            </w:pPr>
            <w:r>
              <w:rPr>
                <w:sz w:val="18"/>
              </w:rPr>
              <w:t xml:space="preserve">1.79</w:t>
            </w:r>
          </w:p>
        </w:tc>
        <w:tc>
          <w:tcPr/>
          <w:p>
            <w:pPr>
              <w:pStyle w:val="Compact"/>
              <w:jc w:val="right"/>
            </w:pPr>
            <w:r>
              <w:rPr>
                <w:sz w:val="18"/>
              </w:rPr>
              <w:t xml:space="preserve">1.92</w:t>
            </w:r>
          </w:p>
        </w:tc>
        <w:tc>
          <w:tcPr/>
          <w:p>
            <w:pPr>
              <w:pStyle w:val="Compact"/>
              <w:jc w:val="right"/>
            </w:pPr>
            <w:r>
              <w:rPr>
                <w:sz w:val="18"/>
              </w:rPr>
              <w:t xml:space="preserve">2.09</w:t>
            </w:r>
          </w:p>
        </w:tc>
        <w:tc>
          <w:tcPr/>
          <w:p>
            <w:pPr>
              <w:pStyle w:val="Compact"/>
              <w:jc w:val="right"/>
            </w:pPr>
            <w:r>
              <w:rPr>
                <w:sz w:val="18"/>
              </w:rPr>
              <w:t xml:space="preserve">2.85</w:t>
            </w:r>
          </w:p>
        </w:tc>
        <w:tc>
          <w:tcPr/>
          <w:p>
            <w:pPr>
              <w:pStyle w:val="Compact"/>
            </w:pPr>
            <w:r>
              <w:rPr>
                <w:rFonts w:hint="eastAsia"/>
                <w:sz w:val="18"/>
              </w:rPr>
              <w:t xml:space="preserve">1.6年／1.2年</w:t>
            </w:r>
          </w:p>
        </w:tc>
      </w:tr>
      <w:tr>
        <w:tc>
          <w:tcPr/>
          <w:p>
            <w:pPr>
              <w:pStyle w:val="Compact"/>
            </w:pPr>
            <w:r>
              <w:rPr>
                <w:rFonts w:hint="eastAsia"/>
                <w:sz w:val="18"/>
              </w:rPr>
              <w:t xml:space="preserve">4時間</w:t>
            </w:r>
          </w:p>
        </w:tc>
        <w:tc>
          <w:tcPr/>
          <w:p>
            <w:pPr>
              <w:pStyle w:val="Compact"/>
              <w:jc w:val="right"/>
            </w:pPr>
            <w:r>
              <w:rPr>
                <w:sz w:val="18"/>
              </w:rPr>
              <w:t xml:space="preserve">4.0</w:t>
            </w:r>
          </w:p>
        </w:tc>
        <w:tc>
          <w:tcPr/>
          <w:p>
            <w:pPr>
              <w:pStyle w:val="Compact"/>
              <w:jc w:val="right"/>
            </w:pPr>
            <w:r>
              <w:rPr>
                <w:sz w:val="18"/>
              </w:rPr>
              <w:t xml:space="preserve">12,500</w:t>
            </w:r>
          </w:p>
        </w:tc>
        <w:tc>
          <w:tcPr/>
          <w:p>
            <w:pPr>
              <w:pStyle w:val="Compact"/>
              <w:jc w:val="right"/>
            </w:pPr>
            <w:r>
              <w:rPr>
                <w:sz w:val="18"/>
              </w:rPr>
              <w:t xml:space="preserve">8,427</w:t>
            </w:r>
          </w:p>
        </w:tc>
        <w:tc>
          <w:tcPr/>
          <w:p>
            <w:pPr>
              <w:pStyle w:val="Compact"/>
              <w:jc w:val="right"/>
            </w:pPr>
            <w:r>
              <w:rPr>
                <w:sz w:val="18"/>
              </w:rPr>
              <w:t xml:space="preserve">1.83</w:t>
            </w:r>
          </w:p>
        </w:tc>
        <w:tc>
          <w:tcPr/>
          <w:p>
            <w:pPr>
              <w:pStyle w:val="Compact"/>
              <w:jc w:val="right"/>
            </w:pPr>
            <w:r>
              <w:rPr>
                <w:sz w:val="18"/>
              </w:rPr>
              <w:t xml:space="preserve">1.83</w:t>
            </w:r>
          </w:p>
        </w:tc>
        <w:tc>
          <w:tcPr/>
          <w:p>
            <w:pPr>
              <w:pStyle w:val="Compact"/>
              <w:jc w:val="right"/>
            </w:pPr>
            <w:r>
              <w:rPr>
                <w:sz w:val="18"/>
              </w:rPr>
              <w:t xml:space="preserve">2.13</w:t>
            </w:r>
          </w:p>
        </w:tc>
        <w:tc>
          <w:tcPr/>
          <w:p>
            <w:pPr>
              <w:pStyle w:val="Compact"/>
              <w:jc w:val="right"/>
            </w:pPr>
            <w:r>
              <w:rPr>
                <w:sz w:val="18"/>
              </w:rPr>
              <w:t xml:space="preserve">2.91</w:t>
            </w:r>
          </w:p>
        </w:tc>
        <w:tc>
          <w:tcPr/>
          <w:p>
            <w:pPr>
              <w:pStyle w:val="Compact"/>
            </w:pPr>
            <w:r>
              <w:rPr>
                <w:rFonts w:hint="eastAsia"/>
                <w:sz w:val="18"/>
              </w:rPr>
              <w:t xml:space="preserve">2.2年／1.6年</w:t>
            </w:r>
          </w:p>
        </w:tc>
      </w:tr>
      <w:tr>
        <w:tc>
          <w:tcPr/>
          <w:p>
            <w:pPr>
              <w:pStyle w:val="Compact"/>
            </w:pPr>
            <w:r>
              <w:rPr>
                <w:rFonts w:hint="eastAsia"/>
                <w:sz w:val="18"/>
              </w:rPr>
              <w:t xml:space="preserve">4時間（容量収入0）</w:t>
            </w:r>
          </w:p>
        </w:tc>
        <w:tc>
          <w:tcPr/>
          <w:p>
            <w:pPr>
              <w:pStyle w:val="Compact"/>
              <w:jc w:val="right"/>
            </w:pPr>
            <w:r>
              <w:rPr>
                <w:sz w:val="18"/>
              </w:rPr>
              <w:t xml:space="preserve">4.0</w:t>
            </w:r>
          </w:p>
        </w:tc>
        <w:tc>
          <w:tcPr/>
          <w:p>
            <w:pPr>
              <w:pStyle w:val="Compact"/>
              <w:jc w:val="right"/>
            </w:pPr>
            <w:r>
              <w:rPr>
                <w:sz w:val="18"/>
              </w:rPr>
              <w:t xml:space="preserve">0</w:t>
            </w:r>
          </w:p>
        </w:tc>
        <w:tc>
          <w:tcPr/>
          <w:p>
            <w:pPr>
              <w:pStyle w:val="Compact"/>
              <w:jc w:val="right"/>
            </w:pPr>
            <w:r>
              <w:rPr>
                <w:sz w:val="18"/>
              </w:rPr>
              <w:t xml:space="preserve">8,427</w:t>
            </w:r>
          </w:p>
        </w:tc>
        <w:tc>
          <w:tcPr/>
          <w:p>
            <w:pPr>
              <w:pStyle w:val="Compact"/>
              <w:jc w:val="right"/>
            </w:pPr>
            <w:r>
              <w:rPr>
                <w:sz w:val="18"/>
              </w:rPr>
              <w:t xml:space="preserve">3.31</w:t>
            </w:r>
          </w:p>
        </w:tc>
        <w:tc>
          <w:tcPr/>
          <w:p>
            <w:pPr>
              <w:pStyle w:val="Compact"/>
              <w:jc w:val="right"/>
            </w:pPr>
            <w:r>
              <w:rPr>
                <w:sz w:val="18"/>
              </w:rPr>
              <w:t xml:space="preserve">3.31</w:t>
            </w:r>
          </w:p>
        </w:tc>
        <w:tc>
          <w:tcPr/>
          <w:p>
            <w:pPr>
              <w:pStyle w:val="Compact"/>
              <w:jc w:val="right"/>
            </w:pPr>
            <w:r>
              <w:rPr>
                <w:sz w:val="18"/>
              </w:rPr>
              <w:t xml:space="preserve">3.86</w:t>
            </w:r>
          </w:p>
        </w:tc>
        <w:tc>
          <w:tcPr/>
          <w:p>
            <w:pPr>
              <w:pStyle w:val="Compact"/>
              <w:jc w:val="right"/>
            </w:pPr>
            <w:r>
              <w:rPr>
                <w:sz w:val="18"/>
              </w:rPr>
              <w:t xml:space="preserve">5.27</w:t>
            </w:r>
          </w:p>
        </w:tc>
        <w:tc>
          <w:tcPr/>
          <w:p>
            <w:pPr>
              <w:pStyle w:val="Compact"/>
            </w:pPr>
            <w:r>
              <w:rPr>
                <w:rFonts w:hint="eastAsia"/>
                <w:sz w:val="18"/>
              </w:rPr>
              <w:t xml:space="preserve">8.9年／6.2年</w:t>
            </w:r>
          </w:p>
        </w:tc>
      </w:tr>
      <w:tr>
        <w:tc>
          <w:tcPr/>
          <w:p>
            <w:pPr>
              <w:pStyle w:val="Compact"/>
            </w:pPr>
            <w:r>
              <w:rPr>
                <w:rFonts w:hint="eastAsia"/>
                <w:sz w:val="18"/>
              </w:rPr>
              <w:t xml:space="preserve">5時間</w:t>
            </w:r>
          </w:p>
        </w:tc>
        <w:tc>
          <w:tcPr/>
          <w:p>
            <w:pPr>
              <w:pStyle w:val="Compact"/>
              <w:jc w:val="right"/>
            </w:pPr>
            <w:r>
              <w:rPr>
                <w:sz w:val="18"/>
              </w:rPr>
              <w:t xml:space="preserve">4.0</w:t>
            </w:r>
          </w:p>
        </w:tc>
        <w:tc>
          <w:tcPr/>
          <w:p>
            <w:pPr>
              <w:pStyle w:val="Compact"/>
              <w:jc w:val="right"/>
            </w:pPr>
            <w:r>
              <w:rPr>
                <w:sz w:val="18"/>
              </w:rPr>
              <w:t xml:space="preserve">13,286</w:t>
            </w:r>
          </w:p>
        </w:tc>
        <w:tc>
          <w:tcPr/>
          <w:p>
            <w:pPr>
              <w:pStyle w:val="Compact"/>
              <w:jc w:val="right"/>
            </w:pPr>
            <w:r>
              <w:rPr>
                <w:sz w:val="18"/>
              </w:rPr>
              <w:t xml:space="preserve">9,614</w:t>
            </w:r>
          </w:p>
        </w:tc>
        <w:tc>
          <w:tcPr/>
          <w:p>
            <w:pPr>
              <w:pStyle w:val="Compact"/>
              <w:jc w:val="right"/>
            </w:pPr>
            <w:r>
              <w:rPr>
                <w:sz w:val="18"/>
              </w:rPr>
              <w:t xml:space="preserve">1.94</w:t>
            </w:r>
          </w:p>
        </w:tc>
        <w:tc>
          <w:tcPr/>
          <w:p>
            <w:pPr>
              <w:pStyle w:val="Compact"/>
              <w:jc w:val="right"/>
            </w:pPr>
            <w:r>
              <w:rPr>
                <w:sz w:val="18"/>
              </w:rPr>
              <w:t xml:space="preserve">1.85</w:t>
            </w:r>
          </w:p>
        </w:tc>
        <w:tc>
          <w:tcPr/>
          <w:p>
            <w:pPr>
              <w:pStyle w:val="Compact"/>
              <w:jc w:val="right"/>
            </w:pPr>
            <w:r>
              <w:rPr>
                <w:sz w:val="18"/>
              </w:rPr>
              <w:t xml:space="preserve">2.26</w:t>
            </w:r>
          </w:p>
        </w:tc>
        <w:tc>
          <w:tcPr/>
          <w:p>
            <w:pPr>
              <w:pStyle w:val="Compact"/>
              <w:jc w:val="right"/>
            </w:pPr>
            <w:r>
              <w:rPr>
                <w:sz w:val="18"/>
              </w:rPr>
              <w:t xml:space="preserve">3.08</w:t>
            </w:r>
          </w:p>
        </w:tc>
        <w:tc>
          <w:tcPr/>
          <w:p>
            <w:pPr>
              <w:pStyle w:val="Compact"/>
            </w:pPr>
            <w:r>
              <w:rPr>
                <w:rFonts w:hint="eastAsia"/>
                <w:sz w:val="18"/>
              </w:rPr>
              <w:t xml:space="preserve">3.0年／2.2年</w:t>
            </w:r>
          </w:p>
        </w:tc>
      </w:tr>
      <w:tr>
        <w:tc>
          <w:tcPr/>
          <w:p>
            <w:pPr>
              <w:pStyle w:val="Compact"/>
            </w:pPr>
            <w:r>
              <w:rPr>
                <w:rFonts w:hint="eastAsia"/>
                <w:sz w:val="18"/>
              </w:rPr>
              <w:t xml:space="preserve">6時間</w:t>
            </w:r>
          </w:p>
        </w:tc>
        <w:tc>
          <w:tcPr/>
          <w:p>
            <w:pPr>
              <w:pStyle w:val="Compact"/>
              <w:jc w:val="right"/>
            </w:pPr>
            <w:r>
              <w:rPr>
                <w:sz w:val="18"/>
              </w:rPr>
              <w:t xml:space="preserve">4.0</w:t>
            </w:r>
          </w:p>
        </w:tc>
        <w:tc>
          <w:tcPr/>
          <w:p>
            <w:pPr>
              <w:pStyle w:val="Compact"/>
              <w:jc w:val="right"/>
            </w:pPr>
            <w:r>
              <w:rPr>
                <w:sz w:val="18"/>
              </w:rPr>
              <w:t xml:space="preserve">13,930</w:t>
            </w:r>
          </w:p>
        </w:tc>
        <w:tc>
          <w:tcPr/>
          <w:p>
            <w:pPr>
              <w:pStyle w:val="Compact"/>
              <w:jc w:val="right"/>
            </w:pPr>
            <w:r>
              <w:rPr>
                <w:sz w:val="18"/>
              </w:rPr>
              <w:t xml:space="preserve">10,366</w:t>
            </w:r>
          </w:p>
        </w:tc>
        <w:tc>
          <w:tcPr/>
          <w:p>
            <w:pPr>
              <w:pStyle w:val="Compact"/>
              <w:jc w:val="right"/>
            </w:pPr>
            <w:r>
              <w:rPr>
                <w:sz w:val="18"/>
              </w:rPr>
              <w:t xml:space="preserve">2.12</w:t>
            </w:r>
          </w:p>
        </w:tc>
        <w:tc>
          <w:tcPr/>
          <w:p>
            <w:pPr>
              <w:pStyle w:val="Compact"/>
              <w:jc w:val="right"/>
            </w:pPr>
            <w:r>
              <w:rPr>
                <w:sz w:val="18"/>
              </w:rPr>
              <w:t xml:space="preserve">1.95</w:t>
            </w:r>
          </w:p>
        </w:tc>
        <w:tc>
          <w:tcPr/>
          <w:p>
            <w:pPr>
              <w:pStyle w:val="Compact"/>
              <w:jc w:val="right"/>
            </w:pPr>
            <w:r>
              <w:rPr>
                <w:sz w:val="18"/>
              </w:rPr>
              <w:t xml:space="preserve">2.47</w:t>
            </w:r>
          </w:p>
        </w:tc>
        <w:tc>
          <w:tcPr/>
          <w:p>
            <w:pPr>
              <w:pStyle w:val="Compact"/>
              <w:jc w:val="right"/>
            </w:pPr>
            <w:r>
              <w:rPr>
                <w:sz w:val="18"/>
              </w:rPr>
              <w:t xml:space="preserve">3.37</w:t>
            </w:r>
          </w:p>
        </w:tc>
        <w:tc>
          <w:tcPr/>
          <w:p>
            <w:pPr>
              <w:pStyle w:val="Compact"/>
            </w:pPr>
            <w:r>
              <w:rPr>
                <w:rFonts w:hint="eastAsia"/>
                <w:sz w:val="18"/>
              </w:rPr>
              <w:t xml:space="preserve">4.1年／3.0年</w:t>
            </w:r>
          </w:p>
        </w:tc>
      </w:tr>
      <w:tr>
        <w:tc>
          <w:tcPr/>
          <w:p>
            <w:pPr>
              <w:pStyle w:val="Compact"/>
            </w:pPr>
            <w:r>
              <w:rPr>
                <w:rFonts w:hint="eastAsia"/>
                <w:sz w:val="18"/>
              </w:rPr>
              <w:t xml:space="preserve">8時間</w:t>
            </w:r>
          </w:p>
        </w:tc>
        <w:tc>
          <w:tcPr/>
          <w:p>
            <w:pPr>
              <w:pStyle w:val="Compact"/>
              <w:jc w:val="right"/>
            </w:pPr>
            <w:r>
              <w:rPr>
                <w:sz w:val="18"/>
              </w:rPr>
              <w:t xml:space="preserve">4.0</w:t>
            </w:r>
          </w:p>
        </w:tc>
        <w:tc>
          <w:tcPr/>
          <w:p>
            <w:pPr>
              <w:pStyle w:val="Compact"/>
              <w:jc w:val="right"/>
            </w:pPr>
            <w:r>
              <w:rPr>
                <w:sz w:val="18"/>
              </w:rPr>
              <w:t xml:space="preserve">14,701</w:t>
            </w:r>
          </w:p>
        </w:tc>
        <w:tc>
          <w:tcPr/>
          <w:p>
            <w:pPr>
              <w:pStyle w:val="Compact"/>
              <w:jc w:val="right"/>
            </w:pPr>
            <w:r>
              <w:rPr>
                <w:sz w:val="18"/>
              </w:rPr>
              <w:t xml:space="preserve">11,033</w:t>
            </w:r>
          </w:p>
        </w:tc>
        <w:tc>
          <w:tcPr/>
          <w:p>
            <w:pPr>
              <w:pStyle w:val="Compact"/>
              <w:jc w:val="right"/>
            </w:pPr>
            <w:r>
              <w:rPr>
                <w:sz w:val="18"/>
              </w:rPr>
              <w:t xml:space="preserve">2.65</w:t>
            </w:r>
          </w:p>
        </w:tc>
        <w:tc>
          <w:tcPr/>
          <w:p>
            <w:pPr>
              <w:pStyle w:val="Compact"/>
              <w:jc w:val="right"/>
            </w:pPr>
            <w:r>
              <w:rPr>
                <w:sz w:val="18"/>
              </w:rPr>
              <w:t xml:space="preserve">2.33</w:t>
            </w:r>
          </w:p>
        </w:tc>
        <w:tc>
          <w:tcPr/>
          <w:p>
            <w:pPr>
              <w:pStyle w:val="Compact"/>
              <w:jc w:val="right"/>
            </w:pPr>
            <w:r>
              <w:rPr>
                <w:sz w:val="18"/>
              </w:rPr>
              <w:t xml:space="preserve">3.09</w:t>
            </w:r>
          </w:p>
        </w:tc>
        <w:tc>
          <w:tcPr/>
          <w:p>
            <w:pPr>
              <w:pStyle w:val="Compact"/>
              <w:jc w:val="right"/>
            </w:pPr>
            <w:r>
              <w:rPr>
                <w:sz w:val="18"/>
              </w:rPr>
              <w:t xml:space="preserve">4.21</w:t>
            </w:r>
          </w:p>
        </w:tc>
        <w:tc>
          <w:tcPr/>
          <w:p>
            <w:pPr>
              <w:pStyle w:val="Compact"/>
            </w:pPr>
            <w:r>
              <w:rPr>
                <w:rFonts w:hint="eastAsia"/>
                <w:sz w:val="18"/>
              </w:rPr>
              <w:t xml:space="preserve">7.7年／5.4年</w:t>
            </w:r>
          </w:p>
        </w:tc>
      </w:tr>
    </w:tbl>
    <w:p>
      <w:pPr>
        <w:pStyle w:val="TableNote"/>
      </w:pPr>
      <w:r>
        <w:rPr>
          <w:rFonts w:hint="eastAsia"/>
        </w:rPr>
        <w:t xml:space="preserve">注）</w:t>
      </w:r>
      <m:oMath>
        <m:r>
          <m:t>K</m:t>
        </m:r>
        <m:r>
          <m:rPr>
            <m:sty m:val="p"/>
          </m:rPr>
          <m:t>=</m:t>
        </m:r>
        <m:r>
          <m:t>0</m:t>
        </m:r>
      </m:oMath>
      <w:r>
        <w:t xml:space="preserve">、WACC </w:t>
      </w:r>
      <w:r>
        <w:rPr>
          <w:rFonts w:hint="eastAsia"/>
        </w:rPr>
        <w:t xml:space="preserve">6%、資本費一定、寿命20年。収入は</w:t>
      </w:r>
      <w:r>
        <w:t xml:space="preserve"> FY2023〜25 </w:t>
      </w:r>
      <w:r>
        <w:rPr>
          <w:rFonts w:hint="eastAsia"/>
        </w:rPr>
        <w:t xml:space="preserve">の実績価格での戦略</w:t>
      </w:r>
      <w:r>
        <w:t xml:space="preserve"> </w:t>
      </w:r>
      <w:r>
        <w:rPr>
          <w:rFonts w:hint="eastAsia"/>
        </w:rPr>
        <w:t xml:space="preserve">c（窓を</w:t>
      </w:r>
      <w:r>
        <w:t xml:space="preserve"> h </w:t>
      </w:r>
      <w:r>
        <w:rPr>
          <w:rFonts w:hint="eastAsia"/>
        </w:rPr>
        <w:t xml:space="preserve">時間にした同じ規則）の実現額で、価格過程モデルの上で4時間で校正した収益を使う場合との</w:t>
      </w:r>
      <w:r>
        <w:t xml:space="preserve"> </w:t>
      </w:r>
      <m:oMath>
        <m:sSup>
          <m:e>
            <m:r>
              <m:t>θ</m:t>
            </m:r>
          </m:e>
          <m:sup>
            <m:r>
              <m:rPr>
                <m:sty m:val="p"/>
              </m:rPr>
              <m:t>*</m:t>
            </m:r>
          </m:sup>
        </m:sSup>
      </m:oMath>
      <w:r>
        <w:t xml:space="preserve"> </w:t>
      </w:r>
      <w:r>
        <w:rPr>
          <w:rFonts w:hint="eastAsia"/>
        </w:rPr>
        <w:t xml:space="preserve">の差は0.1以内（最大は2時間の0.08〜0.10）。資本費は、4時間で4×（資本費）となるよう</w:t>
      </w:r>
      <w:r>
        <w:t xml:space="preserve"> kWh </w:t>
      </w:r>
      <w:r>
        <w:rPr>
          <w:rFonts w:hint="eastAsia"/>
        </w:rPr>
        <w:t xml:space="preserve">比例部分と</w:t>
      </w:r>
      <w:r>
        <w:t xml:space="preserve"> kW </w:t>
      </w:r>
      <w:r>
        <w:rPr>
          <w:rFonts w:hint="eastAsia"/>
        </w:rPr>
        <w:t xml:space="preserve">比例部分に分けた。kW</w:t>
      </w:r>
      <w:r>
        <w:t xml:space="preserve"> </w:t>
      </w:r>
      <w:r>
        <w:rPr>
          <w:rFonts w:hint="eastAsia"/>
        </w:rPr>
        <w:t xml:space="preserve">部分24.3%は、パワーコンディショナと付帯設備・工事費の半分（経済産業省の定置用蓄電システム普及拡大検討会の資料による2024年度の系統用の内訳）である。kW</w:t>
      </w:r>
      <w:r>
        <w:t xml:space="preserve"> </w:t>
      </w:r>
      <w:r>
        <w:rPr>
          <w:rFonts w:hint="eastAsia"/>
        </w:rPr>
        <w:t xml:space="preserve">部分を0〜39.7%に振ると</w:t>
      </w:r>
      <w:r>
        <w:t xml:space="preserve"> </w:t>
      </w:r>
      <m:oMath>
        <m:sSup>
          <m:e>
            <m:r>
              <m:t>θ</m:t>
            </m:r>
          </m:e>
          <m:sup>
            <m:r>
              <m:rPr>
                <m:sty m:val="p"/>
              </m:rPr>
              <m:t>*</m:t>
            </m:r>
          </m:sup>
        </m:sSup>
      </m:oMath>
      <w:r>
        <w:t xml:space="preserve"> </w:t>
      </w:r>
      <w:r>
        <w:rPr>
          <w:rFonts w:hint="eastAsia"/>
        </w:rPr>
        <w:t xml:space="preserve">の最小は3〜5時間の間で入れ替わり、4時間との差は最大0.13である。kW</w:t>
      </w:r>
      <w:r>
        <w:t xml:space="preserve"> </w:t>
      </w:r>
      <w:r>
        <w:rPr>
          <w:rFonts w:hint="eastAsia"/>
        </w:rPr>
        <w:t xml:space="preserve">部分39.7%（電池以外すべて）の</w:t>
      </w:r>
      <w:r>
        <w:t xml:space="preserve"> </w:t>
      </w:r>
      <m:oMath>
        <m:sSup>
          <m:e>
            <m:r>
              <m:t>θ</m:t>
            </m:r>
          </m:e>
          <m:sup>
            <m:r>
              <m:rPr>
                <m:sty m:val="p"/>
              </m:rPr>
              <m:t>*</m:t>
            </m:r>
          </m:sup>
        </m:sSup>
      </m:oMath>
      <w:r>
        <w:t xml:space="preserve"> </w:t>
      </w:r>
      <w:r>
        <w:rPr>
          <w:rFonts w:hint="eastAsia"/>
        </w:rPr>
        <w:t xml:space="preserve">は、資本費6.8万円で2時間5.96、3時間3.20、5時間2.96、6時間3.07、8時間3.55である。実効容量収入は2029年度向け北海道（14,972円/kW）を調整係数の月平均で按分した。2時間仕様は容量市場の安定電源の要件（3時間以上）を満たさないため容量収入を0とし、比較のため容量収入0の4時間仕様を併記した。2時間を出力2/3で3時間として応札できるとしても、2時間の</w:t>
      </w:r>
      <w:r>
        <w:t xml:space="preserve"> </w:t>
      </w:r>
      <m:oMath>
        <m:sSup>
          <m:e>
            <m:r>
              <m:t>θ</m:t>
            </m:r>
          </m:e>
          <m:sup>
            <m:r>
              <m:rPr>
                <m:sty m:val="p"/>
              </m:rPr>
              <m:t>*</m:t>
            </m:r>
          </m:sup>
        </m:sSup>
      </m:oMath>
      <w:r>
        <w:t xml:space="preserve"> </w:t>
      </w:r>
      <w:r>
        <w:rPr>
          <w:rFonts w:hint="eastAsia"/>
        </w:rPr>
        <w:t xml:space="preserve">は3.44〜4.41（資本費6.8万円。4.0万円では2.46〜3.03）で4時間より高い。</w:t>
      </w:r>
      <m:oMath>
        <m:sSub>
          <m:e>
            <m:r>
              <m:t>θ</m:t>
            </m:r>
          </m:e>
          <m:sub>
            <m:r>
              <m:t>c</m:t>
            </m:r>
          </m:sub>
        </m:sSub>
      </m:oMath>
      <w:r>
        <w:t xml:space="preserve"> </w:t>
      </w:r>
      <w:r>
        <w:rPr>
          <w:rFonts w:hint="eastAsia"/>
        </w:rPr>
        <w:t xml:space="preserve">は競争均衡の閾値の静学に対する比（</w:t>
      </w:r>
      <m:oMath>
        <m:r>
          <m:t>σ</m:t>
        </m:r>
        <m:r>
          <m:rPr>
            <m:sty m:val="p"/>
          </m:rPr>
          <m:t>=</m:t>
        </m:r>
        <m:r>
          <m:t>0.10</m:t>
        </m:r>
      </m:oMath>
      <w:r>
        <w:t xml:space="preserve"> </w:t>
      </w:r>
      <w:r>
        <w:rPr>
          <w:rFonts w:hint="eastAsia"/>
        </w:rPr>
        <w:t xml:space="preserve">で1.166、0.30で1.592。仕様によらず一定）を全額</w:t>
      </w:r>
      <w:r>
        <w:t xml:space="preserve"> kWh </w:t>
      </w:r>
      <w:r>
        <w:rPr>
          <w:rFonts w:hint="eastAsia"/>
        </w:rPr>
        <w:t xml:space="preserve">比例の</w:t>
      </w:r>
      <w:r>
        <w:t xml:space="preserve"> </w:t>
      </w:r>
      <m:oMath>
        <m:sSup>
          <m:e>
            <m:r>
              <m:t>θ</m:t>
            </m:r>
          </m:e>
          <m:sup>
            <m:r>
              <m:rPr>
                <m:sty m:val="p"/>
              </m:rPr>
              <m:t>*</m:t>
            </m:r>
          </m:sup>
        </m:sSup>
      </m:oMath>
      <w:r>
        <w:t xml:space="preserve"> </w:t>
      </w:r>
      <w:r>
        <w:rPr>
          <w:rFonts w:hint="eastAsia"/>
        </w:rPr>
        <w:t xml:space="preserve">に掛けた値。年数は、恒久成分の水準1.22でのスポット収入に加えてスポット以外の収入が年3万円または4万円/kW</w:t>
      </w:r>
      <w:r>
        <w:t xml:space="preserve"> </w:t>
      </w:r>
      <w:r>
        <w:rPr>
          <w:rFonts w:hint="eastAsia"/>
        </w:rPr>
        <w:t xml:space="preserve">続く場合に、静学の</w:t>
      </w:r>
      <w:r>
        <w:t xml:space="preserve"> NPV </w:t>
      </w:r>
      <w:r>
        <w:rPr>
          <w:rFonts w:hint="eastAsia"/>
        </w:rPr>
        <w:t xml:space="preserve">が0になる年数で、全額</w:t>
      </w:r>
      <w:r>
        <w:t xml:space="preserve"> kWh </w:t>
      </w:r>
      <w:r>
        <w:rPr>
          <w:rFonts w:hint="eastAsia"/>
        </w:rPr>
        <w:t xml:space="preserve">比例の値である（両者を足し合わせられると置いた楽観側の値）。</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経済産業省『定置用蓄電システム普及拡大検討会</w:t>
      </w:r>
      <w:r>
        <w:t xml:space="preserve"> </w:t>
      </w:r>
      <w:r>
        <w:rPr>
          <w:rFonts w:hint="eastAsia"/>
        </w:rPr>
        <w:t xml:space="preserve">資料』より筆者作成。</w:t>
      </w:r>
    </w:p>
    <w:p>
      <w:pPr>
        <w:pStyle w:val="BodyText"/>
      </w:pPr>
      <w:r>
        <w:rPr>
          <w:rFonts w:hint="eastAsia"/>
        </w:rPr>
        <w:t xml:space="preserve">参入が開く価格水準</w:t>
      </w:r>
      <w:r>
        <w:t xml:space="preserve"> </w:t>
      </w:r>
      <m:oMath>
        <m:sSup>
          <m:e>
            <m:r>
              <m:t>θ</m:t>
            </m:r>
          </m:e>
          <m:sup>
            <m:r>
              <m:rPr>
                <m:sty m:val="p"/>
              </m:rPr>
              <m:t>*</m:t>
            </m:r>
          </m:sup>
        </m:sSup>
      </m:oMath>
      <w:r>
        <w:t xml:space="preserve"> </w:t>
      </w:r>
      <w:r>
        <w:t xml:space="preserve">は、kW </w:t>
      </w:r>
      <w:r>
        <w:rPr>
          <w:rFonts w:hint="eastAsia"/>
        </w:rPr>
        <w:t xml:space="preserve">比例部分を0〜40%とした幅で、3〜5時間で2.86〜3.21、2時間は容量収入がないので5.0〜6.0、6時間3.07〜3.53、8時間3.55〜4.42である（表C.17）。主とする24.3%では、6時間3.25、8時間3.89である。資本費6.8万円/kWh</w:t>
      </w:r>
      <w:r>
        <w:t xml:space="preserve"> ではどの duration の</w:t>
      </w:r>
      <w:r>
        <w:t xml:space="preserve"> </w:t>
      </w:r>
      <m:oMath>
        <m:sSup>
          <m:e>
            <m:r>
              <m:t>θ</m:t>
            </m:r>
          </m:e>
          <m:sup>
            <m:r>
              <m:rPr>
                <m:sty m:val="p"/>
              </m:rPr>
              <m:t>*</m:t>
            </m:r>
          </m:sup>
        </m:sSup>
      </m:oMath>
      <w:r>
        <w:t xml:space="preserve"> </w:t>
      </w:r>
      <w:r>
        <w:t xml:space="preserve">も </w:t>
      </w:r>
      <w:r>
        <w:rPr>
          <w:rFonts w:hint="eastAsia"/>
        </w:rPr>
        <w:t xml:space="preserve">FY2026上期の水準1.57を大きく上回り、4.0万円/kWh</w:t>
      </w:r>
      <w:r>
        <w:t xml:space="preserve"> </w:t>
      </w:r>
      <w:r>
        <w:rPr>
          <w:rFonts w:hint="eastAsia"/>
        </w:rPr>
        <w:t xml:space="preserve">でも最小1.79で上回る。</w:t>
      </w:r>
    </w:p>
    <w:p>
      <w:pPr>
        <w:pStyle w:val="BodyText"/>
      </w:pPr>
      <w:r>
        <w:t xml:space="preserve">duration </w:t>
      </w:r>
      <w:r>
        <w:rPr>
          <w:rFonts w:hint="eastAsia"/>
        </w:rPr>
        <w:t xml:space="preserve">を選び直したときの4時間からの</w:t>
      </w:r>
      <w:r>
        <w:t xml:space="preserve"> </w:t>
      </w:r>
      <m:oMath>
        <m:sSup>
          <m:e>
            <m:r>
              <m:t>θ</m:t>
            </m:r>
          </m:e>
          <m:sup>
            <m:r>
              <m:rPr>
                <m:sty m:val="p"/>
              </m:rPr>
              <m:t>*</m:t>
            </m:r>
          </m:sup>
        </m:sSup>
      </m:oMath>
      <w:r>
        <w:t xml:space="preserve"> </w:t>
      </w:r>
      <w:r>
        <w:rPr>
          <w:rFonts w:hint="eastAsia"/>
        </w:rPr>
        <w:t xml:space="preserve">の低下は約4%で、資本費6.8万円/kWh</w:t>
      </w:r>
      <w:r>
        <w:t xml:space="preserve"> </w:t>
      </w:r>
      <w:r>
        <w:rPr>
          <w:rFonts w:hint="eastAsia"/>
        </w:rPr>
        <w:t xml:space="preserve">で最大4.3%、WACC</w:t>
      </w:r>
      <w:r>
        <w:t xml:space="preserve"> 8% </w:t>
      </w:r>
      <w:r>
        <w:rPr>
          <w:rFonts w:hint="eastAsia"/>
        </w:rPr>
        <w:t xml:space="preserve">で4.5%である（後二者は4時間で校正した収益による）。容量収入を0とし資本費2.3万円/kWh・kW</w:t>
      </w:r>
      <w:r>
        <w:t xml:space="preserve"> </w:t>
      </w:r>
      <w:r>
        <w:rPr>
          <w:rFonts w:hint="eastAsia"/>
        </w:rPr>
        <w:t xml:space="preserve">比例部分40%とする極端な組合せでは、低下は最大の6.6%（最小は6時間）になる。容量収入を2026年度向けの約定価格（8,749円/kW）に調整係数を掛けた値とすると、同じ組合せで最大5.0%である。1日2サイクルを許しても、戦略</w:t>
      </w:r>
      <w:r>
        <w:t xml:space="preserve"> c </w:t>
      </w:r>
      <w:r>
        <w:rPr>
          <w:rFonts w:hint="eastAsia"/>
        </w:rPr>
        <w:t xml:space="preserve">の実現額は2時間で+1.0%、4時間で+0.7%（充放電の順序を課した1サイクル比）しか増えない。充放電の順序を課しても、戦略</w:t>
      </w:r>
      <w:r>
        <w:t xml:space="preserve"> c </w:t>
      </w:r>
      <w:r>
        <w:rPr>
          <w:rFonts w:hint="eastAsia"/>
        </w:rPr>
        <w:t xml:space="preserve">の実現額は4時間で+0.05%、2〜8時間で−0.8〜+0.4%しか動かない。需給調整市場の</w:t>
      </w:r>
      <w:r>
        <w:t xml:space="preserve"> ΔkW </w:t>
      </w:r>
      <w:r>
        <w:rPr>
          <w:rFonts w:hint="eastAsia"/>
        </w:rPr>
        <w:t xml:space="preserve">収入は入れていない（短い</w:t>
      </w:r>
      <w:r>
        <w:t xml:space="preserve"> duration </w:t>
      </w:r>
      <w:r>
        <w:rPr>
          <w:rFonts w:hint="eastAsia"/>
        </w:rPr>
        <w:t xml:space="preserve">に有利に働く）。</w:t>
      </w:r>
    </w:p>
    <w:p>
      <w:pPr>
        <w:pStyle w:val="BodyText"/>
      </w:pPr>
      <w:r>
        <w:rPr>
          <w:rFonts w:hint="eastAsia"/>
        </w:rPr>
        <w:t xml:space="preserve">札幌市の</w:t>
      </w:r>
      <w:r>
        <w:t xml:space="preserve"> </w:t>
      </w:r>
      <w:r>
        <w:rPr>
          <w:rFonts w:hint="eastAsia"/>
        </w:rPr>
        <w:t xml:space="preserve">Helios（5万kW/10.4万kWh、2025年12月運開）の</w:t>
      </w:r>
      <w:r>
        <w:t xml:space="preserve"> duration </w:t>
      </w:r>
      <w:r>
        <w:rPr>
          <w:rFonts w:hint="eastAsia"/>
        </w:rPr>
        <w:t xml:space="preserve">は約2時間であり、2時間仕様の戦略</w:t>
      </w:r>
      <w:r>
        <w:t xml:space="preserve"> c </w:t>
      </w:r>
      <w:r>
        <w:rPr>
          <w:rFonts w:hint="eastAsia"/>
        </w:rPr>
        <w:t xml:space="preserve">の実現額は実績価格（FY2023〜25）で4,955円/kW-年と、4時間（8,427円）の0.59倍である（完全予見粗利の比は0.58、モデル価格の上の戦略</w:t>
      </w:r>
      <w:r>
        <w:t xml:space="preserve"> c </w:t>
      </w:r>
      <w:r>
        <w:rPr>
          <w:rFonts w:hint="eastAsia"/>
        </w:rPr>
        <w:t xml:space="preserve">の比も0.58）。kWh</w:t>
      </w:r>
      <w:r>
        <w:t xml:space="preserve"> </w:t>
      </w:r>
      <w:r>
        <w:rPr>
          <w:rFonts w:hint="eastAsia"/>
        </w:rPr>
        <w:t xml:space="preserve">あたりの単価が同じなら資本費は4時間の半分で済む（パワーコンディショナ等の</w:t>
      </w:r>
      <w:r>
        <w:t xml:space="preserve"> kW </w:t>
      </w:r>
      <w:r>
        <w:rPr>
          <w:rFonts w:hint="eastAsia"/>
        </w:rPr>
        <w:t xml:space="preserve">比例部分を入れれば約6割）が、2時間仕様は容量市場の安定電源の要件を満たさない。容量収入を見込まない場合の静学の損益分岐</w:t>
      </w:r>
      <w:r>
        <w:t xml:space="preserve"> </w:t>
      </w:r>
      <m:oMath>
        <m:sSup>
          <m:e>
            <m:r>
              <m:t>θ</m:t>
            </m:r>
          </m:e>
          <m:sup>
            <m:r>
              <m:rPr>
                <m:sty m:val="p"/>
              </m:rPr>
              <m:t>*</m:t>
            </m:r>
          </m:sup>
        </m:sSup>
      </m:oMath>
      <w:r>
        <w:t xml:space="preserve"> </w:t>
      </w:r>
      <w:r>
        <w:rPr>
          <w:rFonts w:hint="eastAsia"/>
        </w:rPr>
        <w:t xml:space="preserve">は、資本費6.8万円/kWh</w:t>
      </w:r>
      <w:r>
        <w:t xml:space="preserve"> </w:t>
      </w:r>
      <w:r>
        <w:rPr>
          <w:rFonts w:hint="eastAsia"/>
        </w:rPr>
        <w:t xml:space="preserve">で5.0、4.0万円/kWh</w:t>
      </w:r>
      <w:r>
        <w:t xml:space="preserve"> </w:t>
      </w:r>
      <w:r>
        <w:rPr>
          <w:rFonts w:hint="eastAsia"/>
        </w:rPr>
        <w:t xml:space="preserve">で4.0であり（資本費を全額</w:t>
      </w:r>
      <w:r>
        <w:t xml:space="preserve"> kWh </w:t>
      </w:r>
      <w:r>
        <w:rPr>
          <w:rFonts w:hint="eastAsia"/>
        </w:rPr>
        <w:t xml:space="preserve">比例とした値。kW</w:t>
      </w:r>
      <w:r>
        <w:t xml:space="preserve"> </w:t>
      </w:r>
      <w:r>
        <w:rPr>
          <w:rFonts w:hint="eastAsia"/>
        </w:rPr>
        <w:t xml:space="preserve">比例部分を40%とするとそれぞれ6.0、4.6）、同じく容量収入を0とした4時間仕様の4.5、3.3より高い。</w:t>
      </w:r>
    </w:p>
    <w:p>
      <w:pPr>
        <w:pStyle w:val="BodyText"/>
      </w:pPr>
      <w:r>
        <w:rPr>
          <w:rFonts w:hint="eastAsia"/>
        </w:rPr>
        <w:t xml:space="preserve">事業者は、2026年第2四半期に需給調整市場、2028年までに容量市場へ参加する計画で、2026年の電力取引の収入を最大20億円（約4万円/kW-年）と見込んでいる（HD</w:t>
      </w:r>
      <w:r>
        <w:t xml:space="preserve"> Renewable Energy, </w:t>
      </w:r>
      <w:r>
        <w:rPr>
          <w:rFonts w:hint="eastAsia"/>
        </w:rPr>
        <w:t xml:space="preserve">2025）。2時間仕様の戦略</w:t>
      </w:r>
      <w:r>
        <w:t xml:space="preserve"> c </w:t>
      </w:r>
      <w:r>
        <w:rPr>
          <w:rFonts w:hint="eastAsia"/>
        </w:rPr>
        <w:t xml:space="preserve">の実現額を恒久成分の水準1.22に比例させたスポット実現収益（充電従量負担を控除）は約5,200円/kW-年で、発表の20億円が充電費用を差し引いた粗利であれば、その約13%にとどまる（売上か粗利かは発表からは分からない）。スポット以外の収入が年3万円/kW</w:t>
      </w:r>
      <w:r>
        <w:t xml:space="preserve"> </w:t>
      </w:r>
      <w:r>
        <w:rPr>
          <w:rFonts w:hint="eastAsia"/>
        </w:rPr>
        <w:t xml:space="preserve">続けば約9.6年、年4万円/kW</w:t>
      </w:r>
      <w:r>
        <w:t xml:space="preserve"> </w:t>
      </w:r>
      <w:r>
        <w:rPr>
          <w:rFonts w:hint="eastAsia"/>
        </w:rPr>
        <w:t xml:space="preserve">なら約6.7年で静学の</w:t>
      </w:r>
      <w:r>
        <w:t xml:space="preserve"> NPV </w:t>
      </w:r>
      <w:r>
        <w:rPr>
          <w:rFonts w:hint="eastAsia"/>
        </w:rPr>
        <w:t xml:space="preserve">が0になる（資本費6.8万円/kWh・2時間、WACC</w:t>
      </w:r>
      <w:r>
        <w:t xml:space="preserve"> </w:t>
      </w:r>
      <w:r>
        <w:rPr>
          <w:rFonts w:hint="eastAsia"/>
        </w:rPr>
        <w:t xml:space="preserve">6%。資本費4.0万円/kWh</w:t>
      </w:r>
      <w:r>
        <w:t xml:space="preserve"> </w:t>
      </w:r>
      <w:r>
        <w:rPr>
          <w:rFonts w:hint="eastAsia"/>
        </w:rPr>
        <w:t xml:space="preserve">ならそれぞれ約6.6年、約4.7年）。ただし需給調整市場に出す容量はスポット裁定に使えないので、両者を足し合わせたこの年数は楽観側の値である。</w:t>
      </w:r>
    </w:p>
    <w:bookmarkEnd w:id="368"/>
    <w:bookmarkStart w:id="369" w:name="c.2.5-層分解の補足"/>
    <w:p>
      <w:pPr>
        <w:pStyle w:val="Heading3"/>
      </w:pPr>
      <w:r>
        <w:t xml:space="preserve">C.2.5　</w:t>
      </w:r>
      <w:r>
        <w:rPr>
          <w:rFonts w:hint="eastAsia"/>
        </w:rPr>
        <w:t xml:space="preserve">層分解の補足</w:t>
      </w:r>
    </w:p>
    <w:p>
      <w:pPr>
        <w:pStyle w:val="FirstParagraph"/>
      </w:pPr>
      <w:r>
        <w:rPr>
          <w:rFonts w:hint="eastAsia"/>
        </w:rPr>
        <w:t xml:space="preserve">固定窓の粗利が負になる日は、FY2023〜25</w:t>
      </w:r>
      <w:r>
        <w:t xml:space="preserve"> </w:t>
      </w:r>
      <w:r>
        <w:rPr>
          <w:rFonts w:hint="eastAsia"/>
        </w:rPr>
        <w:t xml:space="preserve">に年18〜37日（5〜10%）で、その日の損失は平均7.7円/kW-日である。FY2016〜22</w:t>
      </w:r>
      <w:r>
        <w:t xml:space="preserve"> では (II) </w:t>
      </w:r>
      <w:r>
        <w:rPr>
          <w:rFonts w:hint="eastAsia"/>
        </w:rPr>
        <w:t xml:space="preserve">は完全予見粗利の0.3〜1.1%にすぎない。(III)</w:t>
      </w:r>
      <w:r>
        <w:t xml:space="preserve"> </w:t>
      </w:r>
      <w:r>
        <w:rPr>
          <w:rFonts w:hint="eastAsia"/>
        </w:rPr>
        <w:t xml:space="preserve">は年度により1,086〜4,026円/kW-年である。</w:t>
      </w:r>
    </w:p>
    <w:p>
      <w:pPr>
        <w:pStyle w:val="BodyText"/>
      </w:pPr>
      <w:r>
        <w:rPr>
          <w:rFonts w:hint="eastAsia"/>
        </w:rPr>
        <w:t xml:space="preserve">冬に固定窓が外れやすい理由の一つは、放電に適した時間が朝と夕方の間で日々入れ替わることにある。完全予見の放電窓に朝6〜11時が2時間以上入る日は、冬に22%ある（夏1%、不需要期4%）。その日は、平均価格カーブで固定した放電窓が完全予見の放電窓と4時間のうち1.5時間しか一致せず（それ以外の日は2.4時間）、(III)</w:t>
      </w:r>
      <w:r>
        <w:t xml:space="preserve"> </w:t>
      </w:r>
      <w:r>
        <w:rPr>
          <w:rFonts w:hint="eastAsia"/>
        </w:rPr>
        <w:t xml:space="preserve">が完全予見粗利の52%を占める（それ以外の日は26%）。冬の</w:t>
      </w:r>
      <w:r>
        <w:t xml:space="preserve"> (III) </w:t>
      </w:r>
      <w:r>
        <w:rPr>
          <w:rFonts w:hint="eastAsia"/>
        </w:rPr>
        <w:t xml:space="preserve">の35%は、この22%の日に生じる。FY2023〜25</w:t>
      </w:r>
      <w:r>
        <w:t xml:space="preserve"> </w:t>
      </w:r>
      <w:r>
        <w:rPr>
          <w:rFonts w:hint="eastAsia"/>
        </w:rPr>
        <w:t xml:space="preserve">の冬の完全予見の充電窓は、4時間のうち平均3.1時間が昼（9〜15時）にあり、夜（0〜5時）は0.6時間にとどまる。冬の</w:t>
      </w:r>
      <w:r>
        <w:t xml:space="preserve"> (I) </w:t>
      </w:r>
      <w:r>
        <w:rPr>
          <w:rFonts w:hint="eastAsia"/>
        </w:rPr>
        <w:t xml:space="preserve">の比率は</w:t>
      </w:r>
      <w:r>
        <w:t xml:space="preserve"> FY2023 に0.67、FY2024 に0.71、FY2025 </w:t>
      </w:r>
      <w:r>
        <w:rPr>
          <w:rFonts w:hint="eastAsia"/>
        </w:rPr>
        <w:t xml:space="preserve">に0.50と、年々の振れも大きい。冬の完全予見粗利は年間の15%（1,519円/kW-年）であり、冬の</w:t>
      </w:r>
      <w:r>
        <w:t xml:space="preserve"> (I) </w:t>
      </w:r>
      <w:r>
        <w:rPr>
          <w:rFonts w:hint="eastAsia"/>
        </w:rPr>
        <w:t xml:space="preserve">の比率が夏並み（0.86）であっても、年間の実現率は0.82から0.85に上がるだけである。</w:t>
      </w:r>
    </w:p>
    <w:p>
      <w:pPr>
        <w:pStyle w:val="BodyText"/>
      </w:pPr>
      <w:r>
        <w:rPr>
          <w:rFonts w:hint="eastAsia"/>
        </w:rPr>
        <w:t xml:space="preserve">充放電の順序を課した厳密解では、完全予見粗利が年度により0.3〜2.7%下がる一方、(I)</w:t>
      </w:r>
      <w:r>
        <w:t xml:space="preserve"> </w:t>
      </w:r>
      <w:r>
        <w:rPr>
          <w:rFonts w:hint="eastAsia"/>
        </w:rPr>
        <w:t xml:space="preserve">はほぼ変わらない（±0.4%以内）。このため</w:t>
      </w:r>
      <w:r>
        <w:t xml:space="preserve"> FY2023〜25 </w:t>
      </w:r>
      <w:r>
        <w:rPr>
          <w:rFonts w:hint="eastAsia"/>
        </w:rPr>
        <w:t xml:space="preserve">の実現率は0.835（年度別0.83〜0.85）に上がり、冬の</w:t>
      </w:r>
      <w:r>
        <w:t xml:space="preserve"> (III) </w:t>
      </w:r>
      <w:r>
        <w:rPr>
          <w:rFonts w:hint="eastAsia"/>
        </w:rPr>
        <w:t xml:space="preserve">の比率は28%に下がるが、季節の差は残る。順序を課した場合の季節別の実現率は、夏0.86、冬0.65、不需要期0.87である。完全予見粗利に実現率を掛けた額は、どちらの方法でもほぼ同じである（8,427円と8,431円/kW-年）。</w:t>
      </w:r>
    </w:p>
    <w:p>
      <w:pPr>
        <w:pStyle w:val="BodyText"/>
      </w:pPr>
      <w:r>
        <w:rPr>
          <w:rFonts w:hint="eastAsia"/>
        </w:rPr>
        <w:t xml:space="preserve">日次の</w:t>
      </w:r>
      <w:r>
        <w:t xml:space="preserve"> </w:t>
      </w:r>
      <w:r>
        <w:rPr>
          <w:rFonts w:hint="eastAsia"/>
        </w:rPr>
        <w:t xml:space="preserve">(III)（円/kW-日）を日次風力発電量（出力制御前、GWh/日）に季節別に回帰すると、年度固定効果の仕様では、係数は夏+0.02（t=0.2）、冬−0.18（t=−2.3）、不需要期−0.09（t=−1.4）である。年月固定効果と日次の需要・太陽光・土日を加えた仕様では、夏0.00（t=0.0）、冬−0.29（t=−2.2）、不需要期−0.19（t=−2.9）である。日次の完全予見粗利の係数は、冬に−0.36（t=−1.5）・−0.39（t=−1.5）で、どの季節でも5%水準で有意でない。標準誤差は</w:t>
      </w:r>
      <w:r>
        <w:t xml:space="preserve"> </w:t>
      </w:r>
      <w:r>
        <w:rPr>
          <w:rFonts w:hint="eastAsia"/>
        </w:rPr>
        <w:t xml:space="preserve">Newey–West（7ラグ）による。Newey–West</w:t>
      </w:r>
      <w:r>
        <w:t xml:space="preserve"> </w:t>
      </w:r>
      <w:r>
        <w:rPr>
          <w:rFonts w:hint="eastAsia"/>
        </w:rPr>
        <w:t xml:space="preserve">は系列相関の強い日次回帰で過大に棄却しやすいので（5.9節）、完全予見粗利の係数が有意でないという結論は推論法を変えても覆りにくいが、(III)</w:t>
      </w:r>
      <w:r>
        <w:t xml:space="preserve"> </w:t>
      </w:r>
      <w:r>
        <w:rPr>
          <w:rFonts w:hint="eastAsia"/>
        </w:rPr>
        <w:t xml:space="preserve">の冬・不需要期の係数の有意性は割り引いて読む必要がある。</w:t>
      </w:r>
    </w:p>
    <w:bookmarkEnd w:id="369"/>
    <w:bookmarkStart w:id="370" w:name="c.2.6-実行可能戦略の検定の全結果"/>
    <w:p>
      <w:pPr>
        <w:pStyle w:val="Heading3"/>
      </w:pPr>
      <w:r>
        <w:t xml:space="preserve">C.2.6　</w:t>
      </w:r>
      <w:r>
        <w:rPr>
          <w:rFonts w:hint="eastAsia"/>
        </w:rPr>
        <w:t xml:space="preserve">実行可能戦略の検定の全結果</w:t>
      </w:r>
    </w:p>
    <w:p>
      <w:pPr>
        <w:pStyle w:val="FirstParagraph"/>
      </w:pPr>
      <w:r>
        <w:rPr>
          <w:rFonts w:hint="eastAsia"/>
        </w:rPr>
        <w:t xml:space="preserve">表C.18</w:t>
      </w:r>
      <w:r>
        <w:t xml:space="preserve"> </w:t>
      </w:r>
      <w:r>
        <w:rPr>
          <w:rFonts w:hint="eastAsia"/>
        </w:rPr>
        <w:t xml:space="preserve">は、本文6.3節の実行可能戦略の実現率と戦略</w:t>
      </w:r>
      <w:r>
        <w:t xml:space="preserve"> c </w:t>
      </w:r>
      <w:r>
        <w:rPr>
          <w:rFonts w:hint="eastAsia"/>
        </w:rPr>
        <w:t xml:space="preserve">との差を、年度別の値と九州の参考値とともに示したものである。プールの値と区間は本文の図6.3</w:t>
      </w:r>
      <w:r>
        <w:t xml:space="preserve"> </w:t>
      </w:r>
      <w:r>
        <w:rPr>
          <w:rFonts w:hint="eastAsia"/>
        </w:rPr>
        <w:t xml:space="preserve">にも示す。</w:t>
      </w:r>
    </w:p>
    <w:p>
      <w:pPr>
        <w:pStyle w:val="TableCaption"/>
      </w:pPr>
      <w:r>
        <w:rPr>
          <w:rFonts w:hint="eastAsia"/>
        </w:rPr>
        <w:t xml:space="preserve">表C.18</w:t>
      </w:r>
      <w:r>
        <w:t xml:space="preserve">　</w:t>
      </w:r>
      <w:r>
        <w:rPr>
          <w:rFonts w:hint="eastAsia"/>
        </w:rPr>
        <w:t xml:space="preserve">実行可能戦略の実現率と検定</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8　実行可能戦略の実現率と検定"/>
      </w:tblPr>
      <w:tblGrid>
        <w:gridCol w:w="1320"/>
        <w:gridCol w:w="1320"/>
        <w:gridCol w:w="1320"/>
        <w:gridCol w:w="1320"/>
        <w:gridCol w:w="1320"/>
        <w:gridCol w:w="1320"/>
      </w:tblGrid>
      <w:tr>
        <w:trPr>
          <w:tblHeader w:val="on"/>
        </w:trPr>
        <w:tc>
          <w:tcPr>
            <w:tcBorders>
              <w:bottom w:val="single" w:sz="6" w:color="000000"/>
            </w:tcBorders>
          </w:tcPr>
          <w:p>
            <w:pPr>
              <w:pStyle w:val="Compact"/>
            </w:pPr>
            <w:r>
              <w:rPr>
                <w:rFonts w:hint="eastAsia"/>
                <w:sz w:val="18"/>
              </w:rPr>
              <w:t xml:space="preserve">戦略</w:t>
            </w:r>
          </w:p>
        </w:tc>
        <w:tc>
          <w:tcPr>
            <w:tcBorders>
              <w:bottom w:val="single" w:sz="6" w:color="000000"/>
            </w:tcBorders>
          </w:tcPr>
          <w:p>
            <w:pPr>
              <w:pStyle w:val="Compact"/>
              <w:jc w:val="right"/>
            </w:pPr>
            <w:r>
              <w:rPr>
                <w:rFonts w:hint="eastAsia"/>
                <w:sz w:val="18"/>
              </w:rPr>
              <w:t xml:space="preserve">実現率（年度別）</w:t>
            </w:r>
          </w:p>
        </w:tc>
        <w:tc>
          <w:tcPr>
            <w:tcBorders>
              <w:bottom w:val="single" w:sz="6" w:color="000000"/>
            </w:tcBorders>
          </w:tcPr>
          <w:p>
            <w:pPr>
              <w:pStyle w:val="Compact"/>
              <w:jc w:val="right"/>
            </w:pPr>
            <w:r>
              <w:rPr>
                <w:rFonts w:hint="eastAsia"/>
                <w:sz w:val="18"/>
              </w:rPr>
              <w:t xml:space="preserve">プール（95%区間）</w:t>
            </w:r>
          </w:p>
        </w:tc>
        <w:tc>
          <w:tcPr>
            <w:tcBorders>
              <w:bottom w:val="single" w:sz="6" w:color="000000"/>
            </w:tcBorders>
          </w:tcPr>
          <w:p>
            <w:pPr>
              <w:pStyle w:val="Compact"/>
              <w:jc w:val="right"/>
            </w:pPr>
            <w:r>
              <w:rPr>
                <w:sz w:val="18"/>
              </w:rPr>
              <w:t xml:space="preserve">c </w:t>
            </w:r>
            <w:r>
              <w:rPr>
                <w:rFonts w:hint="eastAsia"/>
                <w:sz w:val="18"/>
              </w:rPr>
              <w:t xml:space="preserve">との差（ポイント、95%区間）</w:t>
            </w:r>
          </w:p>
        </w:tc>
        <w:tc>
          <w:tcPr>
            <w:tcBorders>
              <w:bottom w:val="single" w:sz="6" w:color="000000"/>
            </w:tcBorders>
          </w:tcPr>
          <w:p>
            <w:pPr>
              <w:pStyle w:val="Compact"/>
              <w:jc w:val="right"/>
            </w:pPr>
            <w:r>
              <w:rPr>
                <w:sz w:val="18"/>
              </w:rPr>
              <w:t xml:space="preserve">DM </w:t>
            </w:r>
            <w:r>
              <w:rPr>
                <w:rFonts w:hint="eastAsia"/>
                <w:sz w:val="18"/>
              </w:rPr>
              <w:t xml:space="preserve">統計量</w:t>
            </w:r>
          </w:p>
        </w:tc>
        <w:tc>
          <w:tcPr>
            <w:tcBorders>
              <w:bottom w:val="single" w:sz="6" w:color="000000"/>
            </w:tcBorders>
          </w:tcPr>
          <w:p>
            <w:pPr>
              <w:pStyle w:val="Compact"/>
              <w:jc w:val="right"/>
            </w:pPr>
            <w:r>
              <w:rPr>
                <w:rFonts w:hint="eastAsia"/>
                <w:sz w:val="18"/>
              </w:rPr>
              <w:t xml:space="preserve">九州（参考）</w:t>
            </w:r>
          </w:p>
        </w:tc>
      </w:tr>
      <w:tr>
        <w:tc>
          <w:tcPr/>
          <w:p>
            <w:pPr>
              <w:pStyle w:val="Compact"/>
            </w:pPr>
            <w:r>
              <w:rPr>
                <w:rFonts w:hint="eastAsia"/>
                <w:sz w:val="18"/>
              </w:rPr>
              <w:t xml:space="preserve">a：前日の実現価格のランク</w:t>
            </w:r>
          </w:p>
        </w:tc>
        <w:tc>
          <w:tcPr/>
          <w:p>
            <w:pPr>
              <w:pStyle w:val="Compact"/>
              <w:jc w:val="right"/>
            </w:pPr>
            <w:r>
              <w:rPr>
                <w:sz w:val="18"/>
              </w:rPr>
              <w:t xml:space="preserve">68.0〜69.3%</w:t>
            </w:r>
          </w:p>
        </w:tc>
        <w:tc>
          <w:tcPr/>
          <w:p>
            <w:pPr>
              <w:pStyle w:val="Compact"/>
              <w:jc w:val="right"/>
            </w:pPr>
            <w:r>
              <w:rPr>
                <w:rFonts w:hint="eastAsia"/>
                <w:sz w:val="18"/>
              </w:rPr>
              <w:t xml:space="preserve">68.5%（64.2〜72.0）</w:t>
            </w:r>
          </w:p>
        </w:tc>
        <w:tc>
          <w:tcPr/>
          <w:p>
            <w:pPr>
              <w:pStyle w:val="Compact"/>
              <w:jc w:val="right"/>
            </w:pPr>
            <w:r>
              <w:rPr>
                <w:rFonts w:hint="eastAsia"/>
                <w:sz w:val="18"/>
              </w:rPr>
              <w:t xml:space="preserve">−13.1（−15.1〜−11.1）</w:t>
            </w:r>
          </w:p>
        </w:tc>
        <w:tc>
          <w:tcPr/>
          <w:p>
            <w:pPr>
              <w:pStyle w:val="Compact"/>
              <w:jc w:val="right"/>
            </w:pPr>
            <w:r>
              <w:rPr>
                <w:sz w:val="18"/>
              </w:rPr>
              <w:t xml:space="preserve">−12.2</w:t>
            </w:r>
          </w:p>
        </w:tc>
        <w:tc>
          <w:tcPr/>
          <w:p>
            <w:pPr>
              <w:pStyle w:val="Compact"/>
              <w:jc w:val="right"/>
            </w:pPr>
            <w:r>
              <w:rPr>
                <w:sz w:val="18"/>
              </w:rPr>
              <w:t xml:space="preserve">76〜80%</w:t>
            </w:r>
          </w:p>
        </w:tc>
      </w:tr>
      <w:tr>
        <w:tc>
          <w:tcPr/>
          <w:p>
            <w:pPr>
              <w:pStyle w:val="Compact"/>
            </w:pPr>
            <w:r>
              <w:rPr>
                <w:rFonts w:hint="eastAsia"/>
                <w:sz w:val="18"/>
              </w:rPr>
              <w:t xml:space="preserve">a2：同じ曜日区分の直近日のランク</w:t>
            </w:r>
          </w:p>
        </w:tc>
        <w:tc>
          <w:tcPr/>
          <w:p>
            <w:pPr>
              <w:pStyle w:val="Compact"/>
              <w:jc w:val="right"/>
            </w:pPr>
            <w:r>
              <w:rPr>
                <w:sz w:val="18"/>
              </w:rPr>
              <w:t xml:space="preserve">68.6〜70.5%</w:t>
            </w:r>
          </w:p>
        </w:tc>
        <w:tc>
          <w:tcPr/>
          <w:p>
            <w:pPr>
              <w:pStyle w:val="Compact"/>
              <w:jc w:val="right"/>
            </w:pPr>
            <w:r>
              <w:rPr>
                <w:rFonts w:hint="eastAsia"/>
                <w:sz w:val="18"/>
              </w:rPr>
              <w:t xml:space="preserve">69.5%（65.5〜72.8）</w:t>
            </w:r>
          </w:p>
        </w:tc>
        <w:tc>
          <w:tcPr/>
          <w:p>
            <w:pPr>
              <w:pStyle w:val="Compact"/>
              <w:jc w:val="right"/>
            </w:pPr>
            <w:r>
              <w:rPr>
                <w:rFonts w:hint="eastAsia"/>
                <w:sz w:val="18"/>
              </w:rPr>
              <w:t xml:space="preserve">−12.2（−14.2〜−10.1）</w:t>
            </w:r>
          </w:p>
        </w:tc>
        <w:tc>
          <w:tcPr/>
          <w:p>
            <w:pPr>
              <w:pStyle w:val="Compact"/>
              <w:jc w:val="right"/>
            </w:pPr>
            <w:r>
              <w:rPr>
                <w:sz w:val="18"/>
              </w:rPr>
              <w:t xml:space="preserve">−11.2</w:t>
            </w:r>
          </w:p>
        </w:tc>
        <w:tc>
          <w:tcPr/>
          <w:p>
            <w:pPr>
              <w:pStyle w:val="Compact"/>
              <w:jc w:val="right"/>
            </w:pPr>
            <w:r>
              <w:rPr>
                <w:sz w:val="18"/>
              </w:rPr>
              <w:t xml:space="preserve">—</w:t>
            </w:r>
          </w:p>
        </w:tc>
      </w:tr>
      <w:tr>
        <w:tc>
          <w:tcPr/>
          <w:p>
            <w:pPr>
              <w:pStyle w:val="Compact"/>
            </w:pPr>
            <w:r>
              <w:rPr>
                <w:rFonts w:hint="eastAsia"/>
                <w:sz w:val="18"/>
              </w:rPr>
              <w:t xml:space="preserve">b：残余需要の予測ランク</w:t>
            </w:r>
          </w:p>
        </w:tc>
        <w:tc>
          <w:tcPr/>
          <w:p>
            <w:pPr>
              <w:pStyle w:val="Compact"/>
              <w:jc w:val="right"/>
            </w:pPr>
            <w:r>
              <w:rPr>
                <w:sz w:val="18"/>
              </w:rPr>
              <w:t xml:space="preserve">77.3〜80.8%</w:t>
            </w:r>
          </w:p>
        </w:tc>
        <w:tc>
          <w:tcPr/>
          <w:p>
            <w:pPr>
              <w:pStyle w:val="Compact"/>
              <w:jc w:val="right"/>
            </w:pPr>
            <w:r>
              <w:rPr>
                <w:rFonts w:hint="eastAsia"/>
                <w:sz w:val="18"/>
              </w:rPr>
              <w:t xml:space="preserve">78.9%（74.9〜82.1）</w:t>
            </w:r>
          </w:p>
        </w:tc>
        <w:tc>
          <w:tcPr/>
          <w:p>
            <w:pPr>
              <w:pStyle w:val="Compact"/>
              <w:jc w:val="right"/>
            </w:pPr>
            <w:r>
              <w:rPr>
                <w:rFonts w:hint="eastAsia"/>
                <w:sz w:val="18"/>
              </w:rPr>
              <w:t xml:space="preserve">−2.8（−4.4〜−1.2）</w:t>
            </w:r>
          </w:p>
        </w:tc>
        <w:tc>
          <w:tcPr/>
          <w:p>
            <w:pPr>
              <w:pStyle w:val="Compact"/>
              <w:jc w:val="right"/>
            </w:pPr>
            <w:r>
              <w:rPr>
                <w:sz w:val="18"/>
              </w:rPr>
              <w:t xml:space="preserve">−4.1</w:t>
            </w:r>
          </w:p>
        </w:tc>
        <w:tc>
          <w:tcPr/>
          <w:p>
            <w:pPr>
              <w:pStyle w:val="Compact"/>
              <w:jc w:val="right"/>
            </w:pPr>
            <w:r>
              <w:rPr>
                <w:sz w:val="18"/>
              </w:rPr>
              <w:t xml:space="preserve">—</w:t>
            </w:r>
          </w:p>
        </w:tc>
      </w:tr>
      <w:tr>
        <w:tc>
          <w:tcPr/>
          <w:p>
            <w:pPr>
              <w:pStyle w:val="Compact"/>
            </w:pPr>
            <w:r>
              <w:rPr>
                <w:rFonts w:hint="eastAsia"/>
                <w:sz w:val="18"/>
              </w:rPr>
              <w:t xml:space="preserve">b′：b</w:t>
            </w:r>
            <w:r>
              <w:rPr>
                <w:sz w:val="18"/>
              </w:rPr>
              <w:t xml:space="preserve"> </w:t>
            </w:r>
            <w:r>
              <w:rPr>
                <w:rFonts w:hint="eastAsia"/>
                <w:sz w:val="18"/>
              </w:rPr>
              <w:t xml:space="preserve">からさらに風力の直近7日平均を控除</w:t>
            </w:r>
          </w:p>
        </w:tc>
        <w:tc>
          <w:tcPr/>
          <w:p>
            <w:pPr>
              <w:pStyle w:val="Compact"/>
              <w:jc w:val="right"/>
            </w:pPr>
            <w:r>
              <w:rPr>
                <w:sz w:val="18"/>
              </w:rPr>
              <w:t xml:space="preserve">76.5〜80.8%</w:t>
            </w:r>
          </w:p>
        </w:tc>
        <w:tc>
          <w:tcPr/>
          <w:p>
            <w:pPr>
              <w:pStyle w:val="Compact"/>
              <w:jc w:val="right"/>
            </w:pPr>
            <w:r>
              <w:rPr>
                <w:rFonts w:hint="eastAsia"/>
                <w:sz w:val="18"/>
              </w:rPr>
              <w:t xml:space="preserve">78.4%（74.3〜81.6）</w:t>
            </w:r>
          </w:p>
        </w:tc>
        <w:tc>
          <w:tcPr/>
          <w:p>
            <w:pPr>
              <w:pStyle w:val="Compact"/>
              <w:jc w:val="right"/>
            </w:pPr>
            <w:r>
              <w:rPr>
                <w:rFonts w:hint="eastAsia"/>
                <w:sz w:val="18"/>
              </w:rPr>
              <w:t xml:space="preserve">−3.3（−5.0〜−1.6）</w:t>
            </w:r>
          </w:p>
        </w:tc>
        <w:tc>
          <w:tcPr/>
          <w:p>
            <w:pPr>
              <w:pStyle w:val="Compact"/>
              <w:jc w:val="right"/>
            </w:pPr>
            <w:r>
              <w:rPr>
                <w:sz w:val="18"/>
              </w:rPr>
              <w:t xml:space="preserve">−4.6</w:t>
            </w:r>
          </w:p>
        </w:tc>
        <w:tc>
          <w:tcPr/>
          <w:p>
            <w:pPr>
              <w:pStyle w:val="Compact"/>
              <w:jc w:val="right"/>
            </w:pPr>
            <w:r>
              <w:rPr>
                <w:sz w:val="18"/>
              </w:rPr>
              <w:t xml:space="preserve">—</w:t>
            </w:r>
          </w:p>
        </w:tc>
      </w:tr>
      <w:tr>
        <w:tc>
          <w:tcPr/>
          <w:p>
            <w:pPr>
              <w:pStyle w:val="Compact"/>
            </w:pPr>
            <w:r>
              <w:rPr>
                <w:rFonts w:hint="eastAsia"/>
                <w:sz w:val="18"/>
              </w:rPr>
              <w:t xml:space="preserve">c：過去28日・同曜日区分の平均価格のランク</w:t>
            </w:r>
          </w:p>
        </w:tc>
        <w:tc>
          <w:tcPr/>
          <w:p>
            <w:pPr>
              <w:pStyle w:val="Compact"/>
              <w:jc w:val="right"/>
            </w:pPr>
            <w:r>
              <w:rPr>
                <w:sz w:val="18"/>
              </w:rPr>
              <w:t xml:space="preserve">80.6〜82.6%</w:t>
            </w:r>
          </w:p>
        </w:tc>
        <w:tc>
          <w:tcPr/>
          <w:p>
            <w:pPr>
              <w:pStyle w:val="Compact"/>
              <w:jc w:val="right"/>
            </w:pPr>
            <w:r>
              <w:rPr>
                <w:rFonts w:hint="eastAsia"/>
                <w:sz w:val="18"/>
              </w:rPr>
              <w:t xml:space="preserve">81.7%（77.5〜84.9）</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w:t>
            </w:r>
          </w:p>
        </w:tc>
      </w:tr>
    </w:tbl>
    <w:p>
      <w:pPr>
        <w:pStyle w:val="TableNote"/>
      </w:pPr>
      <w:r>
        <w:rPr>
          <w:rFonts w:hint="eastAsia"/>
        </w:rPr>
        <w:t xml:space="preserve">注）完全予見粗利を100%とする。北海道</w:t>
      </w:r>
      <w:r>
        <w:t xml:space="preserve"> FY2023〜25 </w:t>
      </w:r>
      <w:r>
        <w:rPr>
          <w:rFonts w:hint="eastAsia"/>
        </w:rPr>
        <w:t xml:space="preserve">の1,096日、4時間・往復効率0.85・60分粒度。プールは3年度の粗利の合計の比。区間は定常ブートストラップ（平均ブロック長20日、反復10,000回）の95%パーセンタイル区間。DM</w:t>
      </w:r>
      <w:r>
        <w:t xml:space="preserve"> </w:t>
      </w:r>
      <w:r>
        <w:rPr>
          <w:rFonts w:hint="eastAsia"/>
        </w:rPr>
        <w:t xml:space="preserve">統計量は日次粗利の差（各戦略−c）の</w:t>
      </w:r>
      <w:r>
        <w:t xml:space="preserve"> Diebold–Mariano </w:t>
      </w:r>
      <w:r>
        <w:rPr>
          <w:rFonts w:hint="eastAsia"/>
        </w:rPr>
        <w:t xml:space="preserve">統計量で、長期分散は</w:t>
      </w:r>
      <w:r>
        <w:t xml:space="preserve"> </w:t>
      </w:r>
      <w:r>
        <w:rPr>
          <w:rFonts w:hint="eastAsia"/>
        </w:rPr>
        <w:t xml:space="preserve">Newey–West（ラグ7日）による。c</w:t>
      </w:r>
      <w:r>
        <w:t xml:space="preserve"> </w:t>
      </w:r>
      <w:r>
        <w:rPr>
          <w:rFonts w:hint="eastAsia"/>
        </w:rPr>
        <w:t xml:space="preserve">との差はいずれも1%水準で有意。a・a2</w:t>
      </w:r>
      <w:r>
        <w:t xml:space="preserve"> </w:t>
      </w:r>
      <w:r>
        <w:rPr>
          <w:rFonts w:hint="eastAsia"/>
        </w:rPr>
        <w:t xml:space="preserve">は前日の実現価格に同値がある日（219日）に、同値の時間帯へ充放電量を均等に配分した値であり、選び方を変えると</w:t>
      </w:r>
      <w:r>
        <w:t xml:space="preserve"> a </w:t>
      </w:r>
      <w:r>
        <w:rPr>
          <w:rFonts w:hint="eastAsia"/>
        </w:rPr>
        <w:t xml:space="preserve">は年度別に66.5〜70.7%の範囲で動く。九州は戦略</w:t>
      </w:r>
      <w:r>
        <w:t xml:space="preserve"> a </w:t>
      </w:r>
      <w:r>
        <w:rPr>
          <w:rFonts w:hint="eastAsia"/>
        </w:rPr>
        <w:t xml:space="preserve">の年度別の値（参考。同値の扱いは北海道と異なる）。</w:t>
      </w:r>
    </w:p>
    <w:p>
      <w:pPr>
        <w:pStyle w:val="TableNote"/>
      </w:pPr>
      <w:r>
        <w:rPr>
          <w:rFonts w:hint="eastAsia"/>
        </w:rPr>
        <w:t xml:space="preserve">出所）日本卸電力取引所『スポット市場取引結果』、北海道電力ネットワーク『エリア需給実績』、九州電力送配電『エリア需給実績』より筆者作成。</w:t>
      </w:r>
    </w:p>
    <w:p>
      <w:pPr>
        <w:pStyle w:val="BodyText"/>
      </w:pPr>
      <w:r>
        <w:rPr>
          <w:rFonts w:hint="eastAsia"/>
        </w:rPr>
        <w:t xml:space="preserve">表C.19</w:t>
      </w:r>
      <w:r>
        <w:t xml:space="preserve"> </w:t>
      </w:r>
      <w:r>
        <w:rPr>
          <w:rFonts w:hint="eastAsia"/>
        </w:rPr>
        <w:t xml:space="preserve">は、Hansen（2005）の</w:t>
      </w:r>
      <w:r>
        <w:t xml:space="preserve"> SPA </w:t>
      </w:r>
      <w:r>
        <w:rPr>
          <w:rFonts w:hint="eastAsia"/>
        </w:rPr>
        <w:t xml:space="preserve">検定と</w:t>
      </w:r>
      <w:r>
        <w:t xml:space="preserve"> </w:t>
      </w:r>
      <w:r>
        <w:rPr>
          <w:rFonts w:hint="eastAsia"/>
        </w:rPr>
        <w:t xml:space="preserve">White（2000）の</w:t>
      </w:r>
      <w:r>
        <w:t xml:space="preserve"> Reality Check </w:t>
      </w:r>
      <w:r>
        <w:rPr>
          <w:rFonts w:hint="eastAsia"/>
        </w:rPr>
        <w:t xml:space="preserve">の結果である。基準を</w:t>
      </w:r>
      <w:r>
        <w:t xml:space="preserve"> b </w:t>
      </w:r>
      <w:r>
        <w:rPr>
          <w:rFonts w:hint="eastAsia"/>
        </w:rPr>
        <w:t xml:space="preserve">とすると、標準化した平均差が最大の候補は</w:t>
      </w:r>
      <w:r>
        <w:t xml:space="preserve"> c </w:t>
      </w:r>
      <w:r>
        <w:rPr>
          <w:rFonts w:hint="eastAsia"/>
        </w:rPr>
        <w:t xml:space="preserve">で、その優位は選択の偏りを考慮しても有意である。平均ブロック長を7〜28日に変えても、SPA</w:t>
      </w:r>
      <w:r>
        <w:t xml:space="preserve"> の p </w:t>
      </w:r>
      <w:r>
        <w:rPr>
          <w:rFonts w:hint="eastAsia"/>
        </w:rPr>
        <w:t xml:space="preserve">は0.0014以下である。基準を</w:t>
      </w:r>
      <w:r>
        <w:t xml:space="preserve"> c とすると、c </w:t>
      </w:r>
      <w:r>
        <w:rPr>
          <w:rFonts w:hint="eastAsia"/>
        </w:rPr>
        <w:t xml:space="preserve">を上回る候補は1本もない。同じブートストラップ標本で、c</w:t>
      </w:r>
      <w:r>
        <w:t xml:space="preserve"> </w:t>
      </w:r>
      <w:r>
        <w:rPr>
          <w:rFonts w:hint="eastAsia"/>
        </w:rPr>
        <w:t xml:space="preserve">は99.8%の標本で9本の中の最大の実現率をとり、最大値を選ぶことによる上方の偏り（ブートストラップ平均と点推定の差）は−0.05ポイントである。</w:t>
      </w:r>
    </w:p>
    <w:p>
      <w:pPr>
        <w:pStyle w:val="TableCaption"/>
      </w:pPr>
      <w:r>
        <w:rPr>
          <w:rFonts w:hint="eastAsia"/>
        </w:rPr>
        <w:t xml:space="preserve">表C.19</w:t>
      </w:r>
      <w:r>
        <w:t xml:space="preserve">　SPA </w:t>
      </w:r>
      <w:r>
        <w:rPr>
          <w:rFonts w:hint="eastAsia"/>
        </w:rPr>
        <w:t xml:space="preserve">検定と</w:t>
      </w:r>
      <w:r>
        <w:t xml:space="preserve"> Reality </w:t>
      </w:r>
      <w:r>
        <w:rPr>
          <w:rFonts w:hint="eastAsia"/>
        </w:rPr>
        <w:t xml:space="preserve">Check（候補8本）</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19　SPA 検定と Reality Check（候補8本）"/>
      </w:tblPr>
      <w:tblGrid>
        <w:gridCol w:w="1320"/>
        <w:gridCol w:w="1320"/>
        <w:gridCol w:w="1320"/>
        <w:gridCol w:w="1320"/>
        <w:gridCol w:w="1320"/>
        <w:gridCol w:w="1320"/>
      </w:tblGrid>
      <w:tr>
        <w:trPr>
          <w:tblHeader w:val="on"/>
        </w:trPr>
        <w:tc>
          <w:tcPr>
            <w:tcBorders>
              <w:bottom w:val="single" w:sz="6" w:color="000000"/>
            </w:tcBorders>
          </w:tcPr>
          <w:p>
            <w:pPr>
              <w:pStyle w:val="Compact"/>
            </w:pPr>
            <w:r>
              <w:rPr>
                <w:rFonts w:hint="eastAsia"/>
                <w:sz w:val="18"/>
              </w:rPr>
              <w:t xml:space="preserve">基準</w:t>
            </w:r>
          </w:p>
        </w:tc>
        <w:tc>
          <w:tcPr>
            <w:tcBorders>
              <w:bottom w:val="single" w:sz="6" w:color="000000"/>
            </w:tcBorders>
          </w:tcPr>
          <w:p>
            <w:pPr>
              <w:pStyle w:val="Compact"/>
            </w:pPr>
            <w:r>
              <w:rPr>
                <w:rFonts w:hint="eastAsia"/>
                <w:sz w:val="18"/>
              </w:rPr>
              <w:t xml:space="preserve">期間</w:t>
            </w:r>
          </w:p>
        </w:tc>
        <w:tc>
          <w:tcPr>
            <w:tcBorders>
              <w:bottom w:val="single" w:sz="6" w:color="000000"/>
            </w:tcBorders>
          </w:tcPr>
          <w:p>
            <w:pPr>
              <w:pStyle w:val="Compact"/>
            </w:pPr>
            <w:r>
              <w:rPr>
                <w:rFonts w:hint="eastAsia"/>
                <w:sz w:val="18"/>
              </w:rPr>
              <w:t xml:space="preserve">標準化した平均差が最大の候補</w:t>
            </w:r>
          </w:p>
        </w:tc>
        <w:tc>
          <w:tcPr>
            <w:tcBorders>
              <w:bottom w:val="single" w:sz="6" w:color="000000"/>
            </w:tcBorders>
          </w:tcPr>
          <w:p>
            <w:pPr>
              <w:pStyle w:val="Compact"/>
              <w:jc w:val="right"/>
            </w:pPr>
            <w:r>
              <w:rPr>
                <w:rFonts w:hint="eastAsia"/>
                <w:sz w:val="18"/>
              </w:rPr>
              <w:t xml:space="preserve">基準との年平均差（円/kW-年）</w:t>
            </w:r>
          </w:p>
        </w:tc>
        <w:tc>
          <w:tcPr>
            <w:tcBorders>
              <w:bottom w:val="single" w:sz="6" w:color="000000"/>
            </w:tcBorders>
          </w:tcPr>
          <w:p>
            <w:pPr>
              <w:pStyle w:val="Compact"/>
              <w:jc w:val="right"/>
            </w:pPr>
            <w:r>
              <w:rPr>
                <w:sz w:val="18"/>
              </w:rPr>
              <w:t xml:space="preserve">SPA の p</w:t>
            </w:r>
          </w:p>
        </w:tc>
        <w:tc>
          <w:tcPr>
            <w:tcBorders>
              <w:bottom w:val="single" w:sz="6" w:color="000000"/>
            </w:tcBorders>
          </w:tcPr>
          <w:p>
            <w:pPr>
              <w:pStyle w:val="Compact"/>
              <w:jc w:val="right"/>
            </w:pPr>
            <w:r>
              <w:rPr>
                <w:sz w:val="18"/>
              </w:rPr>
              <w:t xml:space="preserve">Reality Check の p</w:t>
            </w:r>
          </w:p>
        </w:tc>
      </w:tr>
      <w:tr>
        <w:tc>
          <w:tcPr/>
          <w:p>
            <w:pPr>
              <w:pStyle w:val="Compact"/>
            </w:pPr>
            <w:r>
              <w:rPr>
                <w:sz w:val="18"/>
              </w:rPr>
              <w:t xml:space="preserve">a</w:t>
            </w:r>
          </w:p>
        </w:tc>
        <w:tc>
          <w:tcPr/>
          <w:p>
            <w:pPr>
              <w:pStyle w:val="Compact"/>
            </w:pPr>
            <w:r>
              <w:rPr>
                <w:sz w:val="18"/>
              </w:rPr>
              <w:t xml:space="preserve">FY2023〜25</w:t>
            </w:r>
          </w:p>
        </w:tc>
        <w:tc>
          <w:tcPr/>
          <w:p>
            <w:pPr>
              <w:pStyle w:val="Compact"/>
            </w:pPr>
            <w:r>
              <w:rPr>
                <w:sz w:val="18"/>
              </w:rPr>
              <w:t xml:space="preserve">DL5</w:t>
            </w:r>
          </w:p>
        </w:tc>
        <w:tc>
          <w:tcPr/>
          <w:p>
            <w:pPr>
              <w:pStyle w:val="Compact"/>
              <w:jc w:val="right"/>
            </w:pPr>
            <w:r>
              <w:rPr>
                <w:sz w:val="18"/>
              </w:rPr>
              <w:t xml:space="preserve">+1,219</w:t>
            </w:r>
          </w:p>
        </w:tc>
        <w:tc>
          <w:tcPr/>
          <w:p>
            <w:pPr>
              <w:pStyle w:val="Compact"/>
              <w:jc w:val="right"/>
            </w:pPr>
            <w:r>
              <w:rPr>
                <w:sz w:val="18"/>
              </w:rPr>
              <w:t xml:space="preserve">&lt;0.001</w:t>
            </w:r>
          </w:p>
        </w:tc>
        <w:tc>
          <w:tcPr/>
          <w:p>
            <w:pPr>
              <w:pStyle w:val="Compact"/>
              <w:jc w:val="right"/>
            </w:pPr>
            <w:r>
              <w:rPr>
                <w:sz w:val="18"/>
              </w:rPr>
              <w:t xml:space="preserve">&lt;0.001</w:t>
            </w:r>
          </w:p>
        </w:tc>
      </w:tr>
      <w:tr>
        <w:tc>
          <w:tcPr/>
          <w:p>
            <w:pPr>
              <w:pStyle w:val="Compact"/>
            </w:pPr>
            <w:r>
              <w:rPr>
                <w:sz w:val="18"/>
              </w:rPr>
              <w:t xml:space="preserve">b</w:t>
            </w:r>
          </w:p>
        </w:tc>
        <w:tc>
          <w:tcPr/>
          <w:p>
            <w:pPr>
              <w:pStyle w:val="Compact"/>
            </w:pPr>
            <w:r>
              <w:rPr>
                <w:sz w:val="18"/>
              </w:rPr>
              <w:t xml:space="preserve">FY2023〜25</w:t>
            </w:r>
          </w:p>
        </w:tc>
        <w:tc>
          <w:tcPr/>
          <w:p>
            <w:pPr>
              <w:pStyle w:val="Compact"/>
            </w:pPr>
            <w:r>
              <w:rPr>
                <w:sz w:val="18"/>
              </w:rPr>
              <w:t xml:space="preserve">c</w:t>
            </w:r>
          </w:p>
        </w:tc>
        <w:tc>
          <w:tcPr/>
          <w:p>
            <w:pPr>
              <w:pStyle w:val="Compact"/>
              <w:jc w:val="right"/>
            </w:pPr>
            <w:r>
              <w:rPr>
                <w:sz w:val="18"/>
              </w:rPr>
              <w:t xml:space="preserve">+290</w:t>
            </w:r>
          </w:p>
        </w:tc>
        <w:tc>
          <w:tcPr/>
          <w:p>
            <w:pPr>
              <w:pStyle w:val="Compact"/>
              <w:jc w:val="right"/>
            </w:pPr>
            <w:r>
              <w:rPr>
                <w:sz w:val="18"/>
              </w:rPr>
              <w:t xml:space="preserve">0.001</w:t>
            </w:r>
          </w:p>
        </w:tc>
        <w:tc>
          <w:tcPr/>
          <w:p>
            <w:pPr>
              <w:pStyle w:val="Compact"/>
              <w:jc w:val="right"/>
            </w:pPr>
            <w:r>
              <w:rPr>
                <w:sz w:val="18"/>
              </w:rPr>
              <w:t xml:space="preserve">0.023</w:t>
            </w:r>
          </w:p>
        </w:tc>
      </w:tr>
      <w:tr>
        <w:tc>
          <w:tcPr/>
          <w:p>
            <w:pPr>
              <w:pStyle w:val="Compact"/>
            </w:pPr>
            <w:r>
              <w:rPr>
                <w:sz w:val="18"/>
              </w:rPr>
              <w:t xml:space="preserve">c</w:t>
            </w:r>
          </w:p>
        </w:tc>
        <w:tc>
          <w:tcPr/>
          <w:p>
            <w:pPr>
              <w:pStyle w:val="Compact"/>
            </w:pPr>
            <w:r>
              <w:rPr>
                <w:sz w:val="18"/>
              </w:rPr>
              <w:t xml:space="preserve">FY2023〜25</w:t>
            </w:r>
          </w:p>
        </w:tc>
        <w:tc>
          <w:tcPr/>
          <w:p>
            <w:pPr>
              <w:pStyle w:val="Compact"/>
            </w:pPr>
            <w:r>
              <w:rPr>
                <w:sz w:val="18"/>
              </w:rPr>
              <w:t xml:space="preserve">なし</w:t>
            </w:r>
          </w:p>
        </w:tc>
        <w:tc>
          <w:tcPr/>
          <w:p>
            <w:pPr>
              <w:pStyle w:val="Compact"/>
              <w:jc w:val="right"/>
            </w:pPr>
            <w:r>
              <w:rPr>
                <w:rFonts w:hint="eastAsia"/>
                <w:sz w:val="18"/>
              </w:rPr>
              <w:t xml:space="preserve">−136（DL5）</w:t>
            </w:r>
          </w:p>
        </w:tc>
        <w:tc>
          <w:tcPr/>
          <w:p>
            <w:pPr>
              <w:pStyle w:val="Compact"/>
              <w:jc w:val="right"/>
            </w:pPr>
            <w:r>
              <w:rPr>
                <w:sz w:val="18"/>
              </w:rPr>
              <w:t xml:space="preserve">1.000</w:t>
            </w:r>
          </w:p>
        </w:tc>
        <w:tc>
          <w:tcPr/>
          <w:p>
            <w:pPr>
              <w:pStyle w:val="Compact"/>
              <w:jc w:val="right"/>
            </w:pPr>
            <w:r>
              <w:rPr>
                <w:sz w:val="18"/>
              </w:rPr>
              <w:t xml:space="preserve">1.000</w:t>
            </w:r>
          </w:p>
        </w:tc>
      </w:tr>
      <w:tr>
        <w:tc>
          <w:tcPr/>
          <w:p>
            <w:pPr>
              <w:pStyle w:val="Compact"/>
            </w:pPr>
            <w:r>
              <w:rPr>
                <w:sz w:val="18"/>
              </w:rPr>
              <w:t xml:space="preserve">b</w:t>
            </w:r>
          </w:p>
        </w:tc>
        <w:tc>
          <w:tcPr/>
          <w:p>
            <w:pPr>
              <w:pStyle w:val="Compact"/>
            </w:pPr>
            <w:r>
              <w:rPr>
                <w:sz w:val="18"/>
              </w:rPr>
              <w:t xml:space="preserve">FY2023</w:t>
            </w:r>
          </w:p>
        </w:tc>
        <w:tc>
          <w:tcPr/>
          <w:p>
            <w:pPr>
              <w:pStyle w:val="Compact"/>
            </w:pPr>
            <w:r>
              <w:rPr>
                <w:sz w:val="18"/>
              </w:rPr>
              <w:t xml:space="preserve">c</w:t>
            </w:r>
          </w:p>
        </w:tc>
        <w:tc>
          <w:tcPr/>
          <w:p>
            <w:pPr>
              <w:pStyle w:val="Compact"/>
              <w:jc w:val="right"/>
            </w:pPr>
            <w:r>
              <w:rPr>
                <w:sz w:val="18"/>
              </w:rPr>
              <w:t xml:space="preserve">+517</w:t>
            </w:r>
          </w:p>
        </w:tc>
        <w:tc>
          <w:tcPr/>
          <w:p>
            <w:pPr>
              <w:pStyle w:val="Compact"/>
              <w:jc w:val="right"/>
            </w:pPr>
            <w:r>
              <w:rPr>
                <w:sz w:val="18"/>
              </w:rPr>
              <w:t xml:space="preserve">0.002</w:t>
            </w:r>
          </w:p>
        </w:tc>
        <w:tc>
          <w:tcPr/>
          <w:p>
            <w:pPr>
              <w:pStyle w:val="Compact"/>
              <w:jc w:val="right"/>
            </w:pPr>
            <w:r>
              <w:rPr>
                <w:sz w:val="18"/>
              </w:rPr>
              <w:t xml:space="preserve">0.060</w:t>
            </w:r>
          </w:p>
        </w:tc>
      </w:tr>
      <w:tr>
        <w:tc>
          <w:tcPr/>
          <w:p>
            <w:pPr>
              <w:pStyle w:val="Compact"/>
            </w:pPr>
            <w:r>
              <w:rPr>
                <w:sz w:val="18"/>
              </w:rPr>
              <w:t xml:space="preserve">b</w:t>
            </w:r>
          </w:p>
        </w:tc>
        <w:tc>
          <w:tcPr/>
          <w:p>
            <w:pPr>
              <w:pStyle w:val="Compact"/>
            </w:pPr>
            <w:r>
              <w:rPr>
                <w:sz w:val="18"/>
              </w:rPr>
              <w:t xml:space="preserve">FY2024</w:t>
            </w:r>
          </w:p>
        </w:tc>
        <w:tc>
          <w:tcPr/>
          <w:p>
            <w:pPr>
              <w:pStyle w:val="Compact"/>
            </w:pPr>
            <w:r>
              <w:rPr>
                <w:sz w:val="18"/>
              </w:rPr>
              <w:t xml:space="preserve">c</w:t>
            </w:r>
          </w:p>
        </w:tc>
        <w:tc>
          <w:tcPr/>
          <w:p>
            <w:pPr>
              <w:pStyle w:val="Compact"/>
              <w:jc w:val="right"/>
            </w:pPr>
            <w:r>
              <w:rPr>
                <w:sz w:val="18"/>
              </w:rPr>
              <w:t xml:space="preserve">+227</w:t>
            </w:r>
          </w:p>
        </w:tc>
        <w:tc>
          <w:tcPr/>
          <w:p>
            <w:pPr>
              <w:pStyle w:val="Compact"/>
              <w:jc w:val="right"/>
            </w:pPr>
            <w:r>
              <w:rPr>
                <w:sz w:val="18"/>
              </w:rPr>
              <w:t xml:space="preserve">0.052</w:t>
            </w:r>
          </w:p>
        </w:tc>
        <w:tc>
          <w:tcPr/>
          <w:p>
            <w:pPr>
              <w:pStyle w:val="Compact"/>
              <w:jc w:val="right"/>
            </w:pPr>
            <w:r>
              <w:rPr>
                <w:sz w:val="18"/>
              </w:rPr>
              <w:t xml:space="preserve">0.145</w:t>
            </w:r>
          </w:p>
        </w:tc>
      </w:tr>
      <w:tr>
        <w:tc>
          <w:tcPr/>
          <w:p>
            <w:pPr>
              <w:pStyle w:val="Compact"/>
            </w:pPr>
            <w:r>
              <w:rPr>
                <w:sz w:val="18"/>
              </w:rPr>
              <w:t xml:space="preserve">b</w:t>
            </w:r>
          </w:p>
        </w:tc>
        <w:tc>
          <w:tcPr/>
          <w:p>
            <w:pPr>
              <w:pStyle w:val="Compact"/>
            </w:pPr>
            <w:r>
              <w:rPr>
                <w:sz w:val="18"/>
              </w:rPr>
              <w:t xml:space="preserve">FY2025</w:t>
            </w:r>
          </w:p>
        </w:tc>
        <w:tc>
          <w:tcPr/>
          <w:p>
            <w:pPr>
              <w:pStyle w:val="Compact"/>
            </w:pPr>
            <w:r>
              <w:rPr>
                <w:sz w:val="18"/>
              </w:rPr>
              <w:t xml:space="preserve">c</w:t>
            </w:r>
          </w:p>
        </w:tc>
        <w:tc>
          <w:tcPr/>
          <w:p>
            <w:pPr>
              <w:pStyle w:val="Compact"/>
              <w:jc w:val="right"/>
            </w:pPr>
            <w:r>
              <w:rPr>
                <w:sz w:val="18"/>
              </w:rPr>
              <w:t xml:space="preserve">+126</w:t>
            </w:r>
          </w:p>
        </w:tc>
        <w:tc>
          <w:tcPr/>
          <w:p>
            <w:pPr>
              <w:pStyle w:val="Compact"/>
              <w:jc w:val="right"/>
            </w:pPr>
            <w:r>
              <w:rPr>
                <w:sz w:val="18"/>
              </w:rPr>
              <w:t xml:space="preserve">0.461</w:t>
            </w:r>
          </w:p>
        </w:tc>
        <w:tc>
          <w:tcPr/>
          <w:p>
            <w:pPr>
              <w:pStyle w:val="Compact"/>
              <w:jc w:val="right"/>
            </w:pPr>
            <w:r>
              <w:rPr>
                <w:sz w:val="18"/>
              </w:rPr>
              <w:t xml:space="preserve">0.467</w:t>
            </w:r>
          </w:p>
        </w:tc>
      </w:tr>
    </w:tbl>
    <w:p>
      <w:pPr>
        <w:pStyle w:val="TableNote"/>
      </w:pPr>
      <w:r>
        <w:rPr>
          <w:rFonts w:hint="eastAsia"/>
        </w:rPr>
        <w:t xml:space="preserve">注）SPA</w:t>
      </w:r>
      <w:r>
        <w:t xml:space="preserve"> </w:t>
      </w:r>
      <w:r>
        <w:rPr>
          <w:rFonts w:hint="eastAsia"/>
        </w:rPr>
        <w:t xml:space="preserve">検定は一致版の</w:t>
      </w:r>
      <w:r>
        <w:t xml:space="preserve"> </w:t>
      </w:r>
      <w:r>
        <w:rPr>
          <w:rFonts w:hint="eastAsia"/>
        </w:rPr>
        <w:t xml:space="preserve">p。候補は</w:t>
      </w:r>
      <w:r>
        <w:t xml:space="preserve"> a・a2・b・b′・c・DL1・DL3・DL5・AR </w:t>
      </w:r>
      <w:r>
        <w:rPr>
          <w:rFonts w:hint="eastAsia"/>
        </w:rPr>
        <w:t xml:space="preserve">の9本のうち基準以外の8本で、帰無仮説は「どの候補も基準を上回らない」。定常ブートストラップ（平均ブロック長20日、反復10,000回）による。基準</w:t>
      </w:r>
      <w:r>
        <w:t xml:space="preserve"> c </w:t>
      </w:r>
      <w:r>
        <w:rPr>
          <w:rFonts w:hint="eastAsia"/>
        </w:rPr>
        <w:t xml:space="preserve">の行の年平均差は、平均差が最大の候補（DL5）の値である。</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表C.20</w:t>
      </w:r>
      <w:r>
        <w:t xml:space="preserve"> </w:t>
      </w:r>
      <w:r>
        <w:rPr>
          <w:rFonts w:hint="eastAsia"/>
        </w:rPr>
        <w:t xml:space="preserve">は、動的因子予測と時刻別</w:t>
      </w:r>
      <w:r>
        <w:t xml:space="preserve"> AR(1) </w:t>
      </w:r>
      <w:r>
        <w:rPr>
          <w:rFonts w:hint="eastAsia"/>
        </w:rPr>
        <w:t xml:space="preserve">を、気候値</w:t>
      </w:r>
      <w:r>
        <w:t xml:space="preserve"> c </w:t>
      </w:r>
      <w:r>
        <w:rPr>
          <w:rFonts w:hint="eastAsia"/>
        </w:rPr>
        <w:t xml:space="preserve">と比べたものである。予測の構成は付録B.3.6</w:t>
      </w:r>
      <w:r>
        <w:t xml:space="preserve"> </w:t>
      </w:r>
      <w:r>
        <w:rPr>
          <w:rFonts w:hint="eastAsia"/>
        </w:rPr>
        <w:t xml:space="preserve">による。気候値からの日々の偏差を過去365日について主成分に分解すると、第1主成分が分散の58%、第2主成分が18%を占める。DL・AR</w:t>
      </w:r>
      <w:r>
        <w:t xml:space="preserve"> </w:t>
      </w:r>
      <w:r>
        <w:rPr>
          <w:rFonts w:hint="eastAsia"/>
        </w:rPr>
        <w:t xml:space="preserve">は時間別価格の二乗誤差を</w:t>
      </w:r>
      <w:r>
        <w:t xml:space="preserve"> c </w:t>
      </w:r>
      <w:r>
        <w:rPr>
          <w:rFonts w:hint="eastAsia"/>
        </w:rPr>
        <w:t xml:space="preserve">より14〜17%小さくするが、改善はほぼすべて日平均（水準）の部分にあり（水準の二乗誤差は30〜34%減）、日平均を除いた形状の二乗誤差は−1.9〜+1.9%で有意でない。年度別の12組（4本×3年度）でも</w:t>
      </w:r>
      <w:r>
        <w:t xml:space="preserve"> c </w:t>
      </w:r>
      <w:r>
        <w:rPr>
          <w:rFonts w:hint="eastAsia"/>
        </w:rPr>
        <w:t xml:space="preserve">との差の符号はすべて同じで、5%水準で有意なのは7組である。第1因子の1日の持続性は</w:t>
      </w:r>
      <w:r>
        <w:t xml:space="preserve"> </w:t>
      </w:r>
      <m:oMath>
        <m:r>
          <m:t>ϕ</m:t>
        </m:r>
        <m:r>
          <m:rPr>
            <m:sty m:val="p"/>
          </m:rPr>
          <m:t>≈</m:t>
        </m:r>
        <m:r>
          <m:t>0.54</m:t>
        </m:r>
      </m:oMath>
      <w:r>
        <w:rPr>
          <w:rFonts w:hint="eastAsia"/>
        </w:rPr>
        <w:t xml:space="preserve">、第2・第3因子は</w:t>
      </w:r>
      <w:r>
        <w:t xml:space="preserve"> </w:t>
      </w:r>
      <m:oMath>
        <m:r>
          <m:t>ϕ</m:t>
        </m:r>
        <m:r>
          <m:rPr>
            <m:sty m:val="p"/>
          </m:rPr>
          <m:t>≈</m:t>
        </m:r>
        <m:r>
          <m:t>0.35</m:t>
        </m:r>
      </m:oMath>
      <w:r>
        <w:t xml:space="preserve"> </w:t>
      </w:r>
      <w:r>
        <w:t xml:space="preserve">で、AR(1) </w:t>
      </w:r>
      <w:r>
        <w:rPr>
          <w:rFonts w:hint="eastAsia"/>
        </w:rPr>
        <w:t xml:space="preserve">で翌日に持ち越せるのはそれぞれの分散の1割程度（</w:t>
      </w:r>
      <m:oMath>
        <m:sSup>
          <m:e>
            <m:r>
              <m:t>ϕ</m:t>
            </m:r>
          </m:e>
          <m:sup>
            <m:r>
              <m:t>2</m:t>
            </m:r>
          </m:sup>
        </m:sSup>
        <m:r>
          <m:rPr>
            <m:sty m:val="p"/>
          </m:rPr>
          <m:t>≈</m:t>
        </m:r>
        <m:r>
          <m:t>0.12</m:t>
        </m:r>
      </m:oMath>
      <w:r>
        <w:rPr>
          <w:rFonts w:hint="eastAsia"/>
        </w:rPr>
        <w:t xml:space="preserve">）である。</w:t>
      </w:r>
    </w:p>
    <w:p>
      <w:pPr>
        <w:pStyle w:val="TableCaption"/>
      </w:pPr>
      <w:r>
        <w:rPr>
          <w:rFonts w:hint="eastAsia"/>
        </w:rPr>
        <w:t xml:space="preserve">表C.20</w:t>
      </w:r>
      <w:r>
        <w:t xml:space="preserve">　</w:t>
      </w:r>
      <w:r>
        <w:rPr>
          <w:rFonts w:hint="eastAsia"/>
        </w:rPr>
        <w:t xml:space="preserve">動的因子予測と時刻別</w:t>
      </w:r>
      <w:r>
        <w:t xml:space="preserve"> AR(1) </w:t>
      </w:r>
      <w:r>
        <w:rPr>
          <w:rFonts w:hint="eastAsia"/>
        </w:rPr>
        <w:t xml:space="preserve">の気候値</w:t>
      </w:r>
      <w:r>
        <w:t xml:space="preserve"> c </w:t>
      </w:r>
      <w:r>
        <w:rPr>
          <w:rFonts w:hint="eastAsia"/>
        </w:rPr>
        <w:t xml:space="preserve">との比較</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0　動的因子予測と時刻別 AR(1) の気候値 c との比較"/>
      </w:tblPr>
      <w:tblGrid>
        <w:gridCol w:w="990"/>
        <w:gridCol w:w="990"/>
        <w:gridCol w:w="990"/>
        <w:gridCol w:w="990"/>
        <w:gridCol w:w="990"/>
        <w:gridCol w:w="990"/>
        <w:gridCol w:w="990"/>
        <w:gridCol w:w="990"/>
      </w:tblGrid>
      <w:tr>
        <w:trPr>
          <w:tblHeader w:val="on"/>
        </w:trPr>
        <w:tc>
          <w:tcPr>
            <w:tcBorders>
              <w:bottom w:val="single" w:sz="6" w:color="000000"/>
            </w:tcBorders>
          </w:tcPr>
          <w:p>
            <w:pPr>
              <w:pStyle w:val="Compact"/>
            </w:pPr>
            <w:r>
              <w:rPr>
                <w:rFonts w:hint="eastAsia"/>
                <w:sz w:val="18"/>
              </w:rPr>
              <w:t xml:space="preserve">戦略</w:t>
            </w:r>
          </w:p>
        </w:tc>
        <w:tc>
          <w:tcPr>
            <w:tcBorders>
              <w:bottom w:val="single" w:sz="6" w:color="000000"/>
            </w:tcBorders>
          </w:tcPr>
          <w:p>
            <w:pPr>
              <w:pStyle w:val="Compact"/>
              <w:jc w:val="right"/>
            </w:pPr>
            <w:r>
              <w:rPr>
                <w:rFonts w:hint="eastAsia"/>
                <w:sz w:val="18"/>
              </w:rPr>
              <w:t xml:space="preserve">実現率</w:t>
            </w:r>
          </w:p>
        </w:tc>
        <w:tc>
          <w:tcPr>
            <w:tcBorders>
              <w:bottom w:val="single" w:sz="6" w:color="000000"/>
            </w:tcBorders>
          </w:tcPr>
          <w:p>
            <w:pPr>
              <w:pStyle w:val="Compact"/>
              <w:jc w:val="right"/>
            </w:pPr>
            <w:r>
              <w:rPr>
                <w:sz w:val="18"/>
              </w:rPr>
              <w:t xml:space="preserve">c </w:t>
            </w:r>
            <w:r>
              <w:rPr>
                <w:rFonts w:hint="eastAsia"/>
                <w:sz w:val="18"/>
              </w:rPr>
              <w:t xml:space="preserve">との差（ポイント、95%区間）</w:t>
            </w:r>
          </w:p>
        </w:tc>
        <w:tc>
          <w:tcPr>
            <w:tcBorders>
              <w:bottom w:val="single" w:sz="6" w:color="000000"/>
            </w:tcBorders>
          </w:tcPr>
          <w:p>
            <w:pPr>
              <w:pStyle w:val="Compact"/>
              <w:jc w:val="right"/>
            </w:pPr>
            <w:r>
              <w:rPr>
                <w:rFonts w:hint="eastAsia"/>
                <w:sz w:val="18"/>
              </w:rPr>
              <w:t xml:space="preserve">年平均差（円/kW-年）</w:t>
            </w:r>
          </w:p>
        </w:tc>
        <w:tc>
          <w:tcPr>
            <w:tcBorders>
              <w:bottom w:val="single" w:sz="6" w:color="000000"/>
            </w:tcBorders>
          </w:tcPr>
          <w:p>
            <w:pPr>
              <w:pStyle w:val="Compact"/>
              <w:jc w:val="right"/>
            </w:pPr>
            <w:r>
              <w:rPr>
                <w:sz w:val="18"/>
              </w:rPr>
              <w:t xml:space="preserve">DM </w:t>
            </w:r>
            <w:r>
              <w:rPr>
                <w:rFonts w:hint="eastAsia"/>
                <w:sz w:val="18"/>
              </w:rPr>
              <w:t xml:space="preserve">統計量</w:t>
            </w:r>
          </w:p>
        </w:tc>
        <w:tc>
          <w:tcPr>
            <w:tcBorders>
              <w:bottom w:val="single" w:sz="6" w:color="000000"/>
            </w:tcBorders>
          </w:tcPr>
          <w:p>
            <w:pPr>
              <w:pStyle w:val="Compact"/>
              <w:jc w:val="right"/>
            </w:pPr>
            <w:r>
              <w:rPr>
                <w:rFonts w:hint="eastAsia"/>
                <w:sz w:val="18"/>
              </w:rPr>
              <w:t xml:space="preserve">時間別価格の二乗誤差</w:t>
            </w:r>
          </w:p>
        </w:tc>
        <w:tc>
          <w:tcPr>
            <w:tcBorders>
              <w:bottom w:val="single" w:sz="6" w:color="000000"/>
            </w:tcBorders>
          </w:tcPr>
          <w:p>
            <w:pPr>
              <w:pStyle w:val="Compact"/>
              <w:jc w:val="right"/>
            </w:pPr>
            <w:r>
              <w:rPr>
                <w:rFonts w:hint="eastAsia"/>
                <w:sz w:val="18"/>
              </w:rPr>
              <w:t xml:space="preserve">水準の二乗誤差</w:t>
            </w:r>
          </w:p>
        </w:tc>
        <w:tc>
          <w:tcPr>
            <w:tcBorders>
              <w:bottom w:val="single" w:sz="6" w:color="000000"/>
            </w:tcBorders>
          </w:tcPr>
          <w:p>
            <w:pPr>
              <w:pStyle w:val="Compact"/>
              <w:jc w:val="right"/>
            </w:pPr>
            <w:r>
              <w:rPr>
                <w:rFonts w:hint="eastAsia"/>
                <w:sz w:val="18"/>
              </w:rPr>
              <w:t xml:space="preserve">形状の二乗誤差</w:t>
            </w:r>
          </w:p>
        </w:tc>
      </w:tr>
      <w:tr>
        <w:tc>
          <w:tcPr/>
          <w:p>
            <w:pPr>
              <w:pStyle w:val="Compact"/>
            </w:pPr>
            <w:r>
              <w:rPr>
                <w:rFonts w:hint="eastAsia"/>
                <w:sz w:val="18"/>
              </w:rPr>
              <w:t xml:space="preserve">DL1（1因子）</w:t>
            </w:r>
          </w:p>
        </w:tc>
        <w:tc>
          <w:tcPr/>
          <w:p>
            <w:pPr>
              <w:pStyle w:val="Compact"/>
              <w:jc w:val="right"/>
            </w:pPr>
            <w:r>
              <w:rPr>
                <w:sz w:val="18"/>
              </w:rPr>
              <w:t xml:space="preserve">80.0%</w:t>
            </w:r>
          </w:p>
        </w:tc>
        <w:tc>
          <w:tcPr/>
          <w:p>
            <w:pPr>
              <w:pStyle w:val="Compact"/>
              <w:jc w:val="right"/>
            </w:pPr>
            <w:r>
              <w:rPr>
                <w:rFonts w:hint="eastAsia"/>
                <w:sz w:val="18"/>
              </w:rPr>
              <w:t xml:space="preserve">−1.6（−2.7〜−0.8）</w:t>
            </w:r>
          </w:p>
        </w:tc>
        <w:tc>
          <w:tcPr/>
          <w:p>
            <w:pPr>
              <w:pStyle w:val="Compact"/>
              <w:jc w:val="right"/>
            </w:pPr>
            <w:r>
              <w:rPr>
                <w:sz w:val="18"/>
              </w:rPr>
              <w:t xml:space="preserve">−170</w:t>
            </w:r>
          </w:p>
        </w:tc>
        <w:tc>
          <w:tcPr/>
          <w:p>
            <w:pPr>
              <w:pStyle w:val="Compact"/>
              <w:jc w:val="right"/>
            </w:pPr>
            <w:r>
              <w:rPr>
                <w:sz w:val="18"/>
              </w:rPr>
              <w:t xml:space="preserve">−4.0</w:t>
            </w:r>
          </w:p>
        </w:tc>
        <w:tc>
          <w:tcPr/>
          <w:p>
            <w:pPr>
              <w:pStyle w:val="Compact"/>
              <w:jc w:val="right"/>
            </w:pPr>
            <w:r>
              <w:rPr>
                <w:rFonts w:hint="eastAsia"/>
                <w:sz w:val="18"/>
              </w:rPr>
              <w:t xml:space="preserve">−13.8%（−6.2）</w:t>
            </w:r>
          </w:p>
        </w:tc>
        <w:tc>
          <w:tcPr/>
          <w:p>
            <w:pPr>
              <w:pStyle w:val="Compact"/>
              <w:jc w:val="right"/>
            </w:pPr>
            <w:r>
              <w:rPr>
                <w:rFonts w:hint="eastAsia"/>
                <w:sz w:val="18"/>
              </w:rPr>
              <w:t xml:space="preserve">−29.9%（−6.6）</w:t>
            </w:r>
          </w:p>
        </w:tc>
        <w:tc>
          <w:tcPr/>
          <w:p>
            <w:pPr>
              <w:pStyle w:val="Compact"/>
              <w:jc w:val="right"/>
            </w:pPr>
            <w:r>
              <w:rPr>
                <w:rFonts w:hint="eastAsia"/>
                <w:sz w:val="18"/>
              </w:rPr>
              <w:t xml:space="preserve">+0.8%（0.9）</w:t>
            </w:r>
          </w:p>
        </w:tc>
      </w:tr>
      <w:tr>
        <w:tc>
          <w:tcPr/>
          <w:p>
            <w:pPr>
              <w:pStyle w:val="Compact"/>
            </w:pPr>
            <w:r>
              <w:rPr>
                <w:rFonts w:hint="eastAsia"/>
                <w:sz w:val="18"/>
              </w:rPr>
              <w:t xml:space="preserve">DL3（3因子）</w:t>
            </w:r>
          </w:p>
        </w:tc>
        <w:tc>
          <w:tcPr/>
          <w:p>
            <w:pPr>
              <w:pStyle w:val="Compact"/>
              <w:jc w:val="right"/>
            </w:pPr>
            <w:r>
              <w:rPr>
                <w:sz w:val="18"/>
              </w:rPr>
              <w:t xml:space="preserve">80.2%</w:t>
            </w:r>
          </w:p>
        </w:tc>
        <w:tc>
          <w:tcPr/>
          <w:p>
            <w:pPr>
              <w:pStyle w:val="Compact"/>
              <w:jc w:val="right"/>
            </w:pPr>
            <w:r>
              <w:rPr>
                <w:rFonts w:hint="eastAsia"/>
                <w:sz w:val="18"/>
              </w:rPr>
              <w:t xml:space="preserve">−1.5（−2.5〜−0.5）</w:t>
            </w:r>
          </w:p>
        </w:tc>
        <w:tc>
          <w:tcPr/>
          <w:p>
            <w:pPr>
              <w:pStyle w:val="Compact"/>
              <w:jc w:val="right"/>
            </w:pPr>
            <w:r>
              <w:rPr>
                <w:sz w:val="18"/>
              </w:rPr>
              <w:t xml:space="preserve">−155</w:t>
            </w:r>
          </w:p>
        </w:tc>
        <w:tc>
          <w:tcPr/>
          <w:p>
            <w:pPr>
              <w:pStyle w:val="Compact"/>
              <w:jc w:val="right"/>
            </w:pPr>
            <w:r>
              <w:rPr>
                <w:sz w:val="18"/>
              </w:rPr>
              <w:t xml:space="preserve">−3.3</w:t>
            </w:r>
          </w:p>
        </w:tc>
        <w:tc>
          <w:tcPr/>
          <w:p>
            <w:pPr>
              <w:pStyle w:val="Compact"/>
              <w:jc w:val="right"/>
            </w:pPr>
            <w:r>
              <w:rPr>
                <w:rFonts w:hint="eastAsia"/>
                <w:sz w:val="18"/>
              </w:rPr>
              <w:t xml:space="preserve">−16.4%（−6.8）</w:t>
            </w:r>
          </w:p>
        </w:tc>
        <w:tc>
          <w:tcPr/>
          <w:p>
            <w:pPr>
              <w:pStyle w:val="Compact"/>
              <w:jc w:val="right"/>
            </w:pPr>
            <w:r>
              <w:rPr>
                <w:rFonts w:hint="eastAsia"/>
                <w:sz w:val="18"/>
              </w:rPr>
              <w:t xml:space="preserve">−32.8%（−7.1）</w:t>
            </w:r>
          </w:p>
        </w:tc>
        <w:tc>
          <w:tcPr/>
          <w:p>
            <w:pPr>
              <w:pStyle w:val="Compact"/>
              <w:jc w:val="right"/>
            </w:pPr>
            <w:r>
              <w:rPr>
                <w:rFonts w:hint="eastAsia"/>
                <w:sz w:val="18"/>
              </w:rPr>
              <w:t xml:space="preserve">−1.5%（−1.1）</w:t>
            </w:r>
          </w:p>
        </w:tc>
      </w:tr>
      <w:tr>
        <w:tc>
          <w:tcPr/>
          <w:p>
            <w:pPr>
              <w:pStyle w:val="Compact"/>
            </w:pPr>
            <w:r>
              <w:rPr>
                <w:rFonts w:hint="eastAsia"/>
                <w:sz w:val="18"/>
              </w:rPr>
              <w:t xml:space="preserve">DL5（5因子）</w:t>
            </w:r>
          </w:p>
        </w:tc>
        <w:tc>
          <w:tcPr/>
          <w:p>
            <w:pPr>
              <w:pStyle w:val="Compact"/>
              <w:jc w:val="right"/>
            </w:pPr>
            <w:r>
              <w:rPr>
                <w:sz w:val="18"/>
              </w:rPr>
              <w:t xml:space="preserve">80.4%</w:t>
            </w:r>
          </w:p>
        </w:tc>
        <w:tc>
          <w:tcPr/>
          <w:p>
            <w:pPr>
              <w:pStyle w:val="Compact"/>
              <w:jc w:val="right"/>
            </w:pPr>
            <w:r>
              <w:rPr>
                <w:rFonts w:hint="eastAsia"/>
                <w:sz w:val="18"/>
              </w:rPr>
              <w:t xml:space="preserve">−1.3（−2.2〜−0.4）</w:t>
            </w:r>
          </w:p>
        </w:tc>
        <w:tc>
          <w:tcPr/>
          <w:p>
            <w:pPr>
              <w:pStyle w:val="Compact"/>
              <w:jc w:val="right"/>
            </w:pPr>
            <w:r>
              <w:rPr>
                <w:sz w:val="18"/>
              </w:rPr>
              <w:t xml:space="preserve">−136</w:t>
            </w:r>
          </w:p>
        </w:tc>
        <w:tc>
          <w:tcPr/>
          <w:p>
            <w:pPr>
              <w:pStyle w:val="Compact"/>
              <w:jc w:val="right"/>
            </w:pPr>
            <w:r>
              <w:rPr>
                <w:sz w:val="18"/>
              </w:rPr>
              <w:t xml:space="preserve">−3.2</w:t>
            </w:r>
          </w:p>
        </w:tc>
        <w:tc>
          <w:tcPr/>
          <w:p>
            <w:pPr>
              <w:pStyle w:val="Compact"/>
              <w:jc w:val="right"/>
            </w:pPr>
            <w:r>
              <w:rPr>
                <w:rFonts w:hint="eastAsia"/>
                <w:sz w:val="18"/>
              </w:rPr>
              <w:t xml:space="preserve">−16.8%（−6.8）</w:t>
            </w:r>
          </w:p>
        </w:tc>
        <w:tc>
          <w:tcPr/>
          <w:p>
            <w:pPr>
              <w:pStyle w:val="Compact"/>
              <w:jc w:val="right"/>
            </w:pPr>
            <w:r>
              <w:rPr>
                <w:rFonts w:hint="eastAsia"/>
                <w:sz w:val="18"/>
              </w:rPr>
              <w:t xml:space="preserve">−33.1%（−7.1）</w:t>
            </w:r>
          </w:p>
        </w:tc>
        <w:tc>
          <w:tcPr/>
          <w:p>
            <w:pPr>
              <w:pStyle w:val="Compact"/>
              <w:jc w:val="right"/>
            </w:pPr>
            <w:r>
              <w:rPr>
                <w:rFonts w:hint="eastAsia"/>
                <w:sz w:val="18"/>
              </w:rPr>
              <w:t xml:space="preserve">−1.9%（−1.3）</w:t>
            </w:r>
          </w:p>
        </w:tc>
      </w:tr>
      <w:tr>
        <w:tc>
          <w:tcPr/>
          <w:p>
            <w:pPr>
              <w:pStyle w:val="Compact"/>
            </w:pPr>
            <w:r>
              <w:rPr>
                <w:rFonts w:hint="eastAsia"/>
                <w:sz w:val="18"/>
              </w:rPr>
              <w:t xml:space="preserve">AR（時刻別</w:t>
            </w:r>
            <w:r>
              <w:rPr>
                <w:sz w:val="18"/>
              </w:rPr>
              <w:t xml:space="preserve"> </w:t>
            </w:r>
            <w:r>
              <w:rPr>
                <w:rFonts w:hint="eastAsia"/>
                <w:sz w:val="18"/>
              </w:rPr>
              <w:t xml:space="preserve">AR(1)）</w:t>
            </w:r>
          </w:p>
        </w:tc>
        <w:tc>
          <w:tcPr/>
          <w:p>
            <w:pPr>
              <w:pStyle w:val="Compact"/>
              <w:jc w:val="right"/>
            </w:pPr>
            <w:r>
              <w:rPr>
                <w:sz w:val="18"/>
              </w:rPr>
              <w:t xml:space="preserve">79.5%</w:t>
            </w:r>
          </w:p>
        </w:tc>
        <w:tc>
          <w:tcPr/>
          <w:p>
            <w:pPr>
              <w:pStyle w:val="Compact"/>
              <w:jc w:val="right"/>
            </w:pPr>
            <w:r>
              <w:rPr>
                <w:rFonts w:hint="eastAsia"/>
                <w:sz w:val="18"/>
              </w:rPr>
              <w:t xml:space="preserve">−2.2（−3.3〜−1.1）</w:t>
            </w:r>
          </w:p>
        </w:tc>
        <w:tc>
          <w:tcPr/>
          <w:p>
            <w:pPr>
              <w:pStyle w:val="Compact"/>
              <w:jc w:val="right"/>
            </w:pPr>
            <w:r>
              <w:rPr>
                <w:sz w:val="18"/>
              </w:rPr>
              <w:t xml:space="preserve">−229</w:t>
            </w:r>
          </w:p>
        </w:tc>
        <w:tc>
          <w:tcPr/>
          <w:p>
            <w:pPr>
              <w:pStyle w:val="Compact"/>
              <w:jc w:val="right"/>
            </w:pPr>
            <w:r>
              <w:rPr>
                <w:sz w:val="18"/>
              </w:rPr>
              <w:t xml:space="preserve">−4.2</w:t>
            </w:r>
          </w:p>
        </w:tc>
        <w:tc>
          <w:tcPr/>
          <w:p>
            <w:pPr>
              <w:pStyle w:val="Compact"/>
              <w:jc w:val="right"/>
            </w:pPr>
            <w:r>
              <w:rPr>
                <w:rFonts w:hint="eastAsia"/>
                <w:sz w:val="18"/>
              </w:rPr>
              <w:t xml:space="preserve">−15.1%（−6.8）</w:t>
            </w:r>
          </w:p>
        </w:tc>
        <w:tc>
          <w:tcPr/>
          <w:p>
            <w:pPr>
              <w:pStyle w:val="Compact"/>
              <w:jc w:val="right"/>
            </w:pPr>
            <w:r>
              <w:rPr>
                <w:rFonts w:hint="eastAsia"/>
                <w:sz w:val="18"/>
              </w:rPr>
              <w:t xml:space="preserve">−33.9%（−8.1）</w:t>
            </w:r>
          </w:p>
        </w:tc>
        <w:tc>
          <w:tcPr/>
          <w:p>
            <w:pPr>
              <w:pStyle w:val="Compact"/>
              <w:jc w:val="right"/>
            </w:pPr>
            <w:r>
              <w:rPr>
                <w:rFonts w:hint="eastAsia"/>
                <w:sz w:val="18"/>
              </w:rPr>
              <w:t xml:space="preserve">+1.9%（0.9）</w:t>
            </w:r>
          </w:p>
        </w:tc>
      </w:tr>
      <w:tr>
        <w:tc>
          <w:tcPr/>
          <w:p>
            <w:pPr>
              <w:pStyle w:val="Compact"/>
            </w:pPr>
            <w:r>
              <w:rPr>
                <w:rFonts w:hint="eastAsia"/>
                <w:sz w:val="18"/>
              </w:rPr>
              <w:t xml:space="preserve">参考：a（前日の実現価格）</w:t>
            </w:r>
          </w:p>
        </w:tc>
        <w:tc>
          <w:tcPr/>
          <w:p>
            <w:pPr>
              <w:pStyle w:val="Compact"/>
              <w:jc w:val="right"/>
            </w:pPr>
            <w:r>
              <w:rPr>
                <w:sz w:val="18"/>
              </w:rPr>
              <w:t xml:space="preserve">68.5%</w:t>
            </w:r>
          </w:p>
        </w:tc>
        <w:tc>
          <w:tcPr/>
          <w:p>
            <w:pPr>
              <w:pStyle w:val="Compact"/>
              <w:jc w:val="right"/>
            </w:pPr>
            <w:r>
              <w:rPr>
                <w:rFonts w:hint="eastAsia"/>
                <w:sz w:val="18"/>
              </w:rPr>
              <w:t xml:space="preserve">−13.1（−15.1〜−11.1）</w:t>
            </w:r>
          </w:p>
        </w:tc>
        <w:tc>
          <w:tcPr/>
          <w:p>
            <w:pPr>
              <w:pStyle w:val="Compact"/>
              <w:jc w:val="right"/>
            </w:pPr>
            <w:r>
              <w:rPr>
                <w:sz w:val="18"/>
              </w:rPr>
              <w:t xml:space="preserve">−1,356</w:t>
            </w:r>
          </w:p>
        </w:tc>
        <w:tc>
          <w:tcPr/>
          <w:p>
            <w:pPr>
              <w:pStyle w:val="Compact"/>
              <w:jc w:val="right"/>
            </w:pPr>
            <w:r>
              <w:rPr>
                <w:sz w:val="18"/>
              </w:rPr>
              <w:t xml:space="preserve">−12.2</w:t>
            </w:r>
          </w:p>
        </w:tc>
        <w:tc>
          <w:tcPr/>
          <w:p>
            <w:pPr>
              <w:pStyle w:val="Compact"/>
              <w:jc w:val="right"/>
            </w:pPr>
            <w:r>
              <w:rPr>
                <w:rFonts w:hint="eastAsia"/>
                <w:sz w:val="18"/>
              </w:rPr>
              <w:t xml:space="preserve">+19.4%（3.9）</w:t>
            </w:r>
          </w:p>
        </w:tc>
        <w:tc>
          <w:tcPr/>
          <w:p>
            <w:pPr>
              <w:pStyle w:val="Compact"/>
              <w:jc w:val="right"/>
            </w:pPr>
            <w:r>
              <w:rPr>
                <w:rFonts w:hint="eastAsia"/>
                <w:sz w:val="18"/>
              </w:rPr>
              <w:t xml:space="preserve">−17.1%（−2.7）</w:t>
            </w:r>
          </w:p>
        </w:tc>
        <w:tc>
          <w:tcPr/>
          <w:p>
            <w:pPr>
              <w:pStyle w:val="Compact"/>
              <w:jc w:val="right"/>
            </w:pPr>
            <w:r>
              <w:rPr>
                <w:rFonts w:hint="eastAsia"/>
                <w:sz w:val="18"/>
              </w:rPr>
              <w:t xml:space="preserve">+52.6%（8.7）</w:t>
            </w:r>
          </w:p>
        </w:tc>
      </w:tr>
    </w:tbl>
    <w:p>
      <w:pPr>
        <w:pStyle w:val="TableNote"/>
      </w:pPr>
      <w:r>
        <w:rPr>
          <w:rFonts w:hint="eastAsia"/>
        </w:rPr>
        <w:t xml:space="preserve">注）FY2023〜25</w:t>
      </w:r>
      <w:r>
        <w:t xml:space="preserve"> </w:t>
      </w:r>
      <w:r>
        <w:rPr>
          <w:rFonts w:hint="eastAsia"/>
        </w:rPr>
        <w:t xml:space="preserve">のプール。二乗誤差は、当日の実現価格に対する予測カーブの二乗誤差の</w:t>
      </w:r>
      <w:r>
        <w:t xml:space="preserve"> c </w:t>
      </w:r>
      <w:r>
        <w:rPr>
          <w:rFonts w:hint="eastAsia"/>
        </w:rPr>
        <w:t xml:space="preserve">に対する相対差で、括弧内は</w:t>
      </w:r>
      <w:r>
        <w:t xml:space="preserve"> DM </w:t>
      </w:r>
      <w:r>
        <w:rPr>
          <w:rFonts w:hint="eastAsia"/>
        </w:rPr>
        <w:t xml:space="preserve">統計量。時間別価格の二乗誤差は、日ごとに水準の二乗誤差と形状の二乗誤差の和に分かれる（式(B.14)）。DM</w:t>
      </w:r>
      <w:r>
        <w:t xml:space="preserve"> </w:t>
      </w:r>
      <w:r>
        <w:rPr>
          <w:rFonts w:hint="eastAsia"/>
        </w:rPr>
        <w:t xml:space="preserve">統計量の長期分散は</w:t>
      </w:r>
      <w:r>
        <w:t xml:space="preserve"> </w:t>
      </w:r>
      <w:r>
        <w:rPr>
          <w:rFonts w:hint="eastAsia"/>
        </w:rPr>
        <w:t xml:space="preserve">Newey–West（ラグ7日）による。</w:t>
      </w:r>
    </w:p>
    <w:p>
      <w:pPr>
        <w:pStyle w:val="TableNote"/>
      </w:pPr>
      <w:r>
        <w:rPr>
          <w:rFonts w:hint="eastAsia"/>
        </w:rPr>
        <w:t xml:space="preserve">出所）日本卸電力取引所『スポット市場取引結果』より筆者作成。</w:t>
      </w:r>
    </w:p>
    <w:p>
      <w:pPr>
        <w:pStyle w:val="BodyText"/>
      </w:pPr>
      <w:r>
        <w:rPr>
          <w:rFonts w:hint="eastAsia"/>
        </w:rPr>
        <w:t xml:space="preserve">二者比較の補足は次のとおりである。a2</w:t>
      </w:r>
      <w:r>
        <w:t xml:space="preserve"> の a </w:t>
      </w:r>
      <w:r>
        <w:rPr>
          <w:rFonts w:hint="eastAsia"/>
        </w:rPr>
        <w:t xml:space="preserve">に対する改善は+98円/kW-年（+1.0ポイント）で有意でない（DM=1.62、p=0.11）。c</w:t>
      </w:r>
      <w:r>
        <w:t xml:space="preserve"> と b </w:t>
      </w:r>
      <w:r>
        <w:rPr>
          <w:rFonts w:hint="eastAsia"/>
        </w:rPr>
        <w:t xml:space="preserve">の差は、FY2023</w:t>
      </w:r>
      <w:r>
        <w:t xml:space="preserve"> </w:t>
      </w:r>
      <w:r>
        <w:rPr>
          <w:rFonts w:hint="eastAsia"/>
        </w:rPr>
        <w:t xml:space="preserve">に5.2ポイント（DM=3.18）、FY2024</w:t>
      </w:r>
      <w:r>
        <w:t xml:space="preserve"> </w:t>
      </w:r>
      <w:r>
        <w:rPr>
          <w:rFonts w:hint="eastAsia"/>
        </w:rPr>
        <w:t xml:space="preserve">に2.4ポイント（DM=3.26）で有意、FY2025</w:t>
      </w:r>
      <w:r>
        <w:t xml:space="preserve"> </w:t>
      </w:r>
      <w:r>
        <w:rPr>
          <w:rFonts w:hint="eastAsia"/>
        </w:rPr>
        <w:t xml:space="preserve">は1.1ポイントで有意でない（DM=1.16、p=0.25）。b′</w:t>
      </w:r>
      <w:r>
        <w:t xml:space="preserve"> は b </w:t>
      </w:r>
      <w:r>
        <w:rPr>
          <w:rFonts w:hint="eastAsia"/>
        </w:rPr>
        <w:t xml:space="preserve">をプールで52円（0.5ポイント）下回り（DM=−2.24、p=0.03）、年度別には</w:t>
      </w:r>
      <w:r>
        <w:t xml:space="preserve"> FY2023・24 に−0.9・−0.8ポイント、FY2025 に+0.05ポイントである。Harvey et </w:t>
      </w:r>
      <w:r>
        <w:rPr>
          <w:rFonts w:hint="eastAsia"/>
        </w:rPr>
        <w:t xml:space="preserve">al.（1997）の小標本補正は、どの比較でも</w:t>
      </w:r>
      <w:r>
        <w:t xml:space="preserve"> DM </w:t>
      </w:r>
      <w:r>
        <w:rPr>
          <w:rFonts w:hint="eastAsia"/>
        </w:rPr>
        <w:t xml:space="preserve">統計量を0.01以下しか変えない（本文と本付録の</w:t>
      </w:r>
      <w:r>
        <w:t xml:space="preserve"> p </w:t>
      </w:r>
      <w:r>
        <w:rPr>
          <w:rFonts w:hint="eastAsia"/>
        </w:rPr>
        <w:t xml:space="preserve">値は補正後の値による）。</w:t>
      </w:r>
    </w:p>
    <w:p>
      <w:pPr>
        <w:pStyle w:val="BodyText"/>
      </w:pPr>
      <w:r>
        <w:rPr>
          <w:rFonts w:hint="eastAsia"/>
        </w:rPr>
        <w:t xml:space="preserve">モデル信頼集合（Hansen</w:t>
      </w:r>
      <w:r>
        <w:t xml:space="preserve"> et al., </w:t>
      </w:r>
      <w:r>
        <w:rPr>
          <w:rFonts w:hint="eastAsia"/>
        </w:rPr>
        <w:t xml:space="preserve">2011）は統計量の選び方に依存する。範囲統計量</w:t>
      </w:r>
      <w:r>
        <w:t xml:space="preserve"> </w:t>
      </w:r>
      <m:oMath>
        <m:sSub>
          <m:e>
            <m:r>
              <m:t>T</m:t>
            </m:r>
          </m:e>
          <m:sub>
            <m:r>
              <m:t>R</m:t>
            </m:r>
          </m:sub>
        </m:sSub>
      </m:oMath>
      <w:r>
        <w:t xml:space="preserve"> </w:t>
      </w:r>
      <w:r>
        <w:rPr>
          <w:rFonts w:hint="eastAsia"/>
        </w:rPr>
        <w:t xml:space="preserve">では99%の集合に残るのは</w:t>
      </w:r>
      <w:r>
        <w:t xml:space="preserve"> c </w:t>
      </w:r>
      <w:r>
        <w:rPr>
          <w:rFonts w:hint="eastAsia"/>
        </w:rPr>
        <w:t xml:space="preserve">だけである。集合平均との差に基づく</w:t>
      </w:r>
      <w:r>
        <w:t xml:space="preserve"> </w:t>
      </w:r>
      <m:oMath>
        <m:sSub>
          <m:e>
            <m:r>
              <m:t>T</m:t>
            </m:r>
          </m:e>
          <m:sub>
            <m:r>
              <m:rPr>
                <m:sty m:val="p"/>
              </m:rPr>
              <m:t>m</m:t>
            </m:r>
            <m:r>
              <m:rPr>
                <m:sty m:val="p"/>
              </m:rPr>
              <m:t>a</m:t>
            </m:r>
            <m:r>
              <m:rPr>
                <m:sty m:val="p"/>
              </m:rPr>
              <m:t>x</m:t>
            </m:r>
          </m:sub>
        </m:sSub>
      </m:oMath>
      <w:r>
        <w:t xml:space="preserve"> </w:t>
      </w:r>
      <w:r>
        <w:t xml:space="preserve">では c・b・DL1・DL3・DL5・AR </w:t>
      </w:r>
      <w:r>
        <w:rPr>
          <w:rFonts w:hint="eastAsia"/>
        </w:rPr>
        <w:t xml:space="preserve">の6本が90%の集合に残り、c</w:t>
      </w:r>
      <w:r>
        <w:t xml:space="preserve"> </w:t>
      </w:r>
      <w:r>
        <w:rPr>
          <w:rFonts w:hint="eastAsia"/>
        </w:rPr>
        <w:t xml:space="preserve">だけになるのは75%の集合である。このため主の検定は</w:t>
      </w:r>
      <w:r>
        <w:t xml:space="preserve"> SPA </w:t>
      </w:r>
      <w:r>
        <w:rPr>
          <w:rFonts w:hint="eastAsia"/>
        </w:rPr>
        <w:t xml:space="preserve">検定とする。</w:t>
      </w:r>
    </w:p>
    <w:p>
      <w:pPr>
        <w:pStyle w:val="BodyText"/>
      </w:pPr>
      <w:r>
        <w:rPr>
          <w:rFonts w:hint="eastAsia"/>
        </w:rPr>
        <w:t xml:space="preserve">戦略</w:t>
      </w:r>
      <w:r>
        <w:t xml:space="preserve"> a・a2 </w:t>
      </w:r>
      <w:r>
        <w:rPr>
          <w:rFonts w:hint="eastAsia"/>
        </w:rPr>
        <w:t xml:space="preserve">は、前日の実現価格に同値がある日（FY2023〜25</w:t>
      </w:r>
      <w:r>
        <w:t xml:space="preserve"> </w:t>
      </w:r>
      <w:r>
        <w:rPr>
          <w:rFonts w:hint="eastAsia"/>
        </w:rPr>
        <w:t xml:space="preserve">の1,096日中219日）に、どの時間を選ぶかで値が動く。本文の値は同値の時間帯に充放電量を均等に配分する規則によるもので、選び方によって</w:t>
      </w:r>
      <w:r>
        <w:t xml:space="preserve"> a </w:t>
      </w:r>
      <w:r>
        <w:rPr>
          <w:rFonts w:hint="eastAsia"/>
        </w:rPr>
        <w:t xml:space="preserve">の実現率は年度別に66.5〜70.7%の範囲で動く。同値の内訳は付録B.3.1</w:t>
      </w:r>
      <w:r>
        <w:t xml:space="preserve"> </w:t>
      </w:r>
      <w:r>
        <w:rPr>
          <w:rFonts w:hint="eastAsia"/>
        </w:rPr>
        <w:t xml:space="preserve">に示す。</w:t>
      </w:r>
    </w:p>
    <w:p>
      <w:pPr>
        <w:pStyle w:val="BodyText"/>
      </w:pPr>
      <w:r>
        <w:t xml:space="preserve">FY2016〜25 </w:t>
      </w:r>
      <w:r>
        <w:rPr>
          <w:rFonts w:hint="eastAsia"/>
        </w:rPr>
        <w:t xml:space="preserve">の年度別の実現率では、戦略</w:t>
      </w:r>
      <w:r>
        <w:t xml:space="preserve"> c は FY2016 </w:t>
      </w:r>
      <w:r>
        <w:rPr>
          <w:rFonts w:hint="eastAsia"/>
        </w:rPr>
        <w:t xml:space="preserve">に84.3%（戦略</w:t>
      </w:r>
      <w:r>
        <w:t xml:space="preserve"> c </w:t>
      </w:r>
      <w:r>
        <w:rPr>
          <w:rFonts w:hint="eastAsia"/>
        </w:rPr>
        <w:t xml:space="preserve">で評価できる355日の粗利を全365日の完全予見粗利で割った値。同じ355日で割ると85.6%）、FY2018</w:t>
      </w:r>
      <w:r>
        <w:t xml:space="preserve"> に78.4%、FY2019 に79.3%、FY2021 </w:t>
      </w:r>
      <w:r>
        <w:rPr>
          <w:rFonts w:hint="eastAsia"/>
        </w:rPr>
        <w:t xml:space="preserve">に76.4%で、それ以外の年度は80.6〜84.3%である。</w:t>
      </w:r>
    </w:p>
    <w:bookmarkEnd w:id="370"/>
    <w:bookmarkStart w:id="371" w:name="c.2.7-収益の基準の比較と極端な場合"/>
    <w:p>
      <w:pPr>
        <w:pStyle w:val="Heading3"/>
      </w:pPr>
      <w:r>
        <w:t xml:space="preserve">C.2.7　</w:t>
      </w:r>
      <w:r>
        <w:rPr>
          <w:rFonts w:hint="eastAsia"/>
        </w:rPr>
        <w:t xml:space="preserve">収益の基準の比較と極端な場合</w:t>
      </w:r>
    </w:p>
    <w:p>
      <w:pPr>
        <w:pStyle w:val="FirstParagraph"/>
      </w:pPr>
      <w:r>
        <w:rPr>
          <w:rFonts w:hint="eastAsia"/>
        </w:rPr>
        <w:t xml:space="preserve">均衡分析の収益の基準として、本文の実績整合ケースのほかに二つの基準を比べる。一つは、モデル価格の上での戦略</w:t>
      </w:r>
      <w:r>
        <w:t xml:space="preserve"> c </w:t>
      </w:r>
      <w:r>
        <w:rPr>
          <w:rFonts w:hint="eastAsia"/>
        </w:rPr>
        <w:t xml:space="preserve">の粗利をそのまま用いる基準（モデル直値、7,602円/kW-年）で、実績の戦略</w:t>
      </w:r>
      <w:r>
        <w:t xml:space="preserve"> c </w:t>
      </w:r>
      <w:r>
        <w:rPr>
          <w:rFonts w:hint="eastAsia"/>
        </w:rPr>
        <w:t xml:space="preserve">の90%にあたる。もう一つは、実績価格で測った実現率（0.81）をモデルの完全予見粗利に掛ける基準（6,695円/kW-年）で、実績の戦略</w:t>
      </w:r>
      <w:r>
        <w:t xml:space="preserve"> c </w:t>
      </w:r>
      <w:r>
        <w:rPr>
          <w:rFonts w:hint="eastAsia"/>
        </w:rPr>
        <w:t xml:space="preserve">の79%にとどまり、取り逃しを二重に差し引く。第4章の損益分岐の式(4.8)による</w:t>
      </w:r>
      <w:r>
        <w:t xml:space="preserve"> </w:t>
      </w:r>
      <m:oMath>
        <m:r>
          <m:t>K</m:t>
        </m:r>
        <m:r>
          <m:rPr>
            <m:sty m:val="p"/>
          </m:rPr>
          <m:t>=</m:t>
        </m:r>
        <m:r>
          <m:t>0</m:t>
        </m:r>
      </m:oMath>
      <w:r>
        <w:t xml:space="preserve"> </w:t>
      </w:r>
      <w:r>
        <w:t xml:space="preserve">の</w:t>
      </w:r>
      <w:r>
        <w:t xml:space="preserve"> </w:t>
      </w:r>
      <m:oMath>
        <m:sSup>
          <m:e>
            <m:r>
              <m:t>θ</m:t>
            </m:r>
          </m:e>
          <m:sup>
            <m:r>
              <m:rPr>
                <m:sty m:val="p"/>
              </m:rPr>
              <m:t>*</m:t>
            </m:r>
          </m:sup>
        </m:sSup>
      </m:oMath>
      <w:r>
        <w:t xml:space="preserve"> </w:t>
      </w:r>
      <w:r>
        <w:rPr>
          <w:rFonts w:hint="eastAsia"/>
        </w:rPr>
        <w:t xml:space="preserve">は、実績整合ケースの2.99に対し、モデル直値で3.31、実現率×モデルの完全予見粗利で3.76である。どの基準でも</w:t>
      </w:r>
      <w:r>
        <w:t xml:space="preserve"> </w:t>
      </w:r>
      <m:oMath>
        <m:sSup>
          <m:e>
            <m:r>
              <m:t>θ</m:t>
            </m:r>
          </m:e>
          <m:sup>
            <m:r>
              <m:rPr>
                <m:sty m:val="p"/>
              </m:rPr>
              <m:t>*</m:t>
            </m:r>
          </m:sup>
        </m:sSup>
      </m:oMath>
      <w:r>
        <w:t xml:space="preserve"> </w:t>
      </w:r>
      <w:r>
        <w:t xml:space="preserve">は FY2022 </w:t>
      </w:r>
      <w:r>
        <w:rPr>
          <w:rFonts w:hint="eastAsia"/>
        </w:rPr>
        <w:t xml:space="preserve">の水準（1.72）と</w:t>
      </w:r>
      <w:r>
        <w:t xml:space="preserve"> FY2026 </w:t>
      </w:r>
      <w:r>
        <w:rPr>
          <w:rFonts w:hint="eastAsia"/>
        </w:rPr>
        <w:t xml:space="preserve">の4〜6月の水準（1.57）を上回る。</w:t>
      </w:r>
    </w:p>
    <w:p>
      <w:pPr>
        <w:pStyle w:val="BodyText"/>
      </w:pPr>
      <w:r>
        <w:rPr>
          <w:rFonts w:hint="eastAsia"/>
        </w:rPr>
        <w:t xml:space="preserve">校正係数</w:t>
      </w:r>
      <w:r>
        <w:t xml:space="preserve"> </w:t>
      </w:r>
      <m:oMath>
        <m:r>
          <m:t>λ</m:t>
        </m:r>
      </m:oMath>
      <w:r>
        <w:t xml:space="preserve"> </w:t>
      </w:r>
      <w:r>
        <w:rPr>
          <w:rFonts w:hint="eastAsia"/>
        </w:rPr>
        <w:t xml:space="preserve">は年度別には1.19（FY2023）、0.94（FY2024）、1.21（FY2025）である。形状を</w:t>
      </w:r>
      <w:r>
        <w:t xml:space="preserve"> FY2023〜25 </w:t>
      </w:r>
      <w:r>
        <w:rPr>
          <w:rFonts w:hint="eastAsia"/>
        </w:rPr>
        <w:t xml:space="preserve">で推定したまま水準</w:t>
      </w:r>
      <w:r>
        <w:t xml:space="preserve"> </w:t>
      </w:r>
      <m:oMath>
        <m:r>
          <m:t>θ</m:t>
        </m:r>
      </m:oMath>
      <w:r>
        <w:t xml:space="preserve"> </w:t>
      </w:r>
      <w:r>
        <w:rPr>
          <w:rFonts w:hint="eastAsia"/>
        </w:rPr>
        <w:t xml:space="preserve">を当該期間の価格で推定した期間外の確認（FY2026</w:t>
      </w:r>
      <w:r>
        <w:t xml:space="preserve"> </w:t>
      </w:r>
      <w:r>
        <w:rPr>
          <w:rFonts w:hint="eastAsia"/>
        </w:rPr>
        <w:t xml:space="preserve">の4〜6月で</w:t>
      </w:r>
      <w:r>
        <w:t xml:space="preserve"> </w:t>
      </w:r>
      <m:oMath>
        <m:r>
          <m:t>θ</m:t>
        </m:r>
        <m:r>
          <m:rPr>
            <m:sty m:val="p"/>
          </m:rPr>
          <m:t>=</m:t>
        </m:r>
        <m:r>
          <m:t>1.57</m:t>
        </m:r>
      </m:oMath>
      <w:r>
        <w:t xml:space="preserve">、FY2022 </w:t>
      </w:r>
      <w:r>
        <w:rPr>
          <w:rFonts w:hint="eastAsia"/>
        </w:rPr>
        <w:t xml:space="preserve">で1.72）では、実績とモデルの比は</w:t>
      </w:r>
      <w:r>
        <w:t xml:space="preserve"> FY2026 </w:t>
      </w:r>
      <w:r>
        <w:rPr>
          <w:rFonts w:hint="eastAsia"/>
        </w:rPr>
        <w:t xml:space="preserve">の4〜6月に1.23、FY2022</w:t>
      </w:r>
      <w:r>
        <w:t xml:space="preserve"> に1.60である。</w:t>
      </w:r>
    </w:p>
    <w:p>
      <w:pPr>
        <w:pStyle w:val="BodyText"/>
      </w:pPr>
      <w:r>
        <w:rPr>
          <w:rFonts w:hint="eastAsia"/>
        </w:rPr>
        <w:t xml:space="preserve">極端な場合として、限界参入者が実績の完全予見粗利（10,317円/kW-年。モデルの完全予見粗利8,265円の約1.25倍）をすべて取れる、すなわち実績価格の上で実現率を1とした場合でも、損益分岐の価格水準係数</w:t>
      </w:r>
      <w:r>
        <w:t xml:space="preserve"> </w:t>
      </w:r>
      <m:oMath>
        <m:sSup>
          <m:e>
            <m:r>
              <m:t>θ</m:t>
            </m:r>
          </m:e>
          <m:sup>
            <m:r>
              <m:rPr>
                <m:sty m:val="p"/>
              </m:rPr>
              <m:t>*</m:t>
            </m:r>
          </m:sup>
        </m:sSup>
      </m:oMath>
      <w:r>
        <w:t xml:space="preserve"> </w:t>
      </w:r>
      <w:r>
        <w:rPr>
          <w:rFonts w:hint="eastAsia"/>
        </w:rPr>
        <w:t xml:space="preserve">は、第7章の標準・楽観・保守の各ケースの参入必要収益（7.5節）で2.30・2.06・2.95である。式(4.8)では2.44で、実績整合ケースの2.99より約2割低い。いずれも燃料危機の</w:t>
      </w:r>
      <w:r>
        <w:t xml:space="preserve"> FY2022 </w:t>
      </w:r>
      <w:r>
        <w:rPr>
          <w:rFonts w:hint="eastAsia"/>
        </w:rPr>
        <w:t xml:space="preserve">の水準（</w:t>
      </w:r>
      <m:oMath>
        <m:r>
          <m:t>θ</m:t>
        </m:r>
        <m:r>
          <m:rPr>
            <m:sty m:val="p"/>
          </m:rPr>
          <m:t>=</m:t>
        </m:r>
        <m:r>
          <m:t>1.72</m:t>
        </m:r>
      </m:oMath>
      <w:r>
        <w:rPr>
          <w:rFonts w:hint="eastAsia"/>
        </w:rPr>
        <w:t xml:space="preserve">）の1.2〜1.7倍である。ただし</w:t>
      </w:r>
      <w:r>
        <w:t xml:space="preserve"> FY2022 </w:t>
      </w:r>
      <w:r>
        <w:rPr>
          <w:rFonts w:hint="eastAsia"/>
        </w:rPr>
        <w:t xml:space="preserve">の実績の裾はこのモデルの外にあり、実現率を高く置くほど</w:t>
      </w:r>
      <w:r>
        <w:t xml:space="preserve"> FY2022 </w:t>
      </w:r>
      <w:r>
        <w:rPr>
          <w:rFonts w:hint="eastAsia"/>
        </w:rPr>
        <w:t xml:space="preserve">の実績価格という例外は広がる（7.5節）。FY2022</w:t>
      </w:r>
      <w:r>
        <w:t xml:space="preserve"> </w:t>
      </w:r>
      <w:r>
        <w:rPr>
          <w:rFonts w:hint="eastAsia"/>
        </w:rPr>
        <w:t xml:space="preserve">の実績の完全予見粗利25,160円/kW-年の上で戦略</w:t>
      </w:r>
      <w:r>
        <w:t xml:space="preserve"> c </w:t>
      </w:r>
      <w:r>
        <w:rPr>
          <w:rFonts w:hint="eastAsia"/>
        </w:rPr>
        <w:t xml:space="preserve">が実際に得た粗利は21,017円（実現率0.835）で、充電側の託送従量負担を差し引いた実現可能収益19,265円は、楽観ケースで参入に必要なスポット収益（19,500円）の99%に達する。楽観ケースには実現率0.845以上で、標準ケースには0.944以上で届く（FY2023〜25</w:t>
      </w:r>
      <w:r>
        <w:t xml:space="preserve"> </w:t>
      </w:r>
      <w:r>
        <w:rPr>
          <w:rFonts w:hint="eastAsia"/>
        </w:rPr>
        <w:t xml:space="preserve">のプールの95%区間の上限は0.849）。</w:t>
      </w:r>
    </w:p>
    <w:bookmarkEnd w:id="371"/>
    <w:bookmarkEnd w:id="372"/>
    <w:bookmarkStart w:id="382" w:name="c.3-構造型価格モデルと自由参入均衡第7章"/>
    <w:p>
      <w:pPr>
        <w:pStyle w:val="Heading2"/>
      </w:pPr>
      <w:r>
        <w:t xml:space="preserve">C.3　</w:t>
      </w:r>
      <w:r>
        <w:rPr>
          <w:rFonts w:hint="eastAsia"/>
        </w:rPr>
        <w:t xml:space="preserve">構造型価格モデルと自由参入均衡（第7章）</w:t>
      </w:r>
    </w:p>
    <w:p>
      <w:pPr>
        <w:pStyle w:val="FirstParagraph"/>
      </w:pPr>
      <w:r>
        <w:rPr>
          <w:rFonts w:hint="eastAsia"/>
        </w:rPr>
        <w:t xml:space="preserve">本節は、第7章の本文で要約した価格モデルの検証、構造イベント、収益曲線、均衡の判定、下限価格の機構、実物オプションの参入閾値について、詳細な表と変種の結果を示す。本文7.8.4項で参照する</w:t>
      </w:r>
      <w:r>
        <w:t xml:space="preserve"> duration </w:t>
      </w:r>
      <w:r>
        <w:rPr>
          <w:rFonts w:hint="eastAsia"/>
        </w:rPr>
        <w:t xml:space="preserve">別の参入閾値は、第6章の補足とあわせて付録C.2.4</w:t>
      </w:r>
      <w:r>
        <w:t xml:space="preserve"> </w:t>
      </w:r>
      <w:r>
        <w:rPr>
          <w:rFonts w:hint="eastAsia"/>
        </w:rPr>
        <w:t xml:space="preserve">に示す。いずれの変種でも、マーチャントの均衡容量が</w:t>
      </w:r>
      <w:r>
        <w:t xml:space="preserve"> </w:t>
      </w:r>
      <m:oMath>
        <m:sSup>
          <m:e>
            <m:r>
              <m:t>K</m:t>
            </m:r>
          </m:e>
          <m:sup>
            <m:r>
              <m:rPr>
                <m:sty m:val="p"/>
              </m:rPr>
              <m:t>*</m:t>
            </m:r>
          </m:sup>
        </m:sSup>
        <m:r>
          <m:rPr>
            <m:sty m:val="p"/>
          </m:rPr>
          <m:t>=</m:t>
        </m:r>
        <m:r>
          <m:t>0</m:t>
        </m:r>
      </m:oMath>
      <w:r>
        <w:t xml:space="preserve"> </w:t>
      </w:r>
      <w:r>
        <w:rPr>
          <w:rFonts w:hint="eastAsia"/>
        </w:rPr>
        <w:t xml:space="preserve">であるという本文の結論は変わらない。</w:t>
      </w:r>
    </w:p>
    <w:bookmarkStart w:id="373" w:name="c.3.1-価格過程の標本内の再現"/>
    <w:p>
      <w:pPr>
        <w:pStyle w:val="Heading3"/>
      </w:pPr>
      <w:r>
        <w:t xml:space="preserve">C.3.1　</w:t>
      </w:r>
      <w:r>
        <w:rPr>
          <w:rFonts w:hint="eastAsia"/>
        </w:rPr>
        <w:t xml:space="preserve">価格過程の標本内の再現</w:t>
      </w:r>
    </w:p>
    <w:p>
      <w:pPr>
        <w:pStyle w:val="FirstParagraph"/>
      </w:pPr>
      <w:r>
        <w:rPr>
          <w:rFonts w:hint="eastAsia"/>
        </w:rPr>
        <w:t xml:space="preserve">表C.21</w:t>
      </w:r>
      <w:r>
        <w:t xml:space="preserve"> </w:t>
      </w:r>
      <w:r>
        <w:rPr>
          <w:rFonts w:hint="eastAsia"/>
        </w:rPr>
        <w:t xml:space="preserve">は、基本仕様の価格過程（水準固定の仕様A</w:t>
      </w:r>
      <w:r>
        <w:t xml:space="preserve"> </w:t>
      </w:r>
      <w:r>
        <w:rPr>
          <w:rFonts w:hint="eastAsia"/>
        </w:rPr>
        <w:t xml:space="preserve">と分断混合仕様）による</w:t>
      </w:r>
      <w:r>
        <w:t xml:space="preserve"> FY2023〜25 </w:t>
      </w:r>
      <w:r>
        <w:rPr>
          <w:rFonts w:hint="eastAsia"/>
        </w:rPr>
        <w:t xml:space="preserve">の標本内の再現を、実績と比べたものである。</w:t>
      </w:r>
    </w:p>
    <w:p>
      <w:pPr>
        <w:pStyle w:val="TableCaption"/>
      </w:pPr>
      <w:r>
        <w:rPr>
          <w:rFonts w:hint="eastAsia"/>
        </w:rPr>
        <w:t xml:space="preserve">表C.21</w:t>
      </w:r>
      <w:r>
        <w:t xml:space="preserve">　</w:t>
      </w:r>
      <w:r>
        <w:rPr>
          <w:rFonts w:hint="eastAsia"/>
        </w:rPr>
        <w:t xml:space="preserve">基本仕様の価格過程の標本内の再現</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1　基本仕様の価格過程の標本内の再現"/>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指標</w:t>
            </w:r>
          </w:p>
        </w:tc>
        <w:tc>
          <w:tcPr>
            <w:tcBorders>
              <w:bottom w:val="single" w:sz="6" w:color="000000"/>
            </w:tcBorders>
          </w:tcPr>
          <w:p>
            <w:pPr>
              <w:pStyle w:val="Compact"/>
            </w:pPr>
            <w:r>
              <w:rPr>
                <w:rFonts w:hint="eastAsia"/>
                <w:sz w:val="18"/>
              </w:rPr>
              <w:t xml:space="preserve">実績</w:t>
            </w:r>
          </w:p>
        </w:tc>
        <w:tc>
          <w:tcPr>
            <w:tcBorders>
              <w:bottom w:val="single" w:sz="6" w:color="000000"/>
            </w:tcBorders>
          </w:tcPr>
          <w:p>
            <w:pPr>
              <w:pStyle w:val="Compact"/>
            </w:pPr>
            <w:r>
              <w:rPr>
                <w:rFonts w:hint="eastAsia"/>
                <w:sz w:val="18"/>
              </w:rPr>
              <w:t xml:space="preserve">仕様A</w:t>
            </w:r>
          </w:p>
        </w:tc>
        <w:tc>
          <w:tcPr>
            <w:tcBorders>
              <w:bottom w:val="single" w:sz="6" w:color="000000"/>
            </w:tcBorders>
          </w:tcPr>
          <w:p>
            <w:pPr>
              <w:pStyle w:val="Compact"/>
            </w:pPr>
            <w:r>
              <w:rPr>
                <w:rFonts w:hint="eastAsia"/>
                <w:sz w:val="18"/>
              </w:rPr>
              <w:t xml:space="preserve">分断混合仕様</w:t>
            </w:r>
          </w:p>
        </w:tc>
      </w:tr>
      <w:tr>
        <w:tc>
          <w:tcPr/>
          <w:p>
            <w:pPr>
              <w:pStyle w:val="Compact"/>
            </w:pPr>
            <w:r>
              <w:rPr>
                <w:rFonts w:hint="eastAsia"/>
                <w:sz w:val="18"/>
              </w:rPr>
              <w:t xml:space="preserve">下限張り付き時間（時間/年）</w:t>
            </w:r>
          </w:p>
        </w:tc>
        <w:tc>
          <w:tcPr/>
          <w:p>
            <w:pPr>
              <w:pStyle w:val="Compact"/>
            </w:pPr>
            <w:r>
              <w:rPr>
                <w:sz w:val="18"/>
              </w:rPr>
              <w:t xml:space="preserve">138〜265</w:t>
            </w:r>
          </w:p>
        </w:tc>
        <w:tc>
          <w:tcPr/>
          <w:p>
            <w:pPr>
              <w:pStyle w:val="Compact"/>
            </w:pPr>
            <w:r>
              <w:rPr>
                <w:sz w:val="18"/>
              </w:rPr>
              <w:t xml:space="preserve">63〜167</w:t>
            </w:r>
          </w:p>
        </w:tc>
        <w:tc>
          <w:tcPr/>
          <w:p>
            <w:pPr>
              <w:pStyle w:val="Compact"/>
            </w:pPr>
            <w:r>
              <w:rPr>
                <w:sz w:val="18"/>
              </w:rPr>
              <w:t xml:space="preserve">88〜159</w:t>
            </w:r>
          </w:p>
        </w:tc>
      </w:tr>
      <w:tr>
        <w:tc>
          <w:tcPr/>
          <w:p>
            <w:pPr>
              <w:pStyle w:val="Compact"/>
            </w:pPr>
            <w:r>
              <w:rPr>
                <w:sz w:val="18"/>
              </w:rPr>
              <w:t xml:space="preserve">TB4h </w:t>
            </w:r>
            <w:r>
              <w:rPr>
                <w:rFonts w:hint="eastAsia"/>
                <w:sz w:val="18"/>
              </w:rPr>
              <w:t xml:space="preserve">中央値（円/kWh）</w:t>
            </w:r>
          </w:p>
        </w:tc>
        <w:tc>
          <w:tcPr/>
          <w:p>
            <w:pPr>
              <w:pStyle w:val="Compact"/>
            </w:pPr>
            <w:r>
              <w:rPr>
                <w:sz w:val="18"/>
              </w:rPr>
              <w:t xml:space="preserve">8.3〜9.6</w:t>
            </w:r>
          </w:p>
        </w:tc>
        <w:tc>
          <w:tcPr/>
          <w:p>
            <w:pPr>
              <w:pStyle w:val="Compact"/>
            </w:pPr>
            <w:r>
              <w:rPr>
                <w:sz w:val="18"/>
              </w:rPr>
              <w:t xml:space="preserve">7.6〜8.3</w:t>
            </w:r>
          </w:p>
        </w:tc>
        <w:tc>
          <w:tcPr/>
          <w:p>
            <w:pPr>
              <w:pStyle w:val="Compact"/>
            </w:pPr>
            <w:r>
              <w:rPr>
                <w:sz w:val="18"/>
              </w:rPr>
              <w:t xml:space="preserve">8.0〜8.3</w:t>
            </w:r>
          </w:p>
        </w:tc>
      </w:tr>
      <w:tr>
        <w:tc>
          <w:tcPr/>
          <w:p>
            <w:pPr>
              <w:pStyle w:val="Compact"/>
            </w:pPr>
            <w:r>
              <w:rPr>
                <w:rFonts w:hint="eastAsia"/>
                <w:sz w:val="18"/>
              </w:rPr>
              <w:t xml:space="preserve">p05／p95（円/kWh）</w:t>
            </w:r>
          </w:p>
        </w:tc>
        <w:tc>
          <w:tcPr/>
          <w:p>
            <w:pPr>
              <w:pStyle w:val="Compact"/>
            </w:pPr>
            <w:r>
              <w:rPr>
                <w:rFonts w:hint="eastAsia"/>
                <w:sz w:val="18"/>
              </w:rPr>
              <w:t xml:space="preserve">1.0〜6.0／18.1〜19.6</w:t>
            </w:r>
          </w:p>
        </w:tc>
        <w:tc>
          <w:tcPr/>
          <w:p>
            <w:pPr>
              <w:pStyle w:val="Compact"/>
            </w:pPr>
            <w:r>
              <w:rPr>
                <w:rFonts w:hint="eastAsia"/>
                <w:sz w:val="18"/>
              </w:rPr>
              <w:t xml:space="preserve">5.2〜6.3／17.7〜18.0</w:t>
            </w:r>
          </w:p>
        </w:tc>
        <w:tc>
          <w:tcPr/>
          <w:p>
            <w:pPr>
              <w:pStyle w:val="Compact"/>
            </w:pPr>
            <w:r>
              <w:rPr>
                <w:rFonts w:hint="eastAsia"/>
                <w:sz w:val="18"/>
              </w:rPr>
              <w:t xml:space="preserve">6.1〜6.5／17.7〜18.0</w:t>
            </w:r>
          </w:p>
        </w:tc>
      </w:tr>
      <w:tr>
        <w:tc>
          <w:tcPr/>
          <w:p>
            <w:pPr>
              <w:pStyle w:val="Compact"/>
            </w:pPr>
            <w:r>
              <w:rPr>
                <w:rFonts w:hint="eastAsia"/>
                <w:sz w:val="18"/>
              </w:rPr>
              <w:t xml:space="preserve">完全予見粗利（円/kW-年）</w:t>
            </w:r>
          </w:p>
        </w:tc>
        <w:tc>
          <w:tcPr/>
          <w:p>
            <w:pPr>
              <w:pStyle w:val="Compact"/>
            </w:pPr>
            <w:r>
              <w:rPr>
                <w:sz w:val="18"/>
              </w:rPr>
              <w:t xml:space="preserve">9,586〜11,493</w:t>
            </w:r>
          </w:p>
        </w:tc>
        <w:tc>
          <w:tcPr/>
          <w:p>
            <w:pPr>
              <w:pStyle w:val="Compact"/>
            </w:pPr>
            <w:r>
              <w:rPr>
                <w:sz w:val="18"/>
              </w:rPr>
              <w:t xml:space="preserve">7,966〜8,499</w:t>
            </w:r>
          </w:p>
        </w:tc>
        <w:tc>
          <w:tcPr/>
          <w:p>
            <w:pPr>
              <w:pStyle w:val="Compact"/>
            </w:pPr>
            <w:r>
              <w:rPr>
                <w:sz w:val="18"/>
              </w:rPr>
              <w:t xml:space="preserve">8,379〜8,721</w:t>
            </w:r>
          </w:p>
        </w:tc>
      </w:tr>
      <w:tr>
        <w:tc>
          <w:tcPr/>
          <w:p>
            <w:pPr>
              <w:pStyle w:val="Compact"/>
            </w:pPr>
            <w:r>
              <w:rPr>
                <w:rFonts w:hint="eastAsia"/>
                <w:sz w:val="18"/>
              </w:rPr>
              <w:t xml:space="preserve">時間値の相関</w:t>
            </w:r>
          </w:p>
        </w:tc>
        <w:tc>
          <w:tcPr/>
          <w:p>
            <w:pPr>
              <w:pStyle w:val="Compact"/>
            </w:pPr>
            <w:r>
              <w:rPr>
                <w:sz w:val="18"/>
              </w:rPr>
              <w:t xml:space="preserve">—</w:t>
            </w:r>
          </w:p>
        </w:tc>
        <w:tc>
          <w:tcPr/>
          <w:p>
            <w:pPr>
              <w:pStyle w:val="Compact"/>
            </w:pPr>
            <w:r>
              <w:rPr>
                <w:sz w:val="18"/>
              </w:rPr>
              <w:t xml:space="preserve">0.717</w:t>
            </w:r>
          </w:p>
        </w:tc>
        <w:tc>
          <w:tcPr/>
          <w:p>
            <w:pPr>
              <w:pStyle w:val="Compact"/>
            </w:pPr>
            <w:r>
              <w:rPr>
                <w:sz w:val="18"/>
              </w:rPr>
              <w:t xml:space="preserve">0.691</w:t>
            </w:r>
          </w:p>
        </w:tc>
      </w:tr>
    </w:tbl>
    <w:p>
      <w:pPr>
        <w:pStyle w:val="TableNote"/>
      </w:pPr>
      <w:r>
        <w:rPr>
          <w:rFonts w:hint="eastAsia"/>
        </w:rPr>
        <w:t xml:space="preserve">注）FY2023〜25</w:t>
      </w:r>
      <w:r>
        <w:t xml:space="preserve"> </w:t>
      </w:r>
      <w:r>
        <w:rPr>
          <w:rFonts w:hint="eastAsia"/>
        </w:rPr>
        <w:t xml:space="preserve">の年度レンジ。仕様A</w:t>
      </w:r>
      <w:r>
        <w:t xml:space="preserve"> </w:t>
      </w:r>
      <w:r>
        <w:rPr>
          <w:rFonts w:hint="eastAsia"/>
        </w:rPr>
        <w:t xml:space="preserve">は時刻別プレミアム</w:t>
      </w:r>
      <w:r>
        <w:t xml:space="preserve"> </w:t>
      </w:r>
      <m:oMath>
        <m:r>
          <m:t>μ</m:t>
        </m:r>
      </m:oMath>
      <w:r>
        <w:t xml:space="preserve"> </w:t>
      </w:r>
      <w:r>
        <w:rPr>
          <w:rFonts w:hint="eastAsia"/>
        </w:rPr>
        <w:t xml:space="preserve">を含む単一曲線の仕様（水準固定）。</w:t>
      </w:r>
    </w:p>
    <w:p>
      <w:pPr>
        <w:pStyle w:val="TableNote"/>
      </w:pPr>
      <w:r>
        <w:rPr>
          <w:rFonts w:hint="eastAsia"/>
        </w:rPr>
        <w:t xml:space="preserve">出所）日本卸電力取引所『スポット市場取引結果』、北海道電力ネットワーク『エリア需給実績』より筆者作成。</w:t>
      </w:r>
    </w:p>
    <w:p>
      <w:pPr>
        <w:pStyle w:val="BodyText"/>
      </w:pPr>
      <w:r>
        <w:t xml:space="preserve">TB4h </w:t>
      </w:r>
      <w:r>
        <w:rPr>
          <w:rFonts w:hint="eastAsia"/>
        </w:rPr>
        <w:t xml:space="preserve">の中央値はほぼ再現されるが、分布の裾が圧縮されるため、完全予見粗利は実績に対して9〜24%過小である。</w:t>
      </w:r>
      <m:oMath>
        <m:r>
          <m:t>μ</m:t>
        </m:r>
      </m:oMath>
      <w:r>
        <w:t xml:space="preserve"> </w:t>
      </w:r>
      <w:r>
        <w:rPr>
          <w:rFonts w:hint="eastAsia"/>
        </w:rPr>
        <w:t xml:space="preserve">を外すと、仕様A</w:t>
      </w:r>
      <w:r>
        <w:t xml:space="preserve"> </w:t>
      </w:r>
      <w:r>
        <w:rPr>
          <w:rFonts w:hint="eastAsia"/>
        </w:rPr>
        <w:t xml:space="preserve">の完全予見粗利は8,266円から6,198円/kW-年に下がり、実績の60%になる。FY2026</w:t>
      </w:r>
      <w:r>
        <w:t xml:space="preserve"> </w:t>
      </w:r>
      <w:r>
        <w:rPr>
          <w:rFonts w:hint="eastAsia"/>
        </w:rPr>
        <w:t xml:space="preserve">の4〜6月の期間外では、水準・形状とも</w:t>
      </w:r>
      <w:r>
        <w:t xml:space="preserve"> FY2023〜25 </w:t>
      </w:r>
      <w:r>
        <w:rPr>
          <w:rFonts w:hint="eastAsia"/>
        </w:rPr>
        <w:t xml:space="preserve">で推定したままの仕様は、実績の</w:t>
      </w:r>
      <w:r>
        <w:t xml:space="preserve"> TB4h </w:t>
      </w:r>
      <w:r>
        <w:rPr>
          <w:rFonts w:hint="eastAsia"/>
        </w:rPr>
        <w:t xml:space="preserve">中央値18.7円・p95</w:t>
      </w:r>
      <w:r>
        <w:t xml:space="preserve"> </w:t>
      </w:r>
      <w:r>
        <w:rPr>
          <w:rFonts w:hint="eastAsia"/>
        </w:rPr>
        <w:t xml:space="preserve">26.1円に対し、分断混合仕様で10.7円・15.9円、仕様A</w:t>
      </w:r>
      <w:r>
        <w:t xml:space="preserve"> </w:t>
      </w:r>
      <w:r>
        <w:rPr>
          <w:rFonts w:hint="eastAsia"/>
        </w:rPr>
        <w:t xml:space="preserve">で9.2円・14.5円である。下限価格の側の拡大（下限張り付き時間の増加）は、出力制御の急増（4〜6月の平均抑制量が前年の3.7MWh</w:t>
      </w:r>
      <w:r>
        <w:t xml:space="preserve"> から29.9MWh </w:t>
      </w:r>
      <w:r>
        <w:rPr>
          <w:rFonts w:hint="eastAsia"/>
        </w:rPr>
        <w:t xml:space="preserve">へ）による純需要の低下で説明され、</w:t>
      </w:r>
      <m:oMath>
        <m:r>
          <m:t>g</m:t>
        </m:r>
      </m:oMath>
      <w:r>
        <w:t xml:space="preserve"> </w:t>
      </w:r>
      <w:r>
        <w:rPr>
          <w:rFonts w:hint="eastAsia"/>
        </w:rPr>
        <w:t xml:space="preserve">の形状で捉えられる。水準係数は、月次では2026年3月の1.03から4月の1.53へ段差が立つ。FY2026上期の水準を合わせた仕様は、TB4h</w:t>
      </w:r>
      <w:r>
        <w:t xml:space="preserve"> </w:t>
      </w:r>
      <w:r>
        <w:rPr>
          <w:rFonts w:hint="eastAsia"/>
        </w:rPr>
        <w:t xml:space="preserve">中央値を14.3円、p95を22.7円、完全予見粗利を実績の78%（3か月で実績5,425円に対し4,241円/kW）まで再現する。直前の水準（FY2025</w:t>
      </w:r>
      <w:r>
        <w:t xml:space="preserve"> </w:t>
      </w:r>
      <w:r>
        <w:rPr>
          <w:rFonts w:hint="eastAsia"/>
        </w:rPr>
        <w:t xml:space="preserve">の0.997、2026年3月の1.026）を与えると、完全予見粗利は約2,700〜2,780円/kW</w:t>
      </w:r>
      <w:r>
        <w:t xml:space="preserve"> </w:t>
      </w:r>
      <w:r>
        <w:rPr>
          <w:rFonts w:hint="eastAsia"/>
        </w:rPr>
        <w:t xml:space="preserve">で、実績の50〜51%である。年度別の実績/モデルの完全予見粗利の比は、</w:t>
      </w:r>
      <m:oMath>
        <m:r>
          <m:t>θ</m:t>
        </m:r>
      </m:oMath>
      <w:r>
        <w:t xml:space="preserve"> </w:t>
      </w:r>
      <w:r>
        <w:rPr>
          <w:rFonts w:hint="eastAsia"/>
        </w:rPr>
        <w:t xml:space="preserve">を入れても1.32・1.08・1.36で、</w:t>
      </w:r>
      <m:oMath>
        <m:r>
          <m:t>θ</m:t>
        </m:r>
        <m:r>
          <m:rPr>
            <m:sty m:val="p"/>
          </m:rPr>
          <m:t>=</m:t>
        </m:r>
        <m:r>
          <m:t>1</m:t>
        </m:r>
      </m:oMath>
      <w:r>
        <w:t xml:space="preserve"> </w:t>
      </w:r>
      <w:r>
        <w:rPr>
          <w:rFonts w:hint="eastAsia"/>
        </w:rPr>
        <w:t xml:space="preserve">の場合（1.24・1.15・1.35）より改善しない。FY2026上期に残る乖離は、下限張り付き時間（実績216時間に対し152時間）とスパイクの裾の圧縮による。年度抜き取り（1年度を除いた2年度で形状を推定し、除いた年度で比べる）の完全予見粗利の比は1.28である。</w:t>
      </w:r>
    </w:p>
    <w:bookmarkEnd w:id="373"/>
    <w:bookmarkStart w:id="374" w:name="c.3.2-風力への条件付き応答の検証"/>
    <w:p>
      <w:pPr>
        <w:pStyle w:val="Heading3"/>
      </w:pPr>
      <w:r>
        <w:t xml:space="preserve">C.3.2　</w:t>
      </w:r>
      <w:r>
        <w:rPr>
          <w:rFonts w:hint="eastAsia"/>
        </w:rPr>
        <w:t xml:space="preserve">風力への条件付き応答の検証</w:t>
      </w:r>
    </w:p>
    <w:p>
      <w:pPr>
        <w:pStyle w:val="FirstParagraph"/>
      </w:pPr>
      <w:r>
        <w:rPr>
          <w:rFonts w:hint="eastAsia"/>
        </w:rPr>
        <w:t xml:space="preserve">表C.22</w:t>
      </w:r>
      <w:r>
        <w:t xml:space="preserve"> </w:t>
      </w:r>
      <w:r>
        <w:rPr>
          <w:rFonts w:hint="eastAsia"/>
        </w:rPr>
        <w:t xml:space="preserve">は、本文7.2.2項の風力への条件付き応答の検証の全結果である。</w:t>
      </w:r>
    </w:p>
    <w:p>
      <w:pPr>
        <w:pStyle w:val="TableCaption"/>
      </w:pPr>
      <w:r>
        <w:rPr>
          <w:rFonts w:hint="eastAsia"/>
        </w:rPr>
        <w:t xml:space="preserve">表C.22</w:t>
      </w:r>
      <w:r>
        <w:t xml:space="preserve">　</w:t>
      </w:r>
      <w:r>
        <w:rPr>
          <w:rFonts w:hint="eastAsia"/>
        </w:rPr>
        <w:t xml:space="preserve">価格過程の風力への条件付き応答の検証</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2　価格過程の風力への条件付き応答の検証"/>
      </w:tblPr>
      <w:tblGrid>
        <w:gridCol w:w="1320"/>
        <w:gridCol w:w="1320"/>
        <w:gridCol w:w="1320"/>
        <w:gridCol w:w="1320"/>
        <w:gridCol w:w="1320"/>
        <w:gridCol w:w="1320"/>
      </w:tblGrid>
      <w:tr>
        <w:trPr>
          <w:tblHeader w:val="on"/>
        </w:trPr>
        <w:tc>
          <w:tcPr>
            <w:tcBorders>
              <w:bottom w:val="single" w:sz="6" w:color="000000"/>
            </w:tcBorders>
          </w:tcPr>
          <w:p>
            <w:pPr>
              <w:pStyle w:val="Compact"/>
            </w:pPr>
            <w:r>
              <w:rPr>
                <w:rFonts w:hint="eastAsia"/>
                <w:sz w:val="18"/>
              </w:rPr>
              <w:t xml:space="preserve">指標・季節</w:t>
            </w:r>
          </w:p>
        </w:tc>
        <w:tc>
          <w:tcPr>
            <w:tcBorders>
              <w:bottom w:val="single" w:sz="6" w:color="000000"/>
            </w:tcBorders>
          </w:tcPr>
          <w:p>
            <w:pPr>
              <w:pStyle w:val="Compact"/>
            </w:pPr>
            <w:r>
              <w:rPr>
                <w:rFonts w:hint="eastAsia"/>
                <w:sz w:val="18"/>
              </w:rPr>
              <w:t xml:space="preserve">実績（EWC</w:t>
            </w:r>
            <w:r>
              <w:rPr>
                <w:sz w:val="18"/>
              </w:rPr>
              <w:t xml:space="preserve"> </w:t>
            </w:r>
            <w:r>
              <w:rPr>
                <w:rFonts w:hint="eastAsia"/>
                <w:sz w:val="18"/>
              </w:rPr>
              <w:t xml:space="preserve">SE）</w:t>
            </w:r>
          </w:p>
        </w:tc>
        <w:tc>
          <w:tcPr>
            <w:tcBorders>
              <w:bottom w:val="single" w:sz="6" w:color="000000"/>
            </w:tcBorders>
          </w:tcPr>
          <w:p>
            <w:pPr>
              <w:pStyle w:val="Compact"/>
            </w:pPr>
            <w:r>
              <w:rPr>
                <w:rFonts w:hint="eastAsia"/>
                <w:sz w:val="18"/>
              </w:rPr>
              <w:t xml:space="preserve">仕様A</w:t>
            </w:r>
          </w:p>
        </w:tc>
        <w:tc>
          <w:tcPr>
            <w:tcBorders>
              <w:bottom w:val="single" w:sz="6" w:color="000000"/>
            </w:tcBorders>
          </w:tcPr>
          <w:p>
            <w:pPr>
              <w:pStyle w:val="Compact"/>
            </w:pPr>
            <w:r>
              <w:rPr>
                <w:rFonts w:hint="eastAsia"/>
                <w:sz w:val="18"/>
              </w:rPr>
              <w:t xml:space="preserve">分断混合仕様</w:t>
            </w:r>
          </w:p>
        </w:tc>
        <w:tc>
          <w:tcPr>
            <w:tcBorders>
              <w:bottom w:val="single" w:sz="6" w:color="000000"/>
            </w:tcBorders>
          </w:tcPr>
          <w:p>
            <w:pPr>
              <w:pStyle w:val="Compact"/>
            </w:pPr>
            <w:r>
              <w:rPr>
                <w:rFonts w:hint="eastAsia"/>
                <w:sz w:val="18"/>
              </w:rPr>
              <w:t xml:space="preserve">仕様A（水準係数付き）</w:t>
            </w:r>
          </w:p>
        </w:tc>
        <w:tc>
          <w:tcPr>
            <w:tcBorders>
              <w:bottom w:val="single" w:sz="6" w:color="000000"/>
            </w:tcBorders>
          </w:tcPr>
          <w:p>
            <w:pPr>
              <w:pStyle w:val="Compact"/>
            </w:pPr>
            <w:r>
              <w:rPr>
                <w:rFonts w:hint="eastAsia"/>
                <w:sz w:val="18"/>
              </w:rPr>
              <w:t xml:space="preserve">仕様A′</w:t>
            </w:r>
          </w:p>
        </w:tc>
      </w:tr>
      <w:tr>
        <w:tc>
          <w:tcPr/>
          <w:p>
            <w:pPr>
              <w:pStyle w:val="Compact"/>
            </w:pPr>
            <w:r>
              <w:rPr>
                <w:rFonts w:hint="eastAsia"/>
                <w:sz w:val="18"/>
              </w:rPr>
              <w:t xml:space="preserve">日平均</w:t>
            </w:r>
            <w:r>
              <w:rPr>
                <w:sz w:val="18"/>
              </w:rPr>
              <w:t xml:space="preserve"> </w:t>
            </w:r>
            <w:r>
              <w:rPr>
                <w:rFonts w:hint="eastAsia"/>
                <w:sz w:val="18"/>
              </w:rPr>
              <w:t xml:space="preserve">夏</w:t>
            </w:r>
          </w:p>
        </w:tc>
        <w:tc>
          <w:tcPr/>
          <w:p>
            <w:pPr>
              <w:pStyle w:val="Compact"/>
            </w:pPr>
            <w:r>
              <w:rPr>
                <w:rFonts w:hint="eastAsia"/>
                <w:sz w:val="18"/>
              </w:rPr>
              <w:t xml:space="preserve">−0.202（0.052）</w:t>
            </w:r>
          </w:p>
        </w:tc>
        <w:tc>
          <w:tcPr/>
          <w:p>
            <w:pPr>
              <w:pStyle w:val="Compact"/>
            </w:pPr>
            <w:r>
              <w:rPr>
                <w:rFonts w:hint="eastAsia"/>
                <w:sz w:val="18"/>
              </w:rPr>
              <w:t xml:space="preserve">−0.210（0.85）</w:t>
            </w:r>
          </w:p>
        </w:tc>
        <w:tc>
          <w:tcPr/>
          <w:p>
            <w:pPr>
              <w:pStyle w:val="Compact"/>
            </w:pPr>
            <w:r>
              <w:rPr>
                <w:rFonts w:hint="eastAsia"/>
                <w:sz w:val="18"/>
              </w:rPr>
              <w:t xml:space="preserve">−0.188（0.75）</w:t>
            </w:r>
          </w:p>
        </w:tc>
        <w:tc>
          <w:tcPr/>
          <w:p>
            <w:pPr>
              <w:pStyle w:val="Compact"/>
            </w:pPr>
            <w:r>
              <w:rPr>
                <w:rFonts w:hint="eastAsia"/>
                <w:sz w:val="18"/>
              </w:rPr>
              <w:t xml:space="preserve">−0.217（0.75）</w:t>
            </w:r>
          </w:p>
        </w:tc>
        <w:tc>
          <w:tcPr/>
          <w:p>
            <w:pPr>
              <w:pStyle w:val="Compact"/>
            </w:pPr>
            <w:r>
              <w:rPr>
                <w:rFonts w:hint="eastAsia"/>
                <w:sz w:val="18"/>
              </w:rPr>
              <w:t xml:space="preserve">−0.260（0.26）</w:t>
            </w:r>
          </w:p>
        </w:tc>
      </w:tr>
      <w:tr>
        <w:tc>
          <w:tcPr/>
          <w:p>
            <w:pPr>
              <w:pStyle w:val="Compact"/>
            </w:pPr>
            <w:r>
              <w:rPr>
                <w:rFonts w:hint="eastAsia"/>
                <w:sz w:val="18"/>
              </w:rPr>
              <w:t xml:space="preserve">日平均</w:t>
            </w:r>
            <w:r>
              <w:rPr>
                <w:sz w:val="18"/>
              </w:rPr>
              <w:t xml:space="preserve"> </w:t>
            </w:r>
            <w:r>
              <w:rPr>
                <w:rFonts w:hint="eastAsia"/>
                <w:sz w:val="18"/>
              </w:rPr>
              <w:t xml:space="preserve">冬</w:t>
            </w:r>
          </w:p>
        </w:tc>
        <w:tc>
          <w:tcPr/>
          <w:p>
            <w:pPr>
              <w:pStyle w:val="Compact"/>
            </w:pPr>
            <w:r>
              <w:rPr>
                <w:rFonts w:hint="eastAsia"/>
                <w:sz w:val="18"/>
              </w:rPr>
              <w:t xml:space="preserve">−0.161（0.032）</w:t>
            </w:r>
          </w:p>
        </w:tc>
        <w:tc>
          <w:tcPr/>
          <w:p>
            <w:pPr>
              <w:pStyle w:val="Compact"/>
            </w:pPr>
            <w:r>
              <w:rPr>
                <w:rFonts w:hint="eastAsia"/>
                <w:sz w:val="18"/>
              </w:rPr>
              <w:t xml:space="preserve">−0.160（0.98）</w:t>
            </w:r>
          </w:p>
        </w:tc>
        <w:tc>
          <w:tcPr/>
          <w:p>
            <w:pPr>
              <w:pStyle w:val="Compact"/>
            </w:pPr>
            <w:r>
              <w:rPr>
                <w:rFonts w:hint="eastAsia"/>
                <w:sz w:val="18"/>
              </w:rPr>
              <w:t xml:space="preserve">−0.134（0.41）</w:t>
            </w:r>
          </w:p>
        </w:tc>
        <w:tc>
          <w:tcPr/>
          <w:p>
            <w:pPr>
              <w:pStyle w:val="Compact"/>
            </w:pPr>
            <w:r>
              <w:rPr>
                <w:rFonts w:hint="eastAsia"/>
                <w:sz w:val="18"/>
              </w:rPr>
              <w:t xml:space="preserve">−0.156（0.89）</w:t>
            </w:r>
          </w:p>
        </w:tc>
        <w:tc>
          <w:tcPr/>
          <w:p>
            <w:pPr>
              <w:pStyle w:val="Compact"/>
            </w:pPr>
            <w:r>
              <w:rPr>
                <w:rFonts w:hint="eastAsia"/>
                <w:sz w:val="18"/>
              </w:rPr>
              <w:t xml:space="preserve">−0.173（0.71）</w:t>
            </w:r>
          </w:p>
        </w:tc>
      </w:tr>
      <w:tr>
        <w:tc>
          <w:tcPr/>
          <w:p>
            <w:pPr>
              <w:pStyle w:val="Compact"/>
            </w:pPr>
            <w:r>
              <w:rPr>
                <w:rFonts w:hint="eastAsia"/>
                <w:sz w:val="18"/>
              </w:rPr>
              <w:t xml:space="preserve">日平均</w:t>
            </w:r>
            <w:r>
              <w:rPr>
                <w:sz w:val="18"/>
              </w:rPr>
              <w:t xml:space="preserve"> </w:t>
            </w:r>
            <w:r>
              <w:rPr>
                <w:rFonts w:hint="eastAsia"/>
                <w:sz w:val="18"/>
              </w:rPr>
              <w:t xml:space="preserve">不需要期</w:t>
            </w:r>
          </w:p>
        </w:tc>
        <w:tc>
          <w:tcPr/>
          <w:p>
            <w:pPr>
              <w:pStyle w:val="Compact"/>
            </w:pPr>
            <w:r>
              <w:rPr>
                <w:rFonts w:hint="eastAsia"/>
                <w:sz w:val="18"/>
              </w:rPr>
              <w:t xml:space="preserve">−0.302（0.032）</w:t>
            </w:r>
          </w:p>
        </w:tc>
        <w:tc>
          <w:tcPr/>
          <w:p>
            <w:pPr>
              <w:pStyle w:val="Compact"/>
            </w:pPr>
            <w:r>
              <w:rPr>
                <w:rFonts w:hint="eastAsia"/>
                <w:sz w:val="18"/>
              </w:rPr>
              <w:t xml:space="preserve">−0.198（0.002）</w:t>
            </w:r>
          </w:p>
        </w:tc>
        <w:tc>
          <w:tcPr/>
          <w:p>
            <w:pPr>
              <w:pStyle w:val="Compact"/>
            </w:pPr>
            <w:r>
              <w:rPr>
                <w:rFonts w:hint="eastAsia"/>
                <w:sz w:val="18"/>
              </w:rPr>
              <w:t xml:space="preserve">−0.175（&lt;0.001）</w:t>
            </w:r>
          </w:p>
        </w:tc>
        <w:tc>
          <w:tcPr/>
          <w:p>
            <w:pPr>
              <w:pStyle w:val="Compact"/>
            </w:pPr>
            <w:r>
              <w:rPr>
                <w:rFonts w:hint="eastAsia"/>
                <w:sz w:val="18"/>
              </w:rPr>
              <w:t xml:space="preserve">−0.209（0.007）</w:t>
            </w:r>
          </w:p>
        </w:tc>
        <w:tc>
          <w:tcPr/>
          <w:p>
            <w:pPr>
              <w:pStyle w:val="Compact"/>
            </w:pPr>
            <w:r>
              <w:rPr>
                <w:rFonts w:hint="eastAsia"/>
                <w:sz w:val="18"/>
              </w:rPr>
              <w:t xml:space="preserve">−0.297（0.87）</w:t>
            </w:r>
          </w:p>
        </w:tc>
      </w:tr>
      <w:tr>
        <w:tc>
          <w:tcPr/>
          <w:p>
            <w:pPr>
              <w:pStyle w:val="Compact"/>
            </w:pPr>
            <w:r>
              <w:rPr>
                <w:rFonts w:hint="eastAsia"/>
                <w:sz w:val="18"/>
              </w:rPr>
              <w:t xml:space="preserve">上位4時間</w:t>
            </w:r>
            <w:r>
              <w:rPr>
                <w:sz w:val="18"/>
              </w:rPr>
              <w:t xml:space="preserve"> </w:t>
            </w:r>
            <w:r>
              <w:rPr>
                <w:rFonts w:hint="eastAsia"/>
                <w:sz w:val="18"/>
              </w:rPr>
              <w:t xml:space="preserve">夏</w:t>
            </w:r>
          </w:p>
        </w:tc>
        <w:tc>
          <w:tcPr/>
          <w:p>
            <w:pPr>
              <w:pStyle w:val="Compact"/>
            </w:pPr>
            <w:r>
              <w:rPr>
                <w:rFonts w:hint="eastAsia"/>
                <w:sz w:val="18"/>
              </w:rPr>
              <w:t xml:space="preserve">−0.164（0.123）</w:t>
            </w:r>
          </w:p>
        </w:tc>
        <w:tc>
          <w:tcPr/>
          <w:p>
            <w:pPr>
              <w:pStyle w:val="Compact"/>
            </w:pPr>
            <w:r>
              <w:rPr>
                <w:rFonts w:hint="eastAsia"/>
                <w:sz w:val="18"/>
              </w:rPr>
              <w:t xml:space="preserve">−0.244（0.47）</w:t>
            </w:r>
          </w:p>
        </w:tc>
        <w:tc>
          <w:tcPr/>
          <w:p>
            <w:pPr>
              <w:pStyle w:val="Compact"/>
            </w:pPr>
            <w:r>
              <w:rPr>
                <w:rFonts w:hint="eastAsia"/>
                <w:sz w:val="18"/>
              </w:rPr>
              <w:t xml:space="preserve">−0.204（0.71）</w:t>
            </w:r>
          </w:p>
        </w:tc>
        <w:tc>
          <w:tcPr/>
          <w:p>
            <w:pPr>
              <w:pStyle w:val="Compact"/>
            </w:pPr>
            <w:r>
              <w:rPr>
                <w:rFonts w:hint="eastAsia"/>
                <w:sz w:val="18"/>
              </w:rPr>
              <w:t xml:space="preserve">−0.249（0.44）</w:t>
            </w:r>
          </w:p>
        </w:tc>
        <w:tc>
          <w:tcPr/>
          <w:p>
            <w:pPr>
              <w:pStyle w:val="Compact"/>
            </w:pPr>
            <w:r>
              <w:rPr>
                <w:rFonts w:hint="eastAsia"/>
                <w:sz w:val="18"/>
              </w:rPr>
              <w:t xml:space="preserve">−0.299（0.27）</w:t>
            </w:r>
          </w:p>
        </w:tc>
      </w:tr>
      <w:tr>
        <w:tc>
          <w:tcPr/>
          <w:p>
            <w:pPr>
              <w:pStyle w:val="Compact"/>
            </w:pPr>
            <w:r>
              <w:rPr>
                <w:rFonts w:hint="eastAsia"/>
                <w:sz w:val="18"/>
              </w:rPr>
              <w:t xml:space="preserve">上位4時間</w:t>
            </w:r>
            <w:r>
              <w:rPr>
                <w:sz w:val="18"/>
              </w:rPr>
              <w:t xml:space="preserve"> </w:t>
            </w:r>
            <w:r>
              <w:rPr>
                <w:rFonts w:hint="eastAsia"/>
                <w:sz w:val="18"/>
              </w:rPr>
              <w:t xml:space="preserve">冬</w:t>
            </w:r>
          </w:p>
        </w:tc>
        <w:tc>
          <w:tcPr/>
          <w:p>
            <w:pPr>
              <w:pStyle w:val="Compact"/>
            </w:pPr>
            <w:r>
              <w:rPr>
                <w:rFonts w:hint="eastAsia"/>
                <w:sz w:val="18"/>
              </w:rPr>
              <w:t xml:space="preserve">−0.266（0.076）</w:t>
            </w:r>
          </w:p>
        </w:tc>
        <w:tc>
          <w:tcPr/>
          <w:p>
            <w:pPr>
              <w:pStyle w:val="Compact"/>
            </w:pPr>
            <w:r>
              <w:rPr>
                <w:rFonts w:hint="eastAsia"/>
                <w:sz w:val="18"/>
              </w:rPr>
              <w:t xml:space="preserve">−0.159（0.15）</w:t>
            </w:r>
          </w:p>
        </w:tc>
        <w:tc>
          <w:tcPr/>
          <w:p>
            <w:pPr>
              <w:pStyle w:val="Compact"/>
            </w:pPr>
            <w:r>
              <w:rPr>
                <w:rFonts w:hint="eastAsia"/>
                <w:sz w:val="18"/>
              </w:rPr>
              <w:t xml:space="preserve">−0.167（0.16）</w:t>
            </w:r>
          </w:p>
        </w:tc>
        <w:tc>
          <w:tcPr/>
          <w:p>
            <w:pPr>
              <w:pStyle w:val="Compact"/>
            </w:pPr>
            <w:r>
              <w:rPr>
                <w:rFonts w:hint="eastAsia"/>
                <w:sz w:val="18"/>
              </w:rPr>
              <w:t xml:space="preserve">−0.166（0.18）</w:t>
            </w:r>
          </w:p>
        </w:tc>
        <w:tc>
          <w:tcPr/>
          <w:p>
            <w:pPr>
              <w:pStyle w:val="Compact"/>
            </w:pPr>
            <w:r>
              <w:rPr>
                <w:rFonts w:hint="eastAsia"/>
                <w:sz w:val="18"/>
              </w:rPr>
              <w:t xml:space="preserve">−0.207（0.43）</w:t>
            </w:r>
          </w:p>
        </w:tc>
      </w:tr>
      <w:tr>
        <w:tc>
          <w:tcPr/>
          <w:p>
            <w:pPr>
              <w:pStyle w:val="Compact"/>
            </w:pPr>
            <w:r>
              <w:rPr>
                <w:rFonts w:hint="eastAsia"/>
                <w:sz w:val="18"/>
              </w:rPr>
              <w:t xml:space="preserve">上位4時間</w:t>
            </w:r>
            <w:r>
              <w:rPr>
                <w:sz w:val="18"/>
              </w:rPr>
              <w:t xml:space="preserve"> </w:t>
            </w:r>
            <w:r>
              <w:rPr>
                <w:rFonts w:hint="eastAsia"/>
                <w:sz w:val="18"/>
              </w:rPr>
              <w:t xml:space="preserve">不需要期</w:t>
            </w:r>
          </w:p>
        </w:tc>
        <w:tc>
          <w:tcPr/>
          <w:p>
            <w:pPr>
              <w:pStyle w:val="Compact"/>
            </w:pPr>
            <w:r>
              <w:rPr>
                <w:rFonts w:hint="eastAsia"/>
                <w:sz w:val="18"/>
              </w:rPr>
              <w:t xml:space="preserve">−0.355（0.071）</w:t>
            </w:r>
          </w:p>
        </w:tc>
        <w:tc>
          <w:tcPr/>
          <w:p>
            <w:pPr>
              <w:pStyle w:val="Compact"/>
            </w:pPr>
            <w:r>
              <w:rPr>
                <w:rFonts w:hint="eastAsia"/>
                <w:sz w:val="18"/>
              </w:rPr>
              <w:t xml:space="preserve">−0.158（0.008）</w:t>
            </w:r>
          </w:p>
        </w:tc>
        <w:tc>
          <w:tcPr/>
          <w:p>
            <w:pPr>
              <w:pStyle w:val="Compact"/>
            </w:pPr>
            <w:r>
              <w:rPr>
                <w:rFonts w:hint="eastAsia"/>
                <w:sz w:val="18"/>
              </w:rPr>
              <w:t xml:space="preserve">−0.159（0.008）</w:t>
            </w:r>
          </w:p>
        </w:tc>
        <w:tc>
          <w:tcPr/>
          <w:p>
            <w:pPr>
              <w:pStyle w:val="Compact"/>
            </w:pPr>
            <w:r>
              <w:rPr>
                <w:rFonts w:hint="eastAsia"/>
                <w:sz w:val="18"/>
              </w:rPr>
              <w:t xml:space="preserve">−0.174（0.016）</w:t>
            </w:r>
          </w:p>
        </w:tc>
        <w:tc>
          <w:tcPr/>
          <w:p>
            <w:pPr>
              <w:pStyle w:val="Compact"/>
            </w:pPr>
            <w:r>
              <w:rPr>
                <w:rFonts w:hint="eastAsia"/>
                <w:sz w:val="18"/>
              </w:rPr>
              <w:t xml:space="preserve">−0.290（0.37）</w:t>
            </w:r>
          </w:p>
        </w:tc>
      </w:tr>
      <w:tr>
        <w:tc>
          <w:tcPr/>
          <w:p>
            <w:pPr>
              <w:pStyle w:val="Compact"/>
            </w:pPr>
            <w:r>
              <w:rPr>
                <w:rFonts w:hint="eastAsia"/>
                <w:sz w:val="18"/>
              </w:rPr>
              <w:t xml:space="preserve">下位4時間</w:t>
            </w:r>
            <w:r>
              <w:rPr>
                <w:sz w:val="18"/>
              </w:rPr>
              <w:t xml:space="preserve"> </w:t>
            </w:r>
            <w:r>
              <w:rPr>
                <w:rFonts w:hint="eastAsia"/>
                <w:sz w:val="18"/>
              </w:rPr>
              <w:t xml:space="preserve">夏</w:t>
            </w:r>
          </w:p>
        </w:tc>
        <w:tc>
          <w:tcPr/>
          <w:p>
            <w:pPr>
              <w:pStyle w:val="Compact"/>
            </w:pPr>
            <w:r>
              <w:rPr>
                <w:rFonts w:hint="eastAsia"/>
                <w:sz w:val="18"/>
              </w:rPr>
              <w:t xml:space="preserve">−0.252（0.060）</w:t>
            </w:r>
          </w:p>
        </w:tc>
        <w:tc>
          <w:tcPr/>
          <w:p>
            <w:pPr>
              <w:pStyle w:val="Compact"/>
            </w:pPr>
            <w:r>
              <w:rPr>
                <w:rFonts w:hint="eastAsia"/>
                <w:sz w:val="18"/>
              </w:rPr>
              <w:t xml:space="preserve">−0.213（0.51）</w:t>
            </w:r>
          </w:p>
        </w:tc>
        <w:tc>
          <w:tcPr/>
          <w:p>
            <w:pPr>
              <w:pStyle w:val="Compact"/>
            </w:pPr>
            <w:r>
              <w:rPr>
                <w:rFonts w:hint="eastAsia"/>
                <w:sz w:val="18"/>
              </w:rPr>
              <w:t xml:space="preserve">−0.202（0.36）</w:t>
            </w:r>
          </w:p>
        </w:tc>
        <w:tc>
          <w:tcPr/>
          <w:p>
            <w:pPr>
              <w:pStyle w:val="Compact"/>
            </w:pPr>
            <w:r>
              <w:rPr>
                <w:rFonts w:hint="eastAsia"/>
                <w:sz w:val="18"/>
              </w:rPr>
              <w:t xml:space="preserve">−0.211（0.50）</w:t>
            </w:r>
          </w:p>
        </w:tc>
        <w:tc>
          <w:tcPr/>
          <w:p>
            <w:pPr>
              <w:pStyle w:val="Compact"/>
            </w:pPr>
            <w:r>
              <w:rPr>
                <w:rFonts w:hint="eastAsia"/>
                <w:sz w:val="18"/>
              </w:rPr>
              <w:t xml:space="preserve">−0.252（1.00）</w:t>
            </w:r>
          </w:p>
        </w:tc>
      </w:tr>
      <w:tr>
        <w:tc>
          <w:tcPr/>
          <w:p>
            <w:pPr>
              <w:pStyle w:val="Compact"/>
            </w:pPr>
            <w:r>
              <w:rPr>
                <w:rFonts w:hint="eastAsia"/>
                <w:sz w:val="18"/>
              </w:rPr>
              <w:t xml:space="preserve">下位4時間</w:t>
            </w:r>
            <w:r>
              <w:rPr>
                <w:sz w:val="18"/>
              </w:rPr>
              <w:t xml:space="preserve"> </w:t>
            </w:r>
            <w:r>
              <w:rPr>
                <w:rFonts w:hint="eastAsia"/>
                <w:sz w:val="18"/>
              </w:rPr>
              <w:t xml:space="preserve">冬</w:t>
            </w:r>
          </w:p>
        </w:tc>
        <w:tc>
          <w:tcPr/>
          <w:p>
            <w:pPr>
              <w:pStyle w:val="Compact"/>
            </w:pPr>
            <w:r>
              <w:rPr>
                <w:rFonts w:hint="eastAsia"/>
                <w:sz w:val="18"/>
              </w:rPr>
              <w:t xml:space="preserve">−0.154（0.035）</w:t>
            </w:r>
          </w:p>
        </w:tc>
        <w:tc>
          <w:tcPr/>
          <w:p>
            <w:pPr>
              <w:pStyle w:val="Compact"/>
            </w:pPr>
            <w:r>
              <w:rPr>
                <w:rFonts w:hint="eastAsia"/>
                <w:sz w:val="18"/>
              </w:rPr>
              <w:t xml:space="preserve">−0.151（0.93）</w:t>
            </w:r>
          </w:p>
        </w:tc>
        <w:tc>
          <w:tcPr/>
          <w:p>
            <w:pPr>
              <w:pStyle w:val="Compact"/>
            </w:pPr>
            <w:r>
              <w:rPr>
                <w:rFonts w:hint="eastAsia"/>
                <w:sz w:val="18"/>
              </w:rPr>
              <w:t xml:space="preserve">−0.134（0.45）</w:t>
            </w:r>
          </w:p>
        </w:tc>
        <w:tc>
          <w:tcPr/>
          <w:p>
            <w:pPr>
              <w:pStyle w:val="Compact"/>
            </w:pPr>
            <w:r>
              <w:rPr>
                <w:rFonts w:hint="eastAsia"/>
                <w:sz w:val="18"/>
              </w:rPr>
              <w:t xml:space="preserve">−0.145（0.80）</w:t>
            </w:r>
          </w:p>
        </w:tc>
        <w:tc>
          <w:tcPr/>
          <w:p>
            <w:pPr>
              <w:pStyle w:val="Compact"/>
            </w:pPr>
            <w:r>
              <w:rPr>
                <w:rFonts w:hint="eastAsia"/>
                <w:sz w:val="18"/>
              </w:rPr>
              <w:t xml:space="preserve">−0.164（0.77）</w:t>
            </w:r>
          </w:p>
        </w:tc>
      </w:tr>
      <w:tr>
        <w:tc>
          <w:tcPr/>
          <w:p>
            <w:pPr>
              <w:pStyle w:val="Compact"/>
            </w:pPr>
            <w:r>
              <w:rPr>
                <w:rFonts w:hint="eastAsia"/>
                <w:sz w:val="18"/>
              </w:rPr>
              <w:t xml:space="preserve">下位4時間</w:t>
            </w:r>
            <w:r>
              <w:rPr>
                <w:sz w:val="18"/>
              </w:rPr>
              <w:t xml:space="preserve"> </w:t>
            </w:r>
            <w:r>
              <w:rPr>
                <w:rFonts w:hint="eastAsia"/>
                <w:sz w:val="18"/>
              </w:rPr>
              <w:t xml:space="preserve">不需要期</w:t>
            </w:r>
          </w:p>
        </w:tc>
        <w:tc>
          <w:tcPr/>
          <w:p>
            <w:pPr>
              <w:pStyle w:val="Compact"/>
            </w:pPr>
            <w:r>
              <w:rPr>
                <w:rFonts w:hint="eastAsia"/>
                <w:sz w:val="18"/>
              </w:rPr>
              <w:t xml:space="preserve">−0.330（0.034）</w:t>
            </w:r>
          </w:p>
        </w:tc>
        <w:tc>
          <w:tcPr/>
          <w:p>
            <w:pPr>
              <w:pStyle w:val="Compact"/>
            </w:pPr>
            <w:r>
              <w:rPr>
                <w:rFonts w:hint="eastAsia"/>
                <w:sz w:val="18"/>
              </w:rPr>
              <w:t xml:space="preserve">−0.313（0.65）</w:t>
            </w:r>
          </w:p>
        </w:tc>
        <w:tc>
          <w:tcPr/>
          <w:p>
            <w:pPr>
              <w:pStyle w:val="Compact"/>
            </w:pPr>
            <w:r>
              <w:rPr>
                <w:rFonts w:hint="eastAsia"/>
                <w:sz w:val="18"/>
              </w:rPr>
              <w:t xml:space="preserve">−0.258（0.045）</w:t>
            </w:r>
          </w:p>
        </w:tc>
        <w:tc>
          <w:tcPr/>
          <w:p>
            <w:pPr>
              <w:pStyle w:val="Compact"/>
            </w:pPr>
            <w:r>
              <w:rPr>
                <w:rFonts w:hint="eastAsia"/>
                <w:sz w:val="18"/>
              </w:rPr>
              <w:t xml:space="preserve">−0.317（0.74）</w:t>
            </w:r>
          </w:p>
        </w:tc>
        <w:tc>
          <w:tcPr/>
          <w:p>
            <w:pPr>
              <w:pStyle w:val="Compact"/>
            </w:pPr>
            <w:r>
              <w:rPr>
                <w:rFonts w:hint="eastAsia"/>
                <w:sz w:val="18"/>
              </w:rPr>
              <w:t xml:space="preserve">−0.361（0.40）</w:t>
            </w:r>
          </w:p>
        </w:tc>
      </w:tr>
      <w:tr>
        <w:tc>
          <w:tcPr/>
          <w:p>
            <w:pPr>
              <w:pStyle w:val="Compact"/>
            </w:pPr>
            <w:r>
              <w:rPr>
                <w:sz w:val="18"/>
              </w:rPr>
              <w:t xml:space="preserve">TB4h </w:t>
            </w:r>
            <w:r>
              <w:rPr>
                <w:rFonts w:hint="eastAsia"/>
                <w:sz w:val="18"/>
              </w:rPr>
              <w:t xml:space="preserve">夏</w:t>
            </w:r>
          </w:p>
        </w:tc>
        <w:tc>
          <w:tcPr/>
          <w:p>
            <w:pPr>
              <w:pStyle w:val="Compact"/>
            </w:pPr>
            <w:r>
              <w:rPr>
                <w:rFonts w:hint="eastAsia"/>
                <w:sz w:val="18"/>
              </w:rPr>
              <w:t xml:space="preserve">+0.088（0.126）</w:t>
            </w:r>
          </w:p>
        </w:tc>
        <w:tc>
          <w:tcPr/>
          <w:p>
            <w:pPr>
              <w:pStyle w:val="Compact"/>
            </w:pPr>
            <w:r>
              <w:rPr>
                <w:rFonts w:hint="eastAsia"/>
                <w:sz w:val="18"/>
              </w:rPr>
              <w:t xml:space="preserve">−0.031（0.35）</w:t>
            </w:r>
          </w:p>
        </w:tc>
        <w:tc>
          <w:tcPr/>
          <w:p>
            <w:pPr>
              <w:pStyle w:val="Compact"/>
            </w:pPr>
            <w:r>
              <w:rPr>
                <w:rFonts w:hint="eastAsia"/>
                <w:sz w:val="18"/>
              </w:rPr>
              <w:t xml:space="preserve">−0.002（0.49）</w:t>
            </w:r>
          </w:p>
        </w:tc>
        <w:tc>
          <w:tcPr/>
          <w:p>
            <w:pPr>
              <w:pStyle w:val="Compact"/>
            </w:pPr>
            <w:r>
              <w:rPr>
                <w:rFonts w:hint="eastAsia"/>
                <w:sz w:val="18"/>
              </w:rPr>
              <w:t xml:space="preserve">−0.038（0.31）</w:t>
            </w:r>
          </w:p>
        </w:tc>
        <w:tc>
          <w:tcPr/>
          <w:p>
            <w:pPr>
              <w:pStyle w:val="Compact"/>
            </w:pPr>
            <w:r>
              <w:rPr>
                <w:rFonts w:hint="eastAsia"/>
                <w:sz w:val="18"/>
              </w:rPr>
              <w:t xml:space="preserve">−0.047（0.29）</w:t>
            </w:r>
          </w:p>
        </w:tc>
      </w:tr>
      <w:tr>
        <w:tc>
          <w:tcPr/>
          <w:p>
            <w:pPr>
              <w:pStyle w:val="Compact"/>
            </w:pPr>
            <w:r>
              <w:rPr>
                <w:sz w:val="18"/>
              </w:rPr>
              <w:t xml:space="preserve">TB4h </w:t>
            </w:r>
            <w:r>
              <w:rPr>
                <w:rFonts w:hint="eastAsia"/>
                <w:sz w:val="18"/>
              </w:rPr>
              <w:t xml:space="preserve">冬</w:t>
            </w:r>
          </w:p>
        </w:tc>
        <w:tc>
          <w:tcPr/>
          <w:p>
            <w:pPr>
              <w:pStyle w:val="Compact"/>
            </w:pPr>
            <w:r>
              <w:rPr>
                <w:rFonts w:hint="eastAsia"/>
                <w:sz w:val="18"/>
              </w:rPr>
              <w:t xml:space="preserve">−0.112（0.090）</w:t>
            </w:r>
          </w:p>
        </w:tc>
        <w:tc>
          <w:tcPr/>
          <w:p>
            <w:pPr>
              <w:pStyle w:val="Compact"/>
            </w:pPr>
            <w:r>
              <w:rPr>
                <w:rFonts w:hint="eastAsia"/>
                <w:sz w:val="18"/>
              </w:rPr>
              <w:t xml:space="preserve">−0.008（0.23）</w:t>
            </w:r>
          </w:p>
        </w:tc>
        <w:tc>
          <w:tcPr/>
          <w:p>
            <w:pPr>
              <w:pStyle w:val="Compact"/>
            </w:pPr>
            <w:r>
              <w:rPr>
                <w:rFonts w:hint="eastAsia"/>
                <w:sz w:val="18"/>
              </w:rPr>
              <w:t xml:space="preserve">−0.032（0.30）</w:t>
            </w:r>
          </w:p>
        </w:tc>
        <w:tc>
          <w:tcPr/>
          <w:p>
            <w:pPr>
              <w:pStyle w:val="Compact"/>
            </w:pPr>
            <w:r>
              <w:rPr>
                <w:rFonts w:hint="eastAsia"/>
                <w:sz w:val="18"/>
              </w:rPr>
              <w:t xml:space="preserve">−0.021（0.29）</w:t>
            </w:r>
          </w:p>
        </w:tc>
        <w:tc>
          <w:tcPr/>
          <w:p>
            <w:pPr>
              <w:pStyle w:val="Compact"/>
            </w:pPr>
            <w:r>
              <w:rPr>
                <w:rFonts w:hint="eastAsia"/>
                <w:sz w:val="18"/>
              </w:rPr>
              <w:t xml:space="preserve">−0.044（0.43）</w:t>
            </w:r>
          </w:p>
        </w:tc>
      </w:tr>
      <w:tr>
        <w:tc>
          <w:tcPr/>
          <w:p>
            <w:pPr>
              <w:pStyle w:val="Compact"/>
            </w:pPr>
            <w:r>
              <w:rPr>
                <w:sz w:val="18"/>
              </w:rPr>
              <w:t xml:space="preserve">TB4h </w:t>
            </w:r>
            <w:r>
              <w:rPr>
                <w:rFonts w:hint="eastAsia"/>
                <w:sz w:val="18"/>
              </w:rPr>
              <w:t xml:space="preserve">不需要期</w:t>
            </w:r>
          </w:p>
        </w:tc>
        <w:tc>
          <w:tcPr/>
          <w:p>
            <w:pPr>
              <w:pStyle w:val="Compact"/>
            </w:pPr>
            <w:r>
              <w:rPr>
                <w:rFonts w:hint="eastAsia"/>
                <w:sz w:val="18"/>
              </w:rPr>
              <w:t xml:space="preserve">−0.026（0.074）</w:t>
            </w:r>
          </w:p>
        </w:tc>
        <w:tc>
          <w:tcPr/>
          <w:p>
            <w:pPr>
              <w:pStyle w:val="Compact"/>
            </w:pPr>
            <w:r>
              <w:rPr>
                <w:rFonts w:hint="eastAsia"/>
                <w:sz w:val="18"/>
              </w:rPr>
              <w:t xml:space="preserve">+0.155（0.010）</w:t>
            </w:r>
          </w:p>
        </w:tc>
        <w:tc>
          <w:tcPr/>
          <w:p>
            <w:pPr>
              <w:pStyle w:val="Compact"/>
            </w:pPr>
            <w:r>
              <w:rPr>
                <w:rFonts w:hint="eastAsia"/>
                <w:sz w:val="18"/>
              </w:rPr>
              <w:t xml:space="preserve">+0.099（0.071）</w:t>
            </w:r>
          </w:p>
        </w:tc>
        <w:tc>
          <w:tcPr/>
          <w:p>
            <w:pPr>
              <w:pStyle w:val="Compact"/>
            </w:pPr>
            <w:r>
              <w:rPr>
                <w:rFonts w:hint="eastAsia"/>
                <w:sz w:val="18"/>
              </w:rPr>
              <w:t xml:space="preserve">+0.144（0.015）</w:t>
            </w:r>
          </w:p>
        </w:tc>
        <w:tc>
          <w:tcPr/>
          <w:p>
            <w:pPr>
              <w:pStyle w:val="Compact"/>
            </w:pPr>
            <w:r>
              <w:rPr>
                <w:rFonts w:hint="eastAsia"/>
                <w:sz w:val="18"/>
              </w:rPr>
              <w:t xml:space="preserve">+0.071（0.16）</w:t>
            </w:r>
          </w:p>
        </w:tc>
      </w:tr>
      <w:tr>
        <w:tc>
          <w:tcPr/>
          <w:p>
            <w:pPr>
              <w:pStyle w:val="Compact"/>
            </w:pPr>
            <w:r>
              <w:rPr>
                <w:rFonts w:hint="eastAsia"/>
                <w:sz w:val="18"/>
              </w:rPr>
              <w:t xml:space="preserve">完全予見粗利</w:t>
            </w:r>
            <w:r>
              <w:rPr>
                <w:sz w:val="18"/>
              </w:rPr>
              <w:t xml:space="preserve"> </w:t>
            </w:r>
            <w:r>
              <w:rPr>
                <w:rFonts w:hint="eastAsia"/>
                <w:sz w:val="18"/>
              </w:rPr>
              <w:t xml:space="preserve">夏</w:t>
            </w:r>
          </w:p>
        </w:tc>
        <w:tc>
          <w:tcPr/>
          <w:p>
            <w:pPr>
              <w:pStyle w:val="Compact"/>
            </w:pPr>
            <w:r>
              <w:rPr>
                <w:rFonts w:hint="eastAsia"/>
                <w:sz w:val="18"/>
              </w:rPr>
              <w:t xml:space="preserve">+0.452（0.440）</w:t>
            </w:r>
          </w:p>
        </w:tc>
        <w:tc>
          <w:tcPr/>
          <w:p>
            <w:pPr>
              <w:pStyle w:val="Compact"/>
            </w:pPr>
            <w:r>
              <w:rPr>
                <w:rFonts w:hint="eastAsia"/>
                <w:sz w:val="18"/>
              </w:rPr>
              <w:t xml:space="preserve">+0.024（0.34）</w:t>
            </w:r>
          </w:p>
        </w:tc>
        <w:tc>
          <w:tcPr/>
          <w:p>
            <w:pPr>
              <w:pStyle w:val="Compact"/>
            </w:pPr>
            <w:r>
              <w:rPr>
                <w:rFonts w:hint="eastAsia"/>
                <w:sz w:val="18"/>
              </w:rPr>
              <w:t xml:space="preserve">+0.113（0.46）</w:t>
            </w:r>
          </w:p>
        </w:tc>
        <w:tc>
          <w:tcPr/>
          <w:p>
            <w:pPr>
              <w:pStyle w:val="Compact"/>
            </w:pPr>
            <w:r>
              <w:rPr>
                <w:rFonts w:hint="eastAsia"/>
                <w:sz w:val="18"/>
              </w:rPr>
              <w:t xml:space="preserve">−0.002（0.31）</w:t>
            </w:r>
          </w:p>
        </w:tc>
        <w:tc>
          <w:tcPr/>
          <w:p>
            <w:pPr>
              <w:pStyle w:val="Compact"/>
            </w:pPr>
            <w:r>
              <w:rPr>
                <w:rFonts w:hint="eastAsia"/>
                <w:sz w:val="18"/>
              </w:rPr>
              <w:t xml:space="preserve">−0.009（0.30）</w:t>
            </w:r>
          </w:p>
        </w:tc>
      </w:tr>
      <w:tr>
        <w:tc>
          <w:tcPr/>
          <w:p>
            <w:pPr>
              <w:pStyle w:val="Compact"/>
            </w:pPr>
            <w:r>
              <w:rPr>
                <w:rFonts w:hint="eastAsia"/>
                <w:sz w:val="18"/>
              </w:rPr>
              <w:t xml:space="preserve">完全予見粗利</w:t>
            </w:r>
            <w:r>
              <w:rPr>
                <w:sz w:val="18"/>
              </w:rPr>
              <w:t xml:space="preserve"> </w:t>
            </w:r>
            <w:r>
              <w:rPr>
                <w:rFonts w:hint="eastAsia"/>
                <w:sz w:val="18"/>
              </w:rPr>
              <w:t xml:space="preserve">冬</w:t>
            </w:r>
          </w:p>
        </w:tc>
        <w:tc>
          <w:tcPr/>
          <w:p>
            <w:pPr>
              <w:pStyle w:val="Compact"/>
            </w:pPr>
            <w:r>
              <w:rPr>
                <w:rFonts w:hint="eastAsia"/>
                <w:sz w:val="18"/>
              </w:rPr>
              <w:t xml:space="preserve">−0.282（0.319）</w:t>
            </w:r>
          </w:p>
        </w:tc>
        <w:tc>
          <w:tcPr/>
          <w:p>
            <w:pPr>
              <w:pStyle w:val="Compact"/>
            </w:pPr>
            <w:r>
              <w:rPr>
                <w:rFonts w:hint="eastAsia"/>
                <w:sz w:val="18"/>
              </w:rPr>
              <w:t xml:space="preserve">+0.064（0.26）</w:t>
            </w:r>
          </w:p>
        </w:tc>
        <w:tc>
          <w:tcPr/>
          <w:p>
            <w:pPr>
              <w:pStyle w:val="Compact"/>
            </w:pPr>
            <w:r>
              <w:rPr>
                <w:rFonts w:hint="eastAsia"/>
                <w:sz w:val="18"/>
              </w:rPr>
              <w:t xml:space="preserve">−0.029（0.35）</w:t>
            </w:r>
          </w:p>
        </w:tc>
        <w:tc>
          <w:tcPr/>
          <w:p>
            <w:pPr>
              <w:pStyle w:val="Compact"/>
            </w:pPr>
            <w:r>
              <w:rPr>
                <w:rFonts w:hint="eastAsia"/>
                <w:sz w:val="18"/>
              </w:rPr>
              <w:t xml:space="preserve">+0.017（0.33）</w:t>
            </w:r>
          </w:p>
        </w:tc>
        <w:tc>
          <w:tcPr/>
          <w:p>
            <w:pPr>
              <w:pStyle w:val="Compact"/>
            </w:pPr>
            <w:r>
              <w:rPr>
                <w:rFonts w:hint="eastAsia"/>
                <w:sz w:val="18"/>
              </w:rPr>
              <w:t xml:space="preserve">−0.050（0.45）</w:t>
            </w:r>
          </w:p>
        </w:tc>
      </w:tr>
      <w:tr>
        <w:tc>
          <w:tcPr/>
          <w:p>
            <w:pPr>
              <w:pStyle w:val="Compact"/>
            </w:pPr>
            <w:r>
              <w:rPr>
                <w:rFonts w:hint="eastAsia"/>
                <w:sz w:val="18"/>
              </w:rPr>
              <w:t xml:space="preserve">完全予見粗利</w:t>
            </w:r>
            <w:r>
              <w:rPr>
                <w:sz w:val="18"/>
              </w:rPr>
              <w:t xml:space="preserve"> </w:t>
            </w:r>
            <w:r>
              <w:rPr>
                <w:rFonts w:hint="eastAsia"/>
                <w:sz w:val="18"/>
              </w:rPr>
              <w:t xml:space="preserve">不需要期</w:t>
            </w:r>
          </w:p>
        </w:tc>
        <w:tc>
          <w:tcPr/>
          <w:p>
            <w:pPr>
              <w:pStyle w:val="Compact"/>
            </w:pPr>
            <w:r>
              <w:rPr>
                <w:rFonts w:hint="eastAsia"/>
                <w:sz w:val="18"/>
              </w:rPr>
              <w:t xml:space="preserve">+0.112（0.260）</w:t>
            </w:r>
          </w:p>
        </w:tc>
        <w:tc>
          <w:tcPr/>
          <w:p>
            <w:pPr>
              <w:pStyle w:val="Compact"/>
            </w:pPr>
            <w:r>
              <w:rPr>
                <w:rFonts w:hint="eastAsia"/>
                <w:sz w:val="18"/>
              </w:rPr>
              <w:t xml:space="preserve">+0.714（0.012）</w:t>
            </w:r>
          </w:p>
        </w:tc>
        <w:tc>
          <w:tcPr/>
          <w:p>
            <w:pPr>
              <w:pStyle w:val="Compact"/>
            </w:pPr>
            <w:r>
              <w:rPr>
                <w:rFonts w:hint="eastAsia"/>
                <w:sz w:val="18"/>
              </w:rPr>
              <w:t xml:space="preserve">+0.492（0.11）</w:t>
            </w:r>
          </w:p>
        </w:tc>
        <w:tc>
          <w:tcPr/>
          <w:p>
            <w:pPr>
              <w:pStyle w:val="Compact"/>
            </w:pPr>
            <w:r>
              <w:rPr>
                <w:rFonts w:hint="eastAsia"/>
                <w:sz w:val="18"/>
              </w:rPr>
              <w:t xml:space="preserve">+0.681（0.018）</w:t>
            </w:r>
          </w:p>
        </w:tc>
        <w:tc>
          <w:tcPr/>
          <w:p>
            <w:pPr>
              <w:pStyle w:val="Compact"/>
            </w:pPr>
            <w:r>
              <w:rPr>
                <w:rFonts w:hint="eastAsia"/>
                <w:sz w:val="18"/>
              </w:rPr>
              <w:t xml:space="preserve">+0.459（0.15）</w:t>
            </w:r>
          </w:p>
        </w:tc>
      </w:tr>
    </w:tbl>
    <w:p>
      <w:pPr>
        <w:pStyle w:val="TableNote"/>
      </w:pPr>
      <w:r>
        <w:rPr>
          <w:rFonts w:hint="eastAsia"/>
        </w:rPr>
        <w:t xml:space="preserve">注）FY2023〜25</w:t>
      </w:r>
      <w:r>
        <w:t xml:space="preserve"> </w:t>
      </w:r>
      <w:r>
        <w:rPr>
          <w:rFonts w:hint="eastAsia"/>
        </w:rPr>
        <w:t xml:space="preserve">の1,096日。第5章の主仕様による風力の係数で、価格は円/kWh</w:t>
      </w:r>
      <w:r>
        <w:t xml:space="preserve"> per </w:t>
      </w:r>
      <w:r>
        <w:rPr>
          <w:rFonts w:hint="eastAsia"/>
        </w:rPr>
        <w:t xml:space="preserve">GWh/日、完全予見粗利は円/kW-日</w:t>
      </w:r>
      <w:r>
        <w:t xml:space="preserve"> per </w:t>
      </w:r>
      <w:r>
        <w:rPr>
          <w:rFonts w:hint="eastAsia"/>
        </w:rPr>
        <w:t xml:space="preserve">GWh/日。上位4時間・下位4時間</w:t>
      </w:r>
      <w:r>
        <w:t xml:space="preserve"> </w:t>
      </w:r>
      <w:r>
        <w:rPr>
          <w:rFonts w:hint="eastAsia"/>
        </w:rPr>
        <w:t xml:space="preserve">は上位・下位4時間の平均価格。モデルの列の括弧内は、差（モデル−実績）を同じ右辺に回帰した係数の</w:t>
      </w:r>
      <w:r>
        <w:t xml:space="preserve"> </w:t>
      </w:r>
      <w:r>
        <w:rPr>
          <w:rFonts w:hint="eastAsia"/>
        </w:rPr>
        <w:t xml:space="preserve">EWC（</w:t>
      </w:r>
      <m:oMath>
        <m:r>
          <m:t>ν</m:t>
        </m:r>
        <m:r>
          <m:rPr>
            <m:sty m:val="p"/>
          </m:rPr>
          <m:t>=</m:t>
        </m:r>
        <m:r>
          <m:t>42</m:t>
        </m:r>
      </m:oMath>
      <w:r>
        <w:rPr>
          <w:rFonts w:hint="eastAsia"/>
        </w:rPr>
        <w:t xml:space="preserve">）の</w:t>
      </w:r>
      <w:r>
        <w:t xml:space="preserve"> </w:t>
      </w:r>
      <w:r>
        <w:rPr>
          <w:rFonts w:hint="eastAsia"/>
        </w:rPr>
        <w:t xml:space="preserve">p。仕様A</w:t>
      </w:r>
      <w:r>
        <w:t xml:space="preserve"> </w:t>
      </w:r>
      <w:r>
        <w:rPr>
          <w:rFonts w:hint="eastAsia"/>
        </w:rPr>
        <w:t xml:space="preserve">は水準固定（本文の表7.2</w:t>
      </w:r>
      <w:r>
        <w:t xml:space="preserve"> </w:t>
      </w:r>
      <w:r>
        <w:rPr>
          <w:rFonts w:hint="eastAsia"/>
        </w:rPr>
        <w:t xml:space="preserve">と同じ）。仕様A（水準係数付き）は年度別の水準係数を当てた版で、</w:t>
      </w:r>
      <m:oMath>
        <m:r>
          <m:t>μ</m:t>
        </m:r>
      </m:oMath>
      <w:r>
        <w:t xml:space="preserve"> </w:t>
      </w:r>
      <w:r>
        <w:rPr>
          <w:rFonts w:hint="eastAsia"/>
        </w:rPr>
        <w:t xml:space="preserve">は風力に依存しない。仕様A′</w:t>
      </w:r>
      <w:r>
        <w:t xml:space="preserve"> はこれと</w:t>
      </w:r>
      <w:r>
        <w:t xml:space="preserve"> </w:t>
      </w:r>
      <m:oMath>
        <m:r>
          <m:t>g</m:t>
        </m:r>
      </m:oMath>
      <w:r>
        <w:t xml:space="preserve">・</w:t>
      </w:r>
      <m:oMath>
        <m:sSub>
          <m:e>
            <m:r>
              <m:t>θ</m:t>
            </m:r>
          </m:e>
          <m:sub>
            <m:r>
              <m:rPr>
                <m:sty m:val="p"/>
              </m:rPr>
              <m:t>F</m:t>
            </m:r>
            <m:r>
              <m:rPr>
                <m:sty m:val="p"/>
              </m:rPr>
              <m:t>Y</m:t>
            </m:r>
          </m:sub>
        </m:sSub>
      </m:oMath>
      <w:r>
        <w:t xml:space="preserve"> </w:t>
      </w:r>
      <w:r>
        <w:rPr>
          <w:rFonts w:hint="eastAsia"/>
        </w:rPr>
        <w:t xml:space="preserve">を共有し、</w:t>
      </w:r>
      <m:oMath>
        <m:r>
          <m:t>μ</m:t>
        </m:r>
      </m:oMath>
      <w:r>
        <w:t xml:space="preserve"> </w:t>
      </w:r>
      <w:r>
        <w:rPr>
          <w:rFonts w:hint="eastAsia"/>
        </w:rPr>
        <w:t xml:space="preserve">の扱い（日次の風力三分位への依存）だけが異なる。年月固定効果の版で風力の差の</w:t>
      </w:r>
      <w:r>
        <w:t xml:space="preserve"> p </w:t>
      </w:r>
      <w:r>
        <w:rPr>
          <w:rFonts w:hint="eastAsia"/>
        </w:rPr>
        <w:t xml:space="preserve">が0.10未満となる係数は、仕様A</w:t>
      </w:r>
      <w:r>
        <w:t xml:space="preserve"> </w:t>
      </w:r>
      <w:r>
        <w:rPr>
          <w:rFonts w:hint="eastAsia"/>
        </w:rPr>
        <w:t xml:space="preserve">6本、分断混合仕様4本、仕様A（水準係数付き）3本、仕様A′</w:t>
      </w:r>
      <w:r>
        <w:t xml:space="preserve"> </w:t>
      </w:r>
      <w:r>
        <w:rPr>
          <w:rFonts w:hint="eastAsia"/>
        </w:rPr>
        <w:t xml:space="preserve">0本である。</w:t>
      </w:r>
    </w:p>
    <w:p>
      <w:pPr>
        <w:pStyle w:val="TableNote"/>
      </w:pPr>
      <w:r>
        <w:rPr>
          <w:rFonts w:hint="eastAsia"/>
        </w:rPr>
        <w:t xml:space="preserve">出所）表C.21</w:t>
      </w:r>
      <w:r>
        <w:t xml:space="preserve"> </w:t>
      </w:r>
      <w:r>
        <w:rPr>
          <w:rFonts w:hint="eastAsia"/>
        </w:rPr>
        <w:t xml:space="preserve">と同じ。</w:t>
      </w:r>
    </w:p>
    <w:p>
      <w:pPr>
        <w:pStyle w:val="BodyText"/>
      </w:pPr>
      <w:r>
        <w:rPr>
          <w:rFonts w:hint="eastAsia"/>
        </w:rPr>
        <w:t xml:space="preserve">仕様A</w:t>
      </w:r>
      <w:r>
        <w:t xml:space="preserve"> </w:t>
      </w:r>
      <w:r>
        <w:rPr>
          <w:rFonts w:hint="eastAsia"/>
        </w:rPr>
        <w:t xml:space="preserve">の不需要期のずれは、風力3季節の族で</w:t>
      </w:r>
      <w:r>
        <w:t xml:space="preserve"> Holm </w:t>
      </w:r>
      <w:r>
        <w:rPr>
          <w:rFonts w:hint="eastAsia"/>
        </w:rPr>
        <w:t xml:space="preserve">の補正をしても</w:t>
      </w:r>
      <w:r>
        <w:t xml:space="preserve"> </w:t>
      </w:r>
      <w:r>
        <w:rPr>
          <w:rFonts w:hint="eastAsia"/>
        </w:rPr>
        <w:t xml:space="preserve">p=0.024〜0.037で残る。水準係数付きの仕様A</w:t>
      </w:r>
      <w:r>
        <w:t xml:space="preserve"> </w:t>
      </w:r>
      <w:r>
        <w:rPr>
          <w:rFonts w:hint="eastAsia"/>
        </w:rPr>
        <w:t xml:space="preserve">は、上位4時間で+0.182円/kWh（p=0.016）、TB4h</w:t>
      </w:r>
      <w:r>
        <w:t xml:space="preserve"> </w:t>
      </w:r>
      <w:r>
        <w:rPr>
          <w:rFonts w:hint="eastAsia"/>
        </w:rPr>
        <w:t xml:space="preserve">で+0.169円/kWh（p=0.015）、完全予見粗利で+0.57円/kW-日（p=0.018）ずれ、Holm</w:t>
      </w:r>
      <w:r>
        <w:t xml:space="preserve"> </w:t>
      </w:r>
      <w:r>
        <w:rPr>
          <w:rFonts w:hint="eastAsia"/>
        </w:rPr>
        <w:t xml:space="preserve">の補正では</w:t>
      </w:r>
      <w:r>
        <w:t xml:space="preserve"> </w:t>
      </w:r>
      <w:r>
        <w:rPr>
          <w:rFonts w:hint="eastAsia"/>
        </w:rPr>
        <w:t xml:space="preserve">p=0.044〜0.053である。不需要期の高風日の夕方（17〜20時）のプレミアムは、春で1.77円から0.79円/kWh、秋で1.94円から−0.11円/kWh</w:t>
      </w:r>
      <w:r>
        <w:t xml:space="preserve"> </w:t>
      </w:r>
      <w:r>
        <w:rPr>
          <w:rFonts w:hint="eastAsia"/>
        </w:rPr>
        <w:t xml:space="preserve">に下がる。仕様A′</w:t>
      </w:r>
      <w:r>
        <w:t xml:space="preserve"> </w:t>
      </w:r>
      <w:r>
        <w:rPr>
          <w:rFonts w:hint="eastAsia"/>
        </w:rPr>
        <w:t xml:space="preserve">の不需要期の完全予見粗利の差は、点推定+0.35（95%区間−0.13〜+0.82）である。仕様A′</w:t>
      </w:r>
      <w:r>
        <w:t xml:space="preserve"> </w:t>
      </w:r>
      <w:r>
        <w:rPr>
          <w:rFonts w:hint="eastAsia"/>
        </w:rPr>
        <w:t xml:space="preserve">の水準の再現は、完全予見粗利9,041円（実績/モデル比1.14）、戦略</w:t>
      </w:r>
      <w:r>
        <w:t xml:space="preserve"> c </w:t>
      </w:r>
      <w:r>
        <w:rPr>
          <w:rFonts w:hint="eastAsia"/>
        </w:rPr>
        <w:t xml:space="preserve">8,423円（同1.00）、平均価格11.93円（実績11.93円）である。太陽光の係数では、仕様A</w:t>
      </w:r>
      <w:r>
        <w:t xml:space="preserve"> </w:t>
      </w:r>
      <w:r>
        <w:rPr>
          <w:rFonts w:hint="eastAsia"/>
        </w:rPr>
        <w:t xml:space="preserve">と仕様A′</w:t>
      </w:r>
      <w:r>
        <w:t xml:space="preserve"> </w:t>
      </w:r>
      <w:r>
        <w:rPr>
          <w:rFonts w:hint="eastAsia"/>
        </w:rPr>
        <w:t xml:space="preserve">がともに不需要期の下位4時間を実績より深く下げ（差−0.18・−0.20円/kWh、p&lt;0.001）、完全予見粗利の拡大を実績より大きく出す（差+0.56・+0.54円/kW-日、p=0.014・0.012）。</w:t>
      </w:r>
    </w:p>
    <w:bookmarkEnd w:id="374"/>
    <w:bookmarkStart w:id="375" w:name="c.3.3-構造イベントの変種"/>
    <w:p>
      <w:pPr>
        <w:pStyle w:val="Heading3"/>
      </w:pPr>
      <w:r>
        <w:t xml:space="preserve">C.3.3　</w:t>
      </w:r>
      <w:r>
        <w:rPr>
          <w:rFonts w:hint="eastAsia"/>
        </w:rPr>
        <w:t xml:space="preserve">構造イベントの変種</w:t>
      </w:r>
    </w:p>
    <w:p>
      <w:pPr>
        <w:pStyle w:val="FirstParagraph"/>
      </w:pPr>
      <w:r>
        <w:rPr>
          <w:rFonts w:hint="eastAsia"/>
        </w:rPr>
        <w:t xml:space="preserve">表C.23</w:t>
      </w:r>
      <w:r>
        <w:t xml:space="preserve"> </w:t>
      </w:r>
      <w:r>
        <w:rPr>
          <w:rFonts w:hint="eastAsia"/>
        </w:rPr>
        <w:t xml:space="preserve">は、分断混合仕様による構造イベントの部分均衡効果を、価格指標とともに示す（本文7.3節）。</w:t>
      </w:r>
    </w:p>
    <w:p>
      <w:pPr>
        <w:pStyle w:val="TableCaption"/>
      </w:pPr>
      <w:r>
        <w:rPr>
          <w:rFonts w:hint="eastAsia"/>
        </w:rPr>
        <w:t xml:space="preserve">表C.23</w:t>
      </w:r>
      <w:r>
        <w:t xml:space="preserve">　</w:t>
      </w:r>
      <w:r>
        <w:rPr>
          <w:rFonts w:hint="eastAsia"/>
        </w:rPr>
        <w:t xml:space="preserve">構造イベントの部分均衡効果（価格指標を含む）</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3　構造イベントの部分均衡効果（価格指標を含む）"/>
      </w:tblPr>
      <w:tblGrid>
        <w:gridCol w:w="1320"/>
        <w:gridCol w:w="1320"/>
        <w:gridCol w:w="1320"/>
        <w:gridCol w:w="1320"/>
        <w:gridCol w:w="1320"/>
        <w:gridCol w:w="1320"/>
      </w:tblGrid>
      <w:tr>
        <w:trPr>
          <w:tblHeader w:val="on"/>
        </w:trPr>
        <w:tc>
          <w:tcPr>
            <w:tcBorders>
              <w:bottom w:val="single" w:sz="6" w:color="000000"/>
            </w:tcBorders>
          </w:tcPr>
          <w:p>
            <w:pPr>
              <w:pStyle w:val="Compact"/>
            </w:pPr>
            <w:r>
              <w:rPr>
                <w:sz w:val="18"/>
              </w:rPr>
              <w:t xml:space="preserve">シナリオ</w:t>
            </w:r>
          </w:p>
        </w:tc>
        <w:tc>
          <w:tcPr>
            <w:tcBorders>
              <w:bottom w:val="single" w:sz="6" w:color="000000"/>
            </w:tcBorders>
          </w:tcPr>
          <w:p>
            <w:pPr>
              <w:pStyle w:val="Compact"/>
            </w:pPr>
            <w:r>
              <w:rPr>
                <w:rFonts w:hint="eastAsia"/>
                <w:sz w:val="18"/>
              </w:rPr>
              <w:t xml:space="preserve">下限張り付き時間（時間/年）</w:t>
            </w:r>
          </w:p>
        </w:tc>
        <w:tc>
          <w:tcPr>
            <w:tcBorders>
              <w:bottom w:val="single" w:sz="6" w:color="000000"/>
            </w:tcBorders>
          </w:tcPr>
          <w:p>
            <w:pPr>
              <w:pStyle w:val="Compact"/>
            </w:pPr>
            <w:r>
              <w:rPr>
                <w:sz w:val="18"/>
              </w:rPr>
              <w:t xml:space="preserve">TB4h </w:t>
            </w:r>
            <w:r>
              <w:rPr>
                <w:rFonts w:hint="eastAsia"/>
                <w:sz w:val="18"/>
              </w:rPr>
              <w:t xml:space="preserve">中央値</w:t>
            </w:r>
          </w:p>
        </w:tc>
        <w:tc>
          <w:tcPr>
            <w:tcBorders>
              <w:bottom w:val="single" w:sz="6" w:color="000000"/>
            </w:tcBorders>
          </w:tcPr>
          <w:p>
            <w:pPr>
              <w:pStyle w:val="Compact"/>
            </w:pPr>
            <w:r>
              <w:rPr>
                <w:sz w:val="18"/>
              </w:rPr>
              <w:t xml:space="preserve">p95</w:t>
            </w:r>
          </w:p>
        </w:tc>
        <w:tc>
          <w:tcPr>
            <w:tcBorders>
              <w:bottom w:val="single" w:sz="6" w:color="000000"/>
            </w:tcBorders>
          </w:tcPr>
          <w:p>
            <w:pPr>
              <w:pStyle w:val="Compact"/>
            </w:pPr>
            <w:r>
              <w:rPr>
                <w:rFonts w:hint="eastAsia"/>
                <w:sz w:val="18"/>
              </w:rPr>
              <w:t xml:space="preserve">完全予見粗利</w:t>
            </w:r>
          </w:p>
        </w:tc>
        <w:tc>
          <w:tcPr>
            <w:tcBorders>
              <w:bottom w:val="single" w:sz="6" w:color="000000"/>
            </w:tcBorders>
          </w:tcPr>
          <w:p>
            <w:pPr>
              <w:pStyle w:val="Compact"/>
            </w:pPr>
            <w:r>
              <w:rPr>
                <w:rFonts w:hint="eastAsia"/>
                <w:sz w:val="18"/>
              </w:rPr>
              <w:t xml:space="preserve">完全予見粗利の変化</w:t>
            </w:r>
          </w:p>
        </w:tc>
      </w:tr>
      <w:tr>
        <w:tc>
          <w:tcPr/>
          <w:p>
            <w:pPr>
              <w:pStyle w:val="Compact"/>
            </w:pPr>
            <w:r>
              <w:rPr>
                <w:rFonts w:hint="eastAsia"/>
                <w:sz w:val="18"/>
              </w:rPr>
              <w:t xml:space="preserve">ベース（分断混合仕様の再現）</w:t>
            </w:r>
          </w:p>
        </w:tc>
        <w:tc>
          <w:tcPr/>
          <w:p>
            <w:pPr>
              <w:pStyle w:val="Compact"/>
            </w:pPr>
            <w:r>
              <w:rPr>
                <w:sz w:val="18"/>
              </w:rPr>
              <w:t xml:space="preserve">88〜159</w:t>
            </w:r>
          </w:p>
        </w:tc>
        <w:tc>
          <w:tcPr/>
          <w:p>
            <w:pPr>
              <w:pStyle w:val="Compact"/>
            </w:pPr>
            <w:r>
              <w:rPr>
                <w:sz w:val="18"/>
              </w:rPr>
              <w:t xml:space="preserve">8.0〜8.3</w:t>
            </w:r>
          </w:p>
        </w:tc>
        <w:tc>
          <w:tcPr/>
          <w:p>
            <w:pPr>
              <w:pStyle w:val="Compact"/>
            </w:pPr>
            <w:r>
              <w:rPr>
                <w:sz w:val="18"/>
              </w:rPr>
              <w:t xml:space="preserve">17.7〜18.0</w:t>
            </w:r>
          </w:p>
        </w:tc>
        <w:tc>
          <w:tcPr/>
          <w:p>
            <w:pPr>
              <w:pStyle w:val="Compact"/>
            </w:pPr>
            <w:r>
              <w:rPr>
                <w:sz w:val="18"/>
              </w:rPr>
              <w:t xml:space="preserve">8,379〜8,721</w:t>
            </w:r>
          </w:p>
        </w:tc>
        <w:tc>
          <w:tcPr/>
          <w:p>
            <w:pPr>
              <w:pStyle w:val="Compact"/>
            </w:pPr>
            <w:r>
              <w:rPr>
                <w:sz w:val="18"/>
              </w:rPr>
              <w:t xml:space="preserve">—</w:t>
            </w:r>
          </w:p>
        </w:tc>
      </w:tr>
      <w:tr>
        <w:tc>
          <w:tcPr/>
          <w:p>
            <w:pPr>
              <w:pStyle w:val="Compact"/>
            </w:pPr>
            <w:r>
              <w:rPr>
                <w:rFonts w:hint="eastAsia"/>
                <w:sz w:val="18"/>
              </w:rPr>
              <w:t xml:space="preserve">風力+50万kW</w:t>
            </w:r>
          </w:p>
        </w:tc>
        <w:tc>
          <w:tcPr/>
          <w:p>
            <w:pPr>
              <w:pStyle w:val="Compact"/>
            </w:pPr>
            <w:r>
              <w:rPr>
                <w:sz w:val="18"/>
              </w:rPr>
              <w:t xml:space="preserve">149〜218</w:t>
            </w:r>
          </w:p>
        </w:tc>
        <w:tc>
          <w:tcPr/>
          <w:p>
            <w:pPr>
              <w:pStyle w:val="Compact"/>
            </w:pPr>
            <w:r>
              <w:rPr>
                <w:sz w:val="18"/>
              </w:rPr>
              <w:t xml:space="preserve">7.9〜8.1</w:t>
            </w:r>
          </w:p>
        </w:tc>
        <w:tc>
          <w:tcPr/>
          <w:p>
            <w:pPr>
              <w:pStyle w:val="Compact"/>
            </w:pPr>
            <w:r>
              <w:rPr>
                <w:sz w:val="18"/>
              </w:rPr>
              <w:t xml:space="preserve">17.0〜17.3</w:t>
            </w:r>
          </w:p>
        </w:tc>
        <w:tc>
          <w:tcPr/>
          <w:p>
            <w:pPr>
              <w:pStyle w:val="Compact"/>
            </w:pPr>
            <w:r>
              <w:rPr>
                <w:sz w:val="18"/>
              </w:rPr>
              <w:t xml:space="preserve">8,614〜8,840</w:t>
            </w:r>
          </w:p>
        </w:tc>
        <w:tc>
          <w:tcPr/>
          <w:p>
            <w:pPr>
              <w:pStyle w:val="Compact"/>
            </w:pPr>
            <w:r>
              <w:rPr>
                <w:sz w:val="18"/>
              </w:rPr>
              <w:t xml:space="preserve">+60〜+235</w:t>
            </w:r>
          </w:p>
        </w:tc>
      </w:tr>
      <w:tr>
        <w:tc>
          <w:tcPr/>
          <w:p>
            <w:pPr>
              <w:pStyle w:val="Compact"/>
            </w:pPr>
            <w:r>
              <w:rPr>
                <w:rFonts w:hint="eastAsia"/>
                <w:sz w:val="18"/>
              </w:rPr>
              <w:t xml:space="preserve">泊3号の再稼働</w:t>
            </w:r>
          </w:p>
        </w:tc>
        <w:tc>
          <w:tcPr/>
          <w:p>
            <w:pPr>
              <w:pStyle w:val="Compact"/>
            </w:pPr>
            <w:r>
              <w:rPr>
                <w:sz w:val="18"/>
              </w:rPr>
              <w:t xml:space="preserve">645〜779</w:t>
            </w:r>
          </w:p>
        </w:tc>
        <w:tc>
          <w:tcPr/>
          <w:p>
            <w:pPr>
              <w:pStyle w:val="Compact"/>
            </w:pPr>
            <w:r>
              <w:rPr>
                <w:sz w:val="18"/>
              </w:rPr>
              <w:t xml:space="preserve">8.2〜9.0</w:t>
            </w:r>
          </w:p>
        </w:tc>
        <w:tc>
          <w:tcPr/>
          <w:p>
            <w:pPr>
              <w:pStyle w:val="Compact"/>
            </w:pPr>
            <w:r>
              <w:rPr>
                <w:sz w:val="18"/>
              </w:rPr>
              <w:t xml:space="preserve">13.4〜13.8</w:t>
            </w:r>
          </w:p>
        </w:tc>
        <w:tc>
          <w:tcPr/>
          <w:p>
            <w:pPr>
              <w:pStyle w:val="Compact"/>
            </w:pPr>
            <w:r>
              <w:rPr>
                <w:sz w:val="18"/>
              </w:rPr>
              <w:t xml:space="preserve">9,594〜10,106</w:t>
            </w:r>
          </w:p>
        </w:tc>
        <w:tc>
          <w:tcPr/>
          <w:p>
            <w:pPr>
              <w:pStyle w:val="Compact"/>
            </w:pPr>
            <w:r>
              <w:rPr>
                <w:sz w:val="18"/>
              </w:rPr>
              <w:t xml:space="preserve">+953〜+1,385</w:t>
            </w:r>
          </w:p>
        </w:tc>
      </w:tr>
      <w:tr>
        <w:tc>
          <w:tcPr/>
          <w:p>
            <w:pPr>
              <w:pStyle w:val="Compact"/>
            </w:pPr>
            <w:r>
              <w:rPr>
                <w:rFonts w:hint="eastAsia"/>
                <w:sz w:val="18"/>
              </w:rPr>
              <w:t xml:space="preserve">風力+50万kW</w:t>
            </w:r>
            <w:r>
              <w:rPr>
                <w:sz w:val="18"/>
              </w:rPr>
              <w:t xml:space="preserve"> </w:t>
            </w:r>
            <w:r>
              <w:rPr>
                <w:rFonts w:hint="eastAsia"/>
                <w:sz w:val="18"/>
              </w:rPr>
              <w:t xml:space="preserve">と泊3号</w:t>
            </w:r>
          </w:p>
        </w:tc>
        <w:tc>
          <w:tcPr/>
          <w:p>
            <w:pPr>
              <w:pStyle w:val="Compact"/>
            </w:pPr>
            <w:r>
              <w:rPr>
                <w:sz w:val="18"/>
              </w:rPr>
              <w:t xml:space="preserve">862〜1,005</w:t>
            </w:r>
          </w:p>
        </w:tc>
        <w:tc>
          <w:tcPr/>
          <w:p>
            <w:pPr>
              <w:pStyle w:val="Compact"/>
            </w:pPr>
            <w:r>
              <w:rPr>
                <w:sz w:val="18"/>
              </w:rPr>
              <w:t xml:space="preserve">8.9〜9.5</w:t>
            </w:r>
          </w:p>
        </w:tc>
        <w:tc>
          <w:tcPr/>
          <w:p>
            <w:pPr>
              <w:pStyle w:val="Compact"/>
            </w:pPr>
            <w:r>
              <w:rPr>
                <w:sz w:val="18"/>
              </w:rPr>
              <w:t xml:space="preserve">13.0〜13.4</w:t>
            </w:r>
          </w:p>
        </w:tc>
        <w:tc>
          <w:tcPr/>
          <w:p>
            <w:pPr>
              <w:pStyle w:val="Compact"/>
            </w:pPr>
            <w:r>
              <w:rPr>
                <w:sz w:val="18"/>
              </w:rPr>
              <w:t xml:space="preserve">10,050〜10,606</w:t>
            </w:r>
          </w:p>
        </w:tc>
        <w:tc>
          <w:tcPr/>
          <w:p>
            <w:pPr>
              <w:pStyle w:val="Compact"/>
            </w:pPr>
            <w:r>
              <w:rPr>
                <w:sz w:val="18"/>
              </w:rPr>
              <w:t xml:space="preserve">+1,518〜+1,885</w:t>
            </w:r>
          </w:p>
        </w:tc>
      </w:tr>
      <w:tr>
        <w:tc>
          <w:tcPr/>
          <w:p>
            <w:pPr>
              <w:pStyle w:val="Compact"/>
            </w:pPr>
            <w:r>
              <w:rPr>
                <w:rFonts w:hint="eastAsia"/>
                <w:sz w:val="18"/>
              </w:rPr>
              <w:t xml:space="preserve">データセンター需要+80万kW</w:t>
            </w:r>
          </w:p>
        </w:tc>
        <w:tc>
          <w:tcPr/>
          <w:p>
            <w:pPr>
              <w:pStyle w:val="Compact"/>
            </w:pPr>
            <w:r>
              <w:rPr>
                <w:sz w:val="18"/>
              </w:rPr>
              <w:t xml:space="preserve">9〜47</w:t>
            </w:r>
          </w:p>
        </w:tc>
        <w:tc>
          <w:tcPr/>
          <w:p>
            <w:pPr>
              <w:pStyle w:val="Compact"/>
            </w:pPr>
            <w:r>
              <w:rPr>
                <w:sz w:val="18"/>
              </w:rPr>
              <w:t xml:space="preserve">7.9〜8.3</w:t>
            </w:r>
          </w:p>
        </w:tc>
        <w:tc>
          <w:tcPr/>
          <w:p>
            <w:pPr>
              <w:pStyle w:val="Compact"/>
            </w:pPr>
            <w:r>
              <w:rPr>
                <w:sz w:val="18"/>
              </w:rPr>
              <w:t xml:space="preserve">19.8</w:t>
            </w:r>
          </w:p>
        </w:tc>
        <w:tc>
          <w:tcPr/>
          <w:p>
            <w:pPr>
              <w:pStyle w:val="Compact"/>
            </w:pPr>
            <w:r>
              <w:rPr>
                <w:sz w:val="18"/>
              </w:rPr>
              <w:t xml:space="preserve">7,674〜7,866</w:t>
            </w:r>
          </w:p>
        </w:tc>
        <w:tc>
          <w:tcPr/>
          <w:p>
            <w:pPr>
              <w:pStyle w:val="Compact"/>
            </w:pPr>
            <w:r>
              <w:rPr>
                <w:sz w:val="18"/>
              </w:rPr>
              <w:t xml:space="preserve">−1,005〜−513</w:t>
            </w:r>
          </w:p>
        </w:tc>
      </w:tr>
      <w:tr>
        <w:tc>
          <w:tcPr/>
          <w:p>
            <w:pPr>
              <w:pStyle w:val="Compact"/>
            </w:pPr>
            <w:r>
              <w:rPr>
                <w:rFonts w:hint="eastAsia"/>
                <w:sz w:val="18"/>
              </w:rPr>
              <w:t xml:space="preserve">泊3号とデータセンター需要</w:t>
            </w:r>
          </w:p>
        </w:tc>
        <w:tc>
          <w:tcPr/>
          <w:p>
            <w:pPr>
              <w:pStyle w:val="Compact"/>
            </w:pPr>
            <w:r>
              <w:rPr>
                <w:sz w:val="18"/>
              </w:rPr>
              <w:t xml:space="preserve">88〜165</w:t>
            </w:r>
          </w:p>
        </w:tc>
        <w:tc>
          <w:tcPr/>
          <w:p>
            <w:pPr>
              <w:pStyle w:val="Compact"/>
            </w:pPr>
            <w:r>
              <w:rPr>
                <w:sz w:val="18"/>
              </w:rPr>
              <w:t xml:space="preserve">8.0〜8.2</w:t>
            </w:r>
          </w:p>
        </w:tc>
        <w:tc>
          <w:tcPr/>
          <w:p>
            <w:pPr>
              <w:pStyle w:val="Compact"/>
            </w:pPr>
            <w:r>
              <w:rPr>
                <w:sz w:val="18"/>
              </w:rPr>
              <w:t xml:space="preserve">17.6〜17.9</w:t>
            </w:r>
          </w:p>
        </w:tc>
        <w:tc>
          <w:tcPr/>
          <w:p>
            <w:pPr>
              <w:pStyle w:val="Compact"/>
            </w:pPr>
            <w:r>
              <w:rPr>
                <w:sz w:val="18"/>
              </w:rPr>
              <w:t xml:space="preserve">8,343〜8,715</w:t>
            </w:r>
          </w:p>
        </w:tc>
        <w:tc>
          <w:tcPr/>
          <w:p>
            <w:pPr>
              <w:pStyle w:val="Compact"/>
            </w:pPr>
            <w:r>
              <w:rPr>
                <w:sz w:val="18"/>
              </w:rPr>
              <w:t xml:space="preserve">−36〜+8</w:t>
            </w:r>
          </w:p>
        </w:tc>
      </w:tr>
    </w:tbl>
    <w:p>
      <w:pPr>
        <w:pStyle w:val="TableNote"/>
      </w:pPr>
      <w:r>
        <w:rPr>
          <w:rFonts w:hint="eastAsia"/>
        </w:rPr>
        <w:t xml:space="preserve">注）分断混合仕様、共通乱数、FY2023〜25</w:t>
      </w:r>
      <w:r>
        <w:t xml:space="preserve"> </w:t>
      </w:r>
      <w:r>
        <w:rPr>
          <w:rFonts w:hint="eastAsia"/>
        </w:rPr>
        <w:t xml:space="preserve">パスの年度レンジ。TB4h</w:t>
      </w:r>
      <w:r>
        <w:t xml:space="preserve"> と p95 </w:t>
      </w:r>
      <w:r>
        <w:rPr>
          <w:rFonts w:hint="eastAsia"/>
        </w:rPr>
        <w:t xml:space="preserve">は円/kWh、完全予見粗利は円/kW-年。</w:t>
      </w:r>
    </w:p>
    <w:p>
      <w:pPr>
        <w:pStyle w:val="TableNote"/>
      </w:pPr>
      <w:r>
        <w:rPr>
          <w:rFonts w:hint="eastAsia"/>
        </w:rPr>
        <w:t xml:space="preserve">出所）表C.21</w:t>
      </w:r>
      <w:r>
        <w:t xml:space="preserve"> </w:t>
      </w:r>
      <w:r>
        <w:rPr>
          <w:rFonts w:hint="eastAsia"/>
        </w:rPr>
        <w:t xml:space="preserve">と同じ。</w:t>
      </w:r>
    </w:p>
    <w:p>
      <w:pPr>
        <w:pStyle w:val="BodyText"/>
      </w:pPr>
      <w:r>
        <w:rPr>
          <w:rFonts w:hint="eastAsia"/>
          <w:b/>
          <w:bCs/>
        </w:rPr>
        <w:t xml:space="preserve">レジームの抽出</w:t>
      </w:r>
      <w:r>
        <w:t xml:space="preserve">　</w:t>
      </w:r>
      <w:r>
        <w:rPr>
          <w:rFonts w:hint="eastAsia"/>
        </w:rPr>
        <w:t xml:space="preserve">実績の持続性（次の時間も同じレジームである確率0.82）に合わせたマルコフ型の抽出20本の平均では、泊3号+994円（標準偏差87）、データセンター需要−891円、風力+50万kW</w:t>
      </w:r>
      <w:r>
        <w:t xml:space="preserve"> </w:t>
      </w:r>
      <w:r>
        <w:rPr>
          <w:rFonts w:hint="eastAsia"/>
        </w:rPr>
        <w:t xml:space="preserve">+141円で、基準の完全予見粗利は8,171円に下がる。</w:t>
      </w:r>
    </w:p>
    <w:p>
      <w:pPr>
        <w:pStyle w:val="BodyText"/>
      </w:pPr>
      <w:r>
        <w:rPr>
          <w:rFonts w:hint="eastAsia"/>
          <w:b/>
          <w:bCs/>
        </w:rPr>
        <w:t xml:space="preserve">上端の置き方</w:t>
      </w:r>
      <w:r>
        <w:t xml:space="preserve">　</w:t>
      </w:r>
      <w:r>
        <w:rPr>
          <w:rFonts w:hint="eastAsia"/>
        </w:rPr>
        <w:t xml:space="preserve">データセンター需要の場合、上位4時間の44%（全時間の17%）が供給曲線の最上位ビンの中心より上にあり、そこで価格を一定とする扱いに依存する。上端を最上位8ビンの傾きで線形外挿すると、データセンター需要の効果は仕様A</w:t>
      </w:r>
      <w:r>
        <w:t xml:space="preserve"> </w:t>
      </w:r>
      <w:r>
        <w:rPr>
          <w:rFonts w:hint="eastAsia"/>
        </w:rPr>
        <w:t xml:space="preserve">で−1,698円、分断混合仕様で−419円、傾きを2倍にすると−922円・+29円、実績の季節別の上位十分位の傾きでは−1,439円・−141円、冬・夏を上端の傾きの上限（0.81・1.15円/kWh</w:t>
      </w:r>
      <w:r>
        <w:t xml:space="preserve"> per </w:t>
      </w:r>
      <w:r>
        <w:rPr>
          <w:rFonts w:hint="eastAsia"/>
        </w:rPr>
        <w:t xml:space="preserve">100MW）に置くと−1,234円・+47円である（基本の扱いの仕様A</w:t>
      </w:r>
      <w:r>
        <w:t xml:space="preserve"> </w:t>
      </w:r>
      <w:r>
        <w:rPr>
          <w:rFonts w:hint="eastAsia"/>
        </w:rPr>
        <w:t xml:space="preserve">は−2,379円）。仕様A</w:t>
      </w:r>
      <w:r>
        <w:t xml:space="preserve"> </w:t>
      </w:r>
      <w:r>
        <w:rPr>
          <w:rFonts w:hint="eastAsia"/>
        </w:rPr>
        <w:t xml:space="preserve">では−920〜−2,380円で負に保たれるが、分断混合仕様では−800〜+50円で符号が識別できない。泊3号（+652〜+1,184円）と、泊3号とデータセンター需要の組合せ（−13〜+18円）は上端の扱いによらない。後者がほぼ0になるのは、二つを合わせた純需要の変化が−21MW</w:t>
      </w:r>
      <w:r>
        <w:t xml:space="preserve"> とほぼ0だからである。</w:t>
      </w:r>
    </w:p>
    <w:p>
      <w:pPr>
        <w:pStyle w:val="BodyText"/>
      </w:pPr>
      <w:r>
        <w:rPr>
          <w:rFonts w:hint="eastAsia"/>
          <w:b/>
          <w:bCs/>
        </w:rPr>
        <w:t xml:space="preserve">風力導入量の計上時期</w:t>
      </w:r>
      <w:r>
        <w:t xml:space="preserve">　</w:t>
      </w:r>
      <w:r>
        <w:rPr>
          <w:rFonts w:hint="eastAsia"/>
        </w:rPr>
        <w:t xml:space="preserve">風力の現行値121万kW</w:t>
      </w:r>
      <w:r>
        <w:t xml:space="preserve"> </w:t>
      </w:r>
      <w:r>
        <w:rPr>
          <w:rFonts w:hint="eastAsia"/>
        </w:rPr>
        <w:t xml:space="preserve">は、価格過程の推定期間の認定容量（月次補間、固定価格買取制度・市場連動型の対象外の設備を含まない）の期間平均であり、2025年12月末の約141万kW</w:t>
      </w:r>
      <w:r>
        <w:t xml:space="preserve"> </w:t>
      </w:r>
      <w:r>
        <w:rPr>
          <w:rFonts w:hint="eastAsia"/>
        </w:rPr>
        <w:t xml:space="preserve">より小さい。計上時期のずれを補正すると現行値は125万kW（補正の仕方により123〜125万kW）になり、風力+50万kW</w:t>
      </w:r>
      <w:r>
        <w:t xml:space="preserve"> </w:t>
      </w:r>
      <w:r>
        <w:rPr>
          <w:rFonts w:hint="eastAsia"/>
        </w:rPr>
        <w:t xml:space="preserve">の効果は年度平均+138円から+122円（+60〜+187円）になる。変わるのは</w:t>
      </w:r>
      <w:r>
        <w:t xml:space="preserve"> FY2023 </w:t>
      </w:r>
      <w:r>
        <w:rPr>
          <w:rFonts w:hint="eastAsia"/>
        </w:rPr>
        <w:t xml:space="preserve">の増分だけである。</w:t>
      </w:r>
    </w:p>
    <w:p>
      <w:pPr>
        <w:pStyle w:val="BodyText"/>
      </w:pPr>
      <w:r>
        <w:rPr>
          <w:rFonts w:hint="eastAsia"/>
          <w:b/>
          <w:bCs/>
        </w:rPr>
        <w:t xml:space="preserve">泊3号の分解</w:t>
      </w:r>
      <w:r>
        <w:t xml:space="preserve">　</w:t>
      </w:r>
      <w:r>
        <w:rPr>
          <w:rFonts w:hint="eastAsia"/>
        </w:rPr>
        <w:t xml:space="preserve">分断混合仕様の泊3号の+1,184円は、往復損失の水準効果+812円とスプレッドの変化+373円（ΔTB4h</w:t>
      </w:r>
      <w:r>
        <w:t xml:space="preserve"> </w:t>
      </w:r>
      <w:r>
        <w:rPr>
          <w:rFonts w:hint="eastAsia"/>
        </w:rPr>
        <w:t xml:space="preserve">+0.30円）からなり、夏はスプレッドが縮む（−131円）。仕様A</w:t>
      </w:r>
      <w:r>
        <w:t xml:space="preserve"> </w:t>
      </w:r>
      <w:r>
        <w:rPr>
          <w:rFonts w:hint="eastAsia"/>
        </w:rPr>
        <w:t xml:space="preserve">では+662円で、往復損失の水準効果+847円、スプレッドの変化−197円、休止の切替+13円である。</w:t>
      </w:r>
    </w:p>
    <w:p>
      <w:pPr>
        <w:pStyle w:val="BodyText"/>
      </w:pPr>
      <w:r>
        <w:rPr>
          <w:rFonts w:hint="eastAsia"/>
          <w:b/>
          <w:bCs/>
        </w:rPr>
        <w:t xml:space="preserve">均衡の判定</w:t>
      </w:r>
      <w:r>
        <w:t xml:space="preserve">　</w:t>
      </w:r>
      <w:r>
        <w:rPr>
          <w:rFonts w:hint="eastAsia"/>
        </w:rPr>
        <w:t xml:space="preserve">下限0.01円を残す三つの扱いで、それぞれ現状・</w:t>
      </w:r>
      <m:oMath>
        <m:r>
          <m:t>K</m:t>
        </m:r>
        <m:r>
          <m:rPr>
            <m:sty m:val="p"/>
          </m:rPr>
          <m:t>=</m:t>
        </m:r>
        <m:r>
          <m:t>0</m:t>
        </m:r>
      </m:oMath>
      <w:r>
        <w:t xml:space="preserve"> </w:t>
      </w:r>
      <w:r>
        <w:rPr>
          <w:rFonts w:hint="eastAsia"/>
        </w:rPr>
        <w:t xml:space="preserve">で実績の戦略</w:t>
      </w:r>
      <w:r>
        <w:t xml:space="preserve"> c </w:t>
      </w:r>
      <w:r>
        <w:rPr>
          <w:rFonts w:hint="eastAsia"/>
        </w:rPr>
        <w:t xml:space="preserve">に校正した</w:t>
      </w:r>
      <w:r>
        <w:t xml:space="preserve"> </w:t>
      </w:r>
      <m:oMath>
        <m:r>
          <m:t>π</m:t>
        </m:r>
        <m:r>
          <m:rPr>
            <m:sty m:val="p"/>
          </m:rPr>
          <m:t>(</m:t>
        </m:r>
        <m:r>
          <m:t>0</m:t>
        </m:r>
        <m:r>
          <m:rPr>
            <m:sty m:val="p"/>
          </m:rPr>
          <m:t>)</m:t>
        </m:r>
      </m:oMath>
      <w:r>
        <w:t xml:space="preserve"> </w:t>
      </w:r>
      <w:r>
        <w:rPr>
          <w:rFonts w:hint="eastAsia"/>
        </w:rPr>
        <w:t xml:space="preserve">は、泊3号6,909〜7,384円、泊2基相当5,310〜6,807円、全基4,625〜6,095円/kW-年である。</w:t>
      </w:r>
      <m:oMath>
        <m:r>
          <m:t>K</m:t>
        </m:r>
        <m:r>
          <m:rPr>
            <m:sty m:val="p"/>
          </m:rPr>
          <m:t>=</m:t>
        </m:r>
        <m:r>
          <m:t>0</m:t>
        </m:r>
      </m:oMath>
      <w:r>
        <w:t xml:space="preserve"> </w:t>
      </w:r>
      <w:r>
        <w:rPr>
          <w:rFonts w:hint="eastAsia"/>
        </w:rPr>
        <w:t xml:space="preserve">で参入が開く</w:t>
      </w:r>
      <w:r>
        <w:t xml:space="preserve"> </w:t>
      </w:r>
      <m:oMath>
        <m:sSup>
          <m:e>
            <m:r>
              <m:t>θ</m:t>
            </m:r>
          </m:e>
          <m:sup>
            <m:r>
              <m:rPr>
                <m:sty m:val="p"/>
              </m:rPr>
              <m:t>*</m:t>
            </m:r>
          </m:sup>
        </m:sSup>
      </m:oMath>
      <w:r>
        <w:t xml:space="preserve"> </w:t>
      </w:r>
      <w:r>
        <w:rPr>
          <w:rFonts w:hint="eastAsia"/>
        </w:rPr>
        <w:t xml:space="preserve">は、標準ケース（</w:t>
      </w:r>
      <m:oMath>
        <m:sSub>
          <m:e>
            <m:r>
              <m:t>c</m:t>
            </m:r>
          </m:e>
          <m:sub>
            <m:r>
              <m:rPr>
                <m:sty m:val="p"/>
              </m:rPr>
              <m:t>r</m:t>
            </m:r>
            <m:r>
              <m:rPr>
                <m:sty m:val="p"/>
              </m:rPr>
              <m:t>e</m:t>
            </m:r>
            <m:r>
              <m:rPr>
                <m:sty m:val="p"/>
              </m:rPr>
              <m:t>q</m:t>
            </m:r>
          </m:sub>
        </m:sSub>
        <m:r>
          <m:rPr>
            <m:sty m:val="p"/>
          </m:rPr>
          <m:t>=</m:t>
        </m:r>
        <m:r>
          <m:t>3.45</m:t>
        </m:r>
      </m:oMath>
      <w:r>
        <w:t xml:space="preserve"> </w:t>
      </w:r>
      <w:r>
        <w:rPr>
          <w:rFonts w:hint="eastAsia"/>
        </w:rPr>
        <w:t xml:space="preserve">万円）で泊3号2.60〜2.74、泊2基相当2.78〜3.36、全基3.03〜3.72、式(4.8)（WACC</w:t>
      </w:r>
      <w:r>
        <w:t xml:space="preserve"> </w:t>
      </w:r>
      <w:r>
        <w:rPr>
          <w:rFonts w:hint="eastAsia"/>
        </w:rPr>
        <w:t xml:space="preserve">6%）で泊3号2.75〜2.91、泊2基相当2.94〜3.56、全基3.21〜3.95である。分断混合仕様では泊2基相当・全基で完全予見粗利が+4,315円・+4,771円増えるが、戦略</w:t>
      </w:r>
      <w:r>
        <w:t xml:space="preserve"> c </w:t>
      </w:r>
      <w:r>
        <w:rPr>
          <w:rFonts w:hint="eastAsia"/>
        </w:rPr>
        <w:t xml:space="preserve">の実現率は0.80から0.52・0.41に下がり、実現可能収益は現状の6,675円から6,523円・4,957円に下がる。</w:t>
      </w:r>
    </w:p>
    <w:bookmarkEnd w:id="375"/>
    <w:bookmarkStart w:id="376" w:name="c.3.4-風力導入量のスイープ"/>
    <w:p>
      <w:pPr>
        <w:pStyle w:val="Heading3"/>
      </w:pPr>
      <w:r>
        <w:t xml:space="preserve">C.3.4　</w:t>
      </w:r>
      <w:r>
        <w:rPr>
          <w:rFonts w:hint="eastAsia"/>
        </w:rPr>
        <w:t xml:space="preserve">風力導入量のスイープ</w:t>
      </w:r>
    </w:p>
    <w:p>
      <w:pPr>
        <w:pStyle w:val="FirstParagraph"/>
      </w:pPr>
      <w:r>
        <w:rPr>
          <w:rFonts w:hint="eastAsia"/>
        </w:rPr>
        <w:t xml:space="preserve">表C.24</w:t>
      </w:r>
      <w:r>
        <w:t xml:space="preserve"> </w:t>
      </w:r>
      <w:r>
        <w:rPr>
          <w:rFonts w:hint="eastAsia"/>
        </w:rPr>
        <w:t xml:space="preserve">は、風力導入量を0.5〜3倍に動かしたときの完全予見粗利と戦略</w:t>
      </w:r>
      <w:r>
        <w:t xml:space="preserve"> c </w:t>
      </w:r>
      <w:r>
        <w:rPr>
          <w:rFonts w:hint="eastAsia"/>
        </w:rPr>
        <w:t xml:space="preserve">の粗利を、三つの仕様で比べたものである。分断混合仕様の値は本文の図7.1</w:t>
      </w:r>
      <w:r>
        <w:t xml:space="preserve"> </w:t>
      </w:r>
      <w:r>
        <w:rPr>
          <w:rFonts w:hint="eastAsia"/>
        </w:rPr>
        <w:t xml:space="preserve">にも示す。</w:t>
      </w:r>
    </w:p>
    <w:p>
      <w:pPr>
        <w:pStyle w:val="TableCaption"/>
      </w:pPr>
      <w:r>
        <w:rPr>
          <w:rFonts w:hint="eastAsia"/>
        </w:rPr>
        <w:t xml:space="preserve">表C.24</w:t>
      </w:r>
      <w:r>
        <w:t xml:space="preserve">　</w:t>
      </w:r>
      <w:r>
        <w:rPr>
          <w:rFonts w:hint="eastAsia"/>
        </w:rPr>
        <w:t xml:space="preserve">風力導入量のスイープ</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4　風力導入量のスイープ"/>
      </w:tblPr>
      <w:tblGrid>
        <w:gridCol w:w="766"/>
        <w:gridCol w:w="1021"/>
        <w:gridCol w:w="1021"/>
        <w:gridCol w:w="1021"/>
        <w:gridCol w:w="1021"/>
        <w:gridCol w:w="1021"/>
        <w:gridCol w:w="1021"/>
        <w:gridCol w:w="1021"/>
      </w:tblGrid>
      <w:tr>
        <w:trPr>
          <w:tblHeader w:val="on"/>
        </w:trPr>
        <w:tc>
          <w:tcPr>
            <w:tcBorders>
              <w:bottom w:val="single" w:sz="6" w:color="000000"/>
            </w:tcBorders>
          </w:tcPr>
          <w:p>
            <w:pPr>
              <w:pStyle w:val="Compact"/>
            </w:pPr>
            <w:r>
              <w:rPr>
                <w:rFonts w:hint="eastAsia"/>
                <w:sz w:val="18"/>
              </w:rPr>
              <w:t xml:space="preserve">風力倍率（万kW）</w:t>
            </w:r>
          </w:p>
        </w:tc>
        <w:tc>
          <w:tcPr>
            <w:tcBorders>
              <w:bottom w:val="single" w:sz="6" w:color="000000"/>
            </w:tcBorders>
          </w:tcPr>
          <w:p>
            <w:pPr>
              <w:pStyle w:val="Compact"/>
              <w:jc w:val="right"/>
            </w:pPr>
            <w:r>
              <w:rPr>
                <w:rFonts w:hint="eastAsia"/>
                <w:sz w:val="18"/>
              </w:rPr>
              <w:t xml:space="preserve">下限張り付き（時間/年）</w:t>
            </w:r>
          </w:p>
        </w:tc>
        <w:tc>
          <w:tcPr>
            <w:tcBorders>
              <w:bottom w:val="single" w:sz="6" w:color="000000"/>
            </w:tcBorders>
          </w:tcPr>
          <w:p>
            <w:pPr>
              <w:pStyle w:val="Compact"/>
              <w:jc w:val="right"/>
            </w:pPr>
            <w:r>
              <w:rPr>
                <w:rFonts w:hint="eastAsia"/>
                <w:sz w:val="18"/>
              </w:rPr>
              <w:t xml:space="preserve">仕様A′：完全予見粗利</w:t>
            </w:r>
          </w:p>
        </w:tc>
        <w:tc>
          <w:tcPr>
            <w:tcBorders>
              <w:bottom w:val="single" w:sz="6" w:color="000000"/>
            </w:tcBorders>
          </w:tcPr>
          <w:p>
            <w:pPr>
              <w:pStyle w:val="Compact"/>
              <w:jc w:val="right"/>
            </w:pPr>
            <w:r>
              <w:rPr>
                <w:rFonts w:hint="eastAsia"/>
                <w:sz w:val="18"/>
              </w:rPr>
              <w:t xml:space="preserve">仕様A′：戦略</w:t>
            </w:r>
            <w:r>
              <w:rPr>
                <w:sz w:val="18"/>
              </w:rPr>
              <w:t xml:space="preserve"> c</w:t>
            </w:r>
          </w:p>
        </w:tc>
        <w:tc>
          <w:tcPr>
            <w:tcBorders>
              <w:bottom w:val="single" w:sz="6" w:color="000000"/>
            </w:tcBorders>
          </w:tcPr>
          <w:p>
            <w:pPr>
              <w:pStyle w:val="Compact"/>
              <w:jc w:val="right"/>
            </w:pPr>
            <w:r>
              <w:rPr>
                <w:rFonts w:hint="eastAsia"/>
                <w:sz w:val="18"/>
              </w:rPr>
              <w:t xml:space="preserve">仕様A：完全予見粗利</w:t>
            </w:r>
          </w:p>
        </w:tc>
        <w:tc>
          <w:tcPr>
            <w:tcBorders>
              <w:bottom w:val="single" w:sz="6" w:color="000000"/>
            </w:tcBorders>
          </w:tcPr>
          <w:p>
            <w:pPr>
              <w:pStyle w:val="Compact"/>
              <w:jc w:val="right"/>
            </w:pPr>
            <w:r>
              <w:rPr>
                <w:rFonts w:hint="eastAsia"/>
                <w:sz w:val="18"/>
              </w:rPr>
              <w:t xml:space="preserve">仕様A：戦略</w:t>
            </w:r>
            <w:r>
              <w:rPr>
                <w:sz w:val="18"/>
              </w:rPr>
              <w:t xml:space="preserve"> c</w:t>
            </w:r>
          </w:p>
        </w:tc>
        <w:tc>
          <w:tcPr>
            <w:tcBorders>
              <w:bottom w:val="single" w:sz="6" w:color="000000"/>
            </w:tcBorders>
          </w:tcPr>
          <w:p>
            <w:pPr>
              <w:pStyle w:val="Compact"/>
              <w:jc w:val="right"/>
            </w:pPr>
            <w:r>
              <w:rPr>
                <w:rFonts w:hint="eastAsia"/>
                <w:sz w:val="18"/>
              </w:rPr>
              <w:t xml:space="preserve">分断混合：完全予見粗利</w:t>
            </w:r>
          </w:p>
        </w:tc>
        <w:tc>
          <w:tcPr>
            <w:tcBorders>
              <w:bottom w:val="single" w:sz="6" w:color="000000"/>
            </w:tcBorders>
          </w:tcPr>
          <w:p>
            <w:pPr>
              <w:pStyle w:val="Compact"/>
              <w:jc w:val="right"/>
            </w:pPr>
            <w:r>
              <w:rPr>
                <w:rFonts w:hint="eastAsia"/>
                <w:sz w:val="18"/>
              </w:rPr>
              <w:t xml:space="preserve">分断混合：戦略</w:t>
            </w:r>
            <w:r>
              <w:rPr>
                <w:sz w:val="18"/>
              </w:rPr>
              <w:t xml:space="preserve"> c</w:t>
            </w:r>
          </w:p>
        </w:tc>
      </w:tr>
      <w:tr>
        <w:tc>
          <w:tcPr/>
          <w:p>
            <w:pPr>
              <w:pStyle w:val="Compact"/>
            </w:pPr>
            <w:r>
              <w:rPr>
                <w:rFonts w:hint="eastAsia"/>
                <w:sz w:val="18"/>
              </w:rPr>
              <w:t xml:space="preserve">×0.5（61）</w:t>
            </w:r>
          </w:p>
        </w:tc>
        <w:tc>
          <w:tcPr/>
          <w:p>
            <w:pPr>
              <w:pStyle w:val="Compact"/>
              <w:jc w:val="right"/>
            </w:pPr>
            <w:r>
              <w:rPr>
                <w:sz w:val="18"/>
              </w:rPr>
              <w:t xml:space="preserve">56</w:t>
            </w:r>
          </w:p>
        </w:tc>
        <w:tc>
          <w:tcPr/>
          <w:p>
            <w:pPr>
              <w:pStyle w:val="Compact"/>
              <w:jc w:val="right"/>
            </w:pPr>
            <w:r>
              <w:rPr>
                <w:rFonts w:hint="eastAsia"/>
                <w:sz w:val="18"/>
              </w:rPr>
              <w:t xml:space="preserve">+16（+220）</w:t>
            </w:r>
          </w:p>
        </w:tc>
        <w:tc>
          <w:tcPr/>
          <w:p>
            <w:pPr>
              <w:pStyle w:val="Compact"/>
              <w:jc w:val="right"/>
            </w:pPr>
            <w:r>
              <w:rPr>
                <w:sz w:val="18"/>
              </w:rPr>
              <w:t xml:space="preserve">+83</w:t>
            </w:r>
          </w:p>
        </w:tc>
        <w:tc>
          <w:tcPr/>
          <w:p>
            <w:pPr>
              <w:pStyle w:val="Compact"/>
              <w:jc w:val="right"/>
            </w:pPr>
            <w:r>
              <w:rPr>
                <w:rFonts w:hint="eastAsia"/>
                <w:sz w:val="18"/>
              </w:rPr>
              <w:t xml:space="preserve">−215（−38）</w:t>
            </w:r>
          </w:p>
        </w:tc>
        <w:tc>
          <w:tcPr/>
          <w:p>
            <w:pPr>
              <w:pStyle w:val="Compact"/>
              <w:jc w:val="right"/>
            </w:pPr>
            <w:r>
              <w:rPr>
                <w:sz w:val="18"/>
              </w:rPr>
              <w:t xml:space="preserve">−164</w:t>
            </w:r>
          </w:p>
        </w:tc>
        <w:tc>
          <w:tcPr/>
          <w:p>
            <w:pPr>
              <w:pStyle w:val="Compact"/>
              <w:jc w:val="right"/>
            </w:pPr>
            <w:r>
              <w:rPr>
                <w:rFonts w:hint="eastAsia"/>
                <w:sz w:val="18"/>
              </w:rPr>
              <w:t xml:space="preserve">−65（+78）</w:t>
            </w:r>
          </w:p>
        </w:tc>
        <w:tc>
          <w:tcPr/>
          <w:p>
            <w:pPr>
              <w:pStyle w:val="Compact"/>
              <w:jc w:val="right"/>
            </w:pPr>
            <w:r>
              <w:rPr>
                <w:sz w:val="18"/>
              </w:rPr>
              <w:t xml:space="preserve">−175</w:t>
            </w:r>
          </w:p>
        </w:tc>
      </w:tr>
      <w:tr>
        <w:tc>
          <w:tcPr/>
          <w:p>
            <w:pPr>
              <w:pStyle w:val="Compact"/>
            </w:pPr>
            <w:r>
              <w:rPr>
                <w:rFonts w:hint="eastAsia"/>
                <w:sz w:val="18"/>
              </w:rPr>
              <w:t xml:space="preserve">×1（121、基準）</w:t>
            </w:r>
          </w:p>
        </w:tc>
        <w:tc>
          <w:tcPr/>
          <w:p>
            <w:pPr>
              <w:pStyle w:val="Compact"/>
              <w:jc w:val="right"/>
            </w:pPr>
            <w:r>
              <w:rPr>
                <w:sz w:val="18"/>
              </w:rPr>
              <w:t xml:space="preserve">125</w:t>
            </w:r>
          </w:p>
        </w:tc>
        <w:tc>
          <w:tcPr/>
          <w:p>
            <w:pPr>
              <w:pStyle w:val="Compact"/>
              <w:jc w:val="right"/>
            </w:pPr>
            <w:r>
              <w:rPr>
                <w:sz w:val="18"/>
              </w:rPr>
              <w:t xml:space="preserve">9,036</w:t>
            </w:r>
          </w:p>
        </w:tc>
        <w:tc>
          <w:tcPr/>
          <w:p>
            <w:pPr>
              <w:pStyle w:val="Compact"/>
              <w:jc w:val="right"/>
            </w:pPr>
            <w:r>
              <w:rPr>
                <w:sz w:val="18"/>
              </w:rPr>
              <w:t xml:space="preserve">8,415</w:t>
            </w:r>
          </w:p>
        </w:tc>
        <w:tc>
          <w:tcPr/>
          <w:p>
            <w:pPr>
              <w:pStyle w:val="Compact"/>
              <w:jc w:val="right"/>
            </w:pPr>
            <w:r>
              <w:rPr>
                <w:sz w:val="18"/>
              </w:rPr>
              <w:t xml:space="preserve">8,266</w:t>
            </w:r>
          </w:p>
        </w:tc>
        <w:tc>
          <w:tcPr/>
          <w:p>
            <w:pPr>
              <w:pStyle w:val="Compact"/>
              <w:jc w:val="right"/>
            </w:pPr>
            <w:r>
              <w:rPr>
                <w:sz w:val="18"/>
              </w:rPr>
              <w:t xml:space="preserve">7,638</w:t>
            </w:r>
          </w:p>
        </w:tc>
        <w:tc>
          <w:tcPr/>
          <w:p>
            <w:pPr>
              <w:pStyle w:val="Compact"/>
              <w:jc w:val="right"/>
            </w:pPr>
            <w:r>
              <w:rPr>
                <w:sz w:val="18"/>
              </w:rPr>
              <w:t xml:space="preserve">8,593</w:t>
            </w:r>
          </w:p>
        </w:tc>
        <w:tc>
          <w:tcPr/>
          <w:p>
            <w:pPr>
              <w:pStyle w:val="Compact"/>
              <w:jc w:val="right"/>
            </w:pPr>
            <w:r>
              <w:rPr>
                <w:sz w:val="18"/>
              </w:rPr>
              <w:t xml:space="preserve">6,832</w:t>
            </w:r>
          </w:p>
        </w:tc>
      </w:tr>
      <w:tr>
        <w:tc>
          <w:tcPr/>
          <w:p>
            <w:pPr>
              <w:pStyle w:val="Compact"/>
            </w:pPr>
            <w:r>
              <w:rPr>
                <w:rFonts w:hint="eastAsia"/>
                <w:sz w:val="18"/>
              </w:rPr>
              <w:t xml:space="preserve">×1.25（151）</w:t>
            </w:r>
          </w:p>
        </w:tc>
        <w:tc>
          <w:tcPr/>
          <w:p>
            <w:pPr>
              <w:pStyle w:val="Compact"/>
              <w:jc w:val="right"/>
            </w:pPr>
            <w:r>
              <w:rPr>
                <w:sz w:val="18"/>
              </w:rPr>
              <w:t xml:space="preserve">177</w:t>
            </w:r>
          </w:p>
        </w:tc>
        <w:tc>
          <w:tcPr/>
          <w:p>
            <w:pPr>
              <w:pStyle w:val="Compact"/>
              <w:jc w:val="right"/>
            </w:pPr>
            <w:r>
              <w:rPr>
                <w:rFonts w:hint="eastAsia"/>
                <w:sz w:val="18"/>
              </w:rPr>
              <w:t xml:space="preserve">+35（−63）</w:t>
            </w:r>
          </w:p>
        </w:tc>
        <w:tc>
          <w:tcPr/>
          <w:p>
            <w:pPr>
              <w:pStyle w:val="Compact"/>
              <w:jc w:val="right"/>
            </w:pPr>
            <w:r>
              <w:rPr>
                <w:sz w:val="18"/>
              </w:rPr>
              <w:t xml:space="preserve">−27</w:t>
            </w:r>
          </w:p>
        </w:tc>
        <w:tc>
          <w:tcPr/>
          <w:p>
            <w:pPr>
              <w:pStyle w:val="Compact"/>
              <w:jc w:val="right"/>
            </w:pPr>
            <w:r>
              <w:rPr>
                <w:rFonts w:hint="eastAsia"/>
                <w:sz w:val="18"/>
              </w:rPr>
              <w:t xml:space="preserve">+124（+34）</w:t>
            </w:r>
          </w:p>
        </w:tc>
        <w:tc>
          <w:tcPr/>
          <w:p>
            <w:pPr>
              <w:pStyle w:val="Compact"/>
              <w:jc w:val="right"/>
            </w:pPr>
            <w:r>
              <w:rPr>
                <w:sz w:val="18"/>
              </w:rPr>
              <w:t xml:space="preserve">+56</w:t>
            </w:r>
          </w:p>
        </w:tc>
        <w:tc>
          <w:tcPr/>
          <w:p>
            <w:pPr>
              <w:pStyle w:val="Compact"/>
              <w:jc w:val="right"/>
            </w:pPr>
            <w:r>
              <w:rPr>
                <w:rFonts w:hint="eastAsia"/>
                <w:sz w:val="18"/>
              </w:rPr>
              <w:t xml:space="preserve">+70（−5）</w:t>
            </w:r>
          </w:p>
        </w:tc>
        <w:tc>
          <w:tcPr/>
          <w:p>
            <w:pPr>
              <w:pStyle w:val="Compact"/>
              <w:jc w:val="right"/>
            </w:pPr>
            <w:r>
              <w:rPr>
                <w:sz w:val="18"/>
              </w:rPr>
              <w:t xml:space="preserve">+1</w:t>
            </w:r>
          </w:p>
        </w:tc>
      </w:tr>
      <w:tr>
        <w:tc>
          <w:tcPr/>
          <w:p>
            <w:pPr>
              <w:pStyle w:val="Compact"/>
            </w:pPr>
            <w:r>
              <w:rPr>
                <w:rFonts w:hint="eastAsia"/>
                <w:sz w:val="18"/>
              </w:rPr>
              <w:t xml:space="preserve">×1.5（182）</w:t>
            </w:r>
          </w:p>
        </w:tc>
        <w:tc>
          <w:tcPr/>
          <w:p>
            <w:pPr>
              <w:pStyle w:val="Compact"/>
              <w:jc w:val="right"/>
            </w:pPr>
            <w:r>
              <w:rPr>
                <w:sz w:val="18"/>
              </w:rPr>
              <w:t xml:space="preserve">236</w:t>
            </w:r>
          </w:p>
        </w:tc>
        <w:tc>
          <w:tcPr/>
          <w:p>
            <w:pPr>
              <w:pStyle w:val="Compact"/>
              <w:jc w:val="right"/>
            </w:pPr>
            <w:r>
              <w:rPr>
                <w:rFonts w:hint="eastAsia"/>
                <w:sz w:val="18"/>
              </w:rPr>
              <w:t xml:space="preserve">+97（−99）</w:t>
            </w:r>
          </w:p>
        </w:tc>
        <w:tc>
          <w:tcPr/>
          <w:p>
            <w:pPr>
              <w:pStyle w:val="Compact"/>
              <w:jc w:val="right"/>
            </w:pPr>
            <w:r>
              <w:rPr>
                <w:sz w:val="18"/>
              </w:rPr>
              <w:t xml:space="preserve">−43</w:t>
            </w:r>
          </w:p>
        </w:tc>
        <w:tc>
          <w:tcPr/>
          <w:p>
            <w:pPr>
              <w:pStyle w:val="Compact"/>
              <w:jc w:val="right"/>
            </w:pPr>
            <w:r>
              <w:rPr>
                <w:rFonts w:hint="eastAsia"/>
                <w:sz w:val="18"/>
              </w:rPr>
              <w:t xml:space="preserve">+258（+75）</w:t>
            </w:r>
          </w:p>
        </w:tc>
        <w:tc>
          <w:tcPr/>
          <w:p>
            <w:pPr>
              <w:pStyle w:val="Compact"/>
              <w:jc w:val="right"/>
            </w:pPr>
            <w:r>
              <w:rPr>
                <w:sz w:val="18"/>
              </w:rPr>
              <w:t xml:space="preserve">+116</w:t>
            </w:r>
          </w:p>
        </w:tc>
        <w:tc>
          <w:tcPr/>
          <w:p>
            <w:pPr>
              <w:pStyle w:val="Compact"/>
              <w:jc w:val="right"/>
            </w:pPr>
            <w:r>
              <w:rPr>
                <w:rFonts w:hint="eastAsia"/>
                <w:sz w:val="18"/>
              </w:rPr>
              <w:t xml:space="preserve">+200（+41）</w:t>
            </w:r>
          </w:p>
        </w:tc>
        <w:tc>
          <w:tcPr/>
          <w:p>
            <w:pPr>
              <w:pStyle w:val="Compact"/>
              <w:jc w:val="right"/>
            </w:pPr>
            <w:r>
              <w:rPr>
                <w:sz w:val="18"/>
              </w:rPr>
              <w:t xml:space="preserve">+22</w:t>
            </w:r>
          </w:p>
        </w:tc>
      </w:tr>
      <w:tr>
        <w:tc>
          <w:tcPr/>
          <w:p>
            <w:pPr>
              <w:pStyle w:val="Compact"/>
            </w:pPr>
            <w:r>
              <w:rPr>
                <w:rFonts w:hint="eastAsia"/>
                <w:sz w:val="18"/>
              </w:rPr>
              <w:t xml:space="preserve">×2（242）</w:t>
            </w:r>
          </w:p>
        </w:tc>
        <w:tc>
          <w:tcPr/>
          <w:p>
            <w:pPr>
              <w:pStyle w:val="Compact"/>
              <w:jc w:val="right"/>
            </w:pPr>
            <w:r>
              <w:rPr>
                <w:sz w:val="18"/>
              </w:rPr>
              <w:t xml:space="preserve">369</w:t>
            </w:r>
          </w:p>
        </w:tc>
        <w:tc>
          <w:tcPr/>
          <w:p>
            <w:pPr>
              <w:pStyle w:val="Compact"/>
              <w:jc w:val="right"/>
            </w:pPr>
            <w:r>
              <w:rPr>
                <w:rFonts w:hint="eastAsia"/>
                <w:sz w:val="18"/>
              </w:rPr>
              <w:t xml:space="preserve">+334（−50）</w:t>
            </w:r>
          </w:p>
        </w:tc>
        <w:tc>
          <w:tcPr/>
          <w:p>
            <w:pPr>
              <w:pStyle w:val="Compact"/>
              <w:jc w:val="right"/>
            </w:pPr>
            <w:r>
              <w:rPr>
                <w:sz w:val="18"/>
              </w:rPr>
              <w:t xml:space="preserve">−53</w:t>
            </w:r>
          </w:p>
        </w:tc>
        <w:tc>
          <w:tcPr/>
          <w:p>
            <w:pPr>
              <w:pStyle w:val="Compact"/>
              <w:jc w:val="right"/>
            </w:pPr>
            <w:r>
              <w:rPr>
                <w:rFonts w:hint="eastAsia"/>
                <w:sz w:val="18"/>
              </w:rPr>
              <w:t xml:space="preserve">+605（+236）</w:t>
            </w:r>
          </w:p>
        </w:tc>
        <w:tc>
          <w:tcPr/>
          <w:p>
            <w:pPr>
              <w:pStyle w:val="Compact"/>
              <w:jc w:val="right"/>
            </w:pPr>
            <w:r>
              <w:rPr>
                <w:sz w:val="18"/>
              </w:rPr>
              <w:t xml:space="preserve">+212</w:t>
            </w:r>
          </w:p>
        </w:tc>
        <w:tc>
          <w:tcPr/>
          <w:p>
            <w:pPr>
              <w:pStyle w:val="Compact"/>
              <w:jc w:val="right"/>
            </w:pPr>
            <w:r>
              <w:rPr>
                <w:rFonts w:hint="eastAsia"/>
                <w:sz w:val="18"/>
              </w:rPr>
              <w:t xml:space="preserve">+605（+277）</w:t>
            </w:r>
          </w:p>
        </w:tc>
        <w:tc>
          <w:tcPr/>
          <w:p>
            <w:pPr>
              <w:pStyle w:val="Compact"/>
              <w:jc w:val="right"/>
            </w:pPr>
            <w:r>
              <w:rPr>
                <w:sz w:val="18"/>
              </w:rPr>
              <w:t xml:space="preserve">+95</w:t>
            </w:r>
          </w:p>
        </w:tc>
      </w:tr>
      <w:tr>
        <w:tc>
          <w:tcPr/>
          <w:p>
            <w:pPr>
              <w:pStyle w:val="Compact"/>
            </w:pPr>
            <w:r>
              <w:rPr>
                <w:rFonts w:hint="eastAsia"/>
                <w:sz w:val="18"/>
              </w:rPr>
              <w:t xml:space="preserve">×3（363）</w:t>
            </w:r>
          </w:p>
        </w:tc>
        <w:tc>
          <w:tcPr/>
          <w:p>
            <w:pPr>
              <w:pStyle w:val="Compact"/>
              <w:jc w:val="right"/>
            </w:pPr>
            <w:r>
              <w:rPr>
                <w:sz w:val="18"/>
              </w:rPr>
              <w:t xml:space="preserve">872</w:t>
            </w:r>
          </w:p>
        </w:tc>
        <w:tc>
          <w:tcPr/>
          <w:p>
            <w:pPr>
              <w:pStyle w:val="Compact"/>
              <w:jc w:val="right"/>
            </w:pPr>
            <w:r>
              <w:rPr>
                <w:rFonts w:hint="eastAsia"/>
                <w:sz w:val="18"/>
              </w:rPr>
              <w:t xml:space="preserve">+1,001（+258）</w:t>
            </w:r>
          </w:p>
        </w:tc>
        <w:tc>
          <w:tcPr/>
          <w:p>
            <w:pPr>
              <w:pStyle w:val="Compact"/>
              <w:jc w:val="right"/>
            </w:pPr>
            <w:r>
              <w:rPr>
                <w:sz w:val="18"/>
              </w:rPr>
              <w:t xml:space="preserve">−241</w:t>
            </w:r>
          </w:p>
        </w:tc>
        <w:tc>
          <w:tcPr/>
          <w:p>
            <w:pPr>
              <w:pStyle w:val="Compact"/>
              <w:jc w:val="right"/>
            </w:pPr>
            <w:r>
              <w:rPr>
                <w:rFonts w:hint="eastAsia"/>
                <w:sz w:val="18"/>
              </w:rPr>
              <w:t xml:space="preserve">+1,481（+740）</w:t>
            </w:r>
          </w:p>
        </w:tc>
        <w:tc>
          <w:tcPr/>
          <w:p>
            <w:pPr>
              <w:pStyle w:val="Compact"/>
              <w:jc w:val="right"/>
            </w:pPr>
            <w:r>
              <w:rPr>
                <w:sz w:val="18"/>
              </w:rPr>
              <w:t xml:space="preserve">+168</w:t>
            </w:r>
          </w:p>
        </w:tc>
        <w:tc>
          <w:tcPr/>
          <w:p>
            <w:pPr>
              <w:pStyle w:val="Compact"/>
              <w:jc w:val="right"/>
            </w:pPr>
            <w:r>
              <w:rPr>
                <w:rFonts w:hint="eastAsia"/>
                <w:sz w:val="18"/>
              </w:rPr>
              <w:t xml:space="preserve">+1,961（+1,261）</w:t>
            </w:r>
          </w:p>
        </w:tc>
        <w:tc>
          <w:tcPr/>
          <w:p>
            <w:pPr>
              <w:pStyle w:val="Compact"/>
              <w:jc w:val="right"/>
            </w:pPr>
            <w:r>
              <w:rPr>
                <w:sz w:val="18"/>
              </w:rPr>
              <w:t xml:space="preserve">+129</w:t>
            </w:r>
          </w:p>
        </w:tc>
      </w:tr>
      <w:tr>
        <w:tc>
          <w:tcPr/>
          <w:p>
            <w:pPr>
              <w:pStyle w:val="Compact"/>
            </w:pPr>
            <w:r>
              <w:rPr>
                <w:rFonts w:hint="eastAsia"/>
                <w:sz w:val="18"/>
              </w:rPr>
              <w:t xml:space="preserve">泊3号＋×3（対</w:t>
            </w:r>
            <w:r>
              <w:rPr>
                <w:sz w:val="18"/>
              </w:rPr>
              <w:t xml:space="preserve"> </w:t>
            </w:r>
            <w:r>
              <w:rPr>
                <w:rFonts w:hint="eastAsia"/>
                <w:sz w:val="18"/>
              </w:rPr>
              <w:t xml:space="preserve">泊3号＋×1）</w:t>
            </w:r>
          </w:p>
        </w:tc>
        <w:tc>
          <w:tcPr/>
          <w:p>
            <w:pPr>
              <w:pStyle w:val="Compact"/>
              <w:jc w:val="right"/>
            </w:pPr>
            <w:r>
              <w:rPr>
                <w:sz w:val="18"/>
              </w:rPr>
              <w:t xml:space="preserve">2,615</w:t>
            </w:r>
          </w:p>
        </w:tc>
        <w:tc>
          <w:tcPr/>
          <w:p>
            <w:pPr>
              <w:pStyle w:val="Compact"/>
              <w:jc w:val="right"/>
            </w:pPr>
            <w:r>
              <w:rPr>
                <w:rFonts w:hint="eastAsia"/>
                <w:sz w:val="18"/>
              </w:rPr>
              <w:t xml:space="preserve">−111（−677）</w:t>
            </w:r>
          </w:p>
        </w:tc>
        <w:tc>
          <w:tcPr/>
          <w:p>
            <w:pPr>
              <w:pStyle w:val="Compact"/>
              <w:jc w:val="right"/>
            </w:pPr>
            <w:r>
              <w:rPr>
                <w:sz w:val="18"/>
              </w:rPr>
              <w:t xml:space="preserve">−1,491</w:t>
            </w:r>
          </w:p>
        </w:tc>
        <w:tc>
          <w:tcPr/>
          <w:p>
            <w:pPr>
              <w:pStyle w:val="Compact"/>
              <w:jc w:val="right"/>
            </w:pPr>
            <w:r>
              <w:rPr>
                <w:rFonts w:hint="eastAsia"/>
                <w:sz w:val="18"/>
              </w:rPr>
              <w:t xml:space="preserve">+297（−267）</w:t>
            </w:r>
          </w:p>
        </w:tc>
        <w:tc>
          <w:tcPr/>
          <w:p>
            <w:pPr>
              <w:pStyle w:val="Compact"/>
              <w:jc w:val="right"/>
            </w:pPr>
            <w:r>
              <w:rPr>
                <w:sz w:val="18"/>
              </w:rPr>
              <w:t xml:space="preserve">−1,145</w:t>
            </w:r>
          </w:p>
        </w:tc>
        <w:tc>
          <w:tcPr/>
          <w:p>
            <w:pPr>
              <w:pStyle w:val="Compact"/>
              <w:jc w:val="right"/>
            </w:pPr>
            <w:r>
              <w:rPr>
                <w:rFonts w:hint="eastAsia"/>
                <w:sz w:val="18"/>
              </w:rPr>
              <w:t xml:space="preserve">+2,838（+2,261）</w:t>
            </w:r>
          </w:p>
        </w:tc>
        <w:tc>
          <w:tcPr/>
          <w:p>
            <w:pPr>
              <w:pStyle w:val="Compact"/>
              <w:jc w:val="right"/>
            </w:pPr>
            <w:r>
              <w:rPr>
                <w:sz w:val="18"/>
              </w:rPr>
              <w:t xml:space="preserve">−1,606</w:t>
            </w:r>
          </w:p>
        </w:tc>
      </w:tr>
    </w:tbl>
    <w:p>
      <w:pPr>
        <w:pStyle w:val="TableNote"/>
      </w:pPr>
      <w:r>
        <w:rPr>
          <w:rFonts w:hint="eastAsia"/>
        </w:rPr>
        <w:t xml:space="preserve">注）</w:t>
      </w:r>
      <m:oMath>
        <m:r>
          <m:t>K</m:t>
        </m:r>
        <m:r>
          <m:rPr>
            <m:sty m:val="p"/>
          </m:rPr>
          <m:t>=</m:t>
        </m:r>
        <m:r>
          <m:t>0</m:t>
        </m:r>
      </m:oMath>
      <w:r>
        <w:t xml:space="preserve">、FY2023〜25 </w:t>
      </w:r>
      <w:r>
        <w:rPr>
          <w:rFonts w:hint="eastAsia"/>
        </w:rPr>
        <w:t xml:space="preserve">パス、円/kW-年。下限張り付きは仕様A′</w:t>
      </w:r>
      <w:r>
        <w:t xml:space="preserve"> </w:t>
      </w:r>
      <w:r>
        <w:rPr>
          <w:rFonts w:hint="eastAsia"/>
        </w:rPr>
        <w:t xml:space="preserve">の値。基準の行は水準、他の行は基準からの変化で、括弧内はうちスプレッドの変化（3.4·ΔTB4h）。戦略</w:t>
      </w:r>
      <w:r>
        <w:t xml:space="preserve"> c </w:t>
      </w:r>
      <w:r>
        <w:rPr>
          <w:rFonts w:hint="eastAsia"/>
        </w:rPr>
        <w:t xml:space="preserve">はモデル価格の上の戦略</w:t>
      </w:r>
      <w:r>
        <w:t xml:space="preserve"> c </w:t>
      </w:r>
      <w:r>
        <w:rPr>
          <w:rFonts w:hint="eastAsia"/>
        </w:rPr>
        <w:t xml:space="preserve">の粗利</w:t>
      </w:r>
      <w:r>
        <w:t xml:space="preserve"> </w:t>
      </w:r>
      <m:oMath>
        <m:sSub>
          <m:e>
            <m:r>
              <m:t>c</m:t>
            </m:r>
          </m:e>
          <m:sub>
            <m:r>
              <m:rPr>
                <m:sty m:val="p"/>
              </m:rPr>
              <m:t>m</m:t>
            </m:r>
            <m:r>
              <m:rPr>
                <m:sty m:val="p"/>
              </m:rPr>
              <m:t>o</m:t>
            </m:r>
            <m:r>
              <m:rPr>
                <m:sty m:val="p"/>
              </m:rPr>
              <m:t>d</m:t>
            </m:r>
            <m:r>
              <m:rPr>
                <m:sty m:val="p"/>
              </m:rPr>
              <m:t>e</m:t>
            </m:r>
            <m:r>
              <m:rPr>
                <m:sty m:val="p"/>
              </m:rPr>
              <m:t>l</m:t>
            </m:r>
          </m:sub>
        </m:sSub>
        <m:r>
          <m:rPr>
            <m:sty m:val="p"/>
          </m:rPr>
          <m:t>(</m:t>
        </m:r>
        <m:r>
          <m:t>0</m:t>
        </m:r>
        <m:r>
          <m:rPr>
            <m:sty m:val="p"/>
          </m:rPr>
          <m:t>)</m:t>
        </m:r>
      </m:oMath>
      <w:r>
        <w:t xml:space="preserve"> </w:t>
      </w:r>
      <w:r>
        <w:rPr>
          <w:rFonts w:hint="eastAsia"/>
        </w:rPr>
        <w:t xml:space="preserve">の変化。仕様A′</w:t>
      </w:r>
      <w:r>
        <w:t xml:space="preserve"> </w:t>
      </w:r>
      <w:r>
        <w:rPr>
          <w:rFonts w:hint="eastAsia"/>
        </w:rPr>
        <w:t xml:space="preserve">は水準係数付き（</w:t>
      </w:r>
      <m:oMath>
        <m:r>
          <m:t>θ</m:t>
        </m:r>
        <m:r>
          <m:rPr>
            <m:sty m:val="p"/>
          </m:rPr>
          <m:t>=</m:t>
        </m:r>
        <m:r>
          <m:t>1</m:t>
        </m:r>
      </m:oMath>
      <w:r>
        <w:rPr>
          <w:rFonts w:hint="eastAsia"/>
        </w:rPr>
        <w:t xml:space="preserve">）、仕様A</w:t>
      </w:r>
      <w:r>
        <w:t xml:space="preserve"> </w:t>
      </w:r>
      <w:r>
        <w:rPr>
          <w:rFonts w:hint="eastAsia"/>
        </w:rPr>
        <w:t xml:space="preserve">と分断混合仕様は水準固定。仕様A′</w:t>
      </w:r>
      <w:r>
        <w:t xml:space="preserve"> の</w:t>
      </w:r>
      <w:r>
        <w:t xml:space="preserve"> </w:t>
      </w:r>
      <m:oMath>
        <m:r>
          <m:t>μ</m:t>
        </m:r>
      </m:oMath>
      <w:r>
        <w:t xml:space="preserve"> </w:t>
      </w:r>
      <w:r>
        <w:rPr>
          <w:rFonts w:hint="eastAsia"/>
        </w:rPr>
        <w:t xml:space="preserve">は最上位の風力三分位より先へ外挿しないので、風力3倍の効果はその仮定に依存する。</w:t>
      </w:r>
    </w:p>
    <w:p>
      <w:pPr>
        <w:pStyle w:val="TableNote"/>
      </w:pPr>
      <w:r>
        <w:rPr>
          <w:rFonts w:hint="eastAsia"/>
        </w:rPr>
        <w:t xml:space="preserve">出所）表C.21</w:t>
      </w:r>
      <w:r>
        <w:t xml:space="preserve"> </w:t>
      </w:r>
      <w:r>
        <w:rPr>
          <w:rFonts w:hint="eastAsia"/>
        </w:rPr>
        <w:t xml:space="preserve">と同じ。</w:t>
      </w:r>
    </w:p>
    <w:p>
      <w:pPr>
        <w:pStyle w:val="BodyText"/>
      </w:pPr>
      <w:r>
        <w:rPr>
          <w:rFonts w:hint="eastAsia"/>
        </w:rPr>
        <w:t xml:space="preserve">これは導入容量を増やして純需要の水準を下げる反実仮想であり、平均を保って風力の年度内の偏差だけを実績価格の上で3倍にする第6章の感応度（6.4.2項）とは別の計算である。仕様A</w:t>
      </w:r>
      <w:r>
        <w:t xml:space="preserve"> </w:t>
      </w:r>
      <w:r>
        <w:rPr>
          <w:rFonts w:hint="eastAsia"/>
        </w:rPr>
        <w:t xml:space="preserve">の1.25倍では、上位4時間の平均価格が0.38円、下位4時間が0.41円/kWh</w:t>
      </w:r>
      <w:r>
        <w:t xml:space="preserve"> </w:t>
      </w:r>
      <w:r>
        <w:rPr>
          <w:rFonts w:hint="eastAsia"/>
        </w:rPr>
        <w:t xml:space="preserve">下がり、増分+124円のうち+90円が往復損失の水準効果である。下端を線形外挿した仕様A</w:t>
      </w:r>
      <w:r>
        <w:t xml:space="preserve"> </w:t>
      </w:r>
      <w:r>
        <w:rPr>
          <w:rFonts w:hint="eastAsia"/>
        </w:rPr>
        <w:t xml:space="preserve">では、風力3倍の増分+975円のうちスプレッドの変化は+312円（32%）であり、スプレッドの開きの大きさは下端の置き方にも依存する。泊と組み合わせると、完全予見粗利は仕様A′</w:t>
      </w:r>
      <w:r>
        <w:t xml:space="preserve"> </w:t>
      </w:r>
      <w:r>
        <w:rPr>
          <w:rFonts w:hint="eastAsia"/>
        </w:rPr>
        <w:t xml:space="preserve">では風力2倍（9,526円）を頂点に3倍で9,253円に、仕様A</w:t>
      </w:r>
      <w:r>
        <w:t xml:space="preserve"> </w:t>
      </w:r>
      <w:r>
        <w:rPr>
          <w:rFonts w:hint="eastAsia"/>
        </w:rPr>
        <w:t xml:space="preserve">では2.5倍（9,442円）を頂点に3倍で9,226円に下がる。仕様A′</w:t>
      </w:r>
      <w:r>
        <w:t xml:space="preserve"> </w:t>
      </w:r>
      <w:r>
        <w:rPr>
          <w:rFonts w:hint="eastAsia"/>
        </w:rPr>
        <w:t xml:space="preserve">の泊＋風力3倍の下限張り付き時間は年2,615時間である。</w:t>
      </w:r>
    </w:p>
    <w:p>
      <w:pPr>
        <w:pStyle w:val="BodyText"/>
      </w:pPr>
      <w:r>
        <w:rPr>
          <w:rFonts w:hint="eastAsia"/>
        </w:rPr>
        <w:t xml:space="preserve">風力導入量の計上時期を補正しても、完全予見粗利の変化は各倍率で1%未満である（分断混合仕様の風力3倍で泊なし10,554円→10,479円、泊あり12,615円→12,501円）。同じ分断混合仕様の下限張り付き時間は風力3倍で807時間→762時間（泊ありで2,247時間→2,212時間）と数%下がる。風力3倍の増分に占めるスプレッドの変化の割合は、補正後で分断混合仕様64%、仕様A</w:t>
      </w:r>
      <w:r>
        <w:t xml:space="preserve"> </w:t>
      </w:r>
      <w:r>
        <w:rPr>
          <w:rFonts w:hint="eastAsia"/>
        </w:rPr>
        <w:t xml:space="preserve">49%、線形外挿31%（補正前64・50・32%）とほぼ変わらない。この補正は分断混合仕様と仕様A</w:t>
      </w:r>
      <w:r>
        <w:t xml:space="preserve"> </w:t>
      </w:r>
      <w:r>
        <w:rPr>
          <w:rFonts w:hint="eastAsia"/>
        </w:rPr>
        <w:t xml:space="preserve">で計算したもので、仕様A′</w:t>
      </w:r>
      <w:r>
        <w:t xml:space="preserve"> </w:t>
      </w:r>
      <w:r>
        <w:rPr>
          <w:rFonts w:hint="eastAsia"/>
        </w:rPr>
        <w:t xml:space="preserve">には当てていない。</w:t>
      </w:r>
    </w:p>
    <w:p>
      <w:pPr>
        <w:pStyle w:val="BodyText"/>
      </w:pPr>
      <w:r>
        <w:rPr>
          <w:rFonts w:hint="eastAsia"/>
        </w:rPr>
        <w:t xml:space="preserve">実績の回帰では、冬の風力は点推定で上位4時間を下位4時間より円建てで大きく下げる（風力1GWh/日あたり上位4時間−0.59円・下位4時間−0.23円/kWh）。しかしその差（TB4h</w:t>
      </w:r>
      <w:r>
        <w:t xml:space="preserve"> </w:t>
      </w:r>
      <w:r>
        <w:rPr>
          <w:rFonts w:hint="eastAsia"/>
        </w:rPr>
        <w:t xml:space="preserve">への係数）は、同じ月の中では−0.18に半減し、FY2023〜25</w:t>
      </w:r>
      <w:r>
        <w:t xml:space="preserve"> </w:t>
      </w:r>
      <w:r>
        <w:rPr>
          <w:rFonts w:hint="eastAsia"/>
        </w:rPr>
        <w:t xml:space="preserve">では−0.11（p=0.22）で有意でない（5.3.2項）。風力が</w:t>
      </w:r>
      <w:r>
        <w:t xml:space="preserve"> TB4h </w:t>
      </w:r>
      <w:r>
        <w:rPr>
          <w:rFonts w:hint="eastAsia"/>
        </w:rPr>
        <w:t xml:space="preserve">を広げる頑健な証拠はなく、年度内の日次発電量1標準偏差あたりの95%区間の上限は、季節平均の</w:t>
      </w:r>
      <w:r>
        <w:t xml:space="preserve"> TB4h の3〜11%にとどまる。FY2023〜25 </w:t>
      </w:r>
      <w:r>
        <w:rPr>
          <w:rFonts w:hint="eastAsia"/>
        </w:rPr>
        <w:t xml:space="preserve">の春（3〜6月）には境界的な正の係数がある（+0.084円/kWh</w:t>
      </w:r>
      <w:r>
        <w:t xml:space="preserve"> per </w:t>
      </w:r>
      <w:r>
        <w:rPr>
          <w:rFonts w:hint="eastAsia"/>
        </w:rPr>
        <w:t xml:space="preserve">GWh/日、補正</w:t>
      </w:r>
      <w:r>
        <w:t xml:space="preserve"> </w:t>
      </w:r>
      <w:r>
        <w:rPr>
          <w:rFonts w:hint="eastAsia"/>
        </w:rPr>
        <w:t xml:space="preserve">p=0.16）。これに対し仕様A</w:t>
      </w:r>
      <w:r>
        <w:t xml:space="preserve"> </w:t>
      </w:r>
      <w:r>
        <w:rPr>
          <w:rFonts w:hint="eastAsia"/>
        </w:rPr>
        <w:t xml:space="preserve">は、同じ標本で不需要期に風力が</w:t>
      </w:r>
      <w:r>
        <w:t xml:space="preserve"> TB4h </w:t>
      </w:r>
      <w:r>
        <w:rPr>
          <w:rFonts w:hint="eastAsia"/>
        </w:rPr>
        <w:t xml:space="preserve">と完全予見粗利を広げる応答を示し、実績との差は有意である（表C.22）。したがって、仕様A</w:t>
      </w:r>
      <w:r>
        <w:t xml:space="preserve"> </w:t>
      </w:r>
      <w:r>
        <w:rPr>
          <w:rFonts w:hint="eastAsia"/>
        </w:rPr>
        <w:t xml:space="preserve">と分断混合仕様での風力増加による価値の増分は、参入に有利な側に偏った値である。仕様A′</w:t>
      </w:r>
      <w:r>
        <w:t xml:space="preserve"> </w:t>
      </w:r>
      <w:r>
        <w:rPr>
          <w:rFonts w:hint="eastAsia"/>
        </w:rPr>
        <w:t xml:space="preserve">では、風力3倍の増分は仕様A</w:t>
      </w:r>
      <w:r>
        <w:t xml:space="preserve"> </w:t>
      </w:r>
      <w:r>
        <w:rPr>
          <w:rFonts w:hint="eastAsia"/>
        </w:rPr>
        <w:t xml:space="preserve">の約3分の2（+1,001円対+1,481円）に、スプレッドの変化は約3分の1（+258円対+740円）に縮み、2倍ではスプレッドの変化は−50円と負である（仕様A</w:t>
      </w:r>
      <w:r>
        <w:t xml:space="preserve"> </w:t>
      </w:r>
      <w:r>
        <w:rPr>
          <w:rFonts w:hint="eastAsia"/>
        </w:rPr>
        <w:t xml:space="preserve">では+236円）。</w:t>
      </w:r>
    </w:p>
    <w:bookmarkEnd w:id="376"/>
    <w:bookmarkStart w:id="377" w:name="c.3.5-収益曲線の変種"/>
    <w:p>
      <w:pPr>
        <w:pStyle w:val="Heading3"/>
      </w:pPr>
      <w:r>
        <w:t xml:space="preserve">C.3.5　</w:t>
      </w:r>
      <w:r>
        <w:rPr>
          <w:rFonts w:hint="eastAsia"/>
        </w:rPr>
        <w:t xml:space="preserve">収益曲線の変種</w:t>
      </w:r>
    </w:p>
    <w:p>
      <w:pPr>
        <w:pStyle w:val="FirstParagraph"/>
      </w:pPr>
      <w:r>
        <w:rPr>
          <w:rFonts w:hint="eastAsia"/>
          <w:b/>
          <w:bCs/>
        </w:rPr>
        <w:t xml:space="preserve">刻み幅</w:t>
      </w:r>
      <w:r>
        <w:t xml:space="preserve">　</w:t>
      </w:r>
      <w:r>
        <w:rPr>
          <w:rFonts w:hint="eastAsia"/>
        </w:rPr>
        <w:t xml:space="preserve">10万kW</w:t>
      </w:r>
      <w:r>
        <w:t xml:space="preserve"> </w:t>
      </w:r>
      <w:r>
        <w:rPr>
          <w:rFonts w:hint="eastAsia"/>
        </w:rPr>
        <w:t xml:space="preserve">刻みは1万kW</w:t>
      </w:r>
      <w:r>
        <w:t xml:space="preserve"> </w:t>
      </w:r>
      <w:r>
        <w:rPr>
          <w:rFonts w:hint="eastAsia"/>
        </w:rPr>
        <w:t xml:space="preserve">刻みより</w:t>
      </w:r>
      <w:r>
        <w:t xml:space="preserve"> </w:t>
      </w:r>
      <m:oMath>
        <m:r>
          <m:t>K</m:t>
        </m:r>
        <m:r>
          <m:rPr>
            <m:sty m:val="p"/>
          </m:rPr>
          <m:t>=</m:t>
        </m:r>
        <m:r>
          <m:t>50</m:t>
        </m:r>
      </m:oMath>
      <w:r>
        <w:t xml:space="preserve"> </w:t>
      </w:r>
      <w:r>
        <w:rPr>
          <w:rFonts w:hint="eastAsia"/>
        </w:rPr>
        <w:t xml:space="preserve">万kW</w:t>
      </w:r>
      <w:r>
        <w:t xml:space="preserve"> </w:t>
      </w:r>
      <w:r>
        <w:rPr>
          <w:rFonts w:hint="eastAsia"/>
        </w:rPr>
        <w:t xml:space="preserve">で約120円低く、0.5万kW</w:t>
      </w:r>
      <w:r>
        <w:t xml:space="preserve"> </w:t>
      </w:r>
      <w:r>
        <w:rPr>
          <w:rFonts w:hint="eastAsia"/>
        </w:rPr>
        <w:t xml:space="preserve">刻みとの差は</w:t>
      </w:r>
      <w:r>
        <w:t xml:space="preserve"> </w:t>
      </w:r>
      <m:oMath>
        <m:r>
          <m:t>K</m:t>
        </m:r>
      </m:oMath>
      <w:r>
        <w:rPr>
          <w:rFonts w:hint="eastAsia"/>
        </w:rPr>
        <w:t xml:space="preserve">≤70万kW</w:t>
      </w:r>
      <w:r>
        <w:t xml:space="preserve"> </w:t>
      </w:r>
      <w:r>
        <w:rPr>
          <w:rFonts w:hint="eastAsia"/>
        </w:rPr>
        <w:t xml:space="preserve">で41円以内である。刻みを細かくすると</w:t>
      </w:r>
      <w:r>
        <w:t xml:space="preserve"> </w:t>
      </w:r>
      <m:oMath>
        <m:r>
          <m:t>π</m:t>
        </m:r>
        <m:r>
          <m:rPr>
            <m:sty m:val="p"/>
          </m:rPr>
          <m:t>(</m:t>
        </m:r>
        <m:r>
          <m:t>K</m:t>
        </m:r>
        <m:r>
          <m:rPr>
            <m:sty m:val="p"/>
          </m:rPr>
          <m:t>)</m:t>
        </m:r>
      </m:oMath>
      <w:r>
        <w:t xml:space="preserve"> </w:t>
      </w:r>
      <w:r>
        <w:t xml:space="preserve">は</w:t>
      </w:r>
      <w:r>
        <w:t xml:space="preserve"> </w:t>
      </w:r>
      <m:oMath>
        <m:r>
          <m:t>K</m:t>
        </m:r>
      </m:oMath>
      <w:r>
        <w:rPr>
          <w:rFonts w:hint="eastAsia"/>
        </w:rPr>
        <w:t xml:space="preserve">≥50万kW</w:t>
      </w:r>
      <w:r>
        <w:t xml:space="preserve"> </w:t>
      </w:r>
      <w:r>
        <w:rPr>
          <w:rFonts w:hint="eastAsia"/>
        </w:rPr>
        <w:t xml:space="preserve">でわずかずつ上がり、水準係数付きの価格過程（</w:t>
      </w:r>
      <m:oMath>
        <m:r>
          <m:t>θ</m:t>
        </m:r>
        <m:r>
          <m:rPr>
            <m:sty m:val="p"/>
          </m:rPr>
          <m:t>=</m:t>
        </m:r>
        <m:r>
          <m:t>1</m:t>
        </m:r>
      </m:oMath>
      <w:r>
        <w:rPr>
          <w:rFonts w:hint="eastAsia"/>
        </w:rPr>
        <w:t xml:space="preserve">）では、</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は1万kW</w:t>
      </w:r>
      <w:r>
        <w:t xml:space="preserve"> </w:t>
      </w:r>
      <w:r>
        <w:rPr>
          <w:rFonts w:hint="eastAsia"/>
        </w:rPr>
        <w:t xml:space="preserve">刻みの71.5万kW</w:t>
      </w:r>
      <w:r>
        <w:t xml:space="preserve"> </w:t>
      </w:r>
      <w:r>
        <w:rPr>
          <w:rFonts w:hint="eastAsia"/>
        </w:rPr>
        <w:t xml:space="preserve">から、0.5万kW</w:t>
      </w:r>
      <w:r>
        <w:t xml:space="preserve"> </w:t>
      </w:r>
      <w:r>
        <w:rPr>
          <w:rFonts w:hint="eastAsia"/>
        </w:rPr>
        <w:t xml:space="preserve">刻みで約72.5万kW、刻み0への外挿で約73万kW</w:t>
      </w:r>
      <w:r>
        <w:t xml:space="preserve"> になる。</w:t>
      </w:r>
      <m:oMath>
        <m:sSup>
          <m:e>
            <m:r>
              <m:t>K</m:t>
            </m:r>
          </m:e>
          <m:sup>
            <m:r>
              <m:rPr>
                <m:sty m:val="p"/>
              </m:rPr>
              <m:t>*</m:t>
            </m:r>
          </m:sup>
        </m:sSup>
        <m:r>
          <m:rPr>
            <m:sty m:val="p"/>
          </m:rPr>
          <m:t>=</m:t>
        </m:r>
        <m:r>
          <m:t>0</m:t>
        </m:r>
      </m:oMath>
      <w:r>
        <w:t xml:space="preserve"> </w:t>
      </w:r>
      <w:r>
        <w:rPr>
          <w:rFonts w:hint="eastAsia"/>
        </w:rPr>
        <w:t xml:space="preserve">の判定は</w:t>
      </w:r>
      <w:r>
        <w:t xml:space="preserve"> </w:t>
      </w:r>
      <m:oMath>
        <m:r>
          <m:t>K</m:t>
        </m:r>
        <m:r>
          <m:rPr>
            <m:sty m:val="p"/>
          </m:rPr>
          <m:t>=</m:t>
        </m:r>
        <m:r>
          <m:t>0</m:t>
        </m:r>
      </m:oMath>
      <w:r>
        <w:t xml:space="preserve"> </w:t>
      </w:r>
      <w:r>
        <w:rPr>
          <w:rFonts w:hint="eastAsia"/>
        </w:rPr>
        <w:t xml:space="preserve">の値で決まるので、刻みの影響を受けない。水準係数付きの価格過程で再計算した現状の</w:t>
      </w:r>
      <w:r>
        <w:t xml:space="preserve"> </w:t>
      </w:r>
      <m:oMath>
        <m:r>
          <m:t>π</m:t>
        </m:r>
        <m:r>
          <m:rPr>
            <m:sty m:val="p"/>
          </m:rPr>
          <m:t>(</m:t>
        </m:r>
        <m:r>
          <m:t>K</m:t>
        </m:r>
        <m:r>
          <m:rPr>
            <m:sty m:val="p"/>
          </m:rPr>
          <m:t>)</m:t>
        </m:r>
      </m:oMath>
      <w:r>
        <w:t xml:space="preserve"> </w:t>
      </w:r>
      <w:r>
        <w:rPr>
          <w:rFonts w:hint="eastAsia"/>
        </w:rPr>
        <w:t xml:space="preserve">は、本文の表7.2</w:t>
      </w:r>
      <w:r>
        <w:t xml:space="preserve"> </w:t>
      </w:r>
      <w:r>
        <w:rPr>
          <w:rFonts w:hint="eastAsia"/>
        </w:rPr>
        <w:t xml:space="preserve">と90円以内で一致し、</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は実績整合ケースで71.5万kW、モデル直値で68.4万kW</w:t>
      </w:r>
      <w:r>
        <w:t xml:space="preserve"> </w:t>
      </w:r>
      <w:r>
        <w:rPr>
          <w:rFonts w:hint="eastAsia"/>
        </w:rPr>
        <w:t xml:space="preserve">である（本文の図7.2(a)）。</w:t>
      </w:r>
    </w:p>
    <w:p>
      <w:pPr>
        <w:pStyle w:val="BodyText"/>
      </w:pPr>
      <w:r>
        <w:rPr>
          <w:rFonts w:hint="eastAsia"/>
          <w:b/>
          <w:bCs/>
        </w:rPr>
        <w:t xml:space="preserve">フリートの情報の仮定</w:t>
      </w:r>
      <w:r>
        <w:t xml:space="preserve">　</w:t>
      </w:r>
      <w:r>
        <w:rPr>
          <w:rFonts w:hint="eastAsia"/>
        </w:rPr>
        <w:t xml:space="preserve">モデル価格の上の限界参入者の戦略</w:t>
      </w:r>
      <w:r>
        <w:t xml:space="preserve"> c </w:t>
      </w:r>
      <w:r>
        <w:rPr>
          <w:rFonts w:hint="eastAsia"/>
        </w:rPr>
        <w:t xml:space="preserve">の実現率は、主仕様では</w:t>
      </w:r>
      <w:r>
        <w:t xml:space="preserve"> </w:t>
      </w:r>
      <m:oMath>
        <m:r>
          <m:t>K</m:t>
        </m:r>
      </m:oMath>
      <w:r>
        <w:rPr>
          <w:rFonts w:hint="eastAsia"/>
        </w:rPr>
        <w:t xml:space="preserve">≤50万kW</w:t>
      </w:r>
      <w:r>
        <w:t xml:space="preserve"> </w:t>
      </w:r>
      <w:r>
        <w:rPr>
          <w:rFonts w:hint="eastAsia"/>
        </w:rPr>
        <w:t xml:space="preserve">で0.91〜0.94、70万kW</w:t>
      </w:r>
      <w:r>
        <w:t xml:space="preserve"> </w:t>
      </w:r>
      <w:r>
        <w:rPr>
          <w:rFonts w:hint="eastAsia"/>
        </w:rPr>
        <w:t xml:space="preserve">で0.84〜0.87、100万kW</w:t>
      </w:r>
      <w:r>
        <w:t xml:space="preserve"> </w:t>
      </w:r>
      <w:r>
        <w:rPr>
          <w:rFonts w:hint="eastAsia"/>
        </w:rPr>
        <w:t xml:space="preserve">で0.59〜0.67（刻み1・0.5万kW）である。フリート自身も戦略</w:t>
      </w:r>
      <w:r>
        <w:t xml:space="preserve"> c </w:t>
      </w:r>
      <w:r>
        <w:rPr>
          <w:rFonts w:hint="eastAsia"/>
        </w:rPr>
        <w:t xml:space="preserve">の窓で動くと、10万kW</w:t>
      </w:r>
      <w:r>
        <w:t xml:space="preserve"> </w:t>
      </w:r>
      <w:r>
        <w:rPr>
          <w:rFonts w:hint="eastAsia"/>
        </w:rPr>
        <w:t xml:space="preserve">で0.87、30万kW</w:t>
      </w:r>
      <w:r>
        <w:t xml:space="preserve"> </w:t>
      </w:r>
      <w:r>
        <w:rPr>
          <w:rFonts w:hint="eastAsia"/>
        </w:rPr>
        <w:t xml:space="preserve">で0.70、50万kW</w:t>
      </w:r>
      <w:r>
        <w:t xml:space="preserve"> </w:t>
      </w:r>
      <w:r>
        <w:rPr>
          <w:rFonts w:hint="eastAsia"/>
        </w:rPr>
        <w:t xml:space="preserve">で0.41に下がり、</w:t>
      </w:r>
      <m:oMath>
        <m:r>
          <m:t>π</m:t>
        </m:r>
        <m:r>
          <m:rPr>
            <m:sty m:val="p"/>
          </m:rPr>
          <m:t>=</m:t>
        </m:r>
        <m:r>
          <m:t>0</m:t>
        </m:r>
      </m:oMath>
      <w:r>
        <w:t xml:space="preserve"> </w:t>
      </w:r>
      <w:r>
        <w:rPr>
          <w:rFonts w:hint="eastAsia"/>
        </w:rPr>
        <w:t xml:space="preserve">となる容量は約53万kW（半々の配分では61万kW）になる。</w:t>
      </w:r>
    </w:p>
    <w:p>
      <w:pPr>
        <w:pStyle w:val="BodyText"/>
      </w:pPr>
      <w:r>
        <w:rPr>
          <w:rFonts w:hint="eastAsia"/>
          <w:b/>
          <w:bCs/>
        </w:rPr>
        <w:t xml:space="preserve">大容量の領域と仕様A′</w:t>
      </w:r>
      <w:r>
        <w:t xml:space="preserve">　</w:t>
      </w:r>
      <w:r>
        <w:rPr>
          <w:rFonts w:hint="eastAsia"/>
        </w:rPr>
        <w:t xml:space="preserve">限界参入者の完全予見粗利は、100万kW</w:t>
      </w:r>
      <w:r>
        <w:t xml:space="preserve"> で</w:t>
      </w:r>
      <w:r>
        <w:t xml:space="preserve"> </w:t>
      </w:r>
      <m:oMath>
        <m:r>
          <m:t>K</m:t>
        </m:r>
        <m:r>
          <m:rPr>
            <m:sty m:val="p"/>
          </m:rPr>
          <m:t>=</m:t>
        </m:r>
        <m:r>
          <m:t>0</m:t>
        </m:r>
      </m:oMath>
      <w:r>
        <w:t xml:space="preserve"> </w:t>
      </w:r>
      <w:r>
        <w:rPr>
          <w:rFonts w:hint="eastAsia"/>
        </w:rPr>
        <w:t xml:space="preserve">の1割に下がる。</w:t>
      </w:r>
      <m:oMath>
        <m:r>
          <m:t>K</m:t>
        </m:r>
      </m:oMath>
      <w:r>
        <w:rPr>
          <w:rFonts w:hint="eastAsia"/>
        </w:rPr>
        <w:t xml:space="preserve">=200〜300万kW</w:t>
      </w:r>
      <w:r>
        <w:t xml:space="preserve"> </w:t>
      </w:r>
      <w:r>
        <w:rPr>
          <w:rFonts w:hint="eastAsia"/>
        </w:rPr>
        <w:t xml:space="preserve">の実現可能収益は、現状−2,149〜−2,158円、泊3号の再稼働−1,953〜−2,051円、泊＋風力2倍−1,999〜−2,261円/kW-年である。粗利が負と見込まれる日を事前に休止する戦略</w:t>
      </w:r>
      <w:r>
        <w:t xml:space="preserve"> c </w:t>
      </w:r>
      <w:r>
        <w:rPr>
          <w:rFonts w:hint="eastAsia"/>
        </w:rPr>
        <w:t xml:space="preserve">では、それぞれ−1,752〜−1,758円、−1,751〜−1,773円、−1,758〜−1,842円である。風力への条件付き応答を検証した仕様A′（水準係数付き）では、泊＋風力2倍の</w:t>
      </w:r>
      <w:r>
        <w:t xml:space="preserve"> </w:t>
      </w:r>
      <m:oMath>
        <m:r>
          <m:t>π</m:t>
        </m:r>
        <m:r>
          <m:rPr>
            <m:sty m:val="p"/>
          </m:rPr>
          <m:t>(</m:t>
        </m:r>
        <m:r>
          <m:t>0</m:t>
        </m:r>
        <m:r>
          <m:rPr>
            <m:sty m:val="p"/>
          </m:rPr>
          <m:t>)</m:t>
        </m:r>
      </m:oMath>
      <w:r>
        <w:t xml:space="preserve"> </w:t>
      </w:r>
      <w:r>
        <w:rPr>
          <w:rFonts w:hint="eastAsia"/>
        </w:rPr>
        <w:t xml:space="preserve">は6,629円、</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は98.2万kW</w:t>
      </w:r>
      <w:r>
        <w:t xml:space="preserve"> である。</w:t>
      </w:r>
    </w:p>
    <w:p>
      <w:pPr>
        <w:pStyle w:val="TableCaption"/>
      </w:pPr>
      <w:r>
        <w:rPr>
          <w:rFonts w:hint="eastAsia"/>
        </w:rPr>
        <w:t xml:space="preserve">表C.25</w:t>
      </w:r>
      <w:r>
        <w:t xml:space="preserve">　</w:t>
      </w:r>
      <w:r>
        <w:rPr>
          <w:rFonts w:hint="eastAsia"/>
        </w:rPr>
        <w:t xml:space="preserve">価格水準シナリオ別の限界参入者の実現可能スポット収益</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5　価格水準シナリオ別の限界参入者の実現可能スポット収益"/>
      </w:tblPr>
      <w:tblGrid>
        <w:gridCol w:w="1250"/>
        <w:gridCol w:w="1667"/>
        <w:gridCol w:w="1667"/>
        <w:gridCol w:w="1667"/>
        <w:gridCol w:w="1667"/>
      </w:tblGrid>
      <w:tr>
        <w:trPr>
          <w:tblHeader w:val="on"/>
        </w:trPr>
        <w:tc>
          <w:tcPr>
            <w:tcBorders>
              <w:bottom w:val="single" w:sz="6" w:color="000000"/>
            </w:tcBorders>
          </w:tcPr>
          <w:p>
            <w:pPr>
              <w:pStyle w:val="Compact"/>
            </w:pPr>
            <m:oMath>
              <m:r>
                <m:t>K</m:t>
              </m:r>
            </m:oMath>
            <w:r>
              <w:rPr>
                <w:rFonts w:hint="eastAsia"/>
                <w:sz w:val="18"/>
              </w:rPr>
              <w:t xml:space="preserve">（万kW、4時間）</w:t>
            </w:r>
          </w:p>
        </w:tc>
        <w:tc>
          <w:tcPr>
            <w:tcBorders>
              <w:bottom w:val="single" w:sz="6" w:color="000000"/>
            </w:tcBorders>
          </w:tcPr>
          <w:p>
            <w:pPr>
              <w:pStyle w:val="Compact"/>
              <w:jc w:val="right"/>
            </w:pPr>
            <w:r>
              <w:rPr>
                <w:rFonts w:hint="eastAsia"/>
                <w:sz w:val="18"/>
              </w:rPr>
              <w:t xml:space="preserve">現状（</w:t>
            </w:r>
            <m:oMath>
              <m:r>
                <m:t>θ</m:t>
              </m:r>
              <m:r>
                <m:rPr>
                  <m:sty m:val="p"/>
                </m:rPr>
                <m:t>=</m:t>
              </m:r>
              <m:r>
                <m:t>1</m:t>
              </m:r>
            </m:oMath>
            <w:r>
              <w:rPr>
                <w:rFonts w:hint="eastAsia"/>
                <w:sz w:val="18"/>
              </w:rPr>
              <w:t xml:space="preserve">）</w:t>
            </w:r>
          </w:p>
        </w:tc>
        <w:tc>
          <w:tcPr>
            <w:tcBorders>
              <w:bottom w:val="single" w:sz="6" w:color="000000"/>
            </w:tcBorders>
          </w:tcPr>
          <w:p>
            <w:pPr>
              <w:pStyle w:val="Compact"/>
              <w:jc w:val="right"/>
            </w:pPr>
            <w:r>
              <w:rPr>
                <w:rFonts w:hint="eastAsia"/>
                <w:sz w:val="18"/>
              </w:rPr>
              <w:t xml:space="preserve">FY2026上期の水準（</w:t>
            </w:r>
            <m:oMath>
              <m:r>
                <m:t>θ</m:t>
              </m:r>
              <m:r>
                <m:rPr>
                  <m:sty m:val="p"/>
                </m:rPr>
                <m:t>=</m:t>
              </m:r>
              <m:r>
                <m:t>1.57</m:t>
              </m:r>
            </m:oMath>
            <w:r>
              <w:rPr>
                <w:rFonts w:hint="eastAsia"/>
                <w:sz w:val="18"/>
              </w:rPr>
              <w:t xml:space="preserve">）</w:t>
            </w:r>
          </w:p>
        </w:tc>
        <w:tc>
          <w:tcPr>
            <w:tcBorders>
              <w:bottom w:val="single" w:sz="6" w:color="000000"/>
            </w:tcBorders>
          </w:tcPr>
          <w:p>
            <w:pPr>
              <w:pStyle w:val="Compact"/>
              <w:jc w:val="right"/>
            </w:pPr>
            <w:r>
              <w:rPr>
                <w:sz w:val="18"/>
              </w:rPr>
              <w:t xml:space="preserve">FY2022 </w:t>
            </w:r>
            <w:r>
              <w:rPr>
                <w:rFonts w:hint="eastAsia"/>
                <w:sz w:val="18"/>
              </w:rPr>
              <w:t xml:space="preserve">の水準（</w:t>
            </w:r>
            <m:oMath>
              <m:r>
                <m:t>θ</m:t>
              </m:r>
              <m:r>
                <m:rPr>
                  <m:sty m:val="p"/>
                </m:rPr>
                <m:t>=</m:t>
              </m:r>
              <m:r>
                <m:t>1.72</m:t>
              </m:r>
            </m:oMath>
            <w:r>
              <w:rPr>
                <w:rFonts w:hint="eastAsia"/>
                <w:sz w:val="18"/>
              </w:rPr>
              <w:t xml:space="preserve">）</w:t>
            </w:r>
          </w:p>
        </w:tc>
        <w:tc>
          <w:tcPr>
            <w:tcBorders>
              <w:bottom w:val="single" w:sz="6" w:color="000000"/>
            </w:tcBorders>
          </w:tcPr>
          <w:p>
            <w:pPr>
              <w:pStyle w:val="Compact"/>
              <w:jc w:val="right"/>
            </w:pPr>
            <w:r>
              <w:rPr>
                <w:rFonts w:hint="eastAsia"/>
                <w:sz w:val="18"/>
              </w:rPr>
              <w:t xml:space="preserve">FY2026上期の水準＋泊3号</w:t>
            </w:r>
          </w:p>
        </w:tc>
      </w:tr>
      <w:tr>
        <w:tc>
          <w:tcPr/>
          <w:p>
            <w:pPr>
              <w:pStyle w:val="Compact"/>
            </w:pPr>
            <w:r>
              <w:rPr>
                <w:sz w:val="18"/>
              </w:rPr>
              <w:t xml:space="preserve">0</w:t>
            </w:r>
          </w:p>
        </w:tc>
        <w:tc>
          <w:tcPr/>
          <w:p>
            <w:pPr>
              <w:pStyle w:val="Compact"/>
              <w:jc w:val="right"/>
            </w:pPr>
            <w:r>
              <w:rPr>
                <w:rFonts w:hint="eastAsia"/>
                <w:sz w:val="18"/>
              </w:rPr>
              <w:t xml:space="preserve">6,675（5,850）</w:t>
            </w:r>
          </w:p>
        </w:tc>
        <w:tc>
          <w:tcPr/>
          <w:p>
            <w:pPr>
              <w:pStyle w:val="Compact"/>
              <w:jc w:val="right"/>
            </w:pPr>
            <w:r>
              <w:rPr>
                <w:rFonts w:hint="eastAsia"/>
                <w:sz w:val="18"/>
              </w:rPr>
              <w:t xml:space="preserve">11,452（10,160）</w:t>
            </w:r>
          </w:p>
        </w:tc>
        <w:tc>
          <w:tcPr/>
          <w:p>
            <w:pPr>
              <w:pStyle w:val="Compact"/>
              <w:jc w:val="right"/>
            </w:pPr>
            <w:r>
              <w:rPr>
                <w:rFonts w:hint="eastAsia"/>
                <w:sz w:val="18"/>
              </w:rPr>
              <w:t xml:space="preserve">12,705（11,290）</w:t>
            </w:r>
          </w:p>
        </w:tc>
        <w:tc>
          <w:tcPr/>
          <w:p>
            <w:pPr>
              <w:pStyle w:val="Compact"/>
              <w:jc w:val="right"/>
            </w:pPr>
            <w:r>
              <w:rPr>
                <w:rFonts w:hint="eastAsia"/>
                <w:sz w:val="18"/>
              </w:rPr>
              <w:t xml:space="preserve">12,206（10,840）</w:t>
            </w:r>
          </w:p>
        </w:tc>
      </w:tr>
      <w:tr>
        <w:tc>
          <w:tcPr/>
          <w:p>
            <w:pPr>
              <w:pStyle w:val="Compact"/>
            </w:pPr>
            <w:r>
              <w:rPr>
                <w:sz w:val="18"/>
              </w:rPr>
              <w:t xml:space="preserve">25</w:t>
            </w:r>
          </w:p>
        </w:tc>
        <w:tc>
          <w:tcPr/>
          <w:p>
            <w:pPr>
              <w:pStyle w:val="Compact"/>
              <w:jc w:val="right"/>
            </w:pPr>
            <w:r>
              <w:rPr>
                <w:rFonts w:hint="eastAsia"/>
                <w:sz w:val="18"/>
              </w:rPr>
              <w:t xml:space="preserve">3,923（3,368）</w:t>
            </w:r>
          </w:p>
        </w:tc>
        <w:tc>
          <w:tcPr/>
          <w:p>
            <w:pPr>
              <w:pStyle w:val="Compact"/>
              <w:jc w:val="right"/>
            </w:pPr>
            <w:r>
              <w:rPr>
                <w:rFonts w:hint="eastAsia"/>
                <w:sz w:val="18"/>
              </w:rPr>
              <w:t xml:space="preserve">7,141（6,270）</w:t>
            </w:r>
          </w:p>
        </w:tc>
        <w:tc>
          <w:tcPr/>
          <w:p>
            <w:pPr>
              <w:pStyle w:val="Compact"/>
              <w:jc w:val="right"/>
            </w:pPr>
            <w:r>
              <w:rPr>
                <w:rFonts w:hint="eastAsia"/>
                <w:sz w:val="18"/>
              </w:rPr>
              <w:t xml:space="preserve">7,984（7,031）</w:t>
            </w:r>
          </w:p>
        </w:tc>
        <w:tc>
          <w:tcPr/>
          <w:p>
            <w:pPr>
              <w:pStyle w:val="Compact"/>
              <w:jc w:val="right"/>
            </w:pPr>
            <w:r>
              <w:rPr>
                <w:rFonts w:hint="eastAsia"/>
                <w:sz w:val="18"/>
              </w:rPr>
              <w:t xml:space="preserve">8,232（7,255）</w:t>
            </w:r>
          </w:p>
        </w:tc>
      </w:tr>
      <w:tr>
        <w:tc>
          <w:tcPr/>
          <w:p>
            <w:pPr>
              <w:pStyle w:val="Compact"/>
            </w:pPr>
            <w:r>
              <w:rPr>
                <w:sz w:val="18"/>
              </w:rPr>
              <w:t xml:space="preserve">50</w:t>
            </w:r>
          </w:p>
        </w:tc>
        <w:tc>
          <w:tcPr/>
          <w:p>
            <w:pPr>
              <w:pStyle w:val="Compact"/>
              <w:jc w:val="right"/>
            </w:pPr>
            <w:r>
              <w:rPr>
                <w:rFonts w:hint="eastAsia"/>
                <w:sz w:val="18"/>
              </w:rPr>
              <w:t xml:space="preserve">1,510（1,190）</w:t>
            </w:r>
          </w:p>
        </w:tc>
        <w:tc>
          <w:tcPr/>
          <w:p>
            <w:pPr>
              <w:pStyle w:val="Compact"/>
              <w:jc w:val="right"/>
            </w:pPr>
            <w:r>
              <w:rPr>
                <w:rFonts w:hint="eastAsia"/>
                <w:sz w:val="18"/>
              </w:rPr>
              <w:t xml:space="preserve">3,359（2,859）</w:t>
            </w:r>
          </w:p>
        </w:tc>
        <w:tc>
          <w:tcPr/>
          <w:p>
            <w:pPr>
              <w:pStyle w:val="Compact"/>
              <w:jc w:val="right"/>
            </w:pPr>
            <w:r>
              <w:rPr>
                <w:rFonts w:hint="eastAsia"/>
                <w:sz w:val="18"/>
              </w:rPr>
              <w:t xml:space="preserve">3,844（3,296）</w:t>
            </w:r>
          </w:p>
        </w:tc>
        <w:tc>
          <w:tcPr/>
          <w:p>
            <w:pPr>
              <w:pStyle w:val="Compact"/>
              <w:jc w:val="right"/>
            </w:pPr>
            <w:r>
              <w:rPr>
                <w:rFonts w:hint="eastAsia"/>
                <w:sz w:val="18"/>
              </w:rPr>
              <w:t xml:space="preserve">4,795（4,154）</w:t>
            </w:r>
          </w:p>
        </w:tc>
      </w:tr>
      <w:tr>
        <w:tc>
          <w:tcPr/>
          <w:p>
            <w:pPr>
              <w:pStyle w:val="Compact"/>
            </w:pPr>
            <w:r>
              <w:rPr>
                <w:sz w:val="18"/>
              </w:rPr>
              <w:t xml:space="preserve">100</w:t>
            </w:r>
          </w:p>
        </w:tc>
        <w:tc>
          <w:tcPr/>
          <w:p>
            <w:pPr>
              <w:pStyle w:val="Compact"/>
              <w:jc w:val="right"/>
            </w:pPr>
            <w:r>
              <w:rPr>
                <w:rFonts w:hint="eastAsia"/>
                <w:sz w:val="18"/>
              </w:rPr>
              <w:t xml:space="preserve">−1,202（−1,256）</w:t>
            </w:r>
          </w:p>
        </w:tc>
        <w:tc>
          <w:tcPr/>
          <w:p>
            <w:pPr>
              <w:pStyle w:val="Compact"/>
              <w:jc w:val="right"/>
            </w:pPr>
            <w:r>
              <w:rPr>
                <w:rFonts w:hint="eastAsia"/>
                <w:sz w:val="18"/>
              </w:rPr>
              <w:t xml:space="preserve">−891（−975）</w:t>
            </w:r>
          </w:p>
        </w:tc>
        <w:tc>
          <w:tcPr/>
          <w:p>
            <w:pPr>
              <w:pStyle w:val="Compact"/>
              <w:jc w:val="right"/>
            </w:pPr>
            <w:r>
              <w:rPr>
                <w:rFonts w:hint="eastAsia"/>
                <w:sz w:val="18"/>
              </w:rPr>
              <w:t xml:space="preserve">−809（−901）</w:t>
            </w:r>
          </w:p>
        </w:tc>
        <w:tc>
          <w:tcPr/>
          <w:p>
            <w:pPr>
              <w:pStyle w:val="Compact"/>
              <w:jc w:val="right"/>
            </w:pPr>
            <w:r>
              <w:rPr>
                <w:rFonts w:hint="eastAsia"/>
                <w:sz w:val="18"/>
              </w:rPr>
              <w:t xml:space="preserve">340（135）</w:t>
            </w:r>
          </w:p>
        </w:tc>
      </w:tr>
      <w:tr>
        <w:tc>
          <w:tcPr/>
          <w:p>
            <w:pPr>
              <w:pStyle w:val="Compact"/>
            </w:pPr>
            <w:r>
              <w:rPr>
                <w:sz w:val="18"/>
              </w:rPr>
              <w:t xml:space="preserve">150</w:t>
            </w:r>
          </w:p>
        </w:tc>
        <w:tc>
          <w:tcPr/>
          <w:p>
            <w:pPr>
              <w:pStyle w:val="Compact"/>
              <w:jc w:val="right"/>
            </w:pPr>
            <w:r>
              <w:rPr>
                <w:rFonts w:hint="eastAsia"/>
                <w:sz w:val="18"/>
              </w:rPr>
              <w:t xml:space="preserve">−1,964（−1,944）</w:t>
            </w:r>
          </w:p>
        </w:tc>
        <w:tc>
          <w:tcPr/>
          <w:p>
            <w:pPr>
              <w:pStyle w:val="Compact"/>
              <w:jc w:val="right"/>
            </w:pPr>
            <w:r>
              <w:rPr>
                <w:rFonts w:hint="eastAsia"/>
                <w:sz w:val="18"/>
              </w:rPr>
              <w:t xml:space="preserve">−2,084（−2,052）</w:t>
            </w:r>
          </w:p>
        </w:tc>
        <w:tc>
          <w:tcPr/>
          <w:p>
            <w:pPr>
              <w:pStyle w:val="Compact"/>
              <w:jc w:val="right"/>
            </w:pPr>
            <w:r>
              <w:rPr>
                <w:rFonts w:hint="eastAsia"/>
                <w:sz w:val="18"/>
              </w:rPr>
              <w:t xml:space="preserve">−2,116（−2,080）</w:t>
            </w:r>
          </w:p>
        </w:tc>
        <w:tc>
          <w:tcPr/>
          <w:p>
            <w:pPr>
              <w:pStyle w:val="Compact"/>
              <w:jc w:val="right"/>
            </w:pPr>
            <w:r>
              <w:rPr>
                <w:rFonts w:hint="eastAsia"/>
                <w:sz w:val="18"/>
              </w:rPr>
              <w:t xml:space="preserve">−1,486（−1,512）</w:t>
            </w:r>
          </w:p>
        </w:tc>
      </w:tr>
    </w:tbl>
    <w:p>
      <w:pPr>
        <w:pStyle w:val="TableNote"/>
      </w:pPr>
      <w:r>
        <w:rPr>
          <w:rFonts w:hint="eastAsia"/>
        </w:rPr>
        <w:t xml:space="preserve">注）円/kW-年。各セルは実績整合ケース（括弧内はモデル直値）。水準係数付きの仕様A、FY2023〜25</w:t>
      </w:r>
      <w:r>
        <w:t xml:space="preserve"> </w:t>
      </w:r>
      <w:r>
        <w:rPr>
          <w:rFonts w:hint="eastAsia"/>
        </w:rPr>
        <w:t xml:space="preserve">パス、増分貪欲（1万kW</w:t>
      </w:r>
      <w:r>
        <w:t xml:space="preserve"> </w:t>
      </w:r>
      <w:r>
        <w:rPr>
          <w:rFonts w:hint="eastAsia"/>
        </w:rPr>
        <w:t xml:space="preserve">刻み）、実績整合ケースは</w:t>
      </w:r>
      <w:r>
        <w:t xml:space="preserve"> </w:t>
      </w:r>
      <m:oMath>
        <m:r>
          <m:t>λ</m:t>
        </m:r>
        <m:r>
          <m:rPr>
            <m:sty m:val="p"/>
          </m:rPr>
          <m:t>=</m:t>
        </m:r>
        <m:r>
          <m:t>1.108</m:t>
        </m:r>
      </m:oMath>
      <w:r>
        <w:rPr>
          <w:rFonts w:hint="eastAsia"/>
        </w:rPr>
        <w:t xml:space="preserve">×モデル価格の上の戦略</w:t>
      </w:r>
      <w:r>
        <w:t xml:space="preserve"> </w:t>
      </w:r>
      <w:r>
        <w:rPr>
          <w:rFonts w:hint="eastAsia"/>
        </w:rPr>
        <w:t xml:space="preserve">c、充電従量負担を控除。</w:t>
      </w:r>
      <m:oMath>
        <m:r>
          <m:t>K</m:t>
        </m:r>
        <m:r>
          <m:rPr>
            <m:sty m:val="p"/>
          </m:rPr>
          <m:t>=</m:t>
        </m:r>
        <m:r>
          <m:t>150</m:t>
        </m:r>
      </m:oMath>
      <w:r>
        <w:t xml:space="preserve"> </w:t>
      </w:r>
      <w:r>
        <w:rPr>
          <w:rFonts w:hint="eastAsia"/>
        </w:rPr>
        <w:t xml:space="preserve">万kW</w:t>
      </w:r>
      <w:r>
        <w:t xml:space="preserve"> </w:t>
      </w:r>
      <w:r>
        <w:rPr>
          <w:rFonts w:hint="eastAsia"/>
        </w:rPr>
        <w:t xml:space="preserve">では戦略</w:t>
      </w:r>
      <w:r>
        <w:t xml:space="preserve"> c </w:t>
      </w:r>
      <w:r>
        <w:rPr>
          <w:rFonts w:hint="eastAsia"/>
        </w:rPr>
        <w:t xml:space="preserve">の粗利が負になるので、</w:t>
      </w:r>
      <m:oMath>
        <m:r>
          <m:t>θ</m:t>
        </m:r>
      </m:oMath>
      <w:r>
        <w:t xml:space="preserve"> </w:t>
      </w:r>
      <w:r>
        <w:rPr>
          <w:rFonts w:hint="eastAsia"/>
        </w:rPr>
        <w:t xml:space="preserve">が高いほど</w:t>
      </w:r>
      <w:r>
        <w:t xml:space="preserve"> </w:t>
      </w:r>
      <m:oMath>
        <m:r>
          <m:t>π</m:t>
        </m:r>
      </m:oMath>
      <w:r>
        <w:t xml:space="preserve"> </w:t>
      </w:r>
      <w:r>
        <w:rPr>
          <w:rFonts w:hint="eastAsia"/>
        </w:rPr>
        <w:t xml:space="preserve">が小さく出る。</w:t>
      </w:r>
    </w:p>
    <w:p>
      <w:pPr>
        <w:pStyle w:val="TableNote"/>
      </w:pPr>
      <w:r>
        <w:rPr>
          <w:rFonts w:hint="eastAsia"/>
        </w:rPr>
        <w:t xml:space="preserve">出所）表C.21</w:t>
      </w:r>
      <w:r>
        <w:t xml:space="preserve"> </w:t>
      </w:r>
      <w:r>
        <w:rPr>
          <w:rFonts w:hint="eastAsia"/>
        </w:rPr>
        <w:t xml:space="preserve">と同じ。</w:t>
      </w:r>
    </w:p>
    <w:bookmarkEnd w:id="377"/>
    <w:bookmarkStart w:id="378" w:name="c.3.6-均衡の判定の追加の感応度"/>
    <w:p>
      <w:pPr>
        <w:pStyle w:val="Heading3"/>
      </w:pPr>
      <w:r>
        <w:t xml:space="preserve">C.3.6　</w:t>
      </w:r>
      <w:r>
        <w:rPr>
          <w:rFonts w:hint="eastAsia"/>
        </w:rPr>
        <w:t xml:space="preserve">均衡の判定の追加の感応度</w:t>
      </w:r>
    </w:p>
    <w:p>
      <w:pPr>
        <w:pStyle w:val="FirstParagraph"/>
      </w:pPr>
      <w:r>
        <w:rPr>
          <w:rFonts w:hint="eastAsia"/>
          <w:b/>
          <w:bCs/>
        </w:rPr>
        <w:t xml:space="preserve">資本費と価格水準</w:t>
      </w:r>
      <w:r>
        <w:t xml:space="preserve">　</w:t>
      </w:r>
      <m:oMath>
        <m:r>
          <m:t>K</m:t>
        </m:r>
        <m:r>
          <m:rPr>
            <m:sty m:val="p"/>
          </m:rPr>
          <m:t>=</m:t>
        </m:r>
        <m:r>
          <m:t>0</m:t>
        </m:r>
      </m:oMath>
      <w:r>
        <w:t xml:space="preserve"> </w:t>
      </w:r>
      <w:r>
        <w:rPr>
          <w:rFonts w:hint="eastAsia"/>
        </w:rPr>
        <w:t xml:space="preserve">で参入が立つ年間固定費（資本費の年額と運転維持・廃止費の合計）は約1.23万円/kW-年（モデル直値1.15万円）で、資本費に換算すると約2.0万円/kWh（モデル直値1.76万円/kWh）である。資本費が2.3万円/kWh</w:t>
      </w:r>
      <w:r>
        <w:t xml:space="preserve"> </w:t>
      </w:r>
      <w:r>
        <w:rPr>
          <w:rFonts w:hint="eastAsia"/>
        </w:rPr>
        <w:t xml:space="preserve">まで下がったときの</w:t>
      </w:r>
      <w:r>
        <w:t xml:space="preserve"> </w:t>
      </w:r>
      <m:oMath>
        <m:sSup>
          <m:e>
            <m:r>
              <m:t>θ</m:t>
            </m:r>
          </m:e>
          <m:sup>
            <m:r>
              <m:rPr>
                <m:sty m:val="p"/>
              </m:rPr>
              <m:t>*</m:t>
            </m:r>
          </m:sup>
        </m:sSup>
        <m:r>
          <m:rPr>
            <m:sty m:val="p"/>
          </m:rPr>
          <m:t>=</m:t>
        </m:r>
        <m:r>
          <m:t>1.12</m:t>
        </m:r>
      </m:oMath>
      <w:r>
        <w:t xml:space="preserve"> </w:t>
      </w:r>
      <w:r>
        <w:t xml:space="preserve">は、</w:t>
      </w:r>
      <m:oMath>
        <m:r>
          <m:t>λ</m:t>
        </m:r>
      </m:oMath>
      <w:r>
        <w:t xml:space="preserve"> </w:t>
      </w:r>
      <w:r>
        <w:rPr>
          <w:rFonts w:hint="eastAsia"/>
        </w:rPr>
        <w:t xml:space="preserve">の95%区間で1.05〜1.21、モデル直値で1.25である。参入には資本費の約7割（モデル直値では約74%）の低下か、価格水準の2.8〜3.3倍への上昇が必要であり、</w:t>
      </w:r>
      <m:oMath>
        <m:r>
          <m:t>λ</m:t>
        </m:r>
      </m:oMath>
      <w:r>
        <w:t xml:space="preserve"> </w:t>
      </w:r>
      <w:r>
        <w:rPr>
          <w:rFonts w:hint="eastAsia"/>
        </w:rPr>
        <w:t xml:space="preserve">の95%区間の上端でも、標準ケースの閾値は2.6倍を下回らない。</w:t>
      </w:r>
      <m:oMath>
        <m:sSup>
          <m:e>
            <m:r>
              <m:t>θ</m:t>
            </m:r>
          </m:e>
          <m:sup>
            <m:r>
              <m:rPr>
                <m:sty m:val="p"/>
              </m:rPr>
              <m:t>*</m:t>
            </m:r>
          </m:sup>
        </m:sSup>
        <m:r>
          <m:rPr>
            <m:sty m:val="p"/>
          </m:rPr>
          <m:t>=</m:t>
        </m:r>
        <m:r>
          <m:t>2.99</m:t>
        </m:r>
      </m:oMath>
      <w:r>
        <w:t xml:space="preserve"> </w:t>
      </w:r>
      <w:r>
        <w:rPr>
          <w:rFonts w:hint="eastAsia"/>
        </w:rPr>
        <w:t xml:space="preserve">は、恒久成分の推定値1.22の2.45倍にあたる。</w:t>
      </w:r>
    </w:p>
    <w:p>
      <w:pPr>
        <w:pStyle w:val="BodyText"/>
      </w:pPr>
      <w:r>
        <w:rPr>
          <w:rFonts w:hint="eastAsia"/>
          <w:b/>
          <w:bCs/>
        </w:rPr>
        <w:t xml:space="preserve">割引率と資本構成</w:t>
      </w:r>
      <w:r>
        <w:t xml:space="preserve">　</w:t>
      </w:r>
      <w:r>
        <w:rPr>
          <w:rFonts w:hint="eastAsia"/>
        </w:rPr>
        <w:t xml:space="preserve">割引率は資産の資本コスト</w:t>
      </w:r>
      <w:r>
        <w:t xml:space="preserve"> </w:t>
      </w:r>
      <m:oMath>
        <m:sSub>
          <m:e>
            <m:r>
              <m:t>r</m:t>
            </m:r>
          </m:e>
          <m:sub>
            <m:r>
              <m:t>A</m:t>
            </m:r>
          </m:sub>
        </m:sSub>
      </m:oMath>
      <w:r>
        <w:t xml:space="preserve"> </w:t>
      </w:r>
      <w:r>
        <w:t xml:space="preserve">として</w:t>
      </w:r>
      <w:r>
        <w:t xml:space="preserve"> </w:t>
      </w:r>
      <m:oMath>
        <m:sSub>
          <m:e>
            <m:r>
              <m:t>c</m:t>
            </m:r>
          </m:e>
          <m:sub>
            <m:r>
              <m:rPr>
                <m:sty m:val="p"/>
              </m:rPr>
              <m:t>r</m:t>
            </m:r>
            <m:r>
              <m:rPr>
                <m:sty m:val="p"/>
              </m:rPr>
              <m:t>e</m:t>
            </m:r>
            <m:r>
              <m:rPr>
                <m:sty m:val="p"/>
              </m:rPr>
              <m:t>q</m:t>
            </m:r>
          </m:sub>
        </m:sSub>
      </m:oMath>
      <w:r>
        <w:t xml:space="preserve"> </w:t>
      </w:r>
      <w:r>
        <w:rPr>
          <w:rFonts w:hint="eastAsia"/>
        </w:rPr>
        <w:t xml:space="preserve">に効く。資本費6.8万円/kWh</w:t>
      </w:r>
      <w:r>
        <w:t xml:space="preserve"> では、</w:t>
      </w:r>
      <m:oMath>
        <m:sSub>
          <m:e>
            <m:r>
              <m:t>r</m:t>
            </m:r>
          </m:e>
          <m:sub>
            <m:r>
              <m:t>A</m:t>
            </m:r>
          </m:sub>
        </m:sSub>
      </m:oMath>
      <w:r>
        <w:t xml:space="preserve"> </w:t>
      </w:r>
      <w:r>
        <w:rPr>
          <w:rFonts w:hint="eastAsia"/>
        </w:rPr>
        <w:t xml:space="preserve">を6%から5%に下げると</w:t>
      </w:r>
      <w:r>
        <w:t xml:space="preserve"> </w:t>
      </w:r>
      <m:oMath>
        <m:sSub>
          <m:e>
            <m:r>
              <m:t>c</m:t>
            </m:r>
          </m:e>
          <m:sub>
            <m:r>
              <m:rPr>
                <m:sty m:val="p"/>
              </m:rPr>
              <m:t>r</m:t>
            </m:r>
            <m:r>
              <m:rPr>
                <m:sty m:val="p"/>
              </m:rPr>
              <m:t>e</m:t>
            </m:r>
            <m:r>
              <m:rPr>
                <m:sty m:val="p"/>
              </m:rPr>
              <m:t>q</m:t>
            </m:r>
          </m:sub>
        </m:sSub>
      </m:oMath>
      <w:r>
        <w:t xml:space="preserve"> </w:t>
      </w:r>
      <w:r>
        <w:rPr>
          <w:rFonts w:hint="eastAsia"/>
        </w:rPr>
        <w:t xml:space="preserve">は約1,900円/kW-年下がり（</w:t>
      </w:r>
      <m:oMath>
        <m:sSup>
          <m:e>
            <m:r>
              <m:t>θ</m:t>
            </m:r>
          </m:e>
          <m:sup>
            <m:r>
              <m:rPr>
                <m:sty m:val="p"/>
              </m:rPr>
              <m:t>*</m:t>
            </m:r>
          </m:sup>
        </m:sSup>
        <m:r>
          <m:rPr>
            <m:sty m:val="p"/>
          </m:rPr>
          <m:t>=</m:t>
        </m:r>
        <m:r>
          <m:t>2.76</m:t>
        </m:r>
      </m:oMath>
      <w:r>
        <w:rPr>
          <w:rFonts w:hint="eastAsia"/>
        </w:rPr>
        <w:t xml:space="preserve">）、8%に上げると約4,000円上がる（同3.46）。基準の6%は契約型の資本コストの水準（LTDA</w:t>
      </w:r>
      <w:r>
        <w:t xml:space="preserve"> </w:t>
      </w:r>
      <w:r>
        <w:rPr>
          <w:rFonts w:hint="eastAsia"/>
        </w:rPr>
        <w:t xml:space="preserve">の事業報酬率は第1・2回で5%、調達価格等算定委員会（2026）の陸上風力の想定</w:t>
      </w:r>
      <w:r>
        <w:t xml:space="preserve"> IRR </w:t>
      </w:r>
      <w:r>
        <w:rPr>
          <w:rFonts w:hint="eastAsia"/>
        </w:rPr>
        <w:t xml:space="preserve">は税引前6%）であり、価格リスクを負うマーチャントには8〜9%が対応する（8.7.2項）。Modigliani</w:t>
      </w:r>
      <w:r>
        <w:t xml:space="preserve"> and </w:t>
      </w:r>
      <w:r>
        <w:rPr>
          <w:rFonts w:hint="eastAsia"/>
        </w:rPr>
        <w:t xml:space="preserve">Miller（1958）の命題により、税がなく摩擦のない資本市場では、加重平均資本コストは負債比率によらず</w:t>
      </w:r>
      <w:r>
        <w:t xml:space="preserve"> </w:t>
      </w:r>
      <m:oMath>
        <m:sSub>
          <m:e>
            <m:r>
              <m:t>r</m:t>
            </m:r>
          </m:e>
          <m:sub>
            <m:r>
              <m:t>A</m:t>
            </m:r>
          </m:sub>
        </m:sSub>
      </m:oMath>
      <w:r>
        <w:t xml:space="preserve"> </w:t>
      </w:r>
      <w:r>
        <w:rPr>
          <w:rFonts w:hint="eastAsia"/>
        </w:rPr>
        <w:t xml:space="preserve">に等しい。法人税がある場合も資本構成は負債の節税効果を通じてのみ効き、負債比率30〜60%で加重平均資本コストが0.24〜0.49%ポイント下がる程度で、</w:t>
      </w:r>
      <m:oMath>
        <m:sSup>
          <m:e>
            <m:r>
              <m:t>θ</m:t>
            </m:r>
          </m:e>
          <m:sup>
            <m:r>
              <m:rPr>
                <m:sty m:val="p"/>
              </m:rPr>
              <m:t>*</m:t>
            </m:r>
          </m:sup>
        </m:sSup>
      </m:oMath>
      <w:r>
        <w:t xml:space="preserve"> </w:t>
      </w:r>
      <w:r>
        <w:rPr>
          <w:rFonts w:hint="eastAsia"/>
        </w:rPr>
        <w:t xml:space="preserve">では0.05〜0.12である。補助金のないマーチャント4時間蓄電池の事業</w:t>
      </w:r>
      <w:r>
        <w:t xml:space="preserve"> IRR は、</w:t>
      </w:r>
      <m:oMath>
        <m:r>
          <m:t>θ</m:t>
        </m:r>
      </m:oMath>
      <w:r>
        <w:rPr>
          <w:rFonts w:hint="eastAsia"/>
        </w:rPr>
        <w:t xml:space="preserve">=1〜1.72で実績整合ケース−5.6〜−0.4%（モデル直値−6.6〜−1.5%）と負である。FY2022</w:t>
      </w:r>
      <w:r>
        <w:t xml:space="preserve"> </w:t>
      </w:r>
      <w:r>
        <w:rPr>
          <w:rFonts w:hint="eastAsia"/>
        </w:rPr>
        <w:t xml:space="preserve">の実績価格そのもの（連系線増強前の分断構造）では</w:t>
      </w:r>
      <w:r>
        <w:t xml:space="preserve"> IRR </w:t>
      </w:r>
      <w:r>
        <w:rPr>
          <w:rFonts w:hint="eastAsia"/>
        </w:rPr>
        <w:t xml:space="preserve">は3.75%（実績の戦略</w:t>
      </w:r>
      <w:r>
        <w:t xml:space="preserve"> </w:t>
      </w:r>
      <w:r>
        <w:rPr>
          <w:rFonts w:hint="eastAsia"/>
        </w:rPr>
        <w:t xml:space="preserve">c）で、割引率3%では</w:t>
      </w:r>
      <w:r>
        <w:t xml:space="preserve"> NPV </w:t>
      </w:r>
      <w:r>
        <w:rPr>
          <w:rFonts w:hint="eastAsia"/>
        </w:rPr>
        <w:t xml:space="preserve">は正、6%では負となる。容量市場の参加区分を安定電源（実効1.25万円）から発動指令電源（0.83万円）に替えると、</w:t>
      </w:r>
      <m:oMath>
        <m:sSup>
          <m:e>
            <m:r>
              <m:t>θ</m:t>
            </m:r>
          </m:e>
          <m:sup>
            <m:r>
              <m:rPr>
                <m:sty m:val="p"/>
              </m:rPr>
              <m:t>*</m:t>
            </m:r>
          </m:sup>
        </m:sSup>
      </m:oMath>
      <w:r>
        <w:t xml:space="preserve"> </w:t>
      </w:r>
      <w:r>
        <w:rPr>
          <w:rFonts w:hint="eastAsia"/>
        </w:rPr>
        <w:t xml:space="preserve">は2.99から3.48に上がる（表C.39）。</w:t>
      </w:r>
    </w:p>
    <w:p>
      <w:pPr>
        <w:pStyle w:val="BodyText"/>
      </w:pPr>
      <w:r>
        <w:rPr>
          <w:b/>
          <w:bCs/>
        </w:rPr>
        <w:t xml:space="preserve">FY2022 </w:t>
      </w:r>
      <w:r>
        <w:rPr>
          <w:rFonts w:hint="eastAsia"/>
          <w:b/>
          <w:bCs/>
        </w:rPr>
        <w:t xml:space="preserve">の実績価格</w:t>
      </w:r>
      <w:r>
        <w:t xml:space="preserve">　FY2022 </w:t>
      </w:r>
      <w:r>
        <w:rPr>
          <w:rFonts w:hint="eastAsia"/>
        </w:rPr>
        <w:t xml:space="preserve">の実績価格の完全予見粗利25,160円/kW-年の上で戦略</w:t>
      </w:r>
      <w:r>
        <w:t xml:space="preserve"> c </w:t>
      </w:r>
      <w:r>
        <w:rPr>
          <w:rFonts w:hint="eastAsia"/>
        </w:rPr>
        <w:t xml:space="preserve">が実際に得た粗利21,017円（実現率0.835）を用いれば、実現可能収益は19,265円で、楽観ケースの必要水準19,500円の99%に達する。</w:t>
      </w:r>
    </w:p>
    <w:p>
      <w:pPr>
        <w:pStyle w:val="BodyText"/>
      </w:pPr>
      <w:r>
        <w:rPr>
          <w:rFonts w:hint="eastAsia"/>
          <w:b/>
          <w:bCs/>
        </w:rPr>
        <w:t xml:space="preserve">既設・契約型の容量</w:t>
      </w:r>
      <w:r>
        <w:t xml:space="preserve">　</w:t>
      </w:r>
      <m:oMath>
        <m:r>
          <m:t>K</m:t>
        </m:r>
        <m:r>
          <m:rPr>
            <m:sty m:val="p"/>
          </m:rPr>
          <m:t>=</m:t>
        </m:r>
        <m:r>
          <m:t>0</m:t>
        </m:r>
      </m:oMath>
      <w:r>
        <w:t xml:space="preserve"> </w:t>
      </w:r>
      <w:r>
        <w:rPr>
          <w:rFonts w:hint="eastAsia"/>
        </w:rPr>
        <w:t xml:space="preserve">の限界参入者にとっての</w:t>
      </w:r>
      <w:r>
        <w:t xml:space="preserve"> </w:t>
      </w:r>
      <m:oMath>
        <m:sSup>
          <m:e>
            <m:r>
              <m:t>θ</m:t>
            </m:r>
          </m:e>
          <m:sup>
            <m:r>
              <m:rPr>
                <m:sty m:val="p"/>
              </m:rPr>
              <m:t>*</m:t>
            </m:r>
          </m:sup>
        </m:sSup>
      </m:oMath>
      <w:r>
        <w:rPr>
          <w:rFonts w:hint="eastAsia"/>
        </w:rPr>
        <w:t xml:space="preserve">（式(4.8)、実績整合ケース）は、接続済みの約20万kW</w:t>
      </w:r>
      <w:r>
        <w:t xml:space="preserve"> </w:t>
      </w:r>
      <w:r>
        <w:rPr>
          <w:rFonts w:hint="eastAsia"/>
        </w:rPr>
        <w:t xml:space="preserve">の上では2.99から4.05（モデル直値4.49）に、LTDA</w:t>
      </w:r>
      <w:r>
        <w:t xml:space="preserve"> </w:t>
      </w:r>
      <w:r>
        <w:rPr>
          <w:rFonts w:hint="eastAsia"/>
        </w:rPr>
        <w:t xml:space="preserve">の北海道の落札分を加えた87.4万kW</w:t>
      </w:r>
      <w:r>
        <w:t xml:space="preserve"> </w:t>
      </w:r>
      <w:r>
        <w:rPr>
          <w:rFonts w:hint="eastAsia"/>
        </w:rPr>
        <w:t xml:space="preserve">の上では約26（第3回の別解による76.8万kW</w:t>
      </w:r>
      <w:r>
        <w:t xml:space="preserve"> </w:t>
      </w:r>
      <w:r>
        <w:rPr>
          <w:rFonts w:hint="eastAsia"/>
        </w:rPr>
        <w:t xml:space="preserve">では約17）に上がる。粗収益はどの</w:t>
      </w:r>
      <w:r>
        <w:t xml:space="preserve"> </w:t>
      </w:r>
      <m:oMath>
        <m:sSub>
          <m:e>
            <m:r>
              <m:t>K</m:t>
            </m:r>
          </m:e>
          <m:sub>
            <m:r>
              <m:rPr>
                <m:sty m:val="p"/>
              </m:rPr>
              <m:t>e</m:t>
            </m:r>
            <m:r>
              <m:rPr>
                <m:sty m:val="p"/>
              </m:rPr>
              <m:t>x</m:t>
            </m:r>
            <m:r>
              <m:rPr>
                <m:sty m:val="p"/>
              </m:rPr>
              <m:t>o</m:t>
            </m:r>
          </m:sub>
        </m:sSub>
      </m:oMath>
      <w:r>
        <w:t xml:space="preserve"> </w:t>
      </w:r>
      <w:r>
        <w:t xml:space="preserve">でも</w:t>
      </w:r>
      <w:r>
        <w:t xml:space="preserve"> </w:t>
      </w:r>
      <m:oMath>
        <m:r>
          <m:t>θ</m:t>
        </m:r>
      </m:oMath>
      <w:r>
        <w:t xml:space="preserve"> </w:t>
      </w:r>
      <w:r>
        <w:rPr>
          <w:rFonts w:hint="eastAsia"/>
        </w:rPr>
        <w:t xml:space="preserve">に比例する。ただし</w:t>
      </w:r>
      <w:r>
        <w:t xml:space="preserve"> </w:t>
      </w:r>
      <m:oMath>
        <m:sSub>
          <m:e>
            <m:r>
              <m:t>K</m:t>
            </m:r>
          </m:e>
          <m:sub>
            <m:r>
              <m:rPr>
                <m:sty m:val="p"/>
              </m:rPr>
              <m:t>e</m:t>
            </m:r>
            <m:r>
              <m:rPr>
                <m:sty m:val="p"/>
              </m:rPr>
              <m:t>x</m:t>
            </m:r>
            <m:r>
              <m:rPr>
                <m:sty m:val="p"/>
              </m:rPr>
              <m:t>o</m:t>
            </m:r>
          </m:sub>
        </m:sSub>
      </m:oMath>
      <w:r>
        <w:t xml:space="preserve"> </w:t>
      </w:r>
      <w:r>
        <w:rPr>
          <w:rFonts w:hint="eastAsia"/>
        </w:rPr>
        <w:t xml:space="preserve">が大きい領域は、粗収益が小さく、推定範囲外への外挿の性格が強い。</w:t>
      </w:r>
    </w:p>
    <w:p>
      <w:pPr>
        <w:pStyle w:val="TableCaption"/>
      </w:pPr>
      <w:r>
        <w:rPr>
          <w:rFonts w:hint="eastAsia"/>
        </w:rPr>
        <w:t xml:space="preserve">表C.26</w:t>
      </w:r>
      <w:r>
        <w:t xml:space="preserve">　</w:t>
      </w:r>
      <w:r>
        <w:rPr>
          <w:rFonts w:hint="eastAsia"/>
        </w:rPr>
        <w:t xml:space="preserve">風力導入量と蓄電池容量の2次元の感応度面</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6　風力導入量と蓄電池容量の2次元の感応度面"/>
      </w:tblPr>
      <w:tblGrid>
        <w:gridCol w:w="1320"/>
        <w:gridCol w:w="1320"/>
        <w:gridCol w:w="1320"/>
        <w:gridCol w:w="1320"/>
        <w:gridCol w:w="1320"/>
        <w:gridCol w:w="1320"/>
      </w:tblGrid>
      <w:tr>
        <w:trPr>
          <w:tblHeader w:val="on"/>
        </w:trPr>
        <w:tc>
          <w:tcPr>
            <w:tcBorders>
              <w:bottom w:val="single" w:sz="6" w:color="000000"/>
            </w:tcBorders>
          </w:tcPr>
          <w:p>
            <w:pPr>
              <w:pStyle w:val="Compact"/>
            </w:pPr>
            <m:oMath>
              <m:r>
                <m:t>K</m:t>
              </m:r>
            </m:oMath>
            <w:r>
              <w:rPr>
                <w:rFonts w:hint="eastAsia"/>
                <w:sz w:val="18"/>
              </w:rPr>
              <w:t xml:space="preserve">（万kW、4時間）</w:t>
            </w:r>
          </w:p>
        </w:tc>
        <w:tc>
          <w:tcPr>
            <w:tcBorders>
              <w:bottom w:val="single" w:sz="6" w:color="000000"/>
            </w:tcBorders>
          </w:tcPr>
          <w:p>
            <w:pPr>
              <w:pStyle w:val="Compact"/>
            </w:pPr>
            <w:r>
              <w:rPr>
                <w:rFonts w:hint="eastAsia"/>
                <w:sz w:val="18"/>
              </w:rPr>
              <w:t xml:space="preserve">風力×0.5（61万kW）</w:t>
            </w:r>
          </w:p>
        </w:tc>
        <w:tc>
          <w:tcPr>
            <w:tcBorders>
              <w:bottom w:val="single" w:sz="6" w:color="000000"/>
            </w:tcBorders>
          </w:tcPr>
          <w:p>
            <w:pPr>
              <w:pStyle w:val="Compact"/>
            </w:pPr>
            <w:r>
              <w:rPr>
                <w:rFonts w:hint="eastAsia"/>
                <w:sz w:val="18"/>
              </w:rPr>
              <w:t xml:space="preserve">×1（121万kW）</w:t>
            </w:r>
          </w:p>
        </w:tc>
        <w:tc>
          <w:tcPr>
            <w:tcBorders>
              <w:bottom w:val="single" w:sz="6" w:color="000000"/>
            </w:tcBorders>
          </w:tcPr>
          <w:p>
            <w:pPr>
              <w:pStyle w:val="Compact"/>
            </w:pPr>
            <w:r>
              <w:rPr>
                <w:rFonts w:hint="eastAsia"/>
                <w:sz w:val="18"/>
              </w:rPr>
              <w:t xml:space="preserve">×1.5（182万kW）</w:t>
            </w:r>
          </w:p>
        </w:tc>
        <w:tc>
          <w:tcPr>
            <w:tcBorders>
              <w:bottom w:val="single" w:sz="6" w:color="000000"/>
            </w:tcBorders>
          </w:tcPr>
          <w:p>
            <w:pPr>
              <w:pStyle w:val="Compact"/>
            </w:pPr>
            <w:r>
              <w:rPr>
                <w:rFonts w:hint="eastAsia"/>
                <w:sz w:val="18"/>
              </w:rPr>
              <w:t xml:space="preserve">×2（242万kW）</w:t>
            </w:r>
          </w:p>
        </w:tc>
        <w:tc>
          <w:tcPr>
            <w:tcBorders>
              <w:bottom w:val="single" w:sz="6" w:color="000000"/>
            </w:tcBorders>
          </w:tcPr>
          <w:p>
            <w:pPr>
              <w:pStyle w:val="Compact"/>
            </w:pPr>
            <w:r>
              <w:rPr>
                <w:rFonts w:hint="eastAsia"/>
                <w:sz w:val="18"/>
              </w:rPr>
              <w:t xml:space="preserve">×3（363万kW）</w:t>
            </w:r>
          </w:p>
        </w:tc>
      </w:tr>
      <w:tr>
        <w:tc>
          <w:tcPr/>
          <w:p>
            <w:pPr>
              <w:pStyle w:val="Compact"/>
            </w:pPr>
            <w:r>
              <w:rPr>
                <w:rFonts w:hint="eastAsia"/>
                <w:b/>
                <w:bCs/>
                <w:sz w:val="18"/>
              </w:rPr>
              <w:t xml:space="preserve">パネルA：仕様A′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8"/>
              </w:rPr>
              <w:t xml:space="preserve">0</w:t>
            </w:r>
          </w:p>
        </w:tc>
        <w:tc>
          <w:tcPr/>
          <w:p>
            <w:pPr>
              <w:pStyle w:val="Compact"/>
            </w:pPr>
            <w:r>
              <w:rPr>
                <w:sz w:val="18"/>
              </w:rPr>
              <w:t xml:space="preserve">6,758 / 7,120</w:t>
            </w:r>
          </w:p>
        </w:tc>
        <w:tc>
          <w:tcPr/>
          <w:p>
            <w:pPr>
              <w:pStyle w:val="Compact"/>
            </w:pPr>
            <w:r>
              <w:rPr>
                <w:sz w:val="18"/>
              </w:rPr>
              <w:t xml:space="preserve">6,675 / 7,009</w:t>
            </w:r>
          </w:p>
        </w:tc>
        <w:tc>
          <w:tcPr/>
          <w:p>
            <w:pPr>
              <w:pStyle w:val="Compact"/>
            </w:pPr>
            <w:r>
              <w:rPr>
                <w:sz w:val="18"/>
              </w:rPr>
              <w:t xml:space="preserve">6,632 / 6,872</w:t>
            </w:r>
          </w:p>
        </w:tc>
        <w:tc>
          <w:tcPr/>
          <w:p>
            <w:pPr>
              <w:pStyle w:val="Compact"/>
            </w:pPr>
            <w:r>
              <w:rPr>
                <w:sz w:val="18"/>
              </w:rPr>
              <w:t xml:space="preserve">6,622 / 6,629</w:t>
            </w:r>
          </w:p>
        </w:tc>
        <w:tc>
          <w:tcPr/>
          <w:p>
            <w:pPr>
              <w:pStyle w:val="Compact"/>
            </w:pPr>
            <w:r>
              <w:rPr>
                <w:sz w:val="18"/>
              </w:rPr>
              <w:t xml:space="preserve">6,434 / 5,516</w:t>
            </w:r>
          </w:p>
        </w:tc>
      </w:tr>
      <w:tr>
        <w:tc>
          <w:tcPr/>
          <w:p>
            <w:pPr>
              <w:pStyle w:val="Compact"/>
            </w:pPr>
            <w:r>
              <w:rPr>
                <w:sz w:val="18"/>
              </w:rPr>
              <w:t xml:space="preserve">25</w:t>
            </w:r>
          </w:p>
        </w:tc>
        <w:tc>
          <w:tcPr/>
          <w:p>
            <w:pPr>
              <w:pStyle w:val="Compact"/>
            </w:pPr>
            <w:r>
              <w:rPr>
                <w:sz w:val="18"/>
              </w:rPr>
              <w:t xml:space="preserve">4,100 / 4,776</w:t>
            </w:r>
          </w:p>
        </w:tc>
        <w:tc>
          <w:tcPr/>
          <w:p>
            <w:pPr>
              <w:pStyle w:val="Compact"/>
            </w:pPr>
            <w:r>
              <w:rPr>
                <w:sz w:val="18"/>
              </w:rPr>
              <w:t xml:space="preserve">4,153 / 4,699</w:t>
            </w:r>
          </w:p>
        </w:tc>
        <w:tc>
          <w:tcPr/>
          <w:p>
            <w:pPr>
              <w:pStyle w:val="Compact"/>
            </w:pPr>
            <w:r>
              <w:rPr>
                <w:sz w:val="18"/>
              </w:rPr>
              <w:t xml:space="preserve">4,238 / 4,645</w:t>
            </w:r>
          </w:p>
        </w:tc>
        <w:tc>
          <w:tcPr/>
          <w:p>
            <w:pPr>
              <w:pStyle w:val="Compact"/>
            </w:pPr>
            <w:r>
              <w:rPr>
                <w:sz w:val="18"/>
              </w:rPr>
              <w:t xml:space="preserve">4,417 / 4,644</w:t>
            </w:r>
          </w:p>
        </w:tc>
        <w:tc>
          <w:tcPr/>
          <w:p>
            <w:pPr>
              <w:pStyle w:val="Compact"/>
            </w:pPr>
            <w:r>
              <w:rPr>
                <w:sz w:val="18"/>
              </w:rPr>
              <w:t xml:space="preserve">4,500 / 3,907</w:t>
            </w:r>
          </w:p>
        </w:tc>
      </w:tr>
      <w:tr>
        <w:tc>
          <w:tcPr/>
          <w:p>
            <w:pPr>
              <w:pStyle w:val="Compact"/>
            </w:pPr>
            <w:r>
              <w:rPr>
                <w:sz w:val="18"/>
              </w:rPr>
              <w:t xml:space="preserve">50</w:t>
            </w:r>
          </w:p>
        </w:tc>
        <w:tc>
          <w:tcPr/>
          <w:p>
            <w:pPr>
              <w:pStyle w:val="Compact"/>
            </w:pPr>
            <w:r>
              <w:rPr>
                <w:sz w:val="18"/>
              </w:rPr>
              <w:t xml:space="preserve">1,740 / 2,676</w:t>
            </w:r>
          </w:p>
        </w:tc>
        <w:tc>
          <w:tcPr/>
          <w:p>
            <w:pPr>
              <w:pStyle w:val="Compact"/>
            </w:pPr>
            <w:r>
              <w:rPr>
                <w:sz w:val="18"/>
              </w:rPr>
              <w:t xml:space="preserve">1,888 / 2,664</w:t>
            </w:r>
          </w:p>
        </w:tc>
        <w:tc>
          <w:tcPr/>
          <w:p>
            <w:pPr>
              <w:pStyle w:val="Compact"/>
            </w:pPr>
            <w:r>
              <w:rPr>
                <w:sz w:val="18"/>
              </w:rPr>
              <w:t xml:space="preserve">2,150 / 2,696</w:t>
            </w:r>
          </w:p>
        </w:tc>
        <w:tc>
          <w:tcPr/>
          <w:p>
            <w:pPr>
              <w:pStyle w:val="Compact"/>
            </w:pPr>
            <w:r>
              <w:rPr>
                <w:sz w:val="18"/>
              </w:rPr>
              <w:t xml:space="preserve">2,388 / 2,725</w:t>
            </w:r>
          </w:p>
        </w:tc>
        <w:tc>
          <w:tcPr/>
          <w:p>
            <w:pPr>
              <w:pStyle w:val="Compact"/>
            </w:pPr>
            <w:r>
              <w:rPr>
                <w:sz w:val="18"/>
              </w:rPr>
              <w:t xml:space="preserve">2,700 / 2,454</w:t>
            </w:r>
          </w:p>
        </w:tc>
      </w:tr>
      <w:tr>
        <w:tc>
          <w:tcPr/>
          <w:p>
            <w:pPr>
              <w:pStyle w:val="Compact"/>
            </w:pPr>
            <w:r>
              <w:rPr>
                <w:sz w:val="18"/>
              </w:rPr>
              <w:t xml:space="preserve">100</w:t>
            </w:r>
          </w:p>
        </w:tc>
        <w:tc>
          <w:tcPr/>
          <w:p>
            <w:pPr>
              <w:pStyle w:val="Compact"/>
            </w:pPr>
            <w:r>
              <w:rPr>
                <w:sz w:val="18"/>
              </w:rPr>
              <w:t xml:space="preserve">−1,112 / −302</w:t>
            </w:r>
          </w:p>
        </w:tc>
        <w:tc>
          <w:tcPr/>
          <w:p>
            <w:pPr>
              <w:pStyle w:val="Compact"/>
            </w:pPr>
            <w:r>
              <w:rPr>
                <w:sz w:val="18"/>
              </w:rPr>
              <w:t xml:space="preserve">−949 / −210</w:t>
            </w:r>
          </w:p>
        </w:tc>
        <w:tc>
          <w:tcPr/>
          <w:p>
            <w:pPr>
              <w:pStyle w:val="Compact"/>
            </w:pPr>
            <w:r>
              <w:rPr>
                <w:sz w:val="18"/>
              </w:rPr>
              <w:t xml:space="preserve">−687 / −120</w:t>
            </w:r>
          </w:p>
        </w:tc>
        <w:tc>
          <w:tcPr/>
          <w:p>
            <w:pPr>
              <w:pStyle w:val="Compact"/>
            </w:pPr>
            <w:r>
              <w:rPr>
                <w:sz w:val="18"/>
              </w:rPr>
              <w:t xml:space="preserve">−395 / −86</w:t>
            </w:r>
          </w:p>
        </w:tc>
        <w:tc>
          <w:tcPr/>
          <w:p>
            <w:pPr>
              <w:pStyle w:val="Compact"/>
            </w:pPr>
            <w:r>
              <w:rPr>
                <w:sz w:val="18"/>
              </w:rPr>
              <w:t xml:space="preserve">+24 / +46</w:t>
            </w:r>
          </w:p>
        </w:tc>
      </w:tr>
      <w:tr>
        <w:tc>
          <w:tcPr/>
          <w:p>
            <w:pPr>
              <w:pStyle w:val="Compact"/>
            </w:pPr>
            <w:r>
              <w:rPr>
                <w:sz w:val="18"/>
              </w:rPr>
              <w:t xml:space="preserve">150</w:t>
            </w:r>
          </w:p>
        </w:tc>
        <w:tc>
          <w:tcPr/>
          <w:p>
            <w:pPr>
              <w:pStyle w:val="Compact"/>
            </w:pPr>
            <w:r>
              <w:rPr>
                <w:sz w:val="18"/>
              </w:rPr>
              <w:t xml:space="preserve">−1,931 / −1,538</w:t>
            </w:r>
          </w:p>
        </w:tc>
        <w:tc>
          <w:tcPr/>
          <w:p>
            <w:pPr>
              <w:pStyle w:val="Compact"/>
            </w:pPr>
            <w:r>
              <w:rPr>
                <w:sz w:val="18"/>
              </w:rPr>
              <w:t xml:space="preserve">−1,870 / −1,508</w:t>
            </w:r>
          </w:p>
        </w:tc>
        <w:tc>
          <w:tcPr/>
          <w:p>
            <w:pPr>
              <w:pStyle w:val="Compact"/>
            </w:pPr>
            <w:r>
              <w:rPr>
                <w:sz w:val="18"/>
              </w:rPr>
              <w:t xml:space="preserve">−1,772 / −1,481</w:t>
            </w:r>
          </w:p>
        </w:tc>
        <w:tc>
          <w:tcPr/>
          <w:p>
            <w:pPr>
              <w:pStyle w:val="Compact"/>
            </w:pPr>
            <w:r>
              <w:rPr>
                <w:sz w:val="18"/>
              </w:rPr>
              <w:t xml:space="preserve">−1,623 / −1,469</w:t>
            </w:r>
          </w:p>
        </w:tc>
        <w:tc>
          <w:tcPr/>
          <w:p>
            <w:pPr>
              <w:pStyle w:val="Compact"/>
            </w:pPr>
            <w:r>
              <w:rPr>
                <w:sz w:val="18"/>
              </w:rPr>
              <w:t xml:space="preserve">−1,342 / −1,258</w:t>
            </w:r>
          </w:p>
        </w:tc>
      </w:tr>
      <w:tr>
        <w:tc>
          <w:tcPr/>
          <w:p>
            <w:pPr>
              <w:pStyle w:val="Compact"/>
            </w:pPr>
            <m:oMath>
              <m:r>
                <m:t>π</m:t>
              </m:r>
              <m:r>
                <m:rPr>
                  <m:sty m:val="p"/>
                </m:rPr>
                <m:t>=</m:t>
              </m:r>
              <m:r>
                <m:t>0</m:t>
              </m:r>
            </m:oMath>
            <w:r>
              <w:rPr>
                <w:sz w:val="18"/>
              </w:rPr>
              <w:t xml:space="preserve"> </w:t>
            </w:r>
            <w:r>
              <w:rPr>
                <w:sz w:val="18"/>
              </w:rPr>
              <w:t xml:space="preserve">の</w:t>
            </w:r>
            <w:r>
              <w:rPr>
                <w:sz w:val="18"/>
              </w:rPr>
              <w:t xml:space="preserve"> </w:t>
            </w:r>
            <m:oMath>
              <m:r>
                <m:t>K</m:t>
              </m:r>
            </m:oMath>
            <w:r>
              <w:rPr>
                <w:rFonts w:hint="eastAsia"/>
                <w:sz w:val="18"/>
              </w:rPr>
              <w:t xml:space="preserve">（万kW）</w:t>
            </w:r>
          </w:p>
        </w:tc>
        <w:tc>
          <w:tcPr/>
          <w:p>
            <w:pPr>
              <w:pStyle w:val="Compact"/>
            </w:pPr>
            <w:r>
              <w:rPr>
                <w:sz w:val="18"/>
              </w:rPr>
              <w:t xml:space="preserve">74.3 / 93.0</w:t>
            </w:r>
          </w:p>
        </w:tc>
        <w:tc>
          <w:tcPr/>
          <w:p>
            <w:pPr>
              <w:pStyle w:val="Compact"/>
            </w:pPr>
            <w:r>
              <w:rPr>
                <w:sz w:val="18"/>
              </w:rPr>
              <w:t xml:space="preserve">77.8 / 94.6</w:t>
            </w:r>
          </w:p>
        </w:tc>
        <w:tc>
          <w:tcPr/>
          <w:p>
            <w:pPr>
              <w:pStyle w:val="Compact"/>
            </w:pPr>
            <w:r>
              <w:rPr>
                <w:sz w:val="18"/>
              </w:rPr>
              <w:t xml:space="preserve">83.5 / 97.0</w:t>
            </w:r>
          </w:p>
        </w:tc>
        <w:tc>
          <w:tcPr/>
          <w:p>
            <w:pPr>
              <w:pStyle w:val="Compact"/>
            </w:pPr>
            <w:r>
              <w:rPr>
                <w:sz w:val="18"/>
              </w:rPr>
              <w:t xml:space="preserve">90.5 / 98.2</w:t>
            </w:r>
          </w:p>
        </w:tc>
        <w:tc>
          <w:tcPr/>
          <w:p>
            <w:pPr>
              <w:pStyle w:val="Compact"/>
            </w:pPr>
            <w:r>
              <w:rPr>
                <w:sz w:val="18"/>
              </w:rPr>
              <w:t xml:space="preserve">100.4 / 101.2</w:t>
            </w:r>
          </w:p>
        </w:tc>
      </w:tr>
      <w:tr>
        <w:tc>
          <w:tcPr/>
          <w:p>
            <w:pPr>
              <w:pStyle w:val="Compact"/>
            </w:pPr>
            <w:r>
              <w:rPr>
                <w:rFonts w:hint="eastAsia"/>
                <w:b/>
                <w:bCs/>
                <w:sz w:val="18"/>
              </w:rPr>
              <w:t xml:space="preserve">パネルB：仕様A（段差）</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8"/>
              </w:rPr>
              <w:t xml:space="preserve">0</w:t>
            </w:r>
          </w:p>
        </w:tc>
        <w:tc>
          <w:tcPr/>
          <w:p>
            <w:pPr>
              <w:pStyle w:val="Compact"/>
            </w:pPr>
            <w:r>
              <w:rPr>
                <w:sz w:val="18"/>
              </w:rPr>
              <w:t xml:space="preserve">6,570 / 7,044</w:t>
            </w:r>
          </w:p>
        </w:tc>
        <w:tc>
          <w:tcPr/>
          <w:p>
            <w:pPr>
              <w:pStyle w:val="Compact"/>
            </w:pPr>
            <w:r>
              <w:rPr>
                <w:sz w:val="18"/>
              </w:rPr>
              <w:t xml:space="preserve">6,675 / 7,156</w:t>
            </w:r>
          </w:p>
        </w:tc>
        <w:tc>
          <w:tcPr/>
          <w:p>
            <w:pPr>
              <w:pStyle w:val="Compact"/>
            </w:pPr>
            <w:r>
              <w:rPr>
                <w:sz w:val="18"/>
              </w:rPr>
              <w:t xml:space="preserve">6,752 / 7,177</w:t>
            </w:r>
          </w:p>
        </w:tc>
        <w:tc>
          <w:tcPr/>
          <w:p>
            <w:pPr>
              <w:pStyle w:val="Compact"/>
            </w:pPr>
            <w:r>
              <w:rPr>
                <w:sz w:val="18"/>
              </w:rPr>
              <w:t xml:space="preserve">6,828 / 7,026</w:t>
            </w:r>
          </w:p>
        </w:tc>
        <w:tc>
          <w:tcPr/>
          <w:p>
            <w:pPr>
              <w:pStyle w:val="Compact"/>
            </w:pPr>
            <w:r>
              <w:rPr>
                <w:sz w:val="18"/>
              </w:rPr>
              <w:t xml:space="preserve">6,738 / 5,940</w:t>
            </w:r>
          </w:p>
        </w:tc>
      </w:tr>
      <w:tr>
        <w:tc>
          <w:tcPr/>
          <w:p>
            <w:pPr>
              <w:pStyle w:val="Compact"/>
            </w:pPr>
            <w:r>
              <w:rPr>
                <w:sz w:val="18"/>
              </w:rPr>
              <w:t xml:space="preserve">25</w:t>
            </w:r>
          </w:p>
        </w:tc>
        <w:tc>
          <w:tcPr/>
          <w:p>
            <w:pPr>
              <w:pStyle w:val="Compact"/>
            </w:pPr>
            <w:r>
              <w:rPr>
                <w:sz w:val="18"/>
              </w:rPr>
              <w:t xml:space="preserve">3,687 / 4,469</w:t>
            </w:r>
          </w:p>
        </w:tc>
        <w:tc>
          <w:tcPr/>
          <w:p>
            <w:pPr>
              <w:pStyle w:val="Compact"/>
            </w:pPr>
            <w:r>
              <w:rPr>
                <w:sz w:val="18"/>
              </w:rPr>
              <w:t xml:space="preserve">3,923 / 4,620</w:t>
            </w:r>
          </w:p>
        </w:tc>
        <w:tc>
          <w:tcPr/>
          <w:p>
            <w:pPr>
              <w:pStyle w:val="Compact"/>
            </w:pPr>
            <w:r>
              <w:rPr>
                <w:sz w:val="18"/>
              </w:rPr>
              <w:t xml:space="preserve">4,120 / 4,728</w:t>
            </w:r>
          </w:p>
        </w:tc>
        <w:tc>
          <w:tcPr/>
          <w:p>
            <w:pPr>
              <w:pStyle w:val="Compact"/>
            </w:pPr>
            <w:r>
              <w:rPr>
                <w:sz w:val="18"/>
              </w:rPr>
              <w:t xml:space="preserve">4,405 / 4,826</w:t>
            </w:r>
          </w:p>
        </w:tc>
        <w:tc>
          <w:tcPr/>
          <w:p>
            <w:pPr>
              <w:pStyle w:val="Compact"/>
            </w:pPr>
            <w:r>
              <w:rPr>
                <w:sz w:val="18"/>
              </w:rPr>
              <w:t xml:space="preserve">4,616 / 4,170</w:t>
            </w:r>
          </w:p>
        </w:tc>
      </w:tr>
      <w:tr>
        <w:tc>
          <w:tcPr/>
          <w:p>
            <w:pPr>
              <w:pStyle w:val="Compact"/>
            </w:pPr>
            <w:r>
              <w:rPr>
                <w:sz w:val="18"/>
              </w:rPr>
              <w:t xml:space="preserve">50</w:t>
            </w:r>
          </w:p>
        </w:tc>
        <w:tc>
          <w:tcPr/>
          <w:p>
            <w:pPr>
              <w:pStyle w:val="Compact"/>
            </w:pPr>
            <w:r>
              <w:rPr>
                <w:sz w:val="18"/>
              </w:rPr>
              <w:t xml:space="preserve">1,238 / 2,250</w:t>
            </w:r>
          </w:p>
        </w:tc>
        <w:tc>
          <w:tcPr/>
          <w:p>
            <w:pPr>
              <w:pStyle w:val="Compact"/>
            </w:pPr>
            <w:r>
              <w:rPr>
                <w:sz w:val="18"/>
              </w:rPr>
              <w:t xml:space="preserve">1,510 / 2,426</w:t>
            </w:r>
          </w:p>
        </w:tc>
        <w:tc>
          <w:tcPr/>
          <w:p>
            <w:pPr>
              <w:pStyle w:val="Compact"/>
            </w:pPr>
            <w:r>
              <w:rPr>
                <w:sz w:val="18"/>
              </w:rPr>
              <w:t xml:space="preserve">1,891 / 2,585</w:t>
            </w:r>
          </w:p>
        </w:tc>
        <w:tc>
          <w:tcPr/>
          <w:p>
            <w:pPr>
              <w:pStyle w:val="Compact"/>
            </w:pPr>
            <w:r>
              <w:rPr>
                <w:sz w:val="18"/>
              </w:rPr>
              <w:t xml:space="preserve">2,197 / 2,734</w:t>
            </w:r>
          </w:p>
        </w:tc>
        <w:tc>
          <w:tcPr/>
          <w:p>
            <w:pPr>
              <w:pStyle w:val="Compact"/>
            </w:pPr>
            <w:r>
              <w:rPr>
                <w:sz w:val="18"/>
              </w:rPr>
              <w:t xml:space="preserve">2,676 / 2,564</w:t>
            </w:r>
          </w:p>
        </w:tc>
      </w:tr>
      <w:tr>
        <w:tc>
          <w:tcPr/>
          <w:p>
            <w:pPr>
              <w:pStyle w:val="Compact"/>
            </w:pPr>
            <w:r>
              <w:rPr>
                <w:sz w:val="18"/>
              </w:rPr>
              <w:t xml:space="preserve">100</w:t>
            </w:r>
          </w:p>
        </w:tc>
        <w:tc>
          <w:tcPr/>
          <w:p>
            <w:pPr>
              <w:pStyle w:val="Compact"/>
            </w:pPr>
            <w:r>
              <w:rPr>
                <w:sz w:val="18"/>
              </w:rPr>
              <w:t xml:space="preserve">−1,407 / −572</w:t>
            </w:r>
          </w:p>
        </w:tc>
        <w:tc>
          <w:tcPr/>
          <w:p>
            <w:pPr>
              <w:pStyle w:val="Compact"/>
            </w:pPr>
            <w:r>
              <w:rPr>
                <w:sz w:val="18"/>
              </w:rPr>
              <w:t xml:space="preserve">−1,202 / −417</w:t>
            </w:r>
          </w:p>
        </w:tc>
        <w:tc>
          <w:tcPr/>
          <w:p>
            <w:pPr>
              <w:pStyle w:val="Compact"/>
            </w:pPr>
            <w:r>
              <w:rPr>
                <w:sz w:val="18"/>
              </w:rPr>
              <w:t xml:space="preserve">−912 / −269</w:t>
            </w:r>
          </w:p>
        </w:tc>
        <w:tc>
          <w:tcPr/>
          <w:p>
            <w:pPr>
              <w:pStyle w:val="Compact"/>
            </w:pPr>
            <w:r>
              <w:rPr>
                <w:sz w:val="18"/>
              </w:rPr>
              <w:t xml:space="preserve">−560 / −168</w:t>
            </w:r>
          </w:p>
        </w:tc>
        <w:tc>
          <w:tcPr/>
          <w:p>
            <w:pPr>
              <w:pStyle w:val="Compact"/>
            </w:pPr>
            <w:r>
              <w:rPr>
                <w:sz w:val="18"/>
              </w:rPr>
              <w:t xml:space="preserve">−68 / +78</w:t>
            </w:r>
          </w:p>
        </w:tc>
      </w:tr>
      <w:tr>
        <w:tc>
          <w:tcPr/>
          <w:p>
            <w:pPr>
              <w:pStyle w:val="Compact"/>
            </w:pPr>
            <w:r>
              <w:rPr>
                <w:sz w:val="18"/>
              </w:rPr>
              <w:t xml:space="preserve">150</w:t>
            </w:r>
          </w:p>
        </w:tc>
        <w:tc>
          <w:tcPr/>
          <w:p>
            <w:pPr>
              <w:pStyle w:val="Compact"/>
            </w:pPr>
            <w:r>
              <w:rPr>
                <w:sz w:val="18"/>
              </w:rPr>
              <w:t xml:space="preserve">−2,041 / −1,630</w:t>
            </w:r>
          </w:p>
        </w:tc>
        <w:tc>
          <w:tcPr/>
          <w:p>
            <w:pPr>
              <w:pStyle w:val="Compact"/>
            </w:pPr>
            <w:r>
              <w:rPr>
                <w:sz w:val="18"/>
              </w:rPr>
              <w:t xml:space="preserve">−1,964 / −1,582</w:t>
            </w:r>
          </w:p>
        </w:tc>
        <w:tc>
          <w:tcPr/>
          <w:p>
            <w:pPr>
              <w:pStyle w:val="Compact"/>
            </w:pPr>
            <w:r>
              <w:rPr>
                <w:sz w:val="18"/>
              </w:rPr>
              <w:t xml:space="preserve">−1,863 / −1,513</w:t>
            </w:r>
          </w:p>
        </w:tc>
        <w:tc>
          <w:tcPr/>
          <w:p>
            <w:pPr>
              <w:pStyle w:val="Compact"/>
            </w:pPr>
            <w:r>
              <w:rPr>
                <w:sz w:val="18"/>
              </w:rPr>
              <w:t xml:space="preserve">−1,723 / −1,465</w:t>
            </w:r>
          </w:p>
        </w:tc>
        <w:tc>
          <w:tcPr/>
          <w:p>
            <w:pPr>
              <w:pStyle w:val="Compact"/>
            </w:pPr>
            <w:r>
              <w:rPr>
                <w:sz w:val="18"/>
              </w:rPr>
              <w:t xml:space="preserve">−1,374 / −1,290</w:t>
            </w:r>
          </w:p>
        </w:tc>
      </w:tr>
      <w:tr>
        <w:tc>
          <w:tcPr/>
          <w:p>
            <w:pPr>
              <w:pStyle w:val="Compact"/>
            </w:pPr>
            <m:oMath>
              <m:r>
                <m:t>π</m:t>
              </m:r>
              <m:r>
                <m:rPr>
                  <m:sty m:val="p"/>
                </m:rPr>
                <m:t>=</m:t>
              </m:r>
              <m:r>
                <m:t>0</m:t>
              </m:r>
            </m:oMath>
            <w:r>
              <w:rPr>
                <w:sz w:val="18"/>
              </w:rPr>
              <w:t xml:space="preserve"> </w:t>
            </w:r>
            <w:r>
              <w:rPr>
                <w:sz w:val="18"/>
              </w:rPr>
              <w:t xml:space="preserve">の</w:t>
            </w:r>
            <w:r>
              <w:rPr>
                <w:sz w:val="18"/>
              </w:rPr>
              <w:t xml:space="preserve"> </w:t>
            </w:r>
            <m:oMath>
              <m:r>
                <m:t>K</m:t>
              </m:r>
            </m:oMath>
            <w:r>
              <w:rPr>
                <w:rFonts w:hint="eastAsia"/>
                <w:sz w:val="18"/>
              </w:rPr>
              <w:t xml:space="preserve">（万kW）</w:t>
            </w:r>
          </w:p>
        </w:tc>
        <w:tc>
          <w:tcPr/>
          <w:p>
            <w:pPr>
              <w:pStyle w:val="Compact"/>
            </w:pPr>
            <w:r>
              <w:rPr>
                <w:sz w:val="18"/>
              </w:rPr>
              <w:t xml:space="preserve">66.8 / 85.5</w:t>
            </w:r>
          </w:p>
        </w:tc>
        <w:tc>
          <w:tcPr/>
          <w:p>
            <w:pPr>
              <w:pStyle w:val="Compact"/>
            </w:pPr>
            <w:r>
              <w:rPr>
                <w:sz w:val="18"/>
              </w:rPr>
              <w:t xml:space="preserve">71.5 / 89.6</w:t>
            </w:r>
          </w:p>
        </w:tc>
        <w:tc>
          <w:tcPr/>
          <w:p>
            <w:pPr>
              <w:pStyle w:val="Compact"/>
            </w:pPr>
            <w:r>
              <w:rPr>
                <w:sz w:val="18"/>
              </w:rPr>
              <w:t xml:space="preserve">78.2 / 93.3</w:t>
            </w:r>
          </w:p>
        </w:tc>
        <w:tc>
          <w:tcPr/>
          <w:p>
            <w:pPr>
              <w:pStyle w:val="Compact"/>
            </w:pPr>
            <w:r>
              <w:rPr>
                <w:sz w:val="18"/>
              </w:rPr>
              <w:t xml:space="preserve">86.5 / 96.1</w:t>
            </w:r>
          </w:p>
        </w:tc>
        <w:tc>
          <w:tcPr/>
          <w:p>
            <w:pPr>
              <w:pStyle w:val="Compact"/>
            </w:pPr>
            <w:r>
              <w:rPr>
                <w:sz w:val="18"/>
              </w:rPr>
              <w:t xml:space="preserve">98.8 / 100.7</w:t>
            </w:r>
          </w:p>
        </w:tc>
      </w:tr>
      <w:tr>
        <w:tc>
          <w:tcPr/>
          <w:p>
            <w:pPr>
              <w:pStyle w:val="Compact"/>
            </w:pPr>
            <w:r>
              <w:rPr>
                <w:rFonts w:hint="eastAsia"/>
                <w:b/>
                <w:bCs/>
                <w:sz w:val="18"/>
              </w:rPr>
              <w:t xml:space="preserve">パネルC：仕様A・下端を線形外挿（下限あり）</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8"/>
              </w:rPr>
              <w:t xml:space="preserve">0</w:t>
            </w:r>
          </w:p>
        </w:tc>
        <w:tc>
          <w:tcPr/>
          <w:p>
            <w:pPr>
              <w:pStyle w:val="Compact"/>
            </w:pPr>
            <w:r>
              <w:rPr>
                <w:sz w:val="18"/>
              </w:rPr>
              <w:t xml:space="preserve">6,597 / 6,758</w:t>
            </w:r>
          </w:p>
        </w:tc>
        <w:tc>
          <w:tcPr/>
          <w:p>
            <w:pPr>
              <w:pStyle w:val="Compact"/>
            </w:pPr>
            <w:r>
              <w:rPr>
                <w:sz w:val="18"/>
              </w:rPr>
              <w:t xml:space="preserve">6,675 / 6,674</w:t>
            </w:r>
          </w:p>
        </w:tc>
        <w:tc>
          <w:tcPr/>
          <w:p>
            <w:pPr>
              <w:pStyle w:val="Compact"/>
            </w:pPr>
            <w:r>
              <w:rPr>
                <w:sz w:val="18"/>
              </w:rPr>
              <w:t xml:space="preserve">6,665 / 6,417</w:t>
            </w:r>
          </w:p>
        </w:tc>
        <w:tc>
          <w:tcPr/>
          <w:p>
            <w:pPr>
              <w:pStyle w:val="Compact"/>
            </w:pPr>
            <w:r>
              <w:rPr>
                <w:sz w:val="18"/>
              </w:rPr>
              <w:t xml:space="preserve">6,623 / 6,052</w:t>
            </w:r>
          </w:p>
        </w:tc>
        <w:tc>
          <w:tcPr/>
          <w:p>
            <w:pPr>
              <w:pStyle w:val="Compact"/>
            </w:pPr>
            <w:r>
              <w:rPr>
                <w:sz w:val="18"/>
              </w:rPr>
              <w:t xml:space="preserve">6,312 / 5,187</w:t>
            </w:r>
          </w:p>
        </w:tc>
      </w:tr>
      <w:tr>
        <w:tc>
          <w:tcPr/>
          <w:p>
            <w:pPr>
              <w:pStyle w:val="Compact"/>
            </w:pPr>
            <w:r>
              <w:rPr>
                <w:sz w:val="18"/>
              </w:rPr>
              <w:t xml:space="preserve">50</w:t>
            </w:r>
          </w:p>
        </w:tc>
        <w:tc>
          <w:tcPr/>
          <w:p>
            <w:pPr>
              <w:pStyle w:val="Compact"/>
            </w:pPr>
            <w:r>
              <w:rPr>
                <w:sz w:val="18"/>
              </w:rPr>
              <w:t xml:space="preserve">1,253 / 2,180</w:t>
            </w:r>
          </w:p>
        </w:tc>
        <w:tc>
          <w:tcPr/>
          <w:p>
            <w:pPr>
              <w:pStyle w:val="Compact"/>
            </w:pPr>
            <w:r>
              <w:rPr>
                <w:sz w:val="18"/>
              </w:rPr>
              <w:t xml:space="preserve">1,524 / 2,280</w:t>
            </w:r>
          </w:p>
        </w:tc>
        <w:tc>
          <w:tcPr/>
          <w:p>
            <w:pPr>
              <w:pStyle w:val="Compact"/>
            </w:pPr>
            <w:r>
              <w:rPr>
                <w:sz w:val="18"/>
              </w:rPr>
              <w:t xml:space="preserve">1,888 / 2,349</w:t>
            </w:r>
          </w:p>
        </w:tc>
        <w:tc>
          <w:tcPr/>
          <w:p>
            <w:pPr>
              <w:pStyle w:val="Compact"/>
            </w:pPr>
            <w:r>
              <w:rPr>
                <w:sz w:val="18"/>
              </w:rPr>
              <w:t xml:space="preserve">2,154 / 2,419</w:t>
            </w:r>
          </w:p>
        </w:tc>
        <w:tc>
          <w:tcPr/>
          <w:p>
            <w:pPr>
              <w:pStyle w:val="Compact"/>
            </w:pPr>
            <w:r>
              <w:rPr>
                <w:sz w:val="18"/>
              </w:rPr>
              <w:t xml:space="preserve">2,493 / 2,313</w:t>
            </w:r>
          </w:p>
        </w:tc>
      </w:tr>
      <w:tr>
        <w:tc>
          <w:tcPr/>
          <w:p>
            <w:pPr>
              <w:pStyle w:val="Compact"/>
            </w:pPr>
            <m:oMath>
              <m:r>
                <m:t>K</m:t>
              </m:r>
              <m:r>
                <m:rPr>
                  <m:sty m:val="p"/>
                </m:rPr>
                <m:t>=</m:t>
              </m:r>
              <m:r>
                <m:t>0</m:t>
              </m:r>
            </m:oMath>
            <w:r>
              <w:rPr>
                <w:sz w:val="18"/>
              </w:rPr>
              <w:t xml:space="preserve"> </w:t>
            </w:r>
            <w:r>
              <w:rPr>
                <w:rFonts w:hint="eastAsia"/>
                <w:sz w:val="18"/>
              </w:rPr>
              <w:t xml:space="preserve">の推定範囲外（%）</w:t>
            </w:r>
          </w:p>
        </w:tc>
        <w:tc>
          <w:tcPr/>
          <w:p>
            <w:pPr>
              <w:pStyle w:val="Compact"/>
            </w:pPr>
            <w:r>
              <w:rPr>
                <w:sz w:val="18"/>
              </w:rPr>
              <w:t xml:space="preserve">0.1 / 3.3</w:t>
            </w:r>
          </w:p>
        </w:tc>
        <w:tc>
          <w:tcPr/>
          <w:p>
            <w:pPr>
              <w:pStyle w:val="Compact"/>
            </w:pPr>
            <w:r>
              <w:rPr>
                <w:sz w:val="18"/>
              </w:rPr>
              <w:t xml:space="preserve">0.2 / 5.2</w:t>
            </w:r>
          </w:p>
        </w:tc>
        <w:tc>
          <w:tcPr/>
          <w:p>
            <w:pPr>
              <w:pStyle w:val="Compact"/>
            </w:pPr>
            <w:r>
              <w:rPr>
                <w:sz w:val="18"/>
              </w:rPr>
              <w:t xml:space="preserve">0.6 / 8.4</w:t>
            </w:r>
          </w:p>
        </w:tc>
        <w:tc>
          <w:tcPr/>
          <w:p>
            <w:pPr>
              <w:pStyle w:val="Compact"/>
            </w:pPr>
            <w:r>
              <w:rPr>
                <w:sz w:val="18"/>
              </w:rPr>
              <w:t xml:space="preserve">1.8 / 13.2</w:t>
            </w:r>
          </w:p>
        </w:tc>
        <w:tc>
          <w:tcPr/>
          <w:p>
            <w:pPr>
              <w:pStyle w:val="Compact"/>
            </w:pPr>
            <w:r>
              <w:rPr>
                <w:sz w:val="18"/>
              </w:rPr>
              <w:t xml:space="preserve">7.0 / 29.5</w:t>
            </w:r>
          </w:p>
        </w:tc>
      </w:tr>
    </w:tbl>
    <w:p>
      <w:pPr>
        <w:pStyle w:val="TableNote"/>
      </w:pPr>
      <w:r>
        <w:rPr>
          <w:rFonts w:hint="eastAsia"/>
        </w:rPr>
        <w:t xml:space="preserve">注）円/kW-年、各セルは泊なし／泊3号の再稼働。水準係数付きの価格過程（</w:t>
      </w:r>
      <m:oMath>
        <m:r>
          <m:t>θ</m:t>
        </m:r>
        <m:r>
          <m:rPr>
            <m:sty m:val="p"/>
          </m:rPr>
          <m:t>=</m:t>
        </m:r>
        <m:r>
          <m:t>1</m:t>
        </m:r>
      </m:oMath>
      <w:r>
        <w:rPr>
          <w:rFonts w:hint="eastAsia"/>
        </w:rPr>
        <w:t xml:space="preserve">）、FY2023〜25</w:t>
      </w:r>
      <w:r>
        <w:t xml:space="preserve"> </w:t>
      </w:r>
      <w:r>
        <w:rPr>
          <w:rFonts w:hint="eastAsia"/>
        </w:rPr>
        <w:t xml:space="preserve">パス、モデル価格の上で戦略</w:t>
      </w:r>
      <w:r>
        <w:t xml:space="preserve"> c </w:t>
      </w:r>
      <w:r>
        <w:rPr>
          <w:rFonts w:hint="eastAsia"/>
        </w:rPr>
        <w:t xml:space="preserve">の粗利を直接計算した実績整合ケース（仕様A</w:t>
      </w:r>
      <w:r>
        <w:t xml:space="preserve"> は</w:t>
      </w:r>
      <w:r>
        <w:t xml:space="preserve"> </w:t>
      </w:r>
      <m:oMath>
        <m:r>
          <m:t>λ</m:t>
        </m:r>
        <m:r>
          <m:rPr>
            <m:sty m:val="p"/>
          </m:rPr>
          <m:t>=</m:t>
        </m:r>
        <m:r>
          <m:t>1.108</m:t>
        </m:r>
      </m:oMath>
      <w:r>
        <w:rPr>
          <w:rFonts w:hint="eastAsia"/>
        </w:rPr>
        <w:t xml:space="preserve">、仕様A′</w:t>
      </w:r>
      <w:r>
        <w:t xml:space="preserve"> </w:t>
      </w:r>
      <w:r>
        <w:rPr>
          <w:rFonts w:hint="eastAsia"/>
        </w:rPr>
        <w:t xml:space="preserve">は1.0015、線形外挿は1.114。いずれも現状・</w:t>
      </w:r>
      <m:oMath>
        <m:r>
          <m:t>K</m:t>
        </m:r>
        <m:r>
          <m:rPr>
            <m:sty m:val="p"/>
          </m:rPr>
          <m:t>=</m:t>
        </m:r>
        <m:r>
          <m:t>0</m:t>
        </m:r>
      </m:oMath>
      <w:r>
        <w:t xml:space="preserve"> </w:t>
      </w:r>
      <w:r>
        <w:rPr>
          <w:rFonts w:hint="eastAsia"/>
        </w:rPr>
        <w:t xml:space="preserve">で実績の戦略</w:t>
      </w:r>
      <w:r>
        <w:t xml:space="preserve"> c </w:t>
      </w:r>
      <w:r>
        <w:rPr>
          <w:rFonts w:hint="eastAsia"/>
        </w:rPr>
        <w:t xml:space="preserve">に一致させる）、増分貪欲（1万kW</w:t>
      </w:r>
      <w:r>
        <w:t xml:space="preserve"> </w:t>
      </w:r>
      <w:r>
        <w:rPr>
          <w:rFonts w:hint="eastAsia"/>
        </w:rPr>
        <w:t xml:space="preserve">刻み）、充電従量負担を控除。推定範囲外は、</w:t>
      </w:r>
      <m:oMath>
        <m:r>
          <m:t>K</m:t>
        </m:r>
        <m:r>
          <m:rPr>
            <m:sty m:val="p"/>
          </m:rPr>
          <m:t>=</m:t>
        </m:r>
        <m:r>
          <m:t>0</m:t>
        </m:r>
      </m:oMath>
      <w:r>
        <w:t xml:space="preserve"> </w:t>
      </w:r>
      <w:r>
        <w:rPr>
          <w:rFonts w:hint="eastAsia"/>
        </w:rPr>
        <w:t xml:space="preserve">で純需要が各季節の最下位ビンの中心より低い時間の割合（三つの扱いで共通）。仕様A′</w:t>
      </w:r>
      <w:r>
        <w:t xml:space="preserve"> </w:t>
      </w:r>
      <w:r>
        <w:rPr>
          <w:rFonts w:hint="eastAsia"/>
        </w:rPr>
        <w:t xml:space="preserve">と下端の線形外挿を組み合わせた計算はしていない。</w:t>
      </w:r>
    </w:p>
    <w:p>
      <w:pPr>
        <w:pStyle w:val="TableNote"/>
      </w:pPr>
      <w:r>
        <w:rPr>
          <w:rFonts w:hint="eastAsia"/>
        </w:rPr>
        <w:t xml:space="preserve">出所）表C.21</w:t>
      </w:r>
      <w:r>
        <w:t xml:space="preserve"> </w:t>
      </w:r>
      <w:r>
        <w:rPr>
          <w:rFonts w:hint="eastAsia"/>
        </w:rPr>
        <w:t xml:space="preserve">と同じ。</w:t>
      </w:r>
    </w:p>
    <w:p>
      <w:pPr>
        <w:pStyle w:val="BodyText"/>
      </w:pPr>
      <w:r>
        <w:rPr>
          <w:rFonts w:hint="eastAsia"/>
        </w:rPr>
        <w:t xml:space="preserve">風力の増加は完全予見粗利を増やすが（3倍で仕様A′</w:t>
      </w:r>
      <w:r>
        <w:t xml:space="preserve"> </w:t>
      </w:r>
      <w:r>
        <w:rPr>
          <w:rFonts w:hint="eastAsia"/>
        </w:rPr>
        <w:t xml:space="preserve">+1,001円、水準係数付きの仕様A</w:t>
      </w:r>
      <w:r>
        <w:t xml:space="preserve"> </w:t>
      </w:r>
      <w:r>
        <w:rPr>
          <w:rFonts w:hint="eastAsia"/>
        </w:rPr>
        <w:t xml:space="preserve">+1,373円）、増えるのは前日の気候値では予測できない日々の深い安値であり、戦略</w:t>
      </w:r>
      <w:r>
        <w:t xml:space="preserve"> c </w:t>
      </w:r>
      <w:r>
        <w:rPr>
          <w:rFonts w:hint="eastAsia"/>
        </w:rPr>
        <w:t xml:space="preserve">はそれをほとんど取れない。泊を重ねる効果の符号は、風力の水準と下端の置き方で変わる。段差の仕様A</w:t>
      </w:r>
      <w:r>
        <w:t xml:space="preserve"> </w:t>
      </w:r>
      <w:r>
        <w:rPr>
          <w:rFonts w:hint="eastAsia"/>
        </w:rPr>
        <w:t xml:space="preserve">では風力2倍まで+200〜+480円で3倍では−800円、線形外挿では風力1倍以上で0〜−1,130円、仕様A′</w:t>
      </w:r>
      <w:r>
        <w:t xml:space="preserve"> </w:t>
      </w:r>
      <w:r>
        <w:rPr>
          <w:rFonts w:hint="eastAsia"/>
        </w:rPr>
        <w:t xml:space="preserve">では風力1倍の+334円から2倍で+7円、3倍で−918円である。泊を重ねたセルでは、</w:t>
      </w:r>
      <m:oMath>
        <m:r>
          <m:t>K</m:t>
        </m:r>
        <m:r>
          <m:rPr>
            <m:sty m:val="p"/>
          </m:rPr>
          <m:t>=</m:t>
        </m:r>
        <m:r>
          <m:t>0</m:t>
        </m:r>
      </m:oMath>
      <w:r>
        <w:t xml:space="preserve"> </w:t>
      </w:r>
      <w:r>
        <w:rPr>
          <w:rFonts w:hint="eastAsia"/>
        </w:rPr>
        <w:t xml:space="preserve">で純需要が推定範囲より下にある時間が5〜30%（風力1〜3倍）に達し、価格は推定範囲外の置き方で決まる。泊単独の線形外挿の仕様の完全予見粗利の増分は、水準固定の仕様A</w:t>
      </w:r>
      <w:r>
        <w:t xml:space="preserve"> </w:t>
      </w:r>
      <w:r>
        <w:rPr>
          <w:rFonts w:hint="eastAsia"/>
        </w:rPr>
        <w:t xml:space="preserve">で+163円、水準係数付きの仕様A</w:t>
      </w:r>
      <w:r>
        <w:t xml:space="preserve"> </w:t>
      </w:r>
      <w:r>
        <w:rPr>
          <w:rFonts w:hint="eastAsia"/>
        </w:rPr>
        <w:t xml:space="preserve">で−76円と、水準の扱いによっても符号が違う。フリート50万kW</w:t>
      </w:r>
      <w:r>
        <w:t xml:space="preserve"> </w:t>
      </w:r>
      <w:r>
        <w:rPr>
          <w:rFonts w:hint="eastAsia"/>
        </w:rPr>
        <w:t xml:space="preserve">分のカニバリゼーション（風力1倍で約4,800〜5,200円）は、風力の効果よりはるかに大きい。面上のどの点でもマーチャントの参入に必要な水準（19,500〜28,700円）には届かない（最大7,177円）。風力導入量の計上時期を補正すると（現行の風力導入量は121万kW</w:t>
      </w:r>
      <w:r>
        <w:t xml:space="preserve"> </w:t>
      </w:r>
      <w:r>
        <w:rPr>
          <w:rFonts w:hint="eastAsia"/>
        </w:rPr>
        <w:t xml:space="preserve">から125万kW</w:t>
      </w:r>
      <w:r>
        <w:t xml:space="preserve"> </w:t>
      </w:r>
      <w:r>
        <w:rPr>
          <w:rFonts w:hint="eastAsia"/>
        </w:rPr>
        <w:t xml:space="preserve">になり、倍率はこの値に掛かる）、仕様A</w:t>
      </w:r>
      <w:r>
        <w:t xml:space="preserve"> の</w:t>
      </w:r>
      <w:r>
        <w:t xml:space="preserve"> </w:t>
      </w:r>
      <m:oMath>
        <m:r>
          <m:t>π</m:t>
        </m:r>
        <m:r>
          <m:rPr>
            <m:sty m:val="p"/>
          </m:rPr>
          <m:t>(</m:t>
        </m:r>
        <m:r>
          <m:t>0</m:t>
        </m:r>
        <m:r>
          <m:rPr>
            <m:sty m:val="p"/>
          </m:rPr>
          <m:t>)</m:t>
        </m:r>
      </m:oMath>
      <w:r>
        <w:t xml:space="preserve"> </w:t>
      </w:r>
      <w:r>
        <w:rPr>
          <w:rFonts w:hint="eastAsia"/>
        </w:rPr>
        <w:t xml:space="preserve">の変化は全セルで1%未満（泊なし×3で6,738円→6,726円、泊あり×2で7,026円→6,996円、泊あり×3で5,940円→5,993円）、</w:t>
      </w:r>
      <m:oMath>
        <m:r>
          <m:t>K</m:t>
        </m:r>
      </m:oMath>
      <w:r>
        <w:rPr>
          <w:rFonts w:hint="eastAsia"/>
        </w:rPr>
        <w:t xml:space="preserve">≤100万kW</w:t>
      </w:r>
      <w:r>
        <w:t xml:space="preserve"> </w:t>
      </w:r>
      <w:r>
        <w:rPr>
          <w:rFonts w:hint="eastAsia"/>
        </w:rPr>
        <w:t xml:space="preserve">の格子点での変化は最大111円（泊あり×3。他のセルは60円以内）、</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の変化は±1万kW</w:t>
      </w:r>
      <w:r>
        <w:t xml:space="preserve"> </w:t>
      </w:r>
      <w:r>
        <w:rPr>
          <w:rFonts w:hint="eastAsia"/>
        </w:rPr>
        <w:t xml:space="preserve">以内である。同じ絶対量（補正前の121万kW×（倍率−1））を加える比較では、</w:t>
      </w:r>
      <m:oMath>
        <m:r>
          <m:t>π</m:t>
        </m:r>
        <m:r>
          <m:rPr>
            <m:sty m:val="p"/>
          </m:rPr>
          <m:t>(</m:t>
        </m:r>
        <m:r>
          <m:t>0</m:t>
        </m:r>
        <m:r>
          <m:rPr>
            <m:sty m:val="p"/>
          </m:rPr>
          <m:t>)</m:t>
        </m:r>
      </m:oMath>
      <w:r>
        <w:t xml:space="preserve"> </w:t>
      </w:r>
      <w:r>
        <w:rPr>
          <w:rFonts w:hint="eastAsia"/>
        </w:rPr>
        <w:t xml:space="preserve">の変化は−0.1〜+2.9%、</w:t>
      </w:r>
      <m:oMath>
        <m:r>
          <m:t>π</m:t>
        </m:r>
        <m:r>
          <m:rPr>
            <m:sty m:val="p"/>
          </m:rPr>
          <m:t>=</m:t>
        </m:r>
        <m:r>
          <m:t>0</m:t>
        </m:r>
      </m:oMath>
      <w:r>
        <w:t xml:space="preserve"> </w:t>
      </w:r>
      <w:r>
        <w:t xml:space="preserve">となる</w:t>
      </w:r>
      <w:r>
        <w:t xml:space="preserve"> </w:t>
      </w:r>
      <m:oMath>
        <m:r>
          <m:t>K</m:t>
        </m:r>
      </m:oMath>
      <w:r>
        <w:t xml:space="preserve"> </w:t>
      </w:r>
      <w:r>
        <w:rPr>
          <w:rFonts w:hint="eastAsia"/>
        </w:rPr>
        <w:t xml:space="preserve">の変化は±1.2万kW</w:t>
      </w:r>
      <w:r>
        <w:t xml:space="preserve"> </w:t>
      </w:r>
      <w:r>
        <w:rPr>
          <w:rFonts w:hint="eastAsia"/>
        </w:rPr>
        <w:t xml:space="preserve">以内である。</w:t>
      </w:r>
    </w:p>
    <w:p>
      <w:pPr>
        <w:pStyle w:val="TableCaption"/>
      </w:pPr>
      <w:r>
        <w:rPr>
          <w:rFonts w:hint="eastAsia"/>
        </w:rPr>
        <w:t xml:space="preserve">表C.27</w:t>
      </w:r>
      <w:r>
        <w:t xml:space="preserve">　</w:t>
      </w:r>
      <w:r>
        <w:rPr>
          <w:rFonts w:hint="eastAsia"/>
        </w:rPr>
        <w:t xml:space="preserve">容量市場価格の蓄電池容量への依存</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7　容量市場価格の蓄電池容量への依存"/>
      </w:tblPr>
      <w:tblGrid>
        <w:gridCol w:w="880"/>
        <w:gridCol w:w="1173"/>
        <w:gridCol w:w="1173"/>
        <w:gridCol w:w="1173"/>
        <w:gridCol w:w="1173"/>
        <w:gridCol w:w="1173"/>
        <w:gridCol w:w="1173"/>
      </w:tblGrid>
      <w:tr>
        <w:trPr>
          <w:tblHeader w:val="on"/>
        </w:trPr>
        <w:tc>
          <w:tcPr>
            <w:tcBorders>
              <w:bottom w:val="single" w:sz="6" w:color="000000"/>
            </w:tcBorders>
          </w:tcPr>
          <w:p>
            <w:pPr>
              <w:pStyle w:val="Compact"/>
            </w:pPr>
            <m:oMath>
              <m:r>
                <m:t>K</m:t>
              </m:r>
            </m:oMath>
            <w:r>
              <w:rPr>
                <w:rFonts w:hint="eastAsia"/>
                <w:sz w:val="18"/>
              </w:rPr>
              <w:t xml:space="preserve">（万kW）</w:t>
            </w:r>
          </w:p>
        </w:tc>
        <w:tc>
          <w:tcPr>
            <w:tcBorders>
              <w:bottom w:val="single" w:sz="6" w:color="000000"/>
            </w:tcBorders>
          </w:tcPr>
          <w:p>
            <w:pPr>
              <w:pStyle w:val="Compact"/>
              <w:jc w:val="right"/>
            </w:pPr>
            <w:r>
              <w:rPr>
                <w:sz w:val="18"/>
              </w:rPr>
              <w:t xml:space="preserve">0</w:t>
            </w:r>
          </w:p>
        </w:tc>
        <w:tc>
          <w:tcPr>
            <w:tcBorders>
              <w:bottom w:val="single" w:sz="6" w:color="000000"/>
            </w:tcBorders>
          </w:tcPr>
          <w:p>
            <w:pPr>
              <w:pStyle w:val="Compact"/>
              <w:jc w:val="right"/>
            </w:pPr>
            <w:r>
              <w:rPr>
                <w:sz w:val="18"/>
              </w:rPr>
              <w:t xml:space="preserve">10</w:t>
            </w:r>
          </w:p>
        </w:tc>
        <w:tc>
          <w:tcPr>
            <w:tcBorders>
              <w:bottom w:val="single" w:sz="6" w:color="000000"/>
            </w:tcBorders>
          </w:tcPr>
          <w:p>
            <w:pPr>
              <w:pStyle w:val="Compact"/>
              <w:jc w:val="right"/>
            </w:pPr>
            <w:r>
              <w:rPr>
                <w:sz w:val="18"/>
              </w:rPr>
              <w:t xml:space="preserve">25</w:t>
            </w:r>
          </w:p>
        </w:tc>
        <w:tc>
          <w:tcPr>
            <w:tcBorders>
              <w:bottom w:val="single" w:sz="6" w:color="000000"/>
            </w:tcBorders>
          </w:tcPr>
          <w:p>
            <w:pPr>
              <w:pStyle w:val="Compact"/>
              <w:jc w:val="right"/>
            </w:pPr>
            <w:r>
              <w:rPr>
                <w:sz w:val="18"/>
              </w:rPr>
              <w:t xml:space="preserve">50</w:t>
            </w:r>
          </w:p>
        </w:tc>
        <w:tc>
          <w:tcPr>
            <w:tcBorders>
              <w:bottom w:val="single" w:sz="6" w:color="000000"/>
            </w:tcBorders>
          </w:tcPr>
          <w:p>
            <w:pPr>
              <w:pStyle w:val="Compact"/>
              <w:jc w:val="right"/>
            </w:pPr>
            <w:r>
              <w:rPr>
                <w:sz w:val="18"/>
              </w:rPr>
              <w:t xml:space="preserve">100</w:t>
            </w:r>
          </w:p>
        </w:tc>
        <w:tc>
          <w:tcPr>
            <w:tcBorders>
              <w:bottom w:val="single" w:sz="6" w:color="000000"/>
            </w:tcBorders>
          </w:tcPr>
          <w:p>
            <w:pPr>
              <w:pStyle w:val="Compact"/>
              <w:jc w:val="right"/>
            </w:pPr>
            <w:r>
              <w:rPr>
                <w:sz w:val="18"/>
              </w:rPr>
              <w:t xml:space="preserve">200</w:t>
            </w:r>
          </w:p>
        </w:tc>
      </w:tr>
      <w:tr>
        <w:tc>
          <w:tcPr/>
          <w:p>
            <w:pPr>
              <w:pStyle w:val="Compact"/>
            </w:pPr>
            <w:r>
              <w:rPr>
                <w:rFonts w:hint="eastAsia"/>
                <w:sz w:val="18"/>
              </w:rPr>
              <w:t xml:space="preserve">北海道ブロック按分の約定価格</w:t>
            </w:r>
            <w:r>
              <w:rPr>
                <w:sz w:val="18"/>
              </w:rPr>
              <w:t xml:space="preserve"> </w:t>
            </w:r>
            <m:oMath>
              <m:sSub>
                <m:e>
                  <m:r>
                    <m:t>P</m:t>
                  </m:r>
                </m:e>
                <m:sub>
                  <m:r>
                    <m:rPr>
                      <m:sty m:val="p"/>
                    </m:rPr>
                    <m:t>c</m:t>
                  </m:r>
                  <m:r>
                    <m:rPr>
                      <m:sty m:val="p"/>
                    </m:rPr>
                    <m:t>a</m:t>
                  </m:r>
                  <m:r>
                    <m:rPr>
                      <m:sty m:val="p"/>
                    </m:rPr>
                    <m:t>p</m:t>
                  </m:r>
                </m:sub>
              </m:sSub>
              <m:r>
                <m:rPr>
                  <m:sty m:val="p"/>
                </m:rPr>
                <m:t>(</m:t>
              </m:r>
              <m:r>
                <m:t>K</m:t>
              </m:r>
              <m:r>
                <m:rPr>
                  <m:sty m:val="p"/>
                </m:rPr>
                <m:t>)</m:t>
              </m:r>
            </m:oMath>
          </w:p>
        </w:tc>
        <w:tc>
          <w:tcPr/>
          <w:p>
            <w:pPr>
              <w:pStyle w:val="Compact"/>
              <w:jc w:val="right"/>
            </w:pPr>
            <w:r>
              <w:rPr>
                <w:sz w:val="18"/>
              </w:rPr>
              <w:t xml:space="preserve">14,972</w:t>
            </w:r>
          </w:p>
        </w:tc>
        <w:tc>
          <w:tcPr/>
          <w:p>
            <w:pPr>
              <w:pStyle w:val="Compact"/>
              <w:jc w:val="right"/>
            </w:pPr>
            <w:r>
              <w:rPr>
                <w:sz w:val="18"/>
              </w:rPr>
              <w:t xml:space="preserve">7,522</w:t>
            </w:r>
          </w:p>
        </w:tc>
        <w:tc>
          <w:tcPr/>
          <w:p>
            <w:pPr>
              <w:pStyle w:val="Compact"/>
              <w:jc w:val="right"/>
            </w:pPr>
            <w:r>
              <w:rPr>
                <w:sz w:val="18"/>
              </w:rPr>
              <w:t xml:space="preserve">714</w:t>
            </w:r>
          </w:p>
        </w:tc>
        <w:tc>
          <w:tcPr/>
          <w:p>
            <w:pPr>
              <w:pStyle w:val="Compact"/>
              <w:jc w:val="right"/>
            </w:pPr>
            <w:r>
              <w:rPr>
                <w:sz w:val="18"/>
              </w:rPr>
              <w:t xml:space="preserve">0</w:t>
            </w:r>
          </w:p>
        </w:tc>
        <w:tc>
          <w:tcPr/>
          <w:p>
            <w:pPr>
              <w:pStyle w:val="Compact"/>
              <w:jc w:val="right"/>
            </w:pPr>
            <w:r>
              <w:rPr>
                <w:sz w:val="18"/>
              </w:rPr>
              <w:t xml:space="preserve">0</w:t>
            </w:r>
          </w:p>
        </w:tc>
        <w:tc>
          <w:tcPr/>
          <w:p>
            <w:pPr>
              <w:pStyle w:val="Compact"/>
              <w:jc w:val="right"/>
            </w:pPr>
            <w:r>
              <w:rPr>
                <w:sz w:val="18"/>
              </w:rPr>
              <w:t xml:space="preserve">0</w:t>
            </w:r>
          </w:p>
        </w:tc>
      </w:tr>
      <w:tr>
        <w:tc>
          <w:tcPr/>
          <w:p>
            <w:pPr>
              <w:pStyle w:val="Compact"/>
            </w:pPr>
            <w:r>
              <w:rPr>
                <w:rFonts w:hint="eastAsia"/>
                <w:sz w:val="18"/>
              </w:rPr>
              <w:t xml:space="preserve">全国連系の約定価格</w:t>
            </w:r>
            <w:r>
              <w:rPr>
                <w:sz w:val="18"/>
              </w:rPr>
              <w:t xml:space="preserve"> </w:t>
            </w:r>
            <m:oMath>
              <m:sSub>
                <m:e>
                  <m:r>
                    <m:t>P</m:t>
                  </m:r>
                </m:e>
                <m:sub>
                  <m:r>
                    <m:rPr>
                      <m:sty m:val="p"/>
                    </m:rPr>
                    <m:t>c</m:t>
                  </m:r>
                  <m:r>
                    <m:rPr>
                      <m:sty m:val="p"/>
                    </m:rPr>
                    <m:t>a</m:t>
                  </m:r>
                  <m:r>
                    <m:rPr>
                      <m:sty m:val="p"/>
                    </m:rPr>
                    <m:t>p</m:t>
                  </m:r>
                </m:sub>
              </m:sSub>
              <m:r>
                <m:rPr>
                  <m:sty m:val="p"/>
                </m:rPr>
                <m:t>(</m:t>
              </m:r>
              <m:r>
                <m:t>K</m:t>
              </m:r>
              <m:r>
                <m:rPr>
                  <m:sty m:val="p"/>
                </m:rPr>
                <m:t>)</m:t>
              </m:r>
            </m:oMath>
          </w:p>
        </w:tc>
        <w:tc>
          <w:tcPr/>
          <w:p>
            <w:pPr>
              <w:pStyle w:val="Compact"/>
              <w:jc w:val="right"/>
            </w:pPr>
            <w:r>
              <w:rPr>
                <w:sz w:val="18"/>
              </w:rPr>
              <w:t xml:space="preserve">14,972</w:t>
            </w:r>
          </w:p>
        </w:tc>
        <w:tc>
          <w:tcPr/>
          <w:p>
            <w:pPr>
              <w:pStyle w:val="Compact"/>
              <w:jc w:val="right"/>
            </w:pPr>
            <w:r>
              <w:rPr>
                <w:sz w:val="18"/>
              </w:rPr>
              <w:t xml:space="preserve">14,607</w:t>
            </w:r>
          </w:p>
        </w:tc>
        <w:tc>
          <w:tcPr/>
          <w:p>
            <w:pPr>
              <w:pStyle w:val="Compact"/>
              <w:jc w:val="right"/>
            </w:pPr>
            <w:r>
              <w:rPr>
                <w:sz w:val="18"/>
              </w:rPr>
              <w:t xml:space="preserve">14,059</w:t>
            </w:r>
          </w:p>
        </w:tc>
        <w:tc>
          <w:tcPr/>
          <w:p>
            <w:pPr>
              <w:pStyle w:val="Compact"/>
              <w:jc w:val="right"/>
            </w:pPr>
            <w:r>
              <w:rPr>
                <w:sz w:val="18"/>
              </w:rPr>
              <w:t xml:space="preserve">13,145</w:t>
            </w:r>
          </w:p>
        </w:tc>
        <w:tc>
          <w:tcPr/>
          <w:p>
            <w:pPr>
              <w:pStyle w:val="Compact"/>
              <w:jc w:val="right"/>
            </w:pPr>
            <w:r>
              <w:rPr>
                <w:sz w:val="18"/>
              </w:rPr>
              <w:t xml:space="preserve">11,318</w:t>
            </w:r>
          </w:p>
        </w:tc>
        <w:tc>
          <w:tcPr/>
          <w:p>
            <w:pPr>
              <w:pStyle w:val="Compact"/>
              <w:jc w:val="right"/>
            </w:pPr>
            <w:r>
              <w:rPr>
                <w:sz w:val="18"/>
              </w:rPr>
              <w:t xml:space="preserve">9,098</w:t>
            </w:r>
          </w:p>
        </w:tc>
      </w:tr>
      <w:tr>
        <w:tc>
          <w:tcPr/>
          <w:p>
            <w:pPr>
              <w:pStyle w:val="Compact"/>
            </w:pPr>
            <w:r>
              <w:rPr>
                <w:rFonts w:hint="eastAsia"/>
                <w:sz w:val="18"/>
              </w:rPr>
              <w:t xml:space="preserve">北海道按分・2030年度向け近似の実効容量収入</w:t>
            </w:r>
          </w:p>
        </w:tc>
        <w:tc>
          <w:tcPr/>
          <w:p>
            <w:pPr>
              <w:pStyle w:val="Compact"/>
              <w:jc w:val="right"/>
            </w:pPr>
            <w:r>
              <w:rPr>
                <w:sz w:val="18"/>
              </w:rPr>
              <w:t xml:space="preserve">12,500</w:t>
            </w:r>
          </w:p>
        </w:tc>
        <w:tc>
          <w:tcPr/>
          <w:p>
            <w:pPr>
              <w:pStyle w:val="Compact"/>
              <w:jc w:val="right"/>
            </w:pPr>
            <w:r>
              <w:rPr>
                <w:sz w:val="18"/>
              </w:rPr>
              <w:t xml:space="preserve">4,625</w:t>
            </w:r>
          </w:p>
        </w:tc>
        <w:tc>
          <w:tcPr/>
          <w:p>
            <w:pPr>
              <w:pStyle w:val="Compact"/>
              <w:jc w:val="right"/>
            </w:pPr>
            <w:r>
              <w:rPr>
                <w:sz w:val="18"/>
              </w:rPr>
              <w:t xml:space="preserve">0</w:t>
            </w:r>
          </w:p>
        </w:tc>
        <w:tc>
          <w:tcPr/>
          <w:p>
            <w:pPr>
              <w:pStyle w:val="Compact"/>
              <w:jc w:val="right"/>
            </w:pPr>
            <w:r>
              <w:rPr>
                <w:sz w:val="18"/>
              </w:rPr>
              <w:t xml:space="preserve">0</w:t>
            </w:r>
          </w:p>
        </w:tc>
        <w:tc>
          <w:tcPr/>
          <w:p>
            <w:pPr>
              <w:pStyle w:val="Compact"/>
              <w:jc w:val="right"/>
            </w:pPr>
            <w:r>
              <w:rPr>
                <w:sz w:val="18"/>
              </w:rPr>
              <w:t xml:space="preserve">0</w:t>
            </w:r>
          </w:p>
        </w:tc>
        <w:tc>
          <w:tcPr/>
          <w:p>
            <w:pPr>
              <w:pStyle w:val="Compact"/>
              <w:jc w:val="right"/>
            </w:pPr>
            <w:r>
              <w:rPr>
                <w:sz w:val="18"/>
              </w:rPr>
              <w:t xml:space="preserve">0</w:t>
            </w:r>
          </w:p>
        </w:tc>
      </w:tr>
      <w:tr>
        <w:tc>
          <w:tcPr/>
          <w:p>
            <w:pPr>
              <w:pStyle w:val="Compact"/>
            </w:pPr>
            <w:r>
              <w:rPr>
                <w:rFonts w:hint="eastAsia"/>
                <w:sz w:val="18"/>
              </w:rPr>
              <w:t xml:space="preserve">全国連系・2030年度向け近似の実効容量収入</w:t>
            </w:r>
          </w:p>
        </w:tc>
        <w:tc>
          <w:tcPr/>
          <w:p>
            <w:pPr>
              <w:pStyle w:val="Compact"/>
              <w:jc w:val="right"/>
            </w:pPr>
            <w:r>
              <w:rPr>
                <w:sz w:val="18"/>
              </w:rPr>
              <w:t xml:space="preserve">12,500</w:t>
            </w:r>
          </w:p>
        </w:tc>
        <w:tc>
          <w:tcPr/>
          <w:p>
            <w:pPr>
              <w:pStyle w:val="Compact"/>
              <w:jc w:val="right"/>
            </w:pPr>
            <w:r>
              <w:rPr>
                <w:sz w:val="18"/>
              </w:rPr>
              <w:t xml:space="preserve">12,243</w:t>
            </w:r>
          </w:p>
        </w:tc>
        <w:tc>
          <w:tcPr/>
          <w:p>
            <w:pPr>
              <w:pStyle w:val="Compact"/>
              <w:jc w:val="right"/>
            </w:pPr>
            <w:r>
              <w:rPr>
                <w:sz w:val="18"/>
              </w:rPr>
              <w:t xml:space="preserve">11,857</w:t>
            </w:r>
          </w:p>
        </w:tc>
        <w:tc>
          <w:tcPr/>
          <w:p>
            <w:pPr>
              <w:pStyle w:val="Compact"/>
              <w:jc w:val="right"/>
            </w:pPr>
            <w:r>
              <w:rPr>
                <w:sz w:val="18"/>
              </w:rPr>
              <w:t xml:space="preserve">11,215</w:t>
            </w:r>
          </w:p>
        </w:tc>
        <w:tc>
          <w:tcPr/>
          <w:p>
            <w:pPr>
              <w:pStyle w:val="Compact"/>
              <w:jc w:val="right"/>
            </w:pPr>
            <w:r>
              <w:rPr>
                <w:sz w:val="18"/>
              </w:rPr>
              <w:t xml:space="preserve">9,930</w:t>
            </w:r>
          </w:p>
        </w:tc>
        <w:tc>
          <w:tcPr/>
          <w:p>
            <w:pPr>
              <w:pStyle w:val="Compact"/>
              <w:jc w:val="right"/>
            </w:pPr>
            <w:r>
              <w:rPr>
                <w:sz w:val="18"/>
              </w:rPr>
              <w:t xml:space="preserve">7,359</w:t>
            </w:r>
          </w:p>
        </w:tc>
      </w:tr>
    </w:tbl>
    <w:p>
      <w:pPr>
        <w:pStyle w:val="TableNote"/>
      </w:pPr>
      <w:r>
        <w:rPr>
          <w:rFonts w:hint="eastAsia"/>
        </w:rPr>
        <w:t xml:space="preserve">注）上2行は2029年度向けの需要曲線の約定価格（円/kW、</w:t>
      </w:r>
      <m:oMath>
        <m:r>
          <m:t>κ</m:t>
        </m:r>
        <m:r>
          <m:rPr>
            <m:sty m:val="p"/>
          </m:rPr>
          <m:t>=</m:t>
        </m:r>
        <m:r>
          <m:t>0.836</m:t>
        </m:r>
      </m:oMath>
      <w:r>
        <w:rPr>
          <w:rFonts w:hint="eastAsia"/>
        </w:rPr>
        <w:t xml:space="preserve">）。下2行は2029年度向けの数量に2030年度向けの価格を当てた4点の折れ線の上で、起点を実効容量収入1.25万円に置いた実効容量収入（円/kW-年）。北海道ブロック按分は全国の需要曲線を北海道の需要シェアで按分した近似。</w:t>
      </w:r>
    </w:p>
    <w:p>
      <w:pPr>
        <w:pStyle w:val="TableNote"/>
      </w:pPr>
      <w:r>
        <w:rPr>
          <w:rFonts w:hint="eastAsia"/>
        </w:rPr>
        <w:t xml:space="preserve">出所）電力広域的運営推進機関『容量市場メインオークション約定結果』『メインオークション需要曲線』より筆者作成。</w:t>
      </w:r>
    </w:p>
    <w:p>
      <w:pPr>
        <w:pStyle w:val="BodyText"/>
      </w:pPr>
      <w:r>
        <w:rPr>
          <w:rFonts w:hint="eastAsia"/>
        </w:rPr>
        <w:t xml:space="preserve">北海道ブロック按分では、現行の約定価格14,972円から指標価格まで蓄電池の追加わずか4.4万kW、価格0まで約27万kW</w:t>
      </w:r>
      <w:r>
        <w:t xml:space="preserve"> </w:t>
      </w:r>
      <w:r>
        <w:rPr>
          <w:rFonts w:hint="eastAsia"/>
        </w:rPr>
        <w:t xml:space="preserve">で到達する（上側の勾配は1万kW</w:t>
      </w:r>
      <w:r>
        <w:t xml:space="preserve"> </w:t>
      </w:r>
      <w:r>
        <w:rPr>
          <w:rFonts w:hint="eastAsia"/>
        </w:rPr>
        <w:t xml:space="preserve">あたり約1,100円/kW）。全国と連系して約定する場合は、指標価格まで134万kW、0まで約810万kW</w:t>
      </w:r>
      <w:r>
        <w:t xml:space="preserve"> </w:t>
      </w:r>
      <w:r>
        <w:rPr>
          <w:rFonts w:hint="eastAsia"/>
        </w:rPr>
        <w:t xml:space="preserve">である。分断ブロックの按分規則は約定処理の仕様に依存するが、北海道の容量市場価格は接続済み容量程度の蓄電池の追加で崩れうる規模である。2030年度向けからは指標価格と上限価格が約2倍になり、価格方向の傾きも約2倍になる。4点の折れ線の近似では、北海道ブロック按分の実効容量収入は、起点1.25万円で約16万kW、2.5万円で約26万kW</w:t>
      </w:r>
      <w:r>
        <w:t xml:space="preserve"> </w:t>
      </w:r>
      <w:r>
        <w:rPr>
          <w:rFonts w:hint="eastAsia"/>
        </w:rPr>
        <w:t xml:space="preserve">で0になり、全国連系では486〜808万kW</w:t>
      </w:r>
      <w:r>
        <w:t xml:space="preserve"> である。</w:t>
      </w:r>
    </w:p>
    <w:p>
      <w:pPr>
        <w:pStyle w:val="TableCaption"/>
      </w:pPr>
      <w:r>
        <w:rPr>
          <w:rFonts w:hint="eastAsia"/>
        </w:rPr>
        <w:t xml:space="preserve">表C.28</w:t>
      </w:r>
      <w:r>
        <w:t xml:space="preserve">　</w:t>
      </w:r>
      <w:r>
        <w:rPr>
          <w:rFonts w:hint="eastAsia"/>
        </w:rPr>
        <w:t xml:space="preserve">需給調整市場のレントの上限</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C.28　需給調整市場のレントの上限"/>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調達量</w:t>
            </w:r>
            <w:r>
              <w:rPr>
                <w:sz w:val="18"/>
              </w:rPr>
              <w:t xml:space="preserve"> </w:t>
            </w:r>
            <m:oMath>
              <m:r>
                <m:t>Q</m:t>
              </m:r>
            </m:oMath>
            <w:r>
              <w:rPr>
                <w:rFonts w:hint="eastAsia"/>
                <w:sz w:val="18"/>
              </w:rPr>
              <w:t xml:space="preserve">（万kW）×ΔkW</w:t>
            </w:r>
            <w:r>
              <w:rPr>
                <w:sz w:val="18"/>
              </w:rPr>
              <w:t xml:space="preserve"> </w:t>
            </w:r>
            <w:r>
              <w:rPr>
                <w:rFonts w:hint="eastAsia"/>
                <w:sz w:val="18"/>
              </w:rPr>
              <w:t xml:space="preserve">価格</w:t>
            </w:r>
          </w:p>
        </w:tc>
        <w:tc>
          <w:tcPr>
            <w:tcBorders>
              <w:bottom w:val="single" w:sz="6" w:color="000000"/>
            </w:tcBorders>
          </w:tcPr>
          <w:p>
            <w:pPr>
              <w:pStyle w:val="Compact"/>
              <w:jc w:val="right"/>
            </w:pPr>
            <m:oMath>
              <m:r>
                <m:t>K</m:t>
              </m:r>
              <m:r>
                <m:rPr>
                  <m:sty m:val="p"/>
                </m:rPr>
                <m:t>=</m:t>
              </m:r>
              <m:r>
                <m:t>25</m:t>
              </m:r>
            </m:oMath>
            <w:r>
              <w:rPr>
                <w:sz w:val="18"/>
              </w:rPr>
              <w:t xml:space="preserve"> </w:t>
            </w:r>
            <w:r>
              <w:rPr>
                <w:rFonts w:hint="eastAsia"/>
                <w:sz w:val="18"/>
              </w:rPr>
              <w:t xml:space="preserve">万kW</w:t>
            </w:r>
          </w:p>
        </w:tc>
        <w:tc>
          <w:tcPr>
            <w:tcBorders>
              <w:bottom w:val="single" w:sz="6" w:color="000000"/>
            </w:tcBorders>
          </w:tcPr>
          <w:p>
            <w:pPr>
              <w:pStyle w:val="Compact"/>
              <w:jc w:val="right"/>
            </w:pPr>
            <w:r>
              <w:rPr>
                <w:sz w:val="18"/>
              </w:rPr>
              <w:t xml:space="preserve">50</w:t>
            </w:r>
          </w:p>
        </w:tc>
        <w:tc>
          <w:tcPr>
            <w:tcBorders>
              <w:bottom w:val="single" w:sz="6" w:color="000000"/>
            </w:tcBorders>
          </w:tcPr>
          <w:p>
            <w:pPr>
              <w:pStyle w:val="Compact"/>
              <w:jc w:val="right"/>
            </w:pPr>
            <w:r>
              <w:rPr>
                <w:sz w:val="18"/>
              </w:rPr>
              <w:t xml:space="preserve">100</w:t>
            </w:r>
          </w:p>
        </w:tc>
        <w:tc>
          <w:tcPr>
            <w:tcBorders>
              <w:bottom w:val="single" w:sz="6" w:color="000000"/>
            </w:tcBorders>
          </w:tcPr>
          <w:p>
            <w:pPr>
              <w:pStyle w:val="Compact"/>
              <w:jc w:val="right"/>
            </w:pPr>
            <w:r>
              <w:rPr>
                <w:sz w:val="18"/>
              </w:rPr>
              <w:t xml:space="preserve">200</w:t>
            </w:r>
          </w:p>
        </w:tc>
      </w:tr>
      <w:tr>
        <w:tc>
          <w:tcPr/>
          <w:p>
            <w:pPr>
              <w:pStyle w:val="Compact"/>
            </w:pPr>
            <w:r>
              <w:rPr>
                <w:rFonts w:hint="eastAsia"/>
                <w:sz w:val="18"/>
              </w:rPr>
              <w:t xml:space="preserve">10×5円</w:t>
            </w:r>
          </w:p>
        </w:tc>
        <w:tc>
          <w:tcPr/>
          <w:p>
            <w:pPr>
              <w:pStyle w:val="Compact"/>
              <w:jc w:val="right"/>
            </w:pPr>
            <w:r>
              <w:rPr>
                <w:sz w:val="18"/>
              </w:rPr>
              <w:t xml:space="preserve">35,040</w:t>
            </w:r>
          </w:p>
        </w:tc>
        <w:tc>
          <w:tcPr/>
          <w:p>
            <w:pPr>
              <w:pStyle w:val="Compact"/>
              <w:jc w:val="right"/>
            </w:pPr>
            <w:r>
              <w:rPr>
                <w:sz w:val="18"/>
              </w:rPr>
              <w:t xml:space="preserve">17,520</w:t>
            </w:r>
          </w:p>
        </w:tc>
        <w:tc>
          <w:tcPr/>
          <w:p>
            <w:pPr>
              <w:pStyle w:val="Compact"/>
              <w:jc w:val="right"/>
            </w:pPr>
            <w:r>
              <w:rPr>
                <w:sz w:val="18"/>
              </w:rPr>
              <w:t xml:space="preserve">8,760</w:t>
            </w:r>
          </w:p>
        </w:tc>
        <w:tc>
          <w:tcPr/>
          <w:p>
            <w:pPr>
              <w:pStyle w:val="Compact"/>
              <w:jc w:val="right"/>
            </w:pPr>
            <w:r>
              <w:rPr>
                <w:sz w:val="18"/>
              </w:rPr>
              <w:t xml:space="preserve">4,380</w:t>
            </w:r>
          </w:p>
        </w:tc>
      </w:tr>
      <w:tr>
        <w:tc>
          <w:tcPr/>
          <w:p>
            <w:pPr>
              <w:pStyle w:val="Compact"/>
            </w:pPr>
            <w:r>
              <w:rPr>
                <w:rFonts w:hint="eastAsia"/>
                <w:sz w:val="18"/>
              </w:rPr>
              <w:t xml:space="preserve">10×15円</w:t>
            </w:r>
          </w:p>
        </w:tc>
        <w:tc>
          <w:tcPr/>
          <w:p>
            <w:pPr>
              <w:pStyle w:val="Compact"/>
              <w:jc w:val="right"/>
            </w:pPr>
            <w:r>
              <w:rPr>
                <w:sz w:val="18"/>
              </w:rPr>
              <w:t xml:space="preserve">105,120</w:t>
            </w:r>
          </w:p>
        </w:tc>
        <w:tc>
          <w:tcPr/>
          <w:p>
            <w:pPr>
              <w:pStyle w:val="Compact"/>
              <w:jc w:val="right"/>
            </w:pPr>
            <w:r>
              <w:rPr>
                <w:sz w:val="18"/>
              </w:rPr>
              <w:t xml:space="preserve">52,560</w:t>
            </w:r>
          </w:p>
        </w:tc>
        <w:tc>
          <w:tcPr/>
          <w:p>
            <w:pPr>
              <w:pStyle w:val="Compact"/>
              <w:jc w:val="right"/>
            </w:pPr>
            <w:r>
              <w:rPr>
                <w:sz w:val="18"/>
              </w:rPr>
              <w:t xml:space="preserve">26,280</w:t>
            </w:r>
          </w:p>
        </w:tc>
        <w:tc>
          <w:tcPr/>
          <w:p>
            <w:pPr>
              <w:pStyle w:val="Compact"/>
              <w:jc w:val="right"/>
            </w:pPr>
            <w:r>
              <w:rPr>
                <w:sz w:val="18"/>
              </w:rPr>
              <w:t xml:space="preserve">13,140</w:t>
            </w:r>
          </w:p>
        </w:tc>
      </w:tr>
      <w:tr>
        <w:tc>
          <w:tcPr/>
          <w:p>
            <w:pPr>
              <w:pStyle w:val="Compact"/>
            </w:pPr>
            <w:r>
              <w:rPr>
                <w:rFonts w:hint="eastAsia"/>
                <w:sz w:val="18"/>
              </w:rPr>
              <w:t xml:space="preserve">30×5円</w:t>
            </w:r>
          </w:p>
        </w:tc>
        <w:tc>
          <w:tcPr/>
          <w:p>
            <w:pPr>
              <w:pStyle w:val="Compact"/>
              <w:jc w:val="right"/>
            </w:pPr>
            <w:r>
              <w:rPr>
                <w:sz w:val="18"/>
              </w:rPr>
              <w:t xml:space="preserve">87,600</w:t>
            </w:r>
          </w:p>
        </w:tc>
        <w:tc>
          <w:tcPr/>
          <w:p>
            <w:pPr>
              <w:pStyle w:val="Compact"/>
              <w:jc w:val="right"/>
            </w:pPr>
            <w:r>
              <w:rPr>
                <w:sz w:val="18"/>
              </w:rPr>
              <w:t xml:space="preserve">52,560</w:t>
            </w:r>
          </w:p>
        </w:tc>
        <w:tc>
          <w:tcPr/>
          <w:p>
            <w:pPr>
              <w:pStyle w:val="Compact"/>
              <w:jc w:val="right"/>
            </w:pPr>
            <w:r>
              <w:rPr>
                <w:sz w:val="18"/>
              </w:rPr>
              <w:t xml:space="preserve">26,280</w:t>
            </w:r>
          </w:p>
        </w:tc>
        <w:tc>
          <w:tcPr/>
          <w:p>
            <w:pPr>
              <w:pStyle w:val="Compact"/>
              <w:jc w:val="right"/>
            </w:pPr>
            <w:r>
              <w:rPr>
                <w:sz w:val="18"/>
              </w:rPr>
              <w:t xml:space="preserve">13,140</w:t>
            </w:r>
          </w:p>
        </w:tc>
      </w:tr>
      <w:tr>
        <w:tc>
          <w:tcPr/>
          <w:p>
            <w:pPr>
              <w:pStyle w:val="Compact"/>
            </w:pPr>
            <w:r>
              <w:rPr>
                <w:rFonts w:hint="eastAsia"/>
                <w:sz w:val="18"/>
              </w:rPr>
              <w:t xml:space="preserve">50×15円</w:t>
            </w:r>
          </w:p>
        </w:tc>
        <w:tc>
          <w:tcPr/>
          <w:p>
            <w:pPr>
              <w:pStyle w:val="Compact"/>
              <w:jc w:val="right"/>
            </w:pPr>
            <w:r>
              <w:rPr>
                <w:sz w:val="18"/>
              </w:rPr>
              <w:t xml:space="preserve">262,800</w:t>
            </w:r>
          </w:p>
        </w:tc>
        <w:tc>
          <w:tcPr/>
          <w:p>
            <w:pPr>
              <w:pStyle w:val="Compact"/>
              <w:jc w:val="right"/>
            </w:pPr>
            <w:r>
              <w:rPr>
                <w:sz w:val="18"/>
              </w:rPr>
              <w:t xml:space="preserve">262,800</w:t>
            </w:r>
          </w:p>
        </w:tc>
        <w:tc>
          <w:tcPr/>
          <w:p>
            <w:pPr>
              <w:pStyle w:val="Compact"/>
              <w:jc w:val="right"/>
            </w:pPr>
            <w:r>
              <w:rPr>
                <w:sz w:val="18"/>
              </w:rPr>
              <w:t xml:space="preserve">131,400</w:t>
            </w:r>
          </w:p>
        </w:tc>
        <w:tc>
          <w:tcPr/>
          <w:p>
            <w:pPr>
              <w:pStyle w:val="Compact"/>
              <w:jc w:val="right"/>
            </w:pPr>
            <w:r>
              <w:rPr>
                <w:sz w:val="18"/>
              </w:rPr>
              <w:t xml:space="preserve">65,700</w:t>
            </w:r>
          </w:p>
        </w:tc>
      </w:tr>
    </w:tbl>
    <w:p>
      <w:pPr>
        <w:pStyle w:val="TableNote"/>
      </w:pPr>
      <w:r>
        <w:rPr>
          <w:rFonts w:hint="eastAsia"/>
        </w:rPr>
        <w:t xml:space="preserve">注）円/kW-年。ΔkW</w:t>
      </w:r>
      <w:r>
        <w:t xml:space="preserve"> </w:t>
      </w:r>
      <w:r>
        <w:rPr>
          <w:rFonts w:hint="eastAsia"/>
        </w:rPr>
        <w:t xml:space="preserve">価格</w:t>
      </w:r>
      <w:r>
        <w:t xml:space="preserve"> </w:t>
      </w:r>
      <m:oMath>
        <m:sSub>
          <m:e>
            <m:r>
              <m:t>p</m:t>
            </m:r>
          </m:e>
          <m:sub>
            <m:r>
              <m:rPr>
                <m:sty m:val="p"/>
              </m:rPr>
              <m:t>Δ</m:t>
            </m:r>
          </m:sub>
        </m:sSub>
      </m:oMath>
      <w:r>
        <w:t xml:space="preserve"> </w:t>
      </w:r>
      <w:r>
        <w:t xml:space="preserve">は </w:t>
      </w:r>
      <w:r>
        <w:rPr>
          <w:rFonts w:hint="eastAsia"/>
        </w:rPr>
        <w:t xml:space="preserve">円/ΔkW・30分（1時間あたりはその2倍）で、上限は</w:t>
      </w:r>
      <w:r>
        <w:t xml:space="preserve"> </w:t>
      </w:r>
      <m:oMath>
        <m:r>
          <m:rPr>
            <m:sty m:val="p"/>
          </m:rPr>
          <m:t>min</m:t>
        </m:r>
        <m:r>
          <m:rPr>
            <m:sty m:val="p"/>
          </m:rPr>
          <m:t>(</m:t>
        </m:r>
        <m:r>
          <m:t>Q</m:t>
        </m:r>
        <m:r>
          <m:rPr>
            <m:sty m:val="p"/>
          </m:rPr>
          <m:t>/</m:t>
        </m:r>
        <m:r>
          <m:t>K</m:t>
        </m:r>
        <m:r>
          <m:rPr>
            <m:sty m:val="p"/>
          </m:rPr>
          <m:t>,</m:t>
        </m:r>
        <m:r>
          <m:t>1</m:t>
        </m:r>
        <m:r>
          <m:rPr>
            <m:sty m:val="p"/>
          </m:rPr>
          <m:t>)</m:t>
        </m:r>
        <m:r>
          <m:rPr>
            <m:sty m:val="p"/>
          </m:rPr>
          <m:t>×</m:t>
        </m:r>
        <m:r>
          <m:t>2</m:t>
        </m:r>
        <m:sSub>
          <m:e>
            <m:r>
              <m:t>p</m:t>
            </m:r>
          </m:e>
          <m:sub>
            <m:r>
              <m:rPr>
                <m:sty m:val="p"/>
              </m:rPr>
              <m:t>Δ</m:t>
            </m:r>
          </m:sub>
        </m:sSub>
        <m:r>
          <m:rPr>
            <m:sty m:val="p"/>
          </m:rPr>
          <m:t>×</m:t>
        </m:r>
        <m:r>
          <m:t>8</m:t>
        </m:r>
        <m:r>
          <m:rPr>
            <m:sty m:val="p"/>
          </m:rPr>
          <m:t>,</m:t>
        </m:r>
        <m:r>
          <m:t>760</m:t>
        </m:r>
      </m:oMath>
      <w:r>
        <w:t xml:space="preserve">。</w:t>
      </w:r>
      <m:oMath>
        <m:r>
          <m:t>Q</m:t>
        </m:r>
        <m:r>
          <m:rPr>
            <m:sty m:val="p"/>
          </m:rPr>
          <m:t>≥</m:t>
        </m:r>
        <m:r>
          <m:t>K</m:t>
        </m:r>
      </m:oMath>
      <w:r>
        <w:t xml:space="preserve"> </w:t>
      </w:r>
      <w:r>
        <w:rPr>
          <w:rFonts w:hint="eastAsia"/>
        </w:rPr>
        <w:t xml:space="preserve">のセル（</w:t>
      </w:r>
      <m:oMath>
        <m:r>
          <m:t>K</m:t>
        </m:r>
        <m:r>
          <m:rPr>
            <m:sty m:val="p"/>
          </m:rPr>
          <m:t>=</m:t>
        </m:r>
        <m:r>
          <m:t>25</m:t>
        </m:r>
      </m:oMath>
      <w:r>
        <w:t xml:space="preserve"> </w:t>
      </w:r>
      <w:r>
        <w:rPr>
          <w:rFonts w:hint="eastAsia"/>
        </w:rPr>
        <w:t xml:space="preserve">万kW</w:t>
      </w:r>
      <w:r>
        <w:t xml:space="preserve"> </w:t>
      </w:r>
      <w:r>
        <w:rPr>
          <w:rFonts w:hint="eastAsia"/>
        </w:rPr>
        <w:t xml:space="preserve">の30×5円・50×15円、</w:t>
      </w:r>
      <m:oMath>
        <m:r>
          <m:t>K</m:t>
        </m:r>
        <m:r>
          <m:rPr>
            <m:sty m:val="p"/>
          </m:rPr>
          <m:t>=</m:t>
        </m:r>
        <m:r>
          <m:t>50</m:t>
        </m:r>
      </m:oMath>
      <w:r>
        <w:t xml:space="preserve"> </w:t>
      </w:r>
      <w:r>
        <w:rPr>
          <w:rFonts w:hint="eastAsia"/>
        </w:rPr>
        <w:t xml:space="preserve">万kW</w:t>
      </w:r>
      <w:r>
        <w:t xml:space="preserve"> </w:t>
      </w:r>
      <w:r>
        <w:rPr>
          <w:rFonts w:hint="eastAsia"/>
        </w:rPr>
        <w:t xml:space="preserve">の50×15円）は1kW</w:t>
      </w:r>
      <w:r>
        <w:t xml:space="preserve"> </w:t>
      </w:r>
      <w:r>
        <w:rPr>
          <w:rFonts w:hint="eastAsia"/>
        </w:rPr>
        <w:t xml:space="preserve">あたりの物理上限</w:t>
      </w:r>
      <w:r>
        <w:t xml:space="preserve"> </w:t>
      </w:r>
      <m:oMath>
        <m:r>
          <m:t>2</m:t>
        </m:r>
        <m:sSub>
          <m:e>
            <m:r>
              <m:t>p</m:t>
            </m:r>
          </m:e>
          <m:sub>
            <m:r>
              <m:rPr>
                <m:sty m:val="p"/>
              </m:rPr>
              <m:t>Δ</m:t>
            </m:r>
          </m:sub>
        </m:sSub>
        <m:r>
          <m:rPr>
            <m:sty m:val="p"/>
          </m:rPr>
          <m:t>×</m:t>
        </m:r>
        <m:r>
          <m:t>8</m:t>
        </m:r>
        <m:r>
          <m:rPr>
            <m:sty m:val="p"/>
          </m:rPr>
          <m:t>,</m:t>
        </m:r>
        <m:r>
          <m:t>760</m:t>
        </m:r>
      </m:oMath>
      <w:r>
        <w:t xml:space="preserve"> </w:t>
      </w:r>
      <w:r>
        <w:rPr>
          <w:rFonts w:hint="eastAsia"/>
        </w:rPr>
        <w:t xml:space="preserve">で抑えた。</w:t>
      </w:r>
      <m:oMath>
        <m:r>
          <m:t>Q</m:t>
        </m:r>
      </m:oMath>
      <w:r>
        <w:t xml:space="preserve"> </w:t>
      </w:r>
      <w:r>
        <w:rPr>
          <w:rFonts w:hint="eastAsia"/>
        </w:rPr>
        <w:t xml:space="preserve">は北海道の調達量が未取得のため置いた仮定の幅である。</w:t>
      </w:r>
    </w:p>
    <w:p>
      <w:pPr>
        <w:pStyle w:val="TableNote"/>
      </w:pPr>
      <w:r>
        <w:rPr>
          <w:rFonts w:hint="eastAsia"/>
        </w:rPr>
        <w:t xml:space="preserve">出所）日本卸電力取引所『スポット市場取引結果』、北海道電力ネットワーク『エリア需給実績』より筆者推計（調達量</w:t>
      </w:r>
      <w:r>
        <w:t xml:space="preserve"> </w:t>
      </w:r>
      <m:oMath>
        <m:r>
          <m:t>Q</m:t>
        </m:r>
      </m:oMath>
      <w:r>
        <w:t xml:space="preserve"> </w:t>
      </w:r>
      <w:r>
        <w:t xml:space="preserve">と ΔkW </w:t>
      </w:r>
      <w:r>
        <w:rPr>
          <w:rFonts w:hint="eastAsia"/>
        </w:rPr>
        <w:t xml:space="preserve">価格</w:t>
      </w:r>
      <w:r>
        <w:t xml:space="preserve"> </w:t>
      </w:r>
      <m:oMath>
        <m:sSub>
          <m:e>
            <m:r>
              <m:t>p</m:t>
            </m:r>
          </m:e>
          <m:sub>
            <m:r>
              <m:rPr>
                <m:sty m:val="p"/>
              </m:rPr>
              <m:t>Δ</m:t>
            </m:r>
          </m:sub>
        </m:sSub>
      </m:oMath>
      <w:r>
        <w:t xml:space="preserve"> </w:t>
      </w:r>
      <w:r>
        <w:rPr>
          <w:rFonts w:hint="eastAsia"/>
        </w:rPr>
        <w:t xml:space="preserve">は仮定の値）。</w:t>
      </w:r>
    </w:p>
    <w:p>
      <w:pPr>
        <w:pStyle w:val="BodyText"/>
      </w:pPr>
      <w:r>
        <w:rPr>
          <w:rFonts w:hint="eastAsia"/>
        </w:rPr>
        <w:t xml:space="preserve">この上限はフリートが小さいうちは参入に必要な水準を埋めうる大きさだが、フリート全量が落札し、かつ機会費用を上回る価格が維持される場合の値である。北海道エリアの商品別の約定量・約定価格によるレントの実測は行っていない。</w:t>
      </w:r>
    </w:p>
    <w:bookmarkEnd w:id="378"/>
    <w:bookmarkStart w:id="379" w:name="c.3.7-供給曲線と下限価格の機構の詳細"/>
    <w:p>
      <w:pPr>
        <w:pStyle w:val="Heading3"/>
      </w:pPr>
      <w:r>
        <w:t xml:space="preserve">C.3.7　</w:t>
      </w:r>
      <w:r>
        <w:rPr>
          <w:rFonts w:hint="eastAsia"/>
        </w:rPr>
        <w:t xml:space="preserve">供給曲線と下限価格の機構の詳細</w:t>
      </w:r>
    </w:p>
    <w:p>
      <w:pPr>
        <w:pStyle w:val="FirstParagraph"/>
      </w:pPr>
      <w:r>
        <w:rPr>
          <w:rFonts w:hint="eastAsia"/>
          <w:b/>
          <w:bCs/>
        </w:rPr>
        <w:t xml:space="preserve">推定範囲外の実績</w:t>
      </w:r>
      <w:r>
        <w:t xml:space="preserve">　</w:t>
      </w:r>
      <w:r>
        <w:rPr>
          <w:rFonts w:hint="eastAsia"/>
        </w:rPr>
        <w:t xml:space="preserve">各季節の最下位ビンの中心より低い純需要にも、実績の時間は少数ある（冬14・春10・夏17・秋7時間）。冬の14時間の価格中央値は1.08円で（</w:t>
      </w:r>
      <m:oMath>
        <m:r>
          <m:t>g</m:t>
        </m:r>
      </m:oMath>
      <w:r>
        <w:t xml:space="preserve"> </w:t>
      </w:r>
      <w:r>
        <w:rPr>
          <w:rFonts w:hint="eastAsia"/>
        </w:rPr>
        <w:t xml:space="preserve">の下端は6.45円）、段差に近い急な低下を示すが、時間数が少ない。夏の17時間の中央値は6.43円、春・秋は0.01円である。実績の純需要の最小値をも下回る時間は、泊3号で1.7%、泊2基相当で14%である。</w:t>
      </w:r>
    </w:p>
    <w:p>
      <w:pPr>
        <w:pStyle w:val="BodyText"/>
      </w:pPr>
      <w:r>
        <w:rPr>
          <w:rFonts w:hint="eastAsia"/>
          <w:b/>
          <w:bCs/>
        </w:rPr>
        <w:t xml:space="preserve">供給曲線の傾き</w:t>
      </w:r>
      <w:r>
        <w:t xml:space="preserve">　</w:t>
      </w:r>
      <w:r>
        <w:rPr>
          <w:rFonts w:hint="eastAsia"/>
        </w:rPr>
        <w:t xml:space="preserve">実績の純需要ビンで価格中央値の傾きをみると、通年の20分位では、最下位から次のビンにかけて1.15円/kWh</w:t>
      </w:r>
      <w:r>
        <w:t xml:space="preserve"> per 100MW </w:t>
      </w:r>
      <w:r>
        <w:rPr>
          <w:rFonts w:hint="eastAsia"/>
        </w:rPr>
        <w:t xml:space="preserve">と、中位（多くは0.4〜0.5円）の2〜3倍である。ただしこれは季節を混ぜた値であり、報告用の季節区分の10分位でみると、下端が急なのは不需要期（0.95円）だけで、夏（0.49円）・冬（0.28円）の下端は中位と変わらない。季節別にみた上端は急で、夏の高純需要の帯では0.85〜1.15円、冬では0.73〜0.81円である。現状の上位4時間・下位4時間が位置する純需要帯の局所の傾き（純需要を100MW</w:t>
      </w:r>
      <w:r>
        <w:t xml:space="preserve"> </w:t>
      </w:r>
      <w:r>
        <w:rPr>
          <w:rFonts w:hint="eastAsia"/>
        </w:rPr>
        <w:t xml:space="preserve">下げたときの有限差分）は、年間で0.53円・0.45円、夏で0.67円・0.45円、冬で0.47円・0.31円、不需要期で0.49円・0.53円である。FY2023〜25</w:t>
      </w:r>
      <w:r>
        <w:t xml:space="preserve"> </w:t>
      </w:r>
      <w:r>
        <w:rPr>
          <w:rFonts w:hint="eastAsia"/>
        </w:rPr>
        <w:t xml:space="preserve">の春（3〜6月）の風力の</w:t>
      </w:r>
      <w:r>
        <w:t xml:space="preserve"> TB4h </w:t>
      </w:r>
      <w:r>
        <w:rPr>
          <w:rFonts w:hint="eastAsia"/>
        </w:rPr>
        <w:t xml:space="preserve">への係数を日の純需要の三分位で分けると、低+0.086、中+0.231、高−0.009円/kWh</w:t>
      </w:r>
      <w:r>
        <w:t xml:space="preserve"> per </w:t>
      </w:r>
      <w:r>
        <w:rPr>
          <w:rFonts w:hint="eastAsia"/>
        </w:rPr>
        <w:t xml:space="preserve">GWh/日で、低と高の差は</w:t>
      </w:r>
      <w:r>
        <w:t xml:space="preserve"> p=0.48である。</w:t>
      </w:r>
    </w:p>
    <w:p>
      <w:pPr>
        <w:pStyle w:val="TableCaption"/>
      </w:pPr>
      <w:r>
        <w:rPr>
          <w:rFonts w:hint="eastAsia"/>
        </w:rPr>
        <w:t xml:space="preserve">表C.29</w:t>
      </w:r>
      <w:r>
        <w:t xml:space="preserve">　</w:t>
      </w:r>
      <w:r>
        <w:rPr>
          <w:rFonts w:hint="eastAsia"/>
        </w:rPr>
        <w:t xml:space="preserve">泊の再稼働による完全予見粗利の変化の分解</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29　泊の再稼働による完全予見粗利の変化の分解"/>
      </w:tblPr>
      <w:tblGrid>
        <w:gridCol w:w="552"/>
        <w:gridCol w:w="736"/>
        <w:gridCol w:w="736"/>
        <w:gridCol w:w="736"/>
        <w:gridCol w:w="736"/>
        <w:gridCol w:w="736"/>
        <w:gridCol w:w="736"/>
        <w:gridCol w:w="736"/>
        <w:gridCol w:w="736"/>
        <w:gridCol w:w="736"/>
        <w:gridCol w:w="736"/>
      </w:tblGrid>
      <w:tr>
        <w:trPr>
          <w:tblHeader w:val="on"/>
        </w:trPr>
        <w:tc>
          <w:tcPr>
            <w:tcBorders>
              <w:bottom w:val="single" w:sz="6" w:color="000000"/>
            </w:tcBorders>
          </w:tcPr>
          <w:p>
            <w:pPr>
              <w:pStyle w:val="Compact"/>
            </w:pPr>
            <w:r>
              <w:rPr>
                <w:sz w:val="18"/>
              </w:rPr>
              <w:t xml:space="preserve">ケース</w:t>
            </w:r>
          </w:p>
        </w:tc>
        <w:tc>
          <w:tcPr>
            <w:tcBorders>
              <w:bottom w:val="single" w:sz="6" w:color="000000"/>
            </w:tcBorders>
          </w:tcPr>
          <w:p>
            <w:pPr>
              <w:pStyle w:val="Compact"/>
              <w:jc w:val="right"/>
            </w:pPr>
            <w:r>
              <w:rPr>
                <w:rFonts w:hint="eastAsia"/>
                <w:sz w:val="18"/>
              </w:rPr>
              <w:t xml:space="preserve">完全予見粗利</w:t>
            </w:r>
          </w:p>
        </w:tc>
        <w:tc>
          <w:tcPr>
            <w:tcBorders>
              <w:bottom w:val="single" w:sz="6" w:color="000000"/>
            </w:tcBorders>
          </w:tcPr>
          <w:p>
            <w:pPr>
              <w:pStyle w:val="Compact"/>
              <w:jc w:val="right"/>
            </w:pPr>
            <w:r>
              <w:rPr>
                <w:rFonts w:hint="eastAsia"/>
                <w:sz w:val="18"/>
              </w:rPr>
              <w:t xml:space="preserve">変化</w:t>
            </w:r>
          </w:p>
        </w:tc>
        <w:tc>
          <w:tcPr>
            <w:tcBorders>
              <w:bottom w:val="single" w:sz="6" w:color="000000"/>
            </w:tcBorders>
          </w:tcPr>
          <w:p>
            <w:pPr>
              <w:pStyle w:val="Compact"/>
              <w:jc w:val="right"/>
            </w:pPr>
            <w:r>
              <w:rPr>
                <w:rFonts w:hint="eastAsia"/>
                <w:sz w:val="18"/>
              </w:rPr>
              <w:t xml:space="preserve">スプレッドの変化</w:t>
            </w:r>
          </w:p>
        </w:tc>
        <w:tc>
          <w:tcPr>
            <w:tcBorders>
              <w:bottom w:val="single" w:sz="6" w:color="000000"/>
            </w:tcBorders>
          </w:tcPr>
          <w:p>
            <w:pPr>
              <w:pStyle w:val="Compact"/>
              <w:jc w:val="right"/>
            </w:pPr>
            <w:r>
              <w:rPr>
                <w:rFonts w:hint="eastAsia"/>
                <w:sz w:val="18"/>
              </w:rPr>
              <w:t xml:space="preserve">往復損失の水準効果</w:t>
            </w:r>
          </w:p>
        </w:tc>
        <w:tc>
          <w:tcPr>
            <w:tcBorders>
              <w:bottom w:val="single" w:sz="6" w:color="000000"/>
            </w:tcBorders>
          </w:tcPr>
          <w:p>
            <w:pPr>
              <w:pStyle w:val="Compact"/>
              <w:jc w:val="right"/>
            </w:pPr>
            <w:r>
              <w:rPr>
                <w:rFonts w:hint="eastAsia"/>
                <w:sz w:val="18"/>
              </w:rPr>
              <w:t xml:space="preserve">休止の切替</w:t>
            </w:r>
          </w:p>
        </w:tc>
        <w:tc>
          <w:tcPr>
            <w:tcBorders>
              <w:bottom w:val="single" w:sz="6" w:color="000000"/>
            </w:tcBorders>
          </w:tcPr>
          <w:p>
            <w:pPr>
              <w:pStyle w:val="Compact"/>
              <w:jc w:val="right"/>
            </w:pPr>
            <w:r>
              <w:rPr>
                <w:rFonts w:hint="eastAsia"/>
                <w:sz w:val="18"/>
              </w:rPr>
              <w:t xml:space="preserve">上位4時間</w:t>
            </w:r>
          </w:p>
        </w:tc>
        <w:tc>
          <w:tcPr>
            <w:tcBorders>
              <w:bottom w:val="single" w:sz="6" w:color="000000"/>
            </w:tcBorders>
          </w:tcPr>
          <w:p>
            <w:pPr>
              <w:pStyle w:val="Compact"/>
              <w:jc w:val="right"/>
            </w:pPr>
            <w:r>
              <w:rPr>
                <w:rFonts w:hint="eastAsia"/>
                <w:sz w:val="18"/>
              </w:rPr>
              <w:t xml:space="preserve">下位4時間</w:t>
            </w:r>
          </w:p>
        </w:tc>
        <w:tc>
          <w:tcPr>
            <w:tcBorders>
              <w:bottom w:val="single" w:sz="6" w:color="000000"/>
            </w:tcBorders>
          </w:tcPr>
          <w:p>
            <w:pPr>
              <w:pStyle w:val="Compact"/>
              <w:jc w:val="right"/>
            </w:pPr>
            <w:r>
              <w:rPr>
                <w:sz w:val="18"/>
              </w:rPr>
              <w:t xml:space="preserve">TB4h</w:t>
            </w:r>
          </w:p>
        </w:tc>
        <w:tc>
          <w:tcPr>
            <w:tcBorders>
              <w:bottom w:val="single" w:sz="6" w:color="000000"/>
            </w:tcBorders>
          </w:tcPr>
          <w:p>
            <w:pPr>
              <w:pStyle w:val="Compact"/>
              <w:jc w:val="right"/>
            </w:pPr>
            <w:r>
              <w:rPr>
                <w:rFonts w:hint="eastAsia"/>
                <w:sz w:val="18"/>
              </w:rPr>
              <w:t xml:space="preserve">下限張り付き（時間/年）</w:t>
            </w:r>
          </w:p>
        </w:tc>
        <w:tc>
          <w:tcPr>
            <w:tcBorders>
              <w:bottom w:val="single" w:sz="6" w:color="000000"/>
            </w:tcBorders>
          </w:tcPr>
          <w:p>
            <w:pPr>
              <w:pStyle w:val="Compact"/>
              <w:jc w:val="right"/>
            </w:pPr>
            <w:r>
              <w:rPr>
                <w:rFonts w:hint="eastAsia"/>
                <w:sz w:val="18"/>
              </w:rPr>
              <w:t xml:space="preserve">推定範囲外（%）</w:t>
            </w:r>
          </w:p>
        </w:tc>
      </w:tr>
      <w:tr>
        <w:tc>
          <w:tcPr/>
          <w:p>
            <w:pPr>
              <w:pStyle w:val="Compact"/>
            </w:pPr>
            <w:r>
              <w:rPr>
                <w:rFonts w:hint="eastAsia"/>
                <w:sz w:val="18"/>
              </w:rPr>
              <w:t xml:space="preserve">現状（仕様A）</w:t>
            </w:r>
          </w:p>
        </w:tc>
        <w:tc>
          <w:tcPr/>
          <w:p>
            <w:pPr>
              <w:pStyle w:val="Compact"/>
              <w:jc w:val="right"/>
            </w:pPr>
            <w:r>
              <w:rPr>
                <w:sz w:val="18"/>
              </w:rPr>
              <w:t xml:space="preserve">8,266</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15.89</w:t>
            </w:r>
          </w:p>
        </w:tc>
        <w:tc>
          <w:tcPr/>
          <w:p>
            <w:pPr>
              <w:pStyle w:val="Compact"/>
              <w:jc w:val="right"/>
            </w:pPr>
            <w:r>
              <w:rPr>
                <w:sz w:val="18"/>
              </w:rPr>
              <w:t xml:space="preserve">7.85</w:t>
            </w:r>
          </w:p>
        </w:tc>
        <w:tc>
          <w:tcPr/>
          <w:p>
            <w:pPr>
              <w:pStyle w:val="Compact"/>
              <w:jc w:val="right"/>
            </w:pPr>
            <w:r>
              <w:rPr>
                <w:sz w:val="18"/>
              </w:rPr>
              <w:t xml:space="preserve">8.04</w:t>
            </w:r>
          </w:p>
        </w:tc>
        <w:tc>
          <w:tcPr/>
          <w:p>
            <w:pPr>
              <w:pStyle w:val="Compact"/>
              <w:jc w:val="right"/>
            </w:pPr>
            <w:r>
              <w:rPr>
                <w:sz w:val="18"/>
              </w:rPr>
              <w:t xml:space="preserve">115</w:t>
            </w:r>
          </w:p>
        </w:tc>
        <w:tc>
          <w:tcPr/>
          <w:p>
            <w:pPr>
              <w:pStyle w:val="Compact"/>
              <w:jc w:val="right"/>
            </w:pPr>
            <w:r>
              <w:rPr>
                <w:sz w:val="18"/>
              </w:rPr>
              <w:t xml:space="preserve">0.2</w:t>
            </w:r>
          </w:p>
        </w:tc>
      </w:tr>
      <w:tr>
        <w:tc>
          <w:tcPr/>
          <w:p>
            <w:pPr>
              <w:pStyle w:val="Compact"/>
            </w:pPr>
            <w:r>
              <w:rPr>
                <w:rFonts w:hint="eastAsia"/>
                <w:sz w:val="18"/>
              </w:rPr>
              <w:t xml:space="preserve">泊3号（−821MW）</w:t>
            </w:r>
          </w:p>
        </w:tc>
        <w:tc>
          <w:tcPr/>
          <w:p>
            <w:pPr>
              <w:pStyle w:val="Compact"/>
              <w:jc w:val="right"/>
            </w:pPr>
            <w:r>
              <w:rPr>
                <w:sz w:val="18"/>
              </w:rPr>
              <w:t xml:space="preserve">8,929</w:t>
            </w:r>
          </w:p>
        </w:tc>
        <w:tc>
          <w:tcPr/>
          <w:p>
            <w:pPr>
              <w:pStyle w:val="Compact"/>
              <w:jc w:val="right"/>
            </w:pPr>
            <w:r>
              <w:rPr>
                <w:sz w:val="18"/>
              </w:rPr>
              <w:t xml:space="preserve">+662</w:t>
            </w:r>
          </w:p>
        </w:tc>
        <w:tc>
          <w:tcPr/>
          <w:p>
            <w:pPr>
              <w:pStyle w:val="Compact"/>
              <w:jc w:val="right"/>
            </w:pPr>
            <w:r>
              <w:rPr>
                <w:sz w:val="18"/>
              </w:rPr>
              <w:t xml:space="preserve">−197</w:t>
            </w:r>
          </w:p>
        </w:tc>
        <w:tc>
          <w:tcPr/>
          <w:p>
            <w:pPr>
              <w:pStyle w:val="Compact"/>
              <w:jc w:val="right"/>
            </w:pPr>
            <w:r>
              <w:rPr>
                <w:sz w:val="18"/>
              </w:rPr>
              <w:t xml:space="preserve">+847</w:t>
            </w:r>
          </w:p>
        </w:tc>
        <w:tc>
          <w:tcPr/>
          <w:p>
            <w:pPr>
              <w:pStyle w:val="Compact"/>
              <w:jc w:val="right"/>
            </w:pPr>
            <w:r>
              <w:rPr>
                <w:sz w:val="18"/>
              </w:rPr>
              <w:t xml:space="preserve">+13</w:t>
            </w:r>
          </w:p>
        </w:tc>
        <w:tc>
          <w:tcPr/>
          <w:p>
            <w:pPr>
              <w:pStyle w:val="Compact"/>
              <w:jc w:val="right"/>
            </w:pPr>
            <w:r>
              <w:rPr>
                <w:sz w:val="18"/>
              </w:rPr>
              <w:t xml:space="preserve">11.86</w:t>
            </w:r>
          </w:p>
        </w:tc>
        <w:tc>
          <w:tcPr/>
          <w:p>
            <w:pPr>
              <w:pStyle w:val="Compact"/>
              <w:jc w:val="right"/>
            </w:pPr>
            <w:r>
              <w:rPr>
                <w:sz w:val="18"/>
              </w:rPr>
              <w:t xml:space="preserve">3.97</w:t>
            </w:r>
          </w:p>
        </w:tc>
        <w:tc>
          <w:tcPr/>
          <w:p>
            <w:pPr>
              <w:pStyle w:val="Compact"/>
              <w:jc w:val="right"/>
            </w:pPr>
            <w:r>
              <w:rPr>
                <w:sz w:val="18"/>
              </w:rPr>
              <w:t xml:space="preserve">7.89</w:t>
            </w:r>
          </w:p>
        </w:tc>
        <w:tc>
          <w:tcPr/>
          <w:p>
            <w:pPr>
              <w:pStyle w:val="Compact"/>
              <w:jc w:val="right"/>
            </w:pPr>
            <w:r>
              <w:rPr>
                <w:sz w:val="18"/>
              </w:rPr>
              <w:t xml:space="preserve">765</w:t>
            </w:r>
          </w:p>
        </w:tc>
        <w:tc>
          <w:tcPr/>
          <w:p>
            <w:pPr>
              <w:pStyle w:val="Compact"/>
              <w:jc w:val="right"/>
            </w:pPr>
            <w:r>
              <w:rPr>
                <w:sz w:val="18"/>
              </w:rPr>
              <w:t xml:space="preserve">5.2</w:t>
            </w:r>
          </w:p>
        </w:tc>
      </w:tr>
      <w:tr>
        <w:tc>
          <w:tcPr/>
          <w:p>
            <w:pPr>
              <w:pStyle w:val="Compact"/>
            </w:pPr>
            <w:r>
              <w:rPr>
                <w:sz w:val="18"/>
              </w:rPr>
              <w:t xml:space="preserve">　</w:t>
            </w:r>
            <w:r>
              <w:rPr>
                <w:rFonts w:hint="eastAsia"/>
                <w:sz w:val="18"/>
              </w:rPr>
              <w:t xml:space="preserve">うち夏</w:t>
            </w:r>
          </w:p>
        </w:tc>
        <w:tc>
          <w:tcPr/>
          <w:p>
            <w:pPr>
              <w:pStyle w:val="Compact"/>
              <w:jc w:val="right"/>
            </w:pPr>
            <w:r>
              <w:rPr>
                <w:sz w:val="18"/>
              </w:rPr>
              <w:t xml:space="preserve">2,158</w:t>
            </w:r>
          </w:p>
        </w:tc>
        <w:tc>
          <w:tcPr/>
          <w:p>
            <w:pPr>
              <w:pStyle w:val="Compact"/>
              <w:jc w:val="right"/>
            </w:pPr>
            <w:r>
              <w:rPr>
                <w:sz w:val="18"/>
              </w:rPr>
              <w:t xml:space="preserve">−179</w:t>
            </w:r>
          </w:p>
        </w:tc>
        <w:tc>
          <w:tcPr/>
          <w:p>
            <w:pPr>
              <w:pStyle w:val="Compact"/>
              <w:jc w:val="right"/>
            </w:pPr>
            <w:r>
              <w:rPr>
                <w:sz w:val="18"/>
              </w:rPr>
              <w:t xml:space="preserve">−397</w:t>
            </w:r>
          </w:p>
        </w:tc>
        <w:tc>
          <w:tcPr/>
          <w:p>
            <w:pPr>
              <w:pStyle w:val="Compact"/>
              <w:jc w:val="right"/>
            </w:pPr>
            <w:r>
              <w:rPr>
                <w:sz w:val="18"/>
              </w:rPr>
              <w:t xml:space="preserve">+218</w:t>
            </w:r>
          </w:p>
        </w:tc>
        <w:tc>
          <w:tcPr/>
          <w:p>
            <w:pPr>
              <w:pStyle w:val="Compact"/>
              <w:jc w:val="right"/>
            </w:pPr>
            <w:r>
              <w:rPr>
                <w:sz w:val="18"/>
              </w:rPr>
              <w:t xml:space="preserve">0</w:t>
            </w:r>
          </w:p>
        </w:tc>
        <w:tc>
          <w:tcPr/>
          <w:p>
            <w:pPr>
              <w:pStyle w:val="Compact"/>
              <w:jc w:val="right"/>
            </w:pPr>
            <w:r>
              <w:rPr>
                <w:sz w:val="18"/>
              </w:rPr>
              <w:t xml:space="preserve">12.51</w:t>
            </w:r>
          </w:p>
        </w:tc>
        <w:tc>
          <w:tcPr/>
          <w:p>
            <w:pPr>
              <w:pStyle w:val="Compact"/>
              <w:jc w:val="right"/>
            </w:pPr>
            <w:r>
              <w:rPr>
                <w:sz w:val="18"/>
              </w:rPr>
              <w:t xml:space="preserve">4.77</w:t>
            </w:r>
          </w:p>
        </w:tc>
        <w:tc>
          <w:tcPr/>
          <w:p>
            <w:pPr>
              <w:pStyle w:val="Compact"/>
              <w:jc w:val="right"/>
            </w:pPr>
            <w:r>
              <w:rPr>
                <w:sz w:val="18"/>
              </w:rPr>
              <w:t xml:space="preserve">7.74</w:t>
            </w:r>
          </w:p>
        </w:tc>
        <w:tc>
          <w:tcPr/>
          <w:p>
            <w:pPr>
              <w:pStyle w:val="Compact"/>
              <w:jc w:val="right"/>
            </w:pPr>
            <w:r>
              <w:rPr>
                <w:sz w:val="18"/>
              </w:rPr>
              <w:t xml:space="preserve">66</w:t>
            </w:r>
          </w:p>
        </w:tc>
        <w:tc>
          <w:tcPr/>
          <w:p>
            <w:pPr>
              <w:pStyle w:val="Compact"/>
              <w:jc w:val="right"/>
            </w:pPr>
            <w:r>
              <w:rPr>
                <w:sz w:val="18"/>
              </w:rPr>
              <w:t xml:space="preserve">2.8</w:t>
            </w:r>
          </w:p>
        </w:tc>
      </w:tr>
      <w:tr>
        <w:tc>
          <w:tcPr/>
          <w:p>
            <w:pPr>
              <w:pStyle w:val="Compact"/>
            </w:pPr>
            <w:r>
              <w:rPr>
                <w:sz w:val="18"/>
              </w:rPr>
              <w:t xml:space="preserve">　</w:t>
            </w:r>
            <w:r>
              <w:rPr>
                <w:rFonts w:hint="eastAsia"/>
                <w:sz w:val="18"/>
              </w:rPr>
              <w:t xml:space="preserve">うち冬</w:t>
            </w:r>
          </w:p>
        </w:tc>
        <w:tc>
          <w:tcPr/>
          <w:p>
            <w:pPr>
              <w:pStyle w:val="Compact"/>
              <w:jc w:val="right"/>
            </w:pPr>
            <w:r>
              <w:rPr>
                <w:sz w:val="18"/>
              </w:rPr>
              <w:t xml:space="preserve">1,349</w:t>
            </w:r>
          </w:p>
        </w:tc>
        <w:tc>
          <w:tcPr/>
          <w:p>
            <w:pPr>
              <w:pStyle w:val="Compact"/>
              <w:jc w:val="right"/>
            </w:pPr>
            <w:r>
              <w:rPr>
                <w:sz w:val="18"/>
              </w:rPr>
              <w:t xml:space="preserve">+209</w:t>
            </w:r>
          </w:p>
        </w:tc>
        <w:tc>
          <w:tcPr/>
          <w:p>
            <w:pPr>
              <w:pStyle w:val="Compact"/>
              <w:jc w:val="right"/>
            </w:pPr>
            <w:r>
              <w:rPr>
                <w:sz w:val="18"/>
              </w:rPr>
              <w:t xml:space="preserve">+40</w:t>
            </w:r>
          </w:p>
        </w:tc>
        <w:tc>
          <w:tcPr/>
          <w:p>
            <w:pPr>
              <w:pStyle w:val="Compact"/>
              <w:jc w:val="right"/>
            </w:pPr>
            <w:r>
              <w:rPr>
                <w:sz w:val="18"/>
              </w:rPr>
              <w:t xml:space="preserve">+170</w:t>
            </w:r>
          </w:p>
        </w:tc>
        <w:tc>
          <w:tcPr/>
          <w:p>
            <w:pPr>
              <w:pStyle w:val="Compact"/>
              <w:jc w:val="right"/>
            </w:pPr>
            <w:r>
              <w:rPr>
                <w:sz w:val="18"/>
              </w:rPr>
              <w:t xml:space="preserve">0</w:t>
            </w:r>
          </w:p>
        </w:tc>
        <w:tc>
          <w:tcPr/>
          <w:p>
            <w:pPr>
              <w:pStyle w:val="Compact"/>
              <w:jc w:val="right"/>
            </w:pPr>
            <w:r>
              <w:rPr>
                <w:sz w:val="18"/>
              </w:rPr>
              <w:t xml:space="preserve">11.66</w:t>
            </w:r>
          </w:p>
        </w:tc>
        <w:tc>
          <w:tcPr/>
          <w:p>
            <w:pPr>
              <w:pStyle w:val="Compact"/>
              <w:jc w:val="right"/>
            </w:pPr>
            <w:r>
              <w:rPr>
                <w:sz w:val="18"/>
              </w:rPr>
              <w:t xml:space="preserve">6.17</w:t>
            </w:r>
          </w:p>
        </w:tc>
        <w:tc>
          <w:tcPr/>
          <w:p>
            <w:pPr>
              <w:pStyle w:val="Compact"/>
              <w:jc w:val="right"/>
            </w:pPr>
            <w:r>
              <w:rPr>
                <w:sz w:val="18"/>
              </w:rPr>
              <w:t xml:space="preserve">5.48</w:t>
            </w:r>
          </w:p>
        </w:tc>
        <w:tc>
          <w:tcPr/>
          <w:p>
            <w:pPr>
              <w:pStyle w:val="Compact"/>
              <w:jc w:val="right"/>
            </w:pPr>
            <w:r>
              <w:rPr>
                <w:sz w:val="18"/>
              </w:rPr>
              <w:t xml:space="preserve">71</w:t>
            </w:r>
          </w:p>
        </w:tc>
        <w:tc>
          <w:tcPr/>
          <w:p>
            <w:pPr>
              <w:pStyle w:val="Compact"/>
              <w:jc w:val="right"/>
            </w:pPr>
            <w:r>
              <w:rPr>
                <w:sz w:val="18"/>
              </w:rPr>
              <w:t xml:space="preserve">3.5</w:t>
            </w:r>
          </w:p>
        </w:tc>
      </w:tr>
      <w:tr>
        <w:tc>
          <w:tcPr/>
          <w:p>
            <w:pPr>
              <w:pStyle w:val="Compact"/>
            </w:pPr>
            <w:r>
              <w:rPr>
                <w:sz w:val="18"/>
              </w:rPr>
              <w:t xml:space="preserve">　</w:t>
            </w:r>
            <w:r>
              <w:rPr>
                <w:rFonts w:hint="eastAsia"/>
                <w:sz w:val="18"/>
              </w:rPr>
              <w:t xml:space="preserve">うち不需要期</w:t>
            </w:r>
          </w:p>
        </w:tc>
        <w:tc>
          <w:tcPr/>
          <w:p>
            <w:pPr>
              <w:pStyle w:val="Compact"/>
              <w:jc w:val="right"/>
            </w:pPr>
            <w:r>
              <w:rPr>
                <w:sz w:val="18"/>
              </w:rPr>
              <w:t xml:space="preserve">5,421</w:t>
            </w:r>
          </w:p>
        </w:tc>
        <w:tc>
          <w:tcPr/>
          <w:p>
            <w:pPr>
              <w:pStyle w:val="Compact"/>
              <w:jc w:val="right"/>
            </w:pPr>
            <w:r>
              <w:rPr>
                <w:sz w:val="18"/>
              </w:rPr>
              <w:t xml:space="preserve">+632</w:t>
            </w:r>
          </w:p>
        </w:tc>
        <w:tc>
          <w:tcPr/>
          <w:p>
            <w:pPr>
              <w:pStyle w:val="Compact"/>
              <w:jc w:val="right"/>
            </w:pPr>
            <w:r>
              <w:rPr>
                <w:sz w:val="18"/>
              </w:rPr>
              <w:t xml:space="preserve">+161</w:t>
            </w:r>
          </w:p>
        </w:tc>
        <w:tc>
          <w:tcPr/>
          <w:p>
            <w:pPr>
              <w:pStyle w:val="Compact"/>
              <w:jc w:val="right"/>
            </w:pPr>
            <w:r>
              <w:rPr>
                <w:sz w:val="18"/>
              </w:rPr>
              <w:t xml:space="preserve">+459</w:t>
            </w:r>
          </w:p>
        </w:tc>
        <w:tc>
          <w:tcPr/>
          <w:p>
            <w:pPr>
              <w:pStyle w:val="Compact"/>
              <w:jc w:val="right"/>
            </w:pPr>
            <w:r>
              <w:rPr>
                <w:sz w:val="18"/>
              </w:rPr>
              <w:t xml:space="preserve">+12</w:t>
            </w:r>
          </w:p>
        </w:tc>
        <w:tc>
          <w:tcPr/>
          <w:p>
            <w:pPr>
              <w:pStyle w:val="Compact"/>
              <w:jc w:val="right"/>
            </w:pPr>
            <w:r>
              <w:rPr>
                <w:sz w:val="18"/>
              </w:rPr>
              <w:t xml:space="preserve">11.64</w:t>
            </w:r>
          </w:p>
        </w:tc>
        <w:tc>
          <w:tcPr/>
          <w:p>
            <w:pPr>
              <w:pStyle w:val="Compact"/>
              <w:jc w:val="right"/>
            </w:pPr>
            <w:r>
              <w:rPr>
                <w:sz w:val="18"/>
              </w:rPr>
              <w:t xml:space="preserve">2.49</w:t>
            </w:r>
          </w:p>
        </w:tc>
        <w:tc>
          <w:tcPr/>
          <w:p>
            <w:pPr>
              <w:pStyle w:val="Compact"/>
              <w:jc w:val="right"/>
            </w:pPr>
            <w:r>
              <w:rPr>
                <w:sz w:val="18"/>
              </w:rPr>
              <w:t xml:space="preserve">9.15</w:t>
            </w:r>
          </w:p>
        </w:tc>
        <w:tc>
          <w:tcPr/>
          <w:p>
            <w:pPr>
              <w:pStyle w:val="Compact"/>
              <w:jc w:val="right"/>
            </w:pPr>
            <w:r>
              <w:rPr>
                <w:sz w:val="18"/>
              </w:rPr>
              <w:t xml:space="preserve">628</w:t>
            </w:r>
          </w:p>
        </w:tc>
        <w:tc>
          <w:tcPr/>
          <w:p>
            <w:pPr>
              <w:pStyle w:val="Compact"/>
              <w:jc w:val="right"/>
            </w:pPr>
            <w:r>
              <w:rPr>
                <w:sz w:val="18"/>
              </w:rPr>
              <w:t xml:space="preserve">7.3</w:t>
            </w:r>
          </w:p>
        </w:tc>
      </w:tr>
      <w:tr>
        <w:tc>
          <w:tcPr/>
          <w:p>
            <w:pPr>
              <w:pStyle w:val="Compact"/>
            </w:pPr>
            <w:r>
              <w:rPr>
                <w:rFonts w:hint="eastAsia"/>
                <w:sz w:val="18"/>
              </w:rPr>
              <w:t xml:space="preserve">泊2基相当（−1,642MW）</w:t>
            </w:r>
          </w:p>
        </w:tc>
        <w:tc>
          <w:tcPr/>
          <w:p>
            <w:pPr>
              <w:pStyle w:val="Compact"/>
              <w:jc w:val="right"/>
            </w:pPr>
            <w:r>
              <w:rPr>
                <w:sz w:val="18"/>
              </w:rPr>
              <w:t xml:space="preserve">8,559</w:t>
            </w:r>
          </w:p>
        </w:tc>
        <w:tc>
          <w:tcPr/>
          <w:p>
            <w:pPr>
              <w:pStyle w:val="Compact"/>
              <w:jc w:val="right"/>
            </w:pPr>
            <w:r>
              <w:rPr>
                <w:sz w:val="18"/>
              </w:rPr>
              <w:t xml:space="preserve">+293</w:t>
            </w:r>
          </w:p>
        </w:tc>
        <w:tc>
          <w:tcPr/>
          <w:p>
            <w:pPr>
              <w:pStyle w:val="Compact"/>
              <w:jc w:val="right"/>
            </w:pPr>
            <w:r>
              <w:rPr>
                <w:sz w:val="18"/>
              </w:rPr>
              <w:t xml:space="preserve">−1,269</w:t>
            </w:r>
          </w:p>
        </w:tc>
        <w:tc>
          <w:tcPr/>
          <w:p>
            <w:pPr>
              <w:pStyle w:val="Compact"/>
              <w:jc w:val="right"/>
            </w:pPr>
            <w:r>
              <w:rPr>
                <w:sz w:val="18"/>
              </w:rPr>
              <w:t xml:space="preserve">+1,536</w:t>
            </w:r>
          </w:p>
        </w:tc>
        <w:tc>
          <w:tcPr/>
          <w:p>
            <w:pPr>
              <w:pStyle w:val="Compact"/>
              <w:jc w:val="right"/>
            </w:pPr>
            <w:r>
              <w:rPr>
                <w:sz w:val="18"/>
              </w:rPr>
              <w:t xml:space="preserve">+26</w:t>
            </w:r>
          </w:p>
        </w:tc>
        <w:tc>
          <w:tcPr/>
          <w:p>
            <w:pPr>
              <w:pStyle w:val="Compact"/>
              <w:jc w:val="right"/>
            </w:pPr>
            <w:r>
              <w:rPr>
                <w:sz w:val="18"/>
              </w:rPr>
              <w:t xml:space="preserve">7.84</w:t>
            </w:r>
          </w:p>
        </w:tc>
        <w:tc>
          <w:tcPr/>
          <w:p>
            <w:pPr>
              <w:pStyle w:val="Compact"/>
              <w:jc w:val="right"/>
            </w:pPr>
            <w:r>
              <w:rPr>
                <w:sz w:val="18"/>
              </w:rPr>
              <w:t xml:space="preserve">0.80</w:t>
            </w:r>
          </w:p>
        </w:tc>
        <w:tc>
          <w:tcPr/>
          <w:p>
            <w:pPr>
              <w:pStyle w:val="Compact"/>
              <w:jc w:val="right"/>
            </w:pPr>
            <w:r>
              <w:rPr>
                <w:sz w:val="18"/>
              </w:rPr>
              <w:t xml:space="preserve">7.03</w:t>
            </w:r>
          </w:p>
        </w:tc>
        <w:tc>
          <w:tcPr/>
          <w:p>
            <w:pPr>
              <w:pStyle w:val="Compact"/>
              <w:jc w:val="right"/>
            </w:pPr>
            <w:r>
              <w:rPr>
                <w:sz w:val="18"/>
              </w:rPr>
              <w:t xml:space="preserve">2,833</w:t>
            </w:r>
          </w:p>
        </w:tc>
        <w:tc>
          <w:tcPr/>
          <w:p>
            <w:pPr>
              <w:pStyle w:val="Compact"/>
              <w:jc w:val="right"/>
            </w:pPr>
            <w:r>
              <w:rPr>
                <w:sz w:val="18"/>
              </w:rPr>
              <w:t xml:space="preserve">29.1</w:t>
            </w:r>
          </w:p>
        </w:tc>
      </w:tr>
      <w:tr>
        <w:tc>
          <w:tcPr/>
          <w:p>
            <w:pPr>
              <w:pStyle w:val="Compact"/>
            </w:pPr>
            <w:r>
              <w:rPr>
                <w:rFonts w:hint="eastAsia"/>
                <w:sz w:val="18"/>
              </w:rPr>
              <w:t xml:space="preserve">泊1〜3号全基（−1,863MW）</w:t>
            </w:r>
          </w:p>
        </w:tc>
        <w:tc>
          <w:tcPr/>
          <w:p>
            <w:pPr>
              <w:pStyle w:val="Compact"/>
              <w:jc w:val="right"/>
            </w:pPr>
            <w:r>
              <w:rPr>
                <w:sz w:val="18"/>
              </w:rPr>
              <w:t xml:space="preserve">7,782</w:t>
            </w:r>
          </w:p>
        </w:tc>
        <w:tc>
          <w:tcPr/>
          <w:p>
            <w:pPr>
              <w:pStyle w:val="Compact"/>
              <w:jc w:val="right"/>
            </w:pPr>
            <w:r>
              <w:rPr>
                <w:sz w:val="18"/>
              </w:rPr>
              <w:t xml:space="preserve">−484</w:t>
            </w:r>
          </w:p>
        </w:tc>
        <w:tc>
          <w:tcPr/>
          <w:p>
            <w:pPr>
              <w:pStyle w:val="Compact"/>
              <w:jc w:val="right"/>
            </w:pPr>
            <w:r>
              <w:rPr>
                <w:sz w:val="18"/>
              </w:rPr>
              <w:t xml:space="preserve">−2,155</w:t>
            </w:r>
          </w:p>
        </w:tc>
        <w:tc>
          <w:tcPr/>
          <w:p>
            <w:pPr>
              <w:pStyle w:val="Compact"/>
              <w:jc w:val="right"/>
            </w:pPr>
            <w:r>
              <w:rPr>
                <w:sz w:val="18"/>
              </w:rPr>
              <w:t xml:space="preserve">+1,638</w:t>
            </w:r>
          </w:p>
        </w:tc>
        <w:tc>
          <w:tcPr/>
          <w:p>
            <w:pPr>
              <w:pStyle w:val="Compact"/>
              <w:jc w:val="right"/>
            </w:pPr>
            <w:r>
              <w:rPr>
                <w:sz w:val="18"/>
              </w:rPr>
              <w:t xml:space="preserve">+33</w:t>
            </w:r>
          </w:p>
        </w:tc>
        <w:tc>
          <w:tcPr/>
          <w:p>
            <w:pPr>
              <w:pStyle w:val="Compact"/>
              <w:jc w:val="right"/>
            </w:pPr>
            <w:r>
              <w:rPr>
                <w:sz w:val="18"/>
              </w:rPr>
              <w:t xml:space="preserve">6.65</w:t>
            </w:r>
          </w:p>
        </w:tc>
        <w:tc>
          <w:tcPr/>
          <w:p>
            <w:pPr>
              <w:pStyle w:val="Compact"/>
              <w:jc w:val="right"/>
            </w:pPr>
            <w:r>
              <w:rPr>
                <w:sz w:val="18"/>
              </w:rPr>
              <w:t xml:space="preserve">0.33</w:t>
            </w:r>
          </w:p>
        </w:tc>
        <w:tc>
          <w:tcPr/>
          <w:p>
            <w:pPr>
              <w:pStyle w:val="Compact"/>
              <w:jc w:val="right"/>
            </w:pPr>
            <w:r>
              <w:rPr>
                <w:sz w:val="18"/>
              </w:rPr>
              <w:t xml:space="preserve">6.32</w:t>
            </w:r>
          </w:p>
        </w:tc>
        <w:tc>
          <w:tcPr/>
          <w:p>
            <w:pPr>
              <w:pStyle w:val="Compact"/>
              <w:jc w:val="right"/>
            </w:pPr>
            <w:r>
              <w:rPr>
                <w:sz w:val="18"/>
              </w:rPr>
              <w:t xml:space="preserve">3,673</w:t>
            </w:r>
          </w:p>
        </w:tc>
        <w:tc>
          <w:tcPr/>
          <w:p>
            <w:pPr>
              <w:pStyle w:val="Compact"/>
              <w:jc w:val="right"/>
            </w:pPr>
            <w:r>
              <w:rPr>
                <w:sz w:val="18"/>
              </w:rPr>
              <w:t xml:space="preserve">43.2</w:t>
            </w:r>
          </w:p>
        </w:tc>
      </w:tr>
      <w:tr>
        <w:tc>
          <w:tcPr/>
          <w:p>
            <w:pPr>
              <w:pStyle w:val="Compact"/>
            </w:pPr>
            <w:r>
              <w:rPr>
                <w:rFonts w:hint="eastAsia"/>
                <w:sz w:val="18"/>
              </w:rPr>
              <w:t xml:space="preserve">泊3号・下端を線形外挿</w:t>
            </w:r>
          </w:p>
        </w:tc>
        <w:tc>
          <w:tcPr/>
          <w:p>
            <w:pPr>
              <w:pStyle w:val="Compact"/>
              <w:jc w:val="right"/>
            </w:pPr>
            <w:r>
              <w:rPr>
                <w:sz w:val="18"/>
              </w:rPr>
              <w:t xml:space="preserve">8,391</w:t>
            </w:r>
          </w:p>
        </w:tc>
        <w:tc>
          <w:tcPr/>
          <w:p>
            <w:pPr>
              <w:pStyle w:val="Compact"/>
              <w:jc w:val="right"/>
            </w:pPr>
            <w:r>
              <w:rPr>
                <w:sz w:val="18"/>
              </w:rPr>
              <w:t xml:space="preserve">+163</w:t>
            </w:r>
          </w:p>
        </w:tc>
        <w:tc>
          <w:tcPr/>
          <w:p>
            <w:pPr>
              <w:pStyle w:val="Compact"/>
              <w:jc w:val="right"/>
            </w:pPr>
            <w:r>
              <w:rPr>
                <w:sz w:val="18"/>
              </w:rPr>
              <w:t xml:space="preserve">−621</w:t>
            </w:r>
          </w:p>
        </w:tc>
        <w:tc>
          <w:tcPr/>
          <w:p>
            <w:pPr>
              <w:pStyle w:val="Compact"/>
              <w:jc w:val="right"/>
            </w:pPr>
            <w:r>
              <w:rPr>
                <w:sz w:val="18"/>
              </w:rPr>
              <w:t xml:space="preserve">+772</w:t>
            </w:r>
          </w:p>
        </w:tc>
        <w:tc>
          <w:tcPr/>
          <w:p>
            <w:pPr>
              <w:pStyle w:val="Compact"/>
              <w:jc w:val="right"/>
            </w:pPr>
            <w:r>
              <w:rPr>
                <w:sz w:val="18"/>
              </w:rPr>
              <w:t xml:space="preserve">+13</w:t>
            </w:r>
          </w:p>
        </w:tc>
        <w:tc>
          <w:tcPr/>
          <w:p>
            <w:pPr>
              <w:pStyle w:val="Compact"/>
              <w:jc w:val="right"/>
            </w:pPr>
            <w:r>
              <w:rPr>
                <w:sz w:val="18"/>
              </w:rPr>
              <w:t xml:space="preserve">11.86</w:t>
            </w:r>
          </w:p>
        </w:tc>
        <w:tc>
          <w:tcPr/>
          <w:p>
            <w:pPr>
              <w:pStyle w:val="Compact"/>
              <w:jc w:val="right"/>
            </w:pPr>
            <w:r>
              <w:rPr>
                <w:sz w:val="18"/>
              </w:rPr>
              <w:t xml:space="preserve">4.34</w:t>
            </w:r>
          </w:p>
        </w:tc>
        <w:tc>
          <w:tcPr/>
          <w:p>
            <w:pPr>
              <w:pStyle w:val="Compact"/>
              <w:jc w:val="right"/>
            </w:pPr>
            <w:r>
              <w:rPr>
                <w:sz w:val="18"/>
              </w:rPr>
              <w:t xml:space="preserve">7.52</w:t>
            </w:r>
          </w:p>
        </w:tc>
        <w:tc>
          <w:tcPr/>
          <w:p>
            <w:pPr>
              <w:pStyle w:val="Compact"/>
              <w:jc w:val="right"/>
            </w:pPr>
            <w:r>
              <w:rPr>
                <w:sz w:val="18"/>
              </w:rPr>
              <w:t xml:space="preserve">582</w:t>
            </w:r>
          </w:p>
        </w:tc>
        <w:tc>
          <w:tcPr/>
          <w:p>
            <w:pPr>
              <w:pStyle w:val="Compact"/>
              <w:jc w:val="right"/>
            </w:pPr>
            <w:r>
              <w:rPr>
                <w:sz w:val="18"/>
              </w:rPr>
              <w:t xml:space="preserve">5.2</w:t>
            </w:r>
          </w:p>
        </w:tc>
      </w:tr>
      <w:tr>
        <w:tc>
          <w:tcPr/>
          <w:p>
            <w:pPr>
              <w:pStyle w:val="Compact"/>
            </w:pPr>
            <w:r>
              <w:rPr>
                <w:sz w:val="18"/>
              </w:rPr>
              <w:t xml:space="preserve">　</w:t>
            </w:r>
            <w:r>
              <w:rPr>
                <w:rFonts w:hint="eastAsia"/>
                <w:sz w:val="18"/>
              </w:rPr>
              <w:t xml:space="preserve">うち冬</w:t>
            </w:r>
          </w:p>
        </w:tc>
        <w:tc>
          <w:tcPr/>
          <w:p>
            <w:pPr>
              <w:pStyle w:val="Compact"/>
              <w:jc w:val="right"/>
            </w:pPr>
            <w:r>
              <w:rPr>
                <w:sz w:val="18"/>
              </w:rPr>
              <w:t xml:space="preserve">1,052</w:t>
            </w:r>
          </w:p>
        </w:tc>
        <w:tc>
          <w:tcPr/>
          <w:p>
            <w:pPr>
              <w:pStyle w:val="Compact"/>
              <w:jc w:val="right"/>
            </w:pPr>
            <w:r>
              <w:rPr>
                <w:sz w:val="18"/>
              </w:rPr>
              <w:t xml:space="preserve">−64</w:t>
            </w:r>
          </w:p>
        </w:tc>
        <w:tc>
          <w:tcPr/>
          <w:p>
            <w:pPr>
              <w:pStyle w:val="Compact"/>
              <w:jc w:val="right"/>
            </w:pPr>
            <w:r>
              <w:rPr>
                <w:sz w:val="18"/>
              </w:rPr>
              <w:t xml:space="preserve">−192</w:t>
            </w:r>
          </w:p>
        </w:tc>
        <w:tc>
          <w:tcPr/>
          <w:p>
            <w:pPr>
              <w:pStyle w:val="Compact"/>
              <w:jc w:val="right"/>
            </w:pPr>
            <w:r>
              <w:rPr>
                <w:sz w:val="18"/>
              </w:rPr>
              <w:t xml:space="preserve">+129</w:t>
            </w:r>
          </w:p>
        </w:tc>
        <w:tc>
          <w:tcPr/>
          <w:p>
            <w:pPr>
              <w:pStyle w:val="Compact"/>
              <w:jc w:val="right"/>
            </w:pPr>
            <w:r>
              <w:rPr>
                <w:sz w:val="18"/>
              </w:rPr>
              <w:t xml:space="preserve">0</w:t>
            </w:r>
          </w:p>
        </w:tc>
        <w:tc>
          <w:tcPr/>
          <w:p>
            <w:pPr>
              <w:pStyle w:val="Compact"/>
              <w:jc w:val="right"/>
            </w:pPr>
            <w:r>
              <w:rPr>
                <w:sz w:val="18"/>
              </w:rPr>
              <w:t xml:space="preserve">11.66</w:t>
            </w:r>
          </w:p>
        </w:tc>
        <w:tc>
          <w:tcPr/>
          <w:p>
            <w:pPr>
              <w:pStyle w:val="Compact"/>
              <w:jc w:val="right"/>
            </w:pPr>
            <w:r>
              <w:rPr>
                <w:sz w:val="18"/>
              </w:rPr>
              <w:t xml:space="preserve">7.00</w:t>
            </w:r>
          </w:p>
        </w:tc>
        <w:tc>
          <w:tcPr/>
          <w:p>
            <w:pPr>
              <w:pStyle w:val="Compact"/>
              <w:jc w:val="right"/>
            </w:pPr>
            <w:r>
              <w:rPr>
                <w:sz w:val="18"/>
              </w:rPr>
              <w:t xml:space="preserve">4.66</w:t>
            </w:r>
          </w:p>
        </w:tc>
        <w:tc>
          <w:tcPr/>
          <w:p>
            <w:pPr>
              <w:pStyle w:val="Compact"/>
              <w:jc w:val="right"/>
            </w:pPr>
            <w:r>
              <w:rPr>
                <w:sz w:val="18"/>
              </w:rPr>
              <w:t xml:space="preserve">0</w:t>
            </w:r>
          </w:p>
        </w:tc>
        <w:tc>
          <w:tcPr/>
          <w:p>
            <w:pPr>
              <w:pStyle w:val="Compact"/>
              <w:jc w:val="right"/>
            </w:pPr>
            <w:r>
              <w:rPr>
                <w:sz w:val="18"/>
              </w:rPr>
              <w:t xml:space="preserve">3.5</w:t>
            </w:r>
          </w:p>
        </w:tc>
      </w:tr>
      <w:tr>
        <w:tc>
          <w:tcPr/>
          <w:p>
            <w:pPr>
              <w:pStyle w:val="Compact"/>
            </w:pPr>
            <w:r>
              <w:rPr>
                <w:rFonts w:hint="eastAsia"/>
                <w:sz w:val="18"/>
              </w:rPr>
              <w:t xml:space="preserve">泊2基相当・下端を線形外挿</w:t>
            </w:r>
          </w:p>
        </w:tc>
        <w:tc>
          <w:tcPr/>
          <w:p>
            <w:pPr>
              <w:pStyle w:val="Compact"/>
              <w:jc w:val="right"/>
            </w:pPr>
            <w:r>
              <w:rPr>
                <w:sz w:val="18"/>
              </w:rPr>
              <w:t xml:space="preserve">6,885</w:t>
            </w:r>
          </w:p>
        </w:tc>
        <w:tc>
          <w:tcPr/>
          <w:p>
            <w:pPr>
              <w:pStyle w:val="Compact"/>
              <w:jc w:val="right"/>
            </w:pPr>
            <w:r>
              <w:rPr>
                <w:sz w:val="18"/>
              </w:rPr>
              <w:t xml:space="preserve">−1,342</w:t>
            </w:r>
          </w:p>
        </w:tc>
        <w:tc>
          <w:tcPr/>
          <w:p>
            <w:pPr>
              <w:pStyle w:val="Compact"/>
              <w:jc w:val="right"/>
            </w:pPr>
            <w:r>
              <w:rPr>
                <w:sz w:val="18"/>
              </w:rPr>
              <w:t xml:space="preserve">−2,653</w:t>
            </w:r>
          </w:p>
        </w:tc>
        <w:tc>
          <w:tcPr/>
          <w:p>
            <w:pPr>
              <w:pStyle w:val="Compact"/>
              <w:jc w:val="right"/>
            </w:pPr>
            <w:r>
              <w:rPr>
                <w:sz w:val="18"/>
              </w:rPr>
              <w:t xml:space="preserve">+1,285</w:t>
            </w:r>
          </w:p>
        </w:tc>
        <w:tc>
          <w:tcPr/>
          <w:p>
            <w:pPr>
              <w:pStyle w:val="Compact"/>
              <w:jc w:val="right"/>
            </w:pPr>
            <w:r>
              <w:rPr>
                <w:sz w:val="18"/>
              </w:rPr>
              <w:t xml:space="preserve">+26</w:t>
            </w:r>
          </w:p>
        </w:tc>
        <w:tc>
          <w:tcPr/>
          <w:p>
            <w:pPr>
              <w:pStyle w:val="Compact"/>
              <w:jc w:val="right"/>
            </w:pPr>
            <w:r>
              <w:rPr>
                <w:sz w:val="18"/>
              </w:rPr>
              <w:t xml:space="preserve">7.86</w:t>
            </w:r>
          </w:p>
        </w:tc>
        <w:tc>
          <w:tcPr/>
          <w:p>
            <w:pPr>
              <w:pStyle w:val="Compact"/>
              <w:jc w:val="right"/>
            </w:pPr>
            <w:r>
              <w:rPr>
                <w:sz w:val="18"/>
              </w:rPr>
              <w:t xml:space="preserve">1.97</w:t>
            </w:r>
          </w:p>
        </w:tc>
        <w:tc>
          <w:tcPr/>
          <w:p>
            <w:pPr>
              <w:pStyle w:val="Compact"/>
              <w:jc w:val="right"/>
            </w:pPr>
            <w:r>
              <w:rPr>
                <w:sz w:val="18"/>
              </w:rPr>
              <w:t xml:space="preserve">5.89</w:t>
            </w:r>
          </w:p>
        </w:tc>
        <w:tc>
          <w:tcPr/>
          <w:p>
            <w:pPr>
              <w:pStyle w:val="Compact"/>
              <w:jc w:val="right"/>
            </w:pPr>
            <w:r>
              <w:rPr>
                <w:sz w:val="18"/>
              </w:rPr>
              <w:t xml:space="preserve">1,761</w:t>
            </w:r>
          </w:p>
        </w:tc>
        <w:tc>
          <w:tcPr/>
          <w:p>
            <w:pPr>
              <w:pStyle w:val="Compact"/>
              <w:jc w:val="right"/>
            </w:pPr>
            <w:r>
              <w:rPr>
                <w:sz w:val="18"/>
              </w:rPr>
              <w:t xml:space="preserve">29.1</w:t>
            </w:r>
          </w:p>
        </w:tc>
      </w:tr>
      <w:tr>
        <w:tc>
          <w:tcPr/>
          <w:p>
            <w:pPr>
              <w:pStyle w:val="Compact"/>
            </w:pPr>
            <w:r>
              <w:rPr>
                <w:rFonts w:hint="eastAsia"/>
                <w:sz w:val="18"/>
              </w:rPr>
              <w:t xml:space="preserve">泊3号・分断混合仕様</w:t>
            </w:r>
          </w:p>
        </w:tc>
        <w:tc>
          <w:tcPr/>
          <w:p>
            <w:pPr>
              <w:pStyle w:val="Compact"/>
              <w:jc w:val="right"/>
            </w:pPr>
            <w:r>
              <w:rPr>
                <w:sz w:val="18"/>
              </w:rPr>
              <w:t xml:space="preserve">9,777</w:t>
            </w:r>
          </w:p>
        </w:tc>
        <w:tc>
          <w:tcPr/>
          <w:p>
            <w:pPr>
              <w:pStyle w:val="Compact"/>
              <w:jc w:val="right"/>
            </w:pPr>
            <w:r>
              <w:rPr>
                <w:sz w:val="18"/>
              </w:rPr>
              <w:t xml:space="preserve">+1,184</w:t>
            </w:r>
          </w:p>
        </w:tc>
        <w:tc>
          <w:tcPr/>
          <w:p>
            <w:pPr>
              <w:pStyle w:val="Compact"/>
              <w:jc w:val="right"/>
            </w:pPr>
            <w:r>
              <w:rPr>
                <w:sz w:val="18"/>
              </w:rPr>
              <w:t xml:space="preserve">+373</w:t>
            </w:r>
          </w:p>
        </w:tc>
        <w:tc>
          <w:tcPr/>
          <w:p>
            <w:pPr>
              <w:pStyle w:val="Compact"/>
              <w:jc w:val="right"/>
            </w:pPr>
            <w:r>
              <w:rPr>
                <w:sz w:val="18"/>
              </w:rPr>
              <w:t xml:space="preserve">+812</w:t>
            </w:r>
          </w:p>
        </w:tc>
        <w:tc>
          <w:tcPr/>
          <w:p>
            <w:pPr>
              <w:pStyle w:val="Compact"/>
              <w:jc w:val="right"/>
            </w:pPr>
            <w:r>
              <w:rPr>
                <w:sz w:val="18"/>
              </w:rPr>
              <w:t xml:space="preserve">0</w:t>
            </w:r>
          </w:p>
        </w:tc>
        <w:tc>
          <w:tcPr/>
          <w:p>
            <w:pPr>
              <w:pStyle w:val="Compact"/>
              <w:jc w:val="right"/>
            </w:pPr>
            <w:r>
              <w:rPr>
                <w:sz w:val="18"/>
              </w:rPr>
              <w:t xml:space="preserve">12.60</w:t>
            </w:r>
          </w:p>
        </w:tc>
        <w:tc>
          <w:tcPr/>
          <w:p>
            <w:pPr>
              <w:pStyle w:val="Compact"/>
              <w:jc w:val="right"/>
            </w:pPr>
            <w:r>
              <w:rPr>
                <w:sz w:val="18"/>
              </w:rPr>
              <w:t xml:space="preserve">4.02</w:t>
            </w:r>
          </w:p>
        </w:tc>
        <w:tc>
          <w:tcPr/>
          <w:p>
            <w:pPr>
              <w:pStyle w:val="Compact"/>
              <w:jc w:val="right"/>
            </w:pPr>
            <w:r>
              <w:rPr>
                <w:sz w:val="18"/>
              </w:rPr>
              <w:t xml:space="preserve">8.58</w:t>
            </w:r>
          </w:p>
        </w:tc>
        <w:tc>
          <w:tcPr/>
          <w:p>
            <w:pPr>
              <w:pStyle w:val="Compact"/>
              <w:jc w:val="right"/>
            </w:pPr>
            <w:r>
              <w:rPr>
                <w:sz w:val="18"/>
              </w:rPr>
              <w:t xml:space="preserve">704</w:t>
            </w:r>
          </w:p>
        </w:tc>
        <w:tc>
          <w:tcPr/>
          <w:p>
            <w:pPr>
              <w:pStyle w:val="Compact"/>
              <w:jc w:val="right"/>
            </w:pPr>
            <w:r>
              <w:rPr>
                <w:sz w:val="18"/>
              </w:rPr>
              <w:t xml:space="preserve">5.2</w:t>
            </w:r>
          </w:p>
        </w:tc>
      </w:tr>
      <w:tr>
        <w:tc>
          <w:tcPr/>
          <w:p>
            <w:pPr>
              <w:pStyle w:val="Compact"/>
            </w:pPr>
            <w:r>
              <w:rPr>
                <w:rFonts w:hint="eastAsia"/>
                <w:sz w:val="18"/>
              </w:rPr>
              <w:t xml:space="preserve">泊2基相当・分断混合仕様</w:t>
            </w:r>
          </w:p>
        </w:tc>
        <w:tc>
          <w:tcPr/>
          <w:p>
            <w:pPr>
              <w:pStyle w:val="Compact"/>
              <w:jc w:val="right"/>
            </w:pPr>
            <w:r>
              <w:rPr>
                <w:sz w:val="18"/>
              </w:rPr>
              <w:t xml:space="preserve">12,908</w:t>
            </w:r>
          </w:p>
        </w:tc>
        <w:tc>
          <w:tcPr/>
          <w:p>
            <w:pPr>
              <w:pStyle w:val="Compact"/>
              <w:jc w:val="right"/>
            </w:pPr>
            <w:r>
              <w:rPr>
                <w:sz w:val="18"/>
              </w:rPr>
              <w:t xml:space="preserve">+4,315</w:t>
            </w:r>
          </w:p>
        </w:tc>
        <w:tc>
          <w:tcPr/>
          <w:p>
            <w:pPr>
              <w:pStyle w:val="Compact"/>
              <w:jc w:val="right"/>
            </w:pPr>
            <w:r>
              <w:rPr>
                <w:sz w:val="18"/>
              </w:rPr>
              <w:t xml:space="preserve">+2,762</w:t>
            </w:r>
          </w:p>
        </w:tc>
        <w:tc>
          <w:tcPr/>
          <w:p>
            <w:pPr>
              <w:pStyle w:val="Compact"/>
              <w:jc w:val="right"/>
            </w:pPr>
            <w:r>
              <w:rPr>
                <w:sz w:val="18"/>
              </w:rPr>
              <w:t xml:space="preserve">+1,554</w:t>
            </w:r>
          </w:p>
        </w:tc>
        <w:tc>
          <w:tcPr/>
          <w:p>
            <w:pPr>
              <w:pStyle w:val="Compact"/>
              <w:jc w:val="right"/>
            </w:pPr>
            <w:r>
              <w:rPr>
                <w:sz w:val="18"/>
              </w:rPr>
              <w:t xml:space="preserve">0</w:t>
            </w:r>
          </w:p>
        </w:tc>
        <w:tc>
          <w:tcPr/>
          <w:p>
            <w:pPr>
              <w:pStyle w:val="Compact"/>
              <w:jc w:val="right"/>
            </w:pPr>
            <w:r>
              <w:rPr>
                <w:sz w:val="18"/>
              </w:rPr>
              <w:t xml:space="preserve">11.14</w:t>
            </w:r>
          </w:p>
        </w:tc>
        <w:tc>
          <w:tcPr/>
          <w:p>
            <w:pPr>
              <w:pStyle w:val="Compact"/>
              <w:jc w:val="right"/>
            </w:pPr>
            <w:r>
              <w:rPr>
                <w:sz w:val="18"/>
              </w:rPr>
              <w:t xml:space="preserve">0.64</w:t>
            </w:r>
          </w:p>
        </w:tc>
        <w:tc>
          <w:tcPr/>
          <w:p>
            <w:pPr>
              <w:pStyle w:val="Compact"/>
              <w:jc w:val="right"/>
            </w:pPr>
            <w:r>
              <w:rPr>
                <w:sz w:val="18"/>
              </w:rPr>
              <w:t xml:space="preserve">10.50</w:t>
            </w:r>
          </w:p>
        </w:tc>
        <w:tc>
          <w:tcPr/>
          <w:p>
            <w:pPr>
              <w:pStyle w:val="Compact"/>
              <w:jc w:val="right"/>
            </w:pPr>
            <w:r>
              <w:rPr>
                <w:sz w:val="18"/>
              </w:rPr>
              <w:t xml:space="preserve">2,630</w:t>
            </w:r>
          </w:p>
        </w:tc>
        <w:tc>
          <w:tcPr/>
          <w:p>
            <w:pPr>
              <w:pStyle w:val="Compact"/>
              <w:jc w:val="right"/>
            </w:pPr>
            <w:r>
              <w:rPr>
                <w:sz w:val="18"/>
              </w:rPr>
              <w:t xml:space="preserve">29.1</w:t>
            </w:r>
          </w:p>
        </w:tc>
      </w:tr>
    </w:tbl>
    <w:p>
      <w:pPr>
        <w:pStyle w:val="TableNote"/>
      </w:pPr>
      <w:r>
        <w:rPr>
          <w:rFonts w:hint="eastAsia"/>
        </w:rPr>
        <w:t xml:space="preserve">注）FY2023〜25</w:t>
      </w:r>
      <w:r>
        <w:t xml:space="preserve"> </w:t>
      </w:r>
      <w:r>
        <w:rPr>
          <w:rFonts w:hint="eastAsia"/>
        </w:rPr>
        <w:t xml:space="preserve">パス、年度合計の3年平均。完全予見粗利と変化・分解は円/kW-年、上位4時間・下位4時間（上位・下位4時間の平均価格）と</w:t>
      </w:r>
      <w:r>
        <w:t xml:space="preserve"> TB4h </w:t>
      </w:r>
      <w:r>
        <w:rPr>
          <w:rFonts w:hint="eastAsia"/>
        </w:rPr>
        <w:t xml:space="preserve">は円/kWh。仕様A</w:t>
      </w:r>
      <w:r>
        <w:t xml:space="preserve"> </w:t>
      </w:r>
      <w:r>
        <w:rPr>
          <w:rFonts w:hint="eastAsia"/>
        </w:rPr>
        <w:t xml:space="preserve">は本文の表7.2</w:t>
      </w:r>
      <w:r>
        <w:t xml:space="preserve"> </w:t>
      </w:r>
      <w:r>
        <w:rPr>
          <w:rFonts w:hint="eastAsia"/>
        </w:rPr>
        <w:t xml:space="preserve">と同じ決定論の仕様。季節の行は年間への寄与で、夏7〜9月・冬12〜2月・不需要期3〜6月と10〜11月。分解は式(7.1)による。泊2基相当は泊3号（91.2万kW×90%）の2基分、全基は泊1〜3号（57.9＋57.9＋91.2万kW）×90%。線形外挿は、供給曲線の下端を最下位の打ち切られていない8ビンの傾きで延長し、下限0.01円を残したもので、変化はその現状（8,227円）からの差。分断混合仕様の現状は8,593円。推定範囲外は、各季節の最下位ビンの中心より純需要が低い時間の割合。</w:t>
      </w:r>
    </w:p>
    <w:p>
      <w:pPr>
        <w:pStyle w:val="TableNote"/>
      </w:pPr>
      <w:r>
        <w:rPr>
          <w:rFonts w:hint="eastAsia"/>
        </w:rPr>
        <w:t xml:space="preserve">出所）表C.21</w:t>
      </w:r>
      <w:r>
        <w:t xml:space="preserve"> </w:t>
      </w:r>
      <w:r>
        <w:rPr>
          <w:rFonts w:hint="eastAsia"/>
        </w:rPr>
        <w:t xml:space="preserve">と同じ。</w:t>
      </w:r>
    </w:p>
    <w:p>
      <w:pPr>
        <w:pStyle w:val="BodyText"/>
      </w:pPr>
      <w:r>
        <w:rPr>
          <w:rFonts w:hint="eastAsia"/>
        </w:rPr>
        <w:t xml:space="preserve">泊3号の増分を、失われる電力量を上位4時間で評価する別の分け方で分けると、スプレッドの変化−232円、水準効果+881円である。不需要期にスプレッドがわずかに開くのは、安い時間の一部が供給曲線の下端の急な部分や推定範囲外に入るためで、下端を線形外挿すると+19円にとどまる。泊3号の増分+662円のうち約500円は、推定範囲外を0.01円とする段差の置き方から来ており、とくに冬の+209円は、線形外挿では−64円（TB4h</w:t>
      </w:r>
      <w:r>
        <w:t xml:space="preserve"> </w:t>
      </w:r>
      <w:r>
        <w:rPr>
          <w:rFonts w:hint="eastAsia"/>
        </w:rPr>
        <w:t xml:space="preserve">は5.29円から4.66円に縮む）になる。</w:t>
      </w:r>
    </w:p>
    <w:p>
      <w:pPr>
        <w:pStyle w:val="BodyText"/>
      </w:pPr>
      <w:r>
        <w:rPr>
          <w:rFonts w:hint="eastAsia"/>
        </w:rPr>
        <w:t xml:space="preserve">分断混合仕様では、純需要が下がると、純需要の2次の多項ロジットで推定したレジームの確率のうち連系の確率が上がる（全時間に占める連系の割合は、現状7%、泊3号9%、泊2基相当17%）。連系時の価格には観測されたシステムプライスを外生として置くので、上位4時間のうち連系の時間が7%から53%に増え、上位4時間の低下が小さくなる（泊2基相当で上位4時間は16.0円から11.1円。仕様A</w:t>
      </w:r>
      <w:r>
        <w:t xml:space="preserve"> </w:t>
      </w:r>
      <w:r>
        <w:rPr>
          <w:rFonts w:hint="eastAsia"/>
        </w:rPr>
        <w:t xml:space="preserve">では7.8円）。この結果は、レジームの確率の推定範囲外への外挿と、北海道の余剰がシステムプライスを動かさないという仮定に依存する。物理的には、北海道の余剰が増えれば北海道・本州間連系設備の拘束による安値分断が増えるはずであり（FY2023〜25</w:t>
      </w:r>
      <w:r>
        <w:t xml:space="preserve"> </w:t>
      </w:r>
      <w:r>
        <w:rPr>
          <w:rFonts w:hint="eastAsia"/>
        </w:rPr>
        <w:t xml:space="preserve">の安値分断のうち北海道・本州間連系設備が拘束した時間は28%。5.5節）、連系の確率が上がる形は検証できていない。</w:t>
      </w:r>
    </w:p>
    <w:p>
      <w:pPr>
        <w:pStyle w:val="BodyText"/>
      </w:pPr>
      <w:r>
        <w:rPr>
          <w:rFonts w:hint="eastAsia"/>
          <w:b/>
          <w:bCs/>
        </w:rPr>
        <w:t xml:space="preserve">下限価格を外した反実仮想の負の価格</w:t>
      </w:r>
      <w:r>
        <w:t xml:space="preserve">　</w:t>
      </w:r>
      <w:r>
        <w:rPr>
          <w:rFonts w:hint="eastAsia"/>
        </w:rPr>
        <w:t xml:space="preserve">下端を線形外挿して下限を外した仕様で、</w:t>
      </w:r>
      <m:oMath>
        <m:r>
          <m:t>K</m:t>
        </m:r>
        <m:r>
          <m:rPr>
            <m:sty m:val="p"/>
          </m:rPr>
          <m:t>=</m:t>
        </m:r>
        <m:r>
          <m:t>0</m:t>
        </m:r>
      </m:oMath>
      <w:r>
        <w:t xml:space="preserve"> </w:t>
      </w:r>
      <w:r>
        <w:rPr>
          <w:rFonts w:hint="eastAsia"/>
        </w:rPr>
        <w:t xml:space="preserve">で0.01円を下回る時間は、現状で年108時間・平均−2.4円、泊3号で年587時間・平均−5.0円・中央値−4.1円で、−10円より深いのは14%である（各日の最安4時間に限ると年333時間・平均−5.8円、−10円より深いのは20%）。同じ価格過程（仕様A、水準固定）に第9章の段差モデル（下限の時間の価格を一律に負の一定値に置く）を当てると、下限が泊3号の増分から削る価値は、深さ5円で1,926円、10円で3,847円である（第9章の水準係数付きの価格過程では1,890円・3,777円）。外挿の1,723円は深さ約4.5円にあたり、泊2基相当・全基・風力3倍では約5円（4.3〜5.4円）にあたる。風力の行は、風力導入量の計上時期を補正すると、完全予見粗利の変化が2〜3%、段差の効果が4〜5%、下限価格の効果が約2%小さくなる（風力2倍：仕様A</w:t>
      </w:r>
      <w:r>
        <w:t xml:space="preserve"> </w:t>
      </w:r>
      <w:r>
        <w:rPr>
          <w:rFonts w:hint="eastAsia"/>
        </w:rPr>
        <w:t xml:space="preserve">+588（+226）、線形外挿・下限あり+404（+70）、下限なし+1,035（+606）、段差の効果+184、下限価格の効果−631。風力3倍：+1,430（+704）、+945（+292）、+2,743（+1,820）、+485、−1,798）。</w:t>
      </w:r>
    </w:p>
    <w:bookmarkEnd w:id="379"/>
    <w:bookmarkStart w:id="380" w:name="c.3.8-九州の原子力による外部検証"/>
    <w:p>
      <w:pPr>
        <w:pStyle w:val="Heading3"/>
      </w:pPr>
      <w:r>
        <w:t xml:space="preserve">C.3.8　</w:t>
      </w:r>
      <w:r>
        <w:rPr>
          <w:rFonts w:hint="eastAsia"/>
        </w:rPr>
        <w:t xml:space="preserve">九州の原子力による外部検証</w:t>
      </w:r>
    </w:p>
    <w:p>
      <w:pPr>
        <w:pStyle w:val="FirstParagraph"/>
      </w:pPr>
      <w:r>
        <w:rPr>
          <w:rFonts w:hint="eastAsia"/>
        </w:rPr>
        <w:t xml:space="preserve">泊は2012年5月から停止しており、FY2016〜25</w:t>
      </w:r>
      <w:r>
        <w:t xml:space="preserve"> </w:t>
      </w:r>
      <w:r>
        <w:rPr>
          <w:rFonts w:hint="eastAsia"/>
        </w:rPr>
        <w:t xml:space="preserve">の北海道の原子力発電量は全日0である。このため、原子力が価格に与える効果を北海道のデータで識別することはできない。そこで、原子力の日次発電量が定期検査などで変動する九州で日次回帰を推定した。標本は</w:t>
      </w:r>
      <w:r>
        <w:t xml:space="preserve"> FY2016〜25 </w:t>
      </w:r>
      <w:r>
        <w:rPr>
          <w:rFonts w:hint="eastAsia"/>
        </w:rPr>
        <w:t xml:space="preserve">のうち需要・原子力が欠測の20日を除く3,632日で、原子力の平均は68.1GWh/日、年度内の標準偏差は15.1GWh/日（年月内は6.2GWh/日）である。右辺は第5章の主仕様（季節×太陽光・風力の発電量、需要、年度・季節の固定効果）に季節×原子力を加えたもので、推論は第5章と同じ</w:t>
      </w:r>
      <w:r>
        <w:t xml:space="preserve"> </w:t>
      </w:r>
      <w:r>
        <w:rPr>
          <w:rFonts w:hint="eastAsia"/>
        </w:rPr>
        <w:t xml:space="preserve">EWC（</w:t>
      </w:r>
      <m:oMath>
        <m:r>
          <m:t>ν</m:t>
        </m:r>
        <m:r>
          <m:rPr>
            <m:sty m:val="p"/>
          </m:rPr>
          <m:t>=</m:t>
        </m:r>
        <m:r>
          <m:t>94</m:t>
        </m:r>
      </m:oMath>
      <w:r>
        <w:rPr>
          <w:rFonts w:hint="eastAsia"/>
        </w:rPr>
        <w:t xml:space="preserve">）とし、境界の係数は設計に合わせたブートストラップの</w:t>
      </w:r>
      <w:r>
        <w:t xml:space="preserve"> p </w:t>
      </w:r>
      <w:r>
        <w:rPr>
          <w:rFonts w:hint="eastAsia"/>
        </w:rPr>
        <w:t xml:space="preserve">で確かめる。</w:t>
      </w:r>
    </w:p>
    <w:p>
      <w:pPr>
        <w:pStyle w:val="TableCaption"/>
      </w:pPr>
      <w:r>
        <w:rPr>
          <w:rFonts w:hint="eastAsia"/>
        </w:rPr>
        <w:t xml:space="preserve">表C.30</w:t>
      </w:r>
      <w:r>
        <w:t xml:space="preserve">　</w:t>
      </w:r>
      <w:r>
        <w:rPr>
          <w:rFonts w:hint="eastAsia"/>
        </w:rPr>
        <w:t xml:space="preserve">九州の原子力発電量と日次の価格指標</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0　九州の原子力発電量と日次の価格指標"/>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被説明変数</w:t>
            </w:r>
          </w:p>
        </w:tc>
        <w:tc>
          <w:tcPr>
            <w:tcBorders>
              <w:bottom w:val="single" w:sz="6" w:color="000000"/>
            </w:tcBorders>
          </w:tcPr>
          <w:p>
            <w:pPr>
              <w:pStyle w:val="Compact"/>
              <w:jc w:val="right"/>
            </w:pPr>
            <w:r>
              <w:rPr>
                <w:rFonts w:hint="eastAsia"/>
                <w:sz w:val="18"/>
              </w:rPr>
              <w:t xml:space="preserve">夏</w:t>
            </w:r>
          </w:p>
        </w:tc>
        <w:tc>
          <w:tcPr>
            <w:tcBorders>
              <w:bottom w:val="single" w:sz="6" w:color="000000"/>
            </w:tcBorders>
          </w:tcPr>
          <w:p>
            <w:pPr>
              <w:pStyle w:val="Compact"/>
              <w:jc w:val="right"/>
            </w:pPr>
            <w:r>
              <w:rPr>
                <w:rFonts w:hint="eastAsia"/>
                <w:sz w:val="18"/>
              </w:rPr>
              <w:t xml:space="preserve">冬</w:t>
            </w:r>
          </w:p>
        </w:tc>
        <w:tc>
          <w:tcPr>
            <w:tcBorders>
              <w:bottom w:val="single" w:sz="6" w:color="000000"/>
            </w:tcBorders>
          </w:tcPr>
          <w:p>
            <w:pPr>
              <w:pStyle w:val="Compact"/>
              <w:jc w:val="right"/>
            </w:pPr>
            <w:r>
              <w:rPr>
                <w:rFonts w:hint="eastAsia"/>
                <w:sz w:val="18"/>
              </w:rPr>
              <w:t xml:space="preserve">不需要期</w:t>
            </w:r>
          </w:p>
        </w:tc>
        <w:tc>
          <w:tcPr>
            <w:tcBorders>
              <w:bottom w:val="single" w:sz="6" w:color="000000"/>
            </w:tcBorders>
          </w:tcPr>
          <w:p>
            <w:pPr>
              <w:pStyle w:val="Compact"/>
              <w:jc w:val="right"/>
            </w:pPr>
            <w:r>
              <w:rPr>
                <w:rFonts w:hint="eastAsia"/>
                <w:sz w:val="18"/>
              </w:rPr>
              <w:t xml:space="preserve">夏（年月FE）</w:t>
            </w:r>
          </w:p>
        </w:tc>
        <w:tc>
          <w:tcPr>
            <w:tcBorders>
              <w:bottom w:val="single" w:sz="6" w:color="000000"/>
            </w:tcBorders>
          </w:tcPr>
          <w:p>
            <w:pPr>
              <w:pStyle w:val="Compact"/>
              <w:jc w:val="right"/>
            </w:pPr>
            <w:r>
              <w:rPr>
                <w:rFonts w:hint="eastAsia"/>
                <w:sz w:val="18"/>
              </w:rPr>
              <w:t xml:space="preserve">冬（年月FE）</w:t>
            </w:r>
          </w:p>
        </w:tc>
        <w:tc>
          <w:tcPr>
            <w:tcBorders>
              <w:bottom w:val="single" w:sz="6" w:color="000000"/>
            </w:tcBorders>
          </w:tcPr>
          <w:p>
            <w:pPr>
              <w:pStyle w:val="Compact"/>
              <w:jc w:val="right"/>
            </w:pPr>
            <w:r>
              <w:rPr>
                <w:rFonts w:hint="eastAsia"/>
                <w:sz w:val="18"/>
              </w:rPr>
              <w:t xml:space="preserve">不需要期（年月FE）</w:t>
            </w:r>
          </w:p>
        </w:tc>
      </w:tr>
      <w:tr>
        <w:tc>
          <w:tcPr/>
          <w:p>
            <w:pPr>
              <w:pStyle w:val="Compact"/>
            </w:pPr>
            <w:r>
              <w:rPr>
                <w:rFonts w:hint="eastAsia"/>
                <w:sz w:val="18"/>
              </w:rPr>
              <w:t xml:space="preserve">日平均価格</w:t>
            </w:r>
          </w:p>
        </w:tc>
        <w:tc>
          <w:tcPr/>
          <w:p>
            <w:pPr>
              <w:pStyle w:val="Compact"/>
              <w:jc w:val="right"/>
            </w:pPr>
            <w:r>
              <w:rPr>
                <w:sz w:val="18"/>
              </w:rPr>
              <w:t xml:space="preserve">−0.014</w:t>
            </w:r>
          </w:p>
        </w:tc>
        <w:tc>
          <w:tcPr/>
          <w:p>
            <w:pPr>
              <w:pStyle w:val="Compact"/>
              <w:jc w:val="right"/>
            </w:pPr>
            <w:r>
              <w:rPr>
                <w:sz w:val="18"/>
              </w:rPr>
              <w:t xml:space="preserve">−0.065***</w:t>
            </w:r>
          </w:p>
        </w:tc>
        <w:tc>
          <w:tcPr/>
          <w:p>
            <w:pPr>
              <w:pStyle w:val="Compact"/>
              <w:jc w:val="right"/>
            </w:pPr>
            <w:r>
              <w:rPr>
                <w:sz w:val="18"/>
              </w:rPr>
              <w:t xml:space="preserve">−0.039**</w:t>
            </w:r>
          </w:p>
        </w:tc>
        <w:tc>
          <w:tcPr/>
          <w:p>
            <w:pPr>
              <w:pStyle w:val="Compact"/>
              <w:jc w:val="right"/>
            </w:pPr>
            <w:r>
              <w:rPr>
                <w:sz w:val="18"/>
              </w:rPr>
              <w:t xml:space="preserve">−0.050*</w:t>
            </w:r>
          </w:p>
        </w:tc>
        <w:tc>
          <w:tcPr/>
          <w:p>
            <w:pPr>
              <w:pStyle w:val="Compact"/>
              <w:jc w:val="right"/>
            </w:pPr>
            <w:r>
              <w:rPr>
                <w:sz w:val="18"/>
              </w:rPr>
              <w:t xml:space="preserve">−0.074**</w:t>
            </w:r>
          </w:p>
        </w:tc>
        <w:tc>
          <w:tcPr/>
          <w:p>
            <w:pPr>
              <w:pStyle w:val="Compact"/>
              <w:jc w:val="right"/>
            </w:pPr>
            <w:r>
              <w:rPr>
                <w:sz w:val="18"/>
              </w:rPr>
              <w:t xml:space="preserve">−0.022</w:t>
            </w:r>
          </w:p>
        </w:tc>
      </w:tr>
      <w:tr>
        <w:tc>
          <w:tcPr/>
          <w:p>
            <w:pPr>
              <w:pStyle w:val="Compact"/>
            </w:pPr>
            <w:r>
              <w:rPr>
                <w:rFonts w:hint="eastAsia"/>
                <w:sz w:val="18"/>
              </w:rPr>
              <w:t xml:space="preserve">上位4時間の平均価格</w:t>
            </w:r>
          </w:p>
        </w:tc>
        <w:tc>
          <w:tcPr/>
          <w:p>
            <w:pPr>
              <w:pStyle w:val="Compact"/>
              <w:jc w:val="right"/>
            </w:pPr>
            <w:r>
              <w:rPr>
                <w:sz w:val="18"/>
              </w:rPr>
              <w:t xml:space="preserve">−0.087</w:t>
            </w:r>
          </w:p>
        </w:tc>
        <w:tc>
          <w:tcPr/>
          <w:p>
            <w:pPr>
              <w:pStyle w:val="Compact"/>
              <w:jc w:val="right"/>
            </w:pPr>
            <w:r>
              <w:rPr>
                <w:sz w:val="18"/>
              </w:rPr>
              <w:t xml:space="preserve">−0.105***</w:t>
            </w:r>
          </w:p>
        </w:tc>
        <w:tc>
          <w:tcPr/>
          <w:p>
            <w:pPr>
              <w:pStyle w:val="Compact"/>
              <w:jc w:val="right"/>
            </w:pPr>
            <w:r>
              <w:rPr>
                <w:sz w:val="18"/>
              </w:rPr>
              <w:t xml:space="preserve">−0.066*</w:t>
            </w:r>
          </w:p>
        </w:tc>
        <w:tc>
          <w:tcPr/>
          <w:p>
            <w:pPr>
              <w:pStyle w:val="Compact"/>
              <w:jc w:val="right"/>
            </w:pPr>
            <w:r>
              <w:rPr>
                <w:sz w:val="18"/>
              </w:rPr>
              <w:t xml:space="preserve">−0.042</w:t>
            </w:r>
          </w:p>
        </w:tc>
        <w:tc>
          <w:tcPr/>
          <w:p>
            <w:pPr>
              <w:pStyle w:val="Compact"/>
              <w:jc w:val="right"/>
            </w:pPr>
            <w:r>
              <w:rPr>
                <w:sz w:val="18"/>
              </w:rPr>
              <w:t xml:space="preserve">−0.083</w:t>
            </w:r>
          </w:p>
        </w:tc>
        <w:tc>
          <w:tcPr/>
          <w:p>
            <w:pPr>
              <w:pStyle w:val="Compact"/>
              <w:jc w:val="right"/>
            </w:pPr>
            <w:r>
              <w:rPr>
                <w:sz w:val="18"/>
              </w:rPr>
              <w:t xml:space="preserve">−0.011</w:t>
            </w:r>
          </w:p>
        </w:tc>
      </w:tr>
      <w:tr>
        <w:tc>
          <w:tcPr/>
          <w:p>
            <w:pPr>
              <w:pStyle w:val="Compact"/>
            </w:pPr>
            <w:r>
              <w:rPr>
                <w:rFonts w:hint="eastAsia"/>
                <w:sz w:val="18"/>
              </w:rPr>
              <w:t xml:space="preserve">下位4時間の平均価格</w:t>
            </w:r>
          </w:p>
        </w:tc>
        <w:tc>
          <w:tcPr/>
          <w:p>
            <w:pPr>
              <w:pStyle w:val="Compact"/>
              <w:jc w:val="right"/>
            </w:pPr>
            <w:r>
              <w:rPr>
                <w:sz w:val="18"/>
              </w:rPr>
              <w:t xml:space="preserve">+0.015</w:t>
            </w:r>
          </w:p>
        </w:tc>
        <w:tc>
          <w:tcPr/>
          <w:p>
            <w:pPr>
              <w:pStyle w:val="Compact"/>
              <w:jc w:val="right"/>
            </w:pPr>
            <w:r>
              <w:rPr>
                <w:sz w:val="18"/>
              </w:rPr>
              <w:t xml:space="preserve">−0.047***</w:t>
            </w:r>
          </w:p>
        </w:tc>
        <w:tc>
          <w:tcPr/>
          <w:p>
            <w:pPr>
              <w:pStyle w:val="Compact"/>
              <w:jc w:val="right"/>
            </w:pPr>
            <w:r>
              <w:rPr>
                <w:sz w:val="18"/>
              </w:rPr>
              <w:t xml:space="preserve">−0.031***</w:t>
            </w:r>
          </w:p>
        </w:tc>
        <w:tc>
          <w:tcPr/>
          <w:p>
            <w:pPr>
              <w:pStyle w:val="Compact"/>
              <w:jc w:val="right"/>
            </w:pPr>
            <w:r>
              <w:rPr>
                <w:sz w:val="18"/>
              </w:rPr>
              <w:t xml:space="preserve">−0.051***</w:t>
            </w:r>
          </w:p>
        </w:tc>
        <w:tc>
          <w:tcPr/>
          <w:p>
            <w:pPr>
              <w:pStyle w:val="Compact"/>
              <w:jc w:val="right"/>
            </w:pPr>
            <w:r>
              <w:rPr>
                <w:sz w:val="18"/>
              </w:rPr>
              <w:t xml:space="preserve">−0.077***</w:t>
            </w:r>
          </w:p>
        </w:tc>
        <w:tc>
          <w:tcPr/>
          <w:p>
            <w:pPr>
              <w:pStyle w:val="Compact"/>
              <w:jc w:val="right"/>
            </w:pPr>
            <w:r>
              <w:rPr>
                <w:sz w:val="18"/>
              </w:rPr>
              <w:t xml:space="preserve">−0.028***</w:t>
            </w:r>
          </w:p>
        </w:tc>
      </w:tr>
      <w:tr>
        <w:tc>
          <w:tcPr/>
          <w:p>
            <w:pPr>
              <w:pStyle w:val="Compact"/>
            </w:pPr>
            <w:r>
              <w:rPr>
                <w:sz w:val="18"/>
              </w:rPr>
              <w:t xml:space="preserve">TB4h</w:t>
            </w:r>
          </w:p>
        </w:tc>
        <w:tc>
          <w:tcPr/>
          <w:p>
            <w:pPr>
              <w:pStyle w:val="Compact"/>
              <w:jc w:val="right"/>
            </w:pPr>
            <w:r>
              <w:rPr>
                <w:sz w:val="18"/>
              </w:rPr>
              <w:t xml:space="preserve">−0.102*</w:t>
            </w:r>
          </w:p>
        </w:tc>
        <w:tc>
          <w:tcPr/>
          <w:p>
            <w:pPr>
              <w:pStyle w:val="Compact"/>
              <w:jc w:val="right"/>
            </w:pPr>
            <w:r>
              <w:rPr>
                <w:sz w:val="18"/>
              </w:rPr>
              <w:t xml:space="preserve">−0.058*</w:t>
            </w:r>
          </w:p>
        </w:tc>
        <w:tc>
          <w:tcPr/>
          <w:p>
            <w:pPr>
              <w:pStyle w:val="Compact"/>
              <w:jc w:val="right"/>
            </w:pPr>
            <w:r>
              <w:rPr>
                <w:sz w:val="18"/>
              </w:rPr>
              <w:t xml:space="preserve">−0.035</w:t>
            </w:r>
          </w:p>
        </w:tc>
        <w:tc>
          <w:tcPr/>
          <w:p>
            <w:pPr>
              <w:pStyle w:val="Compact"/>
              <w:jc w:val="right"/>
            </w:pPr>
            <w:r>
              <w:rPr>
                <w:sz w:val="18"/>
              </w:rPr>
              <w:t xml:space="preserve">+0.009</w:t>
            </w:r>
          </w:p>
        </w:tc>
        <w:tc>
          <w:tcPr/>
          <w:p>
            <w:pPr>
              <w:pStyle w:val="Compact"/>
              <w:jc w:val="right"/>
            </w:pPr>
            <w:r>
              <w:rPr>
                <w:sz w:val="18"/>
              </w:rPr>
              <w:t xml:space="preserve">−0.006</w:t>
            </w:r>
          </w:p>
        </w:tc>
        <w:tc>
          <w:tcPr/>
          <w:p>
            <w:pPr>
              <w:pStyle w:val="Compact"/>
              <w:jc w:val="right"/>
            </w:pPr>
            <w:r>
              <w:rPr>
                <w:sz w:val="18"/>
              </w:rPr>
              <w:t xml:space="preserve">+0.018</w:t>
            </w:r>
          </w:p>
        </w:tc>
      </w:tr>
      <w:tr>
        <w:tc>
          <w:tcPr/>
          <w:p>
            <w:pPr>
              <w:pStyle w:val="Compact"/>
            </w:pPr>
            <w:r>
              <w:rPr>
                <w:rFonts w:hint="eastAsia"/>
                <w:sz w:val="18"/>
              </w:rPr>
              <w:t xml:space="preserve">効率調整後スプレッド</w:t>
            </w:r>
          </w:p>
        </w:tc>
        <w:tc>
          <w:tcPr/>
          <w:p>
            <w:pPr>
              <w:pStyle w:val="Compact"/>
              <w:jc w:val="right"/>
            </w:pPr>
            <w:r>
              <w:rPr>
                <w:sz w:val="18"/>
              </w:rPr>
              <w:t xml:space="preserve">−0.089*</w:t>
            </w:r>
          </w:p>
        </w:tc>
        <w:tc>
          <w:tcPr/>
          <w:p>
            <w:pPr>
              <w:pStyle w:val="Compact"/>
              <w:jc w:val="right"/>
            </w:pPr>
            <w:r>
              <w:rPr>
                <w:sz w:val="18"/>
              </w:rPr>
              <w:t xml:space="preserve">−0.042</w:t>
            </w:r>
          </w:p>
        </w:tc>
        <w:tc>
          <w:tcPr/>
          <w:p>
            <w:pPr>
              <w:pStyle w:val="Compact"/>
              <w:jc w:val="right"/>
            </w:pPr>
            <w:r>
              <w:rPr>
                <w:sz w:val="18"/>
              </w:rPr>
              <w:t xml:space="preserve">−0.025</w:t>
            </w:r>
          </w:p>
        </w:tc>
        <w:tc>
          <w:tcPr/>
          <w:p>
            <w:pPr>
              <w:pStyle w:val="Compact"/>
              <w:jc w:val="right"/>
            </w:pPr>
            <w:r>
              <w:rPr>
                <w:sz w:val="18"/>
              </w:rPr>
              <w:t xml:space="preserve">+0.015</w:t>
            </w:r>
          </w:p>
        </w:tc>
        <w:tc>
          <w:tcPr/>
          <w:p>
            <w:pPr>
              <w:pStyle w:val="Compact"/>
              <w:jc w:val="right"/>
            </w:pPr>
            <w:r>
              <w:rPr>
                <w:sz w:val="18"/>
              </w:rPr>
              <w:t xml:space="preserve">+0.006</w:t>
            </w:r>
          </w:p>
        </w:tc>
        <w:tc>
          <w:tcPr/>
          <w:p>
            <w:pPr>
              <w:pStyle w:val="Compact"/>
              <w:jc w:val="right"/>
            </w:pPr>
            <w:r>
              <w:rPr>
                <w:sz w:val="18"/>
              </w:rPr>
              <w:t xml:space="preserve">+0.020</w:t>
            </w:r>
          </w:p>
        </w:tc>
      </w:tr>
      <w:tr>
        <w:tc>
          <w:tcPr/>
          <w:p>
            <w:pPr>
              <w:pStyle w:val="Compact"/>
            </w:pPr>
            <w:r>
              <w:rPr>
                <w:rFonts w:hint="eastAsia"/>
                <w:sz w:val="18"/>
              </w:rPr>
              <w:t xml:space="preserve">完全予見粗利（円/kW-日）</w:t>
            </w:r>
          </w:p>
        </w:tc>
        <w:tc>
          <w:tcPr/>
          <w:p>
            <w:pPr>
              <w:pStyle w:val="Compact"/>
              <w:jc w:val="right"/>
            </w:pPr>
            <w:r>
              <w:rPr>
                <w:sz w:val="18"/>
              </w:rPr>
              <w:t xml:space="preserve">−0.354*</w:t>
            </w:r>
          </w:p>
        </w:tc>
        <w:tc>
          <w:tcPr/>
          <w:p>
            <w:pPr>
              <w:pStyle w:val="Compact"/>
              <w:jc w:val="right"/>
            </w:pPr>
            <w:r>
              <w:rPr>
                <w:sz w:val="18"/>
              </w:rPr>
              <w:t xml:space="preserve">−0.170</w:t>
            </w:r>
          </w:p>
        </w:tc>
        <w:tc>
          <w:tcPr/>
          <w:p>
            <w:pPr>
              <w:pStyle w:val="Compact"/>
              <w:jc w:val="right"/>
            </w:pPr>
            <w:r>
              <w:rPr>
                <w:sz w:val="18"/>
              </w:rPr>
              <w:t xml:space="preserve">−0.100</w:t>
            </w:r>
          </w:p>
        </w:tc>
        <w:tc>
          <w:tcPr/>
          <w:p>
            <w:pPr>
              <w:pStyle w:val="Compact"/>
              <w:jc w:val="right"/>
            </w:pPr>
            <w:r>
              <w:rPr>
                <w:sz w:val="18"/>
              </w:rPr>
              <w:t xml:space="preserve">+0.061</w:t>
            </w:r>
          </w:p>
        </w:tc>
        <w:tc>
          <w:tcPr/>
          <w:p>
            <w:pPr>
              <w:pStyle w:val="Compact"/>
              <w:jc w:val="right"/>
            </w:pPr>
            <w:r>
              <w:rPr>
                <w:sz w:val="18"/>
              </w:rPr>
              <w:t xml:space="preserve">+0.025</w:t>
            </w:r>
          </w:p>
        </w:tc>
        <w:tc>
          <w:tcPr/>
          <w:p>
            <w:pPr>
              <w:pStyle w:val="Compact"/>
              <w:jc w:val="right"/>
            </w:pPr>
            <w:r>
              <w:rPr>
                <w:sz w:val="18"/>
              </w:rPr>
              <w:t xml:space="preserve">+0.079</w:t>
            </w:r>
          </w:p>
        </w:tc>
      </w:tr>
      <w:tr>
        <w:tc>
          <w:tcPr/>
          <w:p>
            <w:pPr>
              <w:pStyle w:val="Compact"/>
            </w:pPr>
            <w:r>
              <w:rPr>
                <w:rFonts w:hint="eastAsia"/>
                <w:sz w:val="18"/>
              </w:rPr>
              <w:t xml:space="preserve">下限張り付き時間（時間/日）</w:t>
            </w:r>
          </w:p>
        </w:tc>
        <w:tc>
          <w:tcPr/>
          <w:p>
            <w:pPr>
              <w:pStyle w:val="Compact"/>
              <w:jc w:val="right"/>
            </w:pPr>
            <w:r>
              <w:rPr>
                <w:sz w:val="18"/>
              </w:rPr>
              <w:t xml:space="preserve">−0.002</w:t>
            </w:r>
          </w:p>
        </w:tc>
        <w:tc>
          <w:tcPr/>
          <w:p>
            <w:pPr>
              <w:pStyle w:val="Compact"/>
              <w:jc w:val="right"/>
            </w:pPr>
            <w:r>
              <w:rPr>
                <w:sz w:val="18"/>
              </w:rPr>
              <w:t xml:space="preserve">+0.010*</w:t>
            </w:r>
          </w:p>
        </w:tc>
        <w:tc>
          <w:tcPr/>
          <w:p>
            <w:pPr>
              <w:pStyle w:val="Compact"/>
              <w:jc w:val="right"/>
            </w:pPr>
            <w:r>
              <w:rPr>
                <w:sz w:val="18"/>
              </w:rPr>
              <w:t xml:space="preserve">+0.023***</w:t>
            </w:r>
          </w:p>
        </w:tc>
        <w:tc>
          <w:tcPr/>
          <w:p>
            <w:pPr>
              <w:pStyle w:val="Compact"/>
              <w:jc w:val="right"/>
            </w:pPr>
            <w:r>
              <w:rPr>
                <w:sz w:val="18"/>
              </w:rPr>
              <w:t xml:space="preserve">+0.030**</w:t>
            </w:r>
          </w:p>
        </w:tc>
        <w:tc>
          <w:tcPr/>
          <w:p>
            <w:pPr>
              <w:pStyle w:val="Compact"/>
              <w:jc w:val="right"/>
            </w:pPr>
            <w:r>
              <w:rPr>
                <w:sz w:val="18"/>
              </w:rPr>
              <w:t xml:space="preserve">+0.014</w:t>
            </w:r>
          </w:p>
        </w:tc>
        <w:tc>
          <w:tcPr/>
          <w:p>
            <w:pPr>
              <w:pStyle w:val="Compact"/>
              <w:jc w:val="right"/>
            </w:pPr>
            <w:r>
              <w:rPr>
                <w:sz w:val="18"/>
              </w:rPr>
              <w:t xml:space="preserve">+0.027***</w:t>
            </w:r>
          </w:p>
        </w:tc>
      </w:tr>
      <w:tr>
        <w:tc>
          <w:tcPr/>
          <w:p>
            <w:pPr>
              <w:pStyle w:val="Compact"/>
            </w:pPr>
            <w:r>
              <w:rPr>
                <w:sz w:val="18"/>
              </w:rPr>
              <w:t xml:space="preserve">TB4h </w:t>
            </w:r>
            <w:r>
              <w:rPr>
                <w:rFonts w:hint="eastAsia"/>
                <w:sz w:val="18"/>
              </w:rPr>
              <w:t xml:space="preserve">の片側95%上限×19.7GWh/日（円/kWh）</w:t>
            </w:r>
          </w:p>
        </w:tc>
        <w:tc>
          <w:tcPr/>
          <w:p>
            <w:pPr>
              <w:pStyle w:val="Compact"/>
              <w:jc w:val="right"/>
            </w:pPr>
            <w:r>
              <w:rPr>
                <w:sz w:val="18"/>
              </w:rPr>
              <w:t xml:space="preserve">−0.06</w:t>
            </w:r>
          </w:p>
        </w:tc>
        <w:tc>
          <w:tcPr/>
          <w:p>
            <w:pPr>
              <w:pStyle w:val="Compact"/>
              <w:jc w:val="right"/>
            </w:pPr>
            <w:r>
              <w:rPr>
                <w:sz w:val="18"/>
              </w:rPr>
              <w:t xml:space="preserve">−0.16</w:t>
            </w:r>
          </w:p>
        </w:tc>
        <w:tc>
          <w:tcPr/>
          <w:p>
            <w:pPr>
              <w:pStyle w:val="Compact"/>
              <w:jc w:val="right"/>
            </w:pPr>
            <w:r>
              <w:rPr>
                <w:sz w:val="18"/>
              </w:rPr>
              <w:t xml:space="preserve">+0.49</w:t>
            </w:r>
          </w:p>
        </w:tc>
        <w:tc>
          <w:tcPr/>
          <w:p>
            <w:pPr>
              <w:pStyle w:val="Compact"/>
              <w:jc w:val="right"/>
            </w:pPr>
            <w:r>
              <w:rPr>
                <w:sz w:val="18"/>
              </w:rPr>
              <w:t xml:space="preserve">+1.55</w:t>
            </w:r>
          </w:p>
        </w:tc>
        <w:tc>
          <w:tcPr/>
          <w:p>
            <w:pPr>
              <w:pStyle w:val="Compact"/>
              <w:jc w:val="right"/>
            </w:pPr>
            <w:r>
              <w:rPr>
                <w:sz w:val="18"/>
              </w:rPr>
              <w:t xml:space="preserve">+2.70</w:t>
            </w:r>
          </w:p>
        </w:tc>
        <w:tc>
          <w:tcPr/>
          <w:p>
            <w:pPr>
              <w:pStyle w:val="Compact"/>
              <w:jc w:val="right"/>
            </w:pPr>
            <w:r>
              <w:rPr>
                <w:sz w:val="18"/>
              </w:rPr>
              <w:t xml:space="preserve">+1.17</w:t>
            </w:r>
          </w:p>
        </w:tc>
      </w:tr>
      <w:tr>
        <w:tc>
          <w:tcPr/>
          <w:p>
            <w:pPr>
              <w:pStyle w:val="Compact"/>
            </w:pPr>
            <w:r>
              <w:rPr>
                <w:rFonts w:hint="eastAsia"/>
                <w:sz w:val="18"/>
              </w:rPr>
              <w:t xml:space="preserve">完全予見粗利の片側95%上限×19.7GWh/日（円/kW-日）</w:t>
            </w:r>
          </w:p>
        </w:tc>
        <w:tc>
          <w:tcPr/>
          <w:p>
            <w:pPr>
              <w:pStyle w:val="Compact"/>
              <w:jc w:val="right"/>
            </w:pPr>
            <w:r>
              <w:rPr>
                <w:sz w:val="18"/>
              </w:rPr>
              <w:t xml:space="preserve">−0.51</w:t>
            </w:r>
          </w:p>
        </w:tc>
        <w:tc>
          <w:tcPr/>
          <w:p>
            <w:pPr>
              <w:pStyle w:val="Compact"/>
              <w:jc w:val="right"/>
            </w:pPr>
            <w:r>
              <w:rPr>
                <w:sz w:val="18"/>
              </w:rPr>
              <w:t xml:space="preserve">+0.00</w:t>
            </w:r>
          </w:p>
        </w:tc>
        <w:tc>
          <w:tcPr/>
          <w:p>
            <w:pPr>
              <w:pStyle w:val="Compact"/>
              <w:jc w:val="right"/>
            </w:pPr>
            <w:r>
              <w:rPr>
                <w:sz w:val="18"/>
              </w:rPr>
              <w:t xml:space="preserve">+2.00</w:t>
            </w:r>
          </w:p>
        </w:tc>
        <w:tc>
          <w:tcPr/>
          <w:p>
            <w:pPr>
              <w:pStyle w:val="Compact"/>
              <w:jc w:val="right"/>
            </w:pPr>
            <w:r>
              <w:rPr>
                <w:sz w:val="18"/>
              </w:rPr>
              <w:t xml:space="preserve">+5.77</w:t>
            </w:r>
          </w:p>
        </w:tc>
        <w:tc>
          <w:tcPr/>
          <w:p>
            <w:pPr>
              <w:pStyle w:val="Compact"/>
              <w:jc w:val="right"/>
            </w:pPr>
            <w:r>
              <w:rPr>
                <w:sz w:val="18"/>
              </w:rPr>
              <w:t xml:space="preserve">+10.36</w:t>
            </w:r>
          </w:p>
        </w:tc>
        <w:tc>
          <w:tcPr/>
          <w:p>
            <w:pPr>
              <w:pStyle w:val="Compact"/>
              <w:jc w:val="right"/>
            </w:pPr>
            <w:r>
              <w:rPr>
                <w:sz w:val="18"/>
              </w:rPr>
              <w:t xml:space="preserve">+4.25</w:t>
            </w:r>
          </w:p>
        </w:tc>
      </w:tr>
    </w:tbl>
    <w:p>
      <w:pPr>
        <w:pStyle w:val="TableNote"/>
      </w:pPr>
      <w:r>
        <w:rPr>
          <w:rFonts w:hint="eastAsia"/>
        </w:rPr>
        <w:t xml:space="preserve">注）FY2016〜25</w:t>
      </w:r>
      <w:r>
        <w:t xml:space="preserve"> </w:t>
      </w:r>
      <w:r>
        <w:rPr>
          <w:rFonts w:hint="eastAsia"/>
        </w:rPr>
        <w:t xml:space="preserve">のうち、需要・原子力が欠測の2019年3月12〜31日を除く3,632日。係数は原子力1GWh/日あたりで、価格は円/kWh。効率調整後スプレッドは0.85×上位4時間−下位4時間。年月FE</w:t>
      </w:r>
      <w:r>
        <w:t xml:space="preserve"> </w:t>
      </w:r>
      <w:r>
        <w:rPr>
          <w:rFonts w:hint="eastAsia"/>
        </w:rPr>
        <w:t xml:space="preserve">の列は年度・季節の固定効果を年月固定効果に置き換えたもの（曜日・祝日は含まない。含めても結論は同じ）。</w:t>
      </w:r>
      <w:r>
        <w:rPr>
          <w:b/>
          <w:bCs/>
          <w:i/>
          <w:iCs/>
        </w:rPr>
        <w:t xml:space="preserve">・</w:t>
      </w:r>
      <w:r>
        <w:rPr>
          <w:i/>
          <w:iCs/>
        </w:rPr>
        <w:t xml:space="preserve">・</w:t>
      </w:r>
      <w:r>
        <w:t xml:space="preserve"> </w:t>
      </w:r>
      <w:r>
        <w:t xml:space="preserve">は </w:t>
      </w:r>
      <w:r>
        <w:rPr>
          <w:rFonts w:hint="eastAsia"/>
        </w:rPr>
        <w:t xml:space="preserve">EWC（</w:t>
      </w:r>
      <m:oMath>
        <m:r>
          <m:t>ν</m:t>
        </m:r>
        <m:r>
          <m:rPr>
            <m:sty m:val="p"/>
          </m:rPr>
          <m:t>=</m:t>
        </m:r>
        <m:r>
          <m:t>94</m:t>
        </m:r>
      </m:oMath>
      <w:r>
        <w:t xml:space="preserve">、t </w:t>
      </w:r>
      <w:r>
        <w:rPr>
          <w:rFonts w:hint="eastAsia"/>
        </w:rPr>
        <w:t xml:space="preserve">分布）による1%・5%・10%有意。Newey–West（14日）の標準誤差では夏・冬の</w:t>
      </w:r>
      <w:r>
        <w:t xml:space="preserve"> TB4h </w:t>
      </w:r>
      <w:r>
        <w:rPr>
          <w:rFonts w:hint="eastAsia"/>
        </w:rPr>
        <w:t xml:space="preserve">が5%水準で有意になるが、第5章で示したとおりこの方法は過大に棄却する。最下の2行は片側95%上限を泊3号相当（19.7GWh/日）に換算した値で、年月FE</w:t>
      </w:r>
      <w:r>
        <w:t xml:space="preserve"> </w:t>
      </w:r>
      <w:r>
        <w:rPr>
          <w:rFonts w:hint="eastAsia"/>
        </w:rPr>
        <w:t xml:space="preserve">の換算は年月内の標準偏差の3.2倍への外挿である。九州の日需要は北海道の2.8倍で、1GWh</w:t>
      </w:r>
      <w:r>
        <w:t xml:space="preserve"> </w:t>
      </w:r>
      <w:r>
        <w:rPr>
          <w:rFonts w:hint="eastAsia"/>
        </w:rPr>
        <w:t xml:space="preserve">あたりの効果を北海道に移すと上限はさらに大きくなりうる。北海道は</w:t>
      </w:r>
      <w:r>
        <w:t xml:space="preserve"> FY2016〜25 </w:t>
      </w:r>
      <w:r>
        <w:rPr>
          <w:rFonts w:hint="eastAsia"/>
        </w:rPr>
        <w:t xml:space="preserve">の原子力発電量が全日0のため推定できない。</w:t>
      </w:r>
    </w:p>
    <w:p>
      <w:pPr>
        <w:pStyle w:val="TableNote"/>
      </w:pPr>
      <w:r>
        <w:rPr>
          <w:rFonts w:hint="eastAsia"/>
        </w:rPr>
        <w:t xml:space="preserve">出所）日本卸電力取引所『スポット市場取引結果』、九州電力送配電『エリア需給実績』より筆者作成。</w:t>
      </w:r>
    </w:p>
    <w:p>
      <w:pPr>
        <w:pStyle w:val="BodyText"/>
      </w:pPr>
      <w:r>
        <w:rPr>
          <w:rFonts w:hint="eastAsia"/>
        </w:rPr>
        <w:t xml:space="preserve">主仕様では、上位4時間が下位4時間より大きく下がり、TB4h</w:t>
      </w:r>
      <w:r>
        <w:t xml:space="preserve"> </w:t>
      </w:r>
      <w:r>
        <w:rPr>
          <w:rFonts w:hint="eastAsia"/>
        </w:rPr>
        <w:t xml:space="preserve">は夏・冬に縮む（夏</w:t>
      </w:r>
      <w:r>
        <w:t xml:space="preserve"> </w:t>
      </w:r>
      <w:r>
        <w:rPr>
          <w:rFonts w:hint="eastAsia"/>
        </w:rPr>
        <w:t xml:space="preserve">p=0.090、冬</w:t>
      </w:r>
      <w:r>
        <w:t xml:space="preserve"> </w:t>
      </w:r>
      <w:r>
        <w:rPr>
          <w:rFonts w:hint="eastAsia"/>
        </w:rPr>
        <w:t xml:space="preserve">p=0.057で、ブートストラップの補正</w:t>
      </w:r>
      <w:r>
        <w:t xml:space="preserve"> p </w:t>
      </w:r>
      <w:r>
        <w:rPr>
          <w:rFonts w:hint="eastAsia"/>
        </w:rPr>
        <w:t xml:space="preserve">は0.19・0.17）。完全予見粗利も夏は10%水準で減る（p=0.076。冬は</w:t>
      </w:r>
      <w:r>
        <w:t xml:space="preserve"> </w:t>
      </w:r>
      <w:r>
        <w:rPr>
          <w:rFonts w:hint="eastAsia"/>
        </w:rPr>
        <w:t xml:space="preserve">p=0.100）。しかし年月固定効果で同じ月の中の変動に限ると、原子力は上位4時間と下位4時間をほぼ同じだけ下げ、TB4h</w:t>
      </w:r>
      <w:r>
        <w:t xml:space="preserve"> </w:t>
      </w:r>
      <w:r>
        <w:rPr>
          <w:rFonts w:hint="eastAsia"/>
        </w:rPr>
        <w:t xml:space="preserve">も完全予見粗利もほぼ0で有意でない。定期検査の時期は需要の低い季節に選ばれやすく、季節・年度の固定効果だけでは停止時期の選択を除き切れない可能性があるので、スプレッドが縮むという主仕様の結果は頑健でない。一方、有意でないことはスプレッドを広げないことの証拠ではない。片側95%上限を泊3号相当に換算すると、主仕様では</w:t>
      </w:r>
      <w:r>
        <w:t xml:space="preserve"> TB4h </w:t>
      </w:r>
      <w:r>
        <w:rPr>
          <w:rFonts w:hint="eastAsia"/>
        </w:rPr>
        <w:t xml:space="preserve">が0.5円/kWh</w:t>
      </w:r>
      <w:r>
        <w:t xml:space="preserve"> </w:t>
      </w:r>
      <w:r>
        <w:rPr>
          <w:rFonts w:hint="eastAsia"/>
        </w:rPr>
        <w:t xml:space="preserve">を超えて広がることは排除できる（非優越の片側</w:t>
      </w:r>
      <w:r>
        <w:t xml:space="preserve"> </w:t>
      </w:r>
      <w:r>
        <w:rPr>
          <w:rFonts w:hint="eastAsia"/>
        </w:rPr>
        <w:t xml:space="preserve">p=0.018・0.003・0.048）。年月固定効果では、片側95%上限は+1.55・+2.70・+1.17円/kWh（曜日・祝日を加えると+1.51・+2.25・+1.08。非優越の片側</w:t>
      </w:r>
      <w:r>
        <w:t xml:space="preserve"> </w:t>
      </w:r>
      <w:r>
        <w:rPr>
          <w:rFonts w:hint="eastAsia"/>
        </w:rPr>
        <w:t xml:space="preserve">p=0.26〜0.38）で、泊の規模で1〜3円/kWh</w:t>
      </w:r>
      <w:r>
        <w:t xml:space="preserve"> </w:t>
      </w:r>
      <w:r>
        <w:rPr>
          <w:rFonts w:hint="eastAsia"/>
        </w:rPr>
        <w:t xml:space="preserve">の拡大を排除できない。九州の日需要は北海道の約2.8倍であり、1GWh/日あたりの係数をそのまま北海道に移すことはできない。北海道の価格過程（仕様A）でも泊3号は</w:t>
      </w:r>
      <w:r>
        <w:t xml:space="preserve"> TB4h </w:t>
      </w:r>
      <w:r>
        <w:rPr>
          <w:rFonts w:hint="eastAsia"/>
        </w:rPr>
        <w:t xml:space="preserve">をほとんど動かさず（年間8.04円→7.89円）、この点で九州の推定とは矛盾しない。粗利の符号は識別の仕方で変わり、北海道のモデルでは往復損失の水準効果による小幅な正、九州では主仕様で負、年月固定効果でほぼ0である。</w:t>
      </w:r>
    </w:p>
    <w:bookmarkEnd w:id="380"/>
    <w:bookmarkStart w:id="381" w:name="c.3.9-実物オプションの参入閾値の追加結果"/>
    <w:p>
      <w:pPr>
        <w:pStyle w:val="Heading3"/>
      </w:pPr>
      <w:r>
        <w:t xml:space="preserve">C.3.9　</w:t>
      </w:r>
      <w:r>
        <w:rPr>
          <w:rFonts w:hint="eastAsia"/>
        </w:rPr>
        <w:t xml:space="preserve">実物オプションの参入閾値の追加結果</w:t>
      </w:r>
    </w:p>
    <w:p>
      <w:pPr>
        <w:pStyle w:val="FirstParagraph"/>
      </w:pPr>
      <w:r>
        <w:rPr>
          <w:rFonts w:hint="eastAsia"/>
        </w:rPr>
        <w:t xml:space="preserve">表C.31</w:t>
      </w:r>
      <w:r>
        <w:t xml:space="preserve"> </w:t>
      </w:r>
      <w:r>
        <w:rPr>
          <w:rFonts w:hint="eastAsia"/>
        </w:rPr>
        <w:t xml:space="preserve">は、本文7.8.1項の価格水準の2因子分解を推定期間別に示したものである。表C.32</w:t>
      </w:r>
      <w:r>
        <w:t xml:space="preserve"> </w:t>
      </w:r>
      <w:r>
        <w:rPr>
          <w:rFonts w:hint="eastAsia"/>
        </w:rPr>
        <w:t xml:space="preserve">と表C.33</w:t>
      </w:r>
      <w:r>
        <w:t xml:space="preserve"> </w:t>
      </w:r>
      <w:r>
        <w:rPr>
          <w:rFonts w:hint="eastAsia"/>
        </w:rPr>
        <w:t xml:space="preserve">は、参入閾値と参入が開く確率（本文7.8.2項・7.8.3項）の全結果、表C.34</w:t>
      </w:r>
      <w:r>
        <w:t xml:space="preserve"> </w:t>
      </w:r>
      <w:r>
        <w:rPr>
          <w:rFonts w:hint="eastAsia"/>
        </w:rPr>
        <w:t xml:space="preserve">と表C.35</w:t>
      </w:r>
      <w:r>
        <w:t xml:space="preserve"> </w:t>
      </w:r>
      <w:r>
        <w:rPr>
          <w:rFonts w:hint="eastAsia"/>
        </w:rPr>
        <w:t xml:space="preserve">はその容量収入・補助・既設容量と期待成長についての感応度である。</w:t>
      </w:r>
    </w:p>
    <w:p>
      <w:pPr>
        <w:pStyle w:val="TableCaption"/>
      </w:pPr>
      <w:r>
        <w:rPr>
          <w:rFonts w:hint="eastAsia"/>
        </w:rPr>
        <w:t xml:space="preserve">表C.31</w:t>
      </w:r>
      <w:r>
        <w:t xml:space="preserve">　</w:t>
      </w:r>
      <w:r>
        <w:rPr>
          <w:rFonts w:hint="eastAsia"/>
        </w:rPr>
        <w:t xml:space="preserve">価格水準の2因子分解</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1　価格水準の2因子分解"/>
      </w:tblPr>
      <w:tblGrid>
        <w:gridCol w:w="792"/>
        <w:gridCol w:w="1056"/>
        <w:gridCol w:w="1056"/>
        <w:gridCol w:w="1056"/>
        <w:gridCol w:w="1056"/>
        <w:gridCol w:w="1056"/>
        <w:gridCol w:w="1056"/>
        <w:gridCol w:w="792"/>
      </w:tblGrid>
      <w:tr>
        <w:trPr>
          <w:tblHeader w:val="on"/>
        </w:trPr>
        <w:tc>
          <w:tcPr>
            <w:tcBorders>
              <w:bottom w:val="single" w:sz="6" w:color="000000"/>
            </w:tcBorders>
          </w:tcPr>
          <w:p>
            <w:pPr>
              <w:pStyle w:val="Compact"/>
            </w:pPr>
            <w:r>
              <w:rPr>
                <w:rFonts w:hint="eastAsia"/>
                <w:sz w:val="18"/>
              </w:rPr>
              <w:t xml:space="preserve">標本</w:t>
            </w:r>
          </w:p>
        </w:tc>
        <w:tc>
          <w:tcPr>
            <w:tcBorders>
              <w:bottom w:val="single" w:sz="6" w:color="000000"/>
            </w:tcBorders>
          </w:tcPr>
          <w:p>
            <w:pPr>
              <w:pStyle w:val="Compact"/>
              <w:jc w:val="right"/>
            </w:pPr>
            <w:r>
              <w:rPr>
                <w:rFonts w:hint="eastAsia"/>
                <w:sz w:val="18"/>
              </w:rPr>
              <w:t xml:space="preserve">月数</w:t>
            </w:r>
          </w:p>
        </w:tc>
        <w:tc>
          <w:tcPr>
            <w:tcBorders>
              <w:bottom w:val="single" w:sz="6" w:color="000000"/>
            </w:tcBorders>
          </w:tcPr>
          <w:p>
            <w:pPr>
              <w:pStyle w:val="Compact"/>
              <w:jc w:val="right"/>
            </w:pPr>
            <m:oMath>
              <m:sSub>
                <m:e>
                  <m:r>
                    <m:t>σ</m:t>
                  </m:r>
                </m:e>
                <m:sub>
                  <m:r>
                    <m:t>ξ</m:t>
                  </m:r>
                </m:sub>
              </m:sSub>
            </m:oMath>
            <w:r>
              <w:rPr>
                <w:rFonts w:hint="eastAsia"/>
                <w:sz w:val="18"/>
              </w:rPr>
              <w:t xml:space="preserve">（年率）</w:t>
            </w:r>
          </w:p>
        </w:tc>
        <w:tc>
          <w:tcPr>
            <w:tcBorders>
              <w:bottom w:val="single" w:sz="6" w:color="000000"/>
            </w:tcBorders>
          </w:tcPr>
          <w:p>
            <w:pPr>
              <w:pStyle w:val="Compact"/>
              <w:jc w:val="right"/>
            </w:pPr>
            <m:oMath>
              <m:sSub>
                <m:e>
                  <m:r>
                    <m:t>ϕ</m:t>
                  </m:r>
                </m:e>
                <m:sub>
                  <m:r>
                    <m:t>χ</m:t>
                  </m:r>
                </m:sub>
              </m:sSub>
            </m:oMath>
            <w:r>
              <w:rPr>
                <w:rFonts w:hint="eastAsia"/>
                <w:sz w:val="18"/>
              </w:rPr>
              <w:t xml:space="preserve">（月次）</w:t>
            </w:r>
          </w:p>
        </w:tc>
        <w:tc>
          <w:tcPr>
            <w:tcBorders>
              <w:bottom w:val="single" w:sz="6" w:color="000000"/>
            </w:tcBorders>
          </w:tcPr>
          <w:p>
            <w:pPr>
              <w:pStyle w:val="Compact"/>
              <w:jc w:val="right"/>
            </w:pPr>
            <m:oMath>
              <m:r>
                <m:t>χ</m:t>
              </m:r>
            </m:oMath>
            <w:r>
              <w:rPr>
                <w:sz w:val="18"/>
              </w:rPr>
              <w:t xml:space="preserve"> </w:t>
            </w:r>
            <w:r>
              <w:rPr>
                <w:rFonts w:hint="eastAsia"/>
                <w:sz w:val="18"/>
              </w:rPr>
              <w:t xml:space="preserve">の半減期（月）</w:t>
            </w:r>
          </w:p>
        </w:tc>
        <w:tc>
          <w:tcPr>
            <w:tcBorders>
              <w:bottom w:val="single" w:sz="6" w:color="000000"/>
            </w:tcBorders>
          </w:tcPr>
          <w:p>
            <w:pPr>
              <w:pStyle w:val="Compact"/>
              <w:jc w:val="right"/>
            </w:pPr>
            <m:oMath>
              <m:sSub>
                <m:e>
                  <m:r>
                    <m:t>σ</m:t>
                  </m:r>
                </m:e>
                <m:sub>
                  <m:r>
                    <m:t>χ</m:t>
                  </m:r>
                </m:sub>
              </m:sSub>
            </m:oMath>
            <w:r>
              <w:rPr>
                <w:rFonts w:hint="eastAsia"/>
                <w:sz w:val="18"/>
              </w:rPr>
              <w:t xml:space="preserve">（月次）</w:t>
            </w:r>
          </w:p>
        </w:tc>
        <w:tc>
          <w:tcPr>
            <w:tcBorders>
              <w:bottom w:val="single" w:sz="6" w:color="000000"/>
            </w:tcBorders>
          </w:tcPr>
          <w:p>
            <w:pPr>
              <w:pStyle w:val="Compact"/>
              <w:jc w:val="right"/>
            </w:pPr>
            <m:oMath>
              <m:r>
                <m:t>ξ</m:t>
              </m:r>
            </m:oMath>
            <w:r>
              <w:rPr>
                <w:rFonts w:hint="eastAsia"/>
                <w:sz w:val="18"/>
              </w:rPr>
              <w:t xml:space="preserve">（標本末）</w:t>
            </w:r>
          </w:p>
        </w:tc>
        <w:tc>
          <w:tcPr>
            <w:tcBorders>
              <w:bottom w:val="single" w:sz="6" w:color="000000"/>
            </w:tcBorders>
          </w:tcPr>
          <w:p>
            <w:pPr>
              <w:pStyle w:val="Compact"/>
            </w:pPr>
            <m:oMath>
              <m:sSub>
                <m:e>
                  <m:r>
                    <m:t>σ</m:t>
                  </m:r>
                </m:e>
                <m:sub>
                  <m:r>
                    <m:t>ξ</m:t>
                  </m:r>
                </m:sub>
              </m:sSub>
            </m:oMath>
            <w:r>
              <w:rPr>
                <w:sz w:val="18"/>
              </w:rPr>
              <w:t xml:space="preserve"> </w:t>
            </w:r>
            <w:r>
              <w:rPr>
                <w:rFonts w:hint="eastAsia"/>
                <w:sz w:val="18"/>
              </w:rPr>
              <w:t xml:space="preserve">の95%区間</w:t>
            </w:r>
          </w:p>
        </w:tc>
      </w:tr>
      <w:tr>
        <w:tc>
          <w:tcPr/>
          <w:p>
            <w:pPr>
              <w:pStyle w:val="Compact"/>
            </w:pPr>
            <w:r>
              <w:rPr>
                <w:rFonts w:hint="eastAsia"/>
                <w:sz w:val="18"/>
              </w:rPr>
              <w:t xml:space="preserve">2016年4月〜2026年6月（全期間）</w:t>
            </w:r>
          </w:p>
        </w:tc>
        <w:tc>
          <w:tcPr/>
          <w:p>
            <w:pPr>
              <w:pStyle w:val="Compact"/>
              <w:jc w:val="right"/>
            </w:pPr>
            <w:r>
              <w:rPr>
                <w:sz w:val="18"/>
              </w:rPr>
              <w:t xml:space="preserve">123</w:t>
            </w:r>
          </w:p>
        </w:tc>
        <w:tc>
          <w:tcPr/>
          <w:p>
            <w:pPr>
              <w:pStyle w:val="Compact"/>
              <w:jc w:val="right"/>
            </w:pPr>
            <w:r>
              <w:rPr>
                <w:sz w:val="18"/>
              </w:rPr>
              <w:t xml:space="preserve">0.30</w:t>
            </w:r>
          </w:p>
        </w:tc>
        <w:tc>
          <w:tcPr/>
          <w:p>
            <w:pPr>
              <w:pStyle w:val="Compact"/>
              <w:jc w:val="right"/>
            </w:pPr>
            <w:r>
              <w:rPr>
                <w:sz w:val="18"/>
              </w:rPr>
              <w:t xml:space="preserve">0.55</w:t>
            </w:r>
          </w:p>
        </w:tc>
        <w:tc>
          <w:tcPr/>
          <w:p>
            <w:pPr>
              <w:pStyle w:val="Compact"/>
              <w:jc w:val="right"/>
            </w:pPr>
            <w:r>
              <w:rPr>
                <w:sz w:val="18"/>
              </w:rPr>
              <w:t xml:space="preserve">1.2</w:t>
            </w:r>
          </w:p>
        </w:tc>
        <w:tc>
          <w:tcPr/>
          <w:p>
            <w:pPr>
              <w:pStyle w:val="Compact"/>
              <w:jc w:val="right"/>
            </w:pPr>
            <w:r>
              <w:rPr>
                <w:sz w:val="18"/>
              </w:rPr>
              <w:t xml:space="preserve">0.25</w:t>
            </w:r>
          </w:p>
        </w:tc>
        <w:tc>
          <w:tcPr/>
          <w:p>
            <w:pPr>
              <w:pStyle w:val="Compact"/>
              <w:jc w:val="right"/>
            </w:pPr>
            <w:r>
              <w:rPr>
                <w:sz w:val="18"/>
              </w:rPr>
              <w:t xml:space="preserve">1.22</w:t>
            </w:r>
          </w:p>
        </w:tc>
        <w:tc>
          <w:tcPr/>
          <w:p>
            <w:pPr>
              <w:pStyle w:val="Compact"/>
            </w:pPr>
            <w:r>
              <w:rPr>
                <w:sz w:val="18"/>
              </w:rPr>
              <w:t xml:space="preserve">0〜0.64</w:t>
            </w:r>
          </w:p>
        </w:tc>
      </w:tr>
      <w:tr>
        <w:tc>
          <w:tcPr/>
          <w:p>
            <w:pPr>
              <w:pStyle w:val="Compact"/>
            </w:pPr>
            <w:r>
              <w:rPr>
                <w:rFonts w:hint="eastAsia"/>
                <w:sz w:val="18"/>
              </w:rPr>
              <w:t xml:space="preserve">2016年4月〜2021年3月</w:t>
            </w:r>
          </w:p>
        </w:tc>
        <w:tc>
          <w:tcPr/>
          <w:p>
            <w:pPr>
              <w:pStyle w:val="Compact"/>
              <w:jc w:val="right"/>
            </w:pPr>
            <w:r>
              <w:rPr>
                <w:sz w:val="18"/>
              </w:rPr>
              <w:t xml:space="preserve">60</w:t>
            </w:r>
          </w:p>
        </w:tc>
        <w:tc>
          <w:tcPr/>
          <w:p>
            <w:pPr>
              <w:pStyle w:val="Compact"/>
              <w:jc w:val="right"/>
            </w:pPr>
            <w:r>
              <w:rPr>
                <w:sz w:val="18"/>
              </w:rPr>
              <w:t xml:space="preserve">0.00</w:t>
            </w:r>
          </w:p>
        </w:tc>
        <w:tc>
          <w:tcPr/>
          <w:p>
            <w:pPr>
              <w:pStyle w:val="Compact"/>
              <w:jc w:val="right"/>
            </w:pPr>
            <w:r>
              <w:rPr>
                <w:sz w:val="18"/>
              </w:rPr>
              <w:t xml:space="preserve">0.42</w:t>
            </w:r>
          </w:p>
        </w:tc>
        <w:tc>
          <w:tcPr/>
          <w:p>
            <w:pPr>
              <w:pStyle w:val="Compact"/>
              <w:jc w:val="right"/>
            </w:pPr>
            <w:r>
              <w:rPr>
                <w:sz w:val="18"/>
              </w:rPr>
              <w:t xml:space="preserve">0.8</w:t>
            </w:r>
          </w:p>
        </w:tc>
        <w:tc>
          <w:tcPr/>
          <w:p>
            <w:pPr>
              <w:pStyle w:val="Compact"/>
              <w:jc w:val="right"/>
            </w:pPr>
            <w:r>
              <w:rPr>
                <w:sz w:val="18"/>
              </w:rPr>
              <w:t xml:space="preserve">0.33</w:t>
            </w:r>
          </w:p>
        </w:tc>
        <w:tc>
          <w:tcPr/>
          <w:p>
            <w:pPr>
              <w:pStyle w:val="Compact"/>
              <w:jc w:val="right"/>
            </w:pPr>
            <w:r>
              <w:rPr>
                <w:sz w:val="18"/>
              </w:rPr>
              <w:t xml:space="preserve">0.75</w:t>
            </w:r>
          </w:p>
        </w:tc>
        <w:tc>
          <w:tcPr/>
          <w:p>
            <w:pPr>
              <w:pStyle w:val="Compact"/>
            </w:pPr>
            <w:r>
              <w:rPr>
                <w:sz w:val="18"/>
              </w:rPr>
              <w:t xml:space="preserve">—</w:t>
            </w:r>
          </w:p>
        </w:tc>
      </w:tr>
      <w:tr>
        <w:tc>
          <w:tcPr/>
          <w:p>
            <w:pPr>
              <w:pStyle w:val="Compact"/>
            </w:pPr>
            <w:r>
              <w:rPr>
                <w:rFonts w:hint="eastAsia"/>
                <w:sz w:val="18"/>
              </w:rPr>
              <w:t xml:space="preserve">2023年4月〜2026年6月</w:t>
            </w:r>
          </w:p>
        </w:tc>
        <w:tc>
          <w:tcPr/>
          <w:p>
            <w:pPr>
              <w:pStyle w:val="Compact"/>
              <w:jc w:val="right"/>
            </w:pPr>
            <w:r>
              <w:rPr>
                <w:sz w:val="18"/>
              </w:rPr>
              <w:t xml:space="preserve">39</w:t>
            </w:r>
          </w:p>
        </w:tc>
        <w:tc>
          <w:tcPr/>
          <w:p>
            <w:pPr>
              <w:pStyle w:val="Compact"/>
              <w:jc w:val="right"/>
            </w:pPr>
            <w:r>
              <w:rPr>
                <w:sz w:val="18"/>
              </w:rPr>
              <w:t xml:space="preserve">0.11</w:t>
            </w:r>
          </w:p>
        </w:tc>
        <w:tc>
          <w:tcPr/>
          <w:p>
            <w:pPr>
              <w:pStyle w:val="Compact"/>
              <w:jc w:val="right"/>
            </w:pPr>
            <w:r>
              <w:rPr>
                <w:sz w:val="18"/>
              </w:rPr>
              <w:t xml:space="preserve">0.76</w:t>
            </w:r>
          </w:p>
        </w:tc>
        <w:tc>
          <w:tcPr/>
          <w:p>
            <w:pPr>
              <w:pStyle w:val="Compact"/>
              <w:jc w:val="right"/>
            </w:pPr>
            <w:r>
              <w:rPr>
                <w:sz w:val="18"/>
              </w:rPr>
              <w:t xml:space="preserve">2.5</w:t>
            </w:r>
          </w:p>
        </w:tc>
        <w:tc>
          <w:tcPr/>
          <w:p>
            <w:pPr>
              <w:pStyle w:val="Compact"/>
              <w:jc w:val="right"/>
            </w:pPr>
            <w:r>
              <w:rPr>
                <w:sz w:val="18"/>
              </w:rPr>
              <w:t xml:space="preserve">0.10</w:t>
            </w:r>
          </w:p>
        </w:tc>
        <w:tc>
          <w:tcPr/>
          <w:p>
            <w:pPr>
              <w:pStyle w:val="Compact"/>
              <w:jc w:val="right"/>
            </w:pPr>
            <w:r>
              <w:rPr>
                <w:sz w:val="18"/>
              </w:rPr>
              <w:t xml:space="preserve">1.17</w:t>
            </w:r>
          </w:p>
        </w:tc>
        <w:tc>
          <w:tcPr/>
          <w:p>
            <w:pPr>
              <w:pStyle w:val="Compact"/>
            </w:pPr>
            <w:r>
              <w:rPr>
                <w:sz w:val="18"/>
              </w:rPr>
              <w:t xml:space="preserve">0〜0.47</w:t>
            </w:r>
          </w:p>
        </w:tc>
      </w:tr>
    </w:tbl>
    <w:p>
      <w:pPr>
        <w:pStyle w:val="TableNote"/>
      </w:pPr>
      <w:r>
        <w:rPr>
          <w:rFonts w:hint="eastAsia"/>
        </w:rPr>
        <w:t xml:space="preserve">注）月平均システムプライス÷FY2023〜25</w:t>
      </w:r>
      <w:r>
        <w:t xml:space="preserve"> </w:t>
      </w:r>
      <w:r>
        <w:rPr>
          <w:rFonts w:hint="eastAsia"/>
        </w:rPr>
        <w:t xml:space="preserve">の同月平均の対数。恒久成分</w:t>
      </w:r>
      <w:r>
        <w:t xml:space="preserve"> </w:t>
      </w:r>
      <m:oMath>
        <m:r>
          <m:t>ξ</m:t>
        </m:r>
      </m:oMath>
      <w:r>
        <w:t xml:space="preserve"> </w:t>
      </w:r>
      <w:r>
        <w:rPr>
          <w:rFonts w:hint="eastAsia"/>
        </w:rPr>
        <w:t xml:space="preserve">はランダムウォーク、一時成分</w:t>
      </w:r>
      <w:r>
        <w:t xml:space="preserve"> </w:t>
      </w:r>
      <m:oMath>
        <m:r>
          <m:t>χ</m:t>
        </m:r>
      </m:oMath>
      <w:r>
        <w:t xml:space="preserve"> </w:t>
      </w:r>
      <w:r>
        <w:t xml:space="preserve">は </w:t>
      </w:r>
      <w:r>
        <w:rPr>
          <w:rFonts w:hint="eastAsia"/>
        </w:rPr>
        <w:t xml:space="preserve">AR(1)。カルマンフィルタによる最尤推定。95%区間はプロファイル尤度で尤度比統計量が3.84以下の範囲。</w:t>
      </w:r>
    </w:p>
    <w:p>
      <w:pPr>
        <w:pStyle w:val="TableNote"/>
      </w:pPr>
      <w:r>
        <w:rPr>
          <w:rFonts w:hint="eastAsia"/>
        </w:rPr>
        <w:t xml:space="preserve">出所）日本卸電力取引所『スポット市場取引結果』より筆者作成。</w:t>
      </w:r>
    </w:p>
    <w:p>
      <w:pPr>
        <w:pStyle w:val="BodyText"/>
      </w:pPr>
      <w:r>
        <w:rPr>
          <w:rFonts w:hint="eastAsia"/>
        </w:rPr>
        <w:t xml:space="preserve">分散比は12か月で0.28、36か月で0.19と1を大きく下回るが、Lo</w:t>
      </w:r>
      <w:r>
        <w:t xml:space="preserve"> and </w:t>
      </w:r>
      <w:r>
        <w:rPr>
          <w:rFonts w:hint="eastAsia"/>
        </w:rPr>
        <w:t xml:space="preserve">MacKinlay（1988）の統計量は−0.8〜−1.0である。FY2026（4〜6月）の代理の水準1.55は、全期間のモデルで恒久成分1.21×一時成分1.28、2023年4月以降のモデルで1.17×1.33に分解される。燃料危機の</w:t>
      </w:r>
      <w:r>
        <w:t xml:space="preserve"> </w:t>
      </w:r>
      <w:r>
        <w:rPr>
          <w:rFonts w:hint="eastAsia"/>
        </w:rPr>
        <w:t xml:space="preserve">FY2022（1.75）は1.42×1.23である。FY2023〜25</w:t>
      </w:r>
      <w:r>
        <w:t xml:space="preserve"> </w:t>
      </w:r>
      <w:r>
        <w:rPr>
          <w:rFonts w:hint="eastAsia"/>
        </w:rPr>
        <w:t xml:space="preserve">の水準からの上昇幅0.55のうち、恒久成分の上昇は0.17〜0.21で、残りは半減期が1.2〜2.5か月の一時成分と推定される。FY2023〜25</w:t>
      </w:r>
      <w:r>
        <w:t xml:space="preserve"> </w:t>
      </w:r>
      <w:r>
        <w:rPr>
          <w:rFonts w:hint="eastAsia"/>
        </w:rPr>
        <w:t xml:space="preserve">の恒久成分の平均は1.07で、この期間の一時成分は平均で1を下回るので、</w:t>
      </w:r>
      <m:oMath>
        <m:r>
          <m:t>ξ</m:t>
        </m:r>
      </m:oMath>
      <w:r>
        <w:t xml:space="preserve"> </w:t>
      </w:r>
      <w:r>
        <w:rPr>
          <w:rFonts w:hint="eastAsia"/>
        </w:rPr>
        <w:t xml:space="preserve">をそのまま収入の水準に当てると、収入を5〜7%程度高めに見る側（参入に有利な側）に偏る。</w:t>
      </w:r>
    </w:p>
    <w:p>
      <w:pPr>
        <w:pStyle w:val="BodyText"/>
      </w:pPr>
      <w:r>
        <w:rPr>
          <w:rFonts w:hint="eastAsia"/>
        </w:rPr>
        <w:t xml:space="preserve">表C.32</w:t>
      </w:r>
      <w:r>
        <w:t xml:space="preserve"> </w:t>
      </w:r>
      <w:r>
        <w:rPr>
          <w:rFonts w:hint="eastAsia"/>
        </w:rPr>
        <w:t xml:space="preserve">は、本文7.8.2項の参入に必要な価格水準係数を、恒久成分のボラティリティ</w:t>
      </w:r>
      <w:r>
        <w:t xml:space="preserve"> </w:t>
      </w:r>
      <m:oMath>
        <m:r>
          <m:t>σ</m:t>
        </m:r>
      </m:oMath>
      <w:r>
        <w:rPr>
          <w:rFonts w:hint="eastAsia"/>
        </w:rPr>
        <w:t xml:space="preserve">、資本費の年低下率</w:t>
      </w:r>
      <w:r>
        <w:t xml:space="preserve"> </w:t>
      </w:r>
      <m:oMath>
        <m:sSub>
          <m:e>
            <m:r>
              <m:t>g</m:t>
            </m:r>
          </m:e>
          <m:sub>
            <m:r>
              <m:t>I</m:t>
            </m:r>
          </m:sub>
        </m:sSub>
      </m:oMath>
      <w:r>
        <w:t xml:space="preserve">、WACC </w:t>
      </w:r>
      <w:r>
        <w:rPr>
          <w:rFonts w:hint="eastAsia"/>
        </w:rPr>
        <w:t xml:space="preserve">の組合せごとに示したものである。</w:t>
      </w:r>
      <m:oMath>
        <m:sSub>
          <m:e>
            <m:r>
              <m:t>g</m:t>
            </m:r>
          </m:e>
          <m:sub>
            <m:r>
              <m:t>I</m:t>
            </m:r>
          </m:sub>
        </m:sSub>
      </m:oMath>
      <w:r>
        <w:t xml:space="preserve">=0・5% </w:t>
      </w:r>
      <w:r>
        <w:rPr>
          <w:rFonts w:hint="eastAsia"/>
        </w:rPr>
        <w:t xml:space="preserve">の値は本文の図7.6(b)</w:t>
      </w:r>
      <w:r>
        <w:t xml:space="preserve"> </w:t>
      </w:r>
      <w:r>
        <w:rPr>
          <w:rFonts w:hint="eastAsia"/>
        </w:rPr>
        <w:t xml:space="preserve">にも示す。</w:t>
      </w:r>
    </w:p>
    <w:p>
      <w:pPr>
        <w:pStyle w:val="TableCaption"/>
      </w:pPr>
      <w:r>
        <w:rPr>
          <w:rFonts w:hint="eastAsia"/>
        </w:rPr>
        <w:t xml:space="preserve">表C.32</w:t>
      </w:r>
      <w:r>
        <w:t xml:space="preserve">　</w:t>
      </w:r>
      <w:r>
        <w:rPr>
          <w:rFonts w:hint="eastAsia"/>
        </w:rPr>
        <w:t xml:space="preserve">参入に必要な価格水準係数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2　参入に必要な価格水準係数"/>
      </w:tblPr>
      <w:tblGrid>
        <w:gridCol w:w="766"/>
        <w:gridCol w:w="1021"/>
        <w:gridCol w:w="1021"/>
        <w:gridCol w:w="1021"/>
        <w:gridCol w:w="1021"/>
        <w:gridCol w:w="1021"/>
        <w:gridCol w:w="1021"/>
        <w:gridCol w:w="1021"/>
      </w:tblGrid>
      <w:tr>
        <w:trPr>
          <w:tblHeader w:val="on"/>
        </w:trPr>
        <w:tc>
          <w:tcPr>
            <w:tcBorders>
              <w:bottom w:val="single" w:sz="6" w:color="000000"/>
            </w:tcBorders>
          </w:tcPr>
          <w:p>
            <w:pPr>
              <w:pStyle w:val="Compact"/>
            </w:pPr>
            <m:oMath>
              <m:r>
                <m:t>σ</m:t>
              </m:r>
            </m:oMath>
          </w:p>
        </w:tc>
        <w:tc>
          <w:tcPr>
            <w:tcBorders>
              <w:bottom w:val="single" w:sz="6" w:color="000000"/>
            </w:tcBorders>
          </w:tcPr>
          <w:p>
            <w:pPr>
              <w:pStyle w:val="Compact"/>
              <w:jc w:val="right"/>
            </w:pPr>
            <w:r>
              <w:rPr>
                <w:rFonts w:hint="eastAsia"/>
                <w:sz w:val="18"/>
              </w:rPr>
              <w:t xml:space="preserve">静学</w:t>
            </w:r>
            <w:r>
              <w:rPr>
                <w:sz w:val="18"/>
              </w:rPr>
              <w:t xml:space="preserve"> </w:t>
            </w:r>
            <m:oMath>
              <m:sSup>
                <m:e>
                  <m:r>
                    <m:t>θ</m:t>
                  </m:r>
                </m:e>
                <m:sup>
                  <m:r>
                    <m:rPr>
                      <m:sty m:val="p"/>
                    </m:rPr>
                    <m:t>*</m:t>
                  </m:r>
                </m:sup>
              </m:sSup>
            </m:oMath>
          </w:p>
        </w:tc>
        <w:tc>
          <w:tcPr>
            <w:tcBorders>
              <w:bottom w:val="single" w:sz="6" w:color="000000"/>
            </w:tcBorders>
          </w:tcPr>
          <w:p>
            <w:pPr>
              <w:pStyle w:val="Compact"/>
              <w:jc w:val="right"/>
            </w:pPr>
            <m:oMath>
              <m:sSub>
                <m:e>
                  <m:r>
                    <m:t>θ</m:t>
                  </m:r>
                </m:e>
                <m:sub>
                  <m:r>
                    <m:t>c</m:t>
                  </m:r>
                </m:sub>
              </m:sSub>
            </m:oMath>
            <w:r>
              <w:rPr>
                <w:rFonts w:hint="eastAsia"/>
                <w:sz w:val="18"/>
              </w:rPr>
              <w:t xml:space="preserve">（</w:t>
            </w:r>
            <m:oMath>
              <m:sSub>
                <m:e>
                  <m:r>
                    <m:t>g</m:t>
                  </m:r>
                </m:e>
                <m:sub>
                  <m:r>
                    <m:t>I</m:t>
                  </m:r>
                </m:sub>
              </m:sSub>
              <m:r>
                <m:rPr>
                  <m:sty m:val="p"/>
                </m:rPr>
                <m:t>=</m:t>
              </m:r>
              <m:r>
                <m:t>0</m:t>
              </m:r>
            </m:oMath>
            <w:r>
              <w:rPr>
                <w:rFonts w:hint="eastAsia"/>
                <w:sz w:val="18"/>
              </w:rPr>
              <w:t xml:space="preserve">）</w:t>
            </w:r>
          </w:p>
        </w:tc>
        <w:tc>
          <w:tcPr>
            <w:tcBorders>
              <w:bottom w:val="single" w:sz="6" w:color="000000"/>
            </w:tcBorders>
          </w:tcPr>
          <w:p>
            <w:pPr>
              <w:pStyle w:val="Compact"/>
              <w:jc w:val="right"/>
            </w:pPr>
            <m:oMath>
              <m:acc>
                <m:accPr>
                  <m:chr m:val="‾"/>
                </m:accPr>
                <m:e>
                  <m:r>
                    <m:t>θ</m:t>
                  </m:r>
                </m:e>
              </m:acc>
            </m:oMath>
            <w:r>
              <w:rPr>
                <w:rFonts w:hint="eastAsia"/>
                <w:sz w:val="18"/>
              </w:rPr>
              <w:t xml:space="preserve">（</w:t>
            </w:r>
            <m:oMath>
              <m:sSub>
                <m:e>
                  <m:r>
                    <m:t>g</m:t>
                  </m:r>
                </m:e>
                <m:sub>
                  <m:r>
                    <m:t>I</m:t>
                  </m:r>
                </m:sub>
              </m:sSub>
              <m:r>
                <m:rPr>
                  <m:sty m:val="p"/>
                </m:rPr>
                <m:t>=</m:t>
              </m:r>
              <m:r>
                <m:t>0</m:t>
              </m:r>
            </m:oMath>
            <w:r>
              <w:rPr>
                <w:rFonts w:hint="eastAsia"/>
                <w:sz w:val="18"/>
              </w:rPr>
              <w:t xml:space="preserve">）</w:t>
            </w:r>
          </w:p>
        </w:tc>
        <w:tc>
          <w:tcPr>
            <w:tcBorders>
              <w:bottom w:val="single" w:sz="6" w:color="000000"/>
            </w:tcBorders>
          </w:tcPr>
          <w:p>
            <w:pPr>
              <w:pStyle w:val="Compact"/>
              <w:jc w:val="right"/>
            </w:pPr>
            <m:oMath>
              <m:sSub>
                <m:e>
                  <m:r>
                    <m:t>θ</m:t>
                  </m:r>
                </m:e>
                <m:sub>
                  <m:r>
                    <m:t>c</m:t>
                  </m:r>
                </m:sub>
              </m:sSub>
            </m:oMath>
            <w:r>
              <w:rPr>
                <w:rFonts w:hint="eastAsia"/>
                <w:sz w:val="18"/>
              </w:rPr>
              <w:t xml:space="preserve">（</w:t>
            </w:r>
            <m:oMath>
              <m:sSub>
                <m:e>
                  <m:r>
                    <m:t>g</m:t>
                  </m:r>
                </m:e>
                <m:sub>
                  <m:r>
                    <m:t>I</m:t>
                  </m:r>
                </m:sub>
              </m:sSub>
              <m:r>
                <m:rPr>
                  <m:sty m:val="p"/>
                </m:rPr>
                <m:t>=</m:t>
              </m:r>
              <m:r>
                <m:t>3</m:t>
              </m:r>
              <m:r>
                <m:rPr>
                  <m:sty m:val="p"/>
                </m:rPr>
                <m:t>%</m:t>
              </m:r>
            </m:oMath>
            <w:r>
              <w:rPr>
                <w:rFonts w:hint="eastAsia"/>
                <w:sz w:val="18"/>
              </w:rPr>
              <w:t xml:space="preserve">）</w:t>
            </w:r>
          </w:p>
        </w:tc>
        <w:tc>
          <w:tcPr>
            <w:tcBorders>
              <w:bottom w:val="single" w:sz="6" w:color="000000"/>
            </w:tcBorders>
          </w:tcPr>
          <w:p>
            <w:pPr>
              <w:pStyle w:val="Compact"/>
              <w:jc w:val="right"/>
            </w:pPr>
            <m:oMath>
              <m:sSub>
                <m:e>
                  <m:r>
                    <m:t>θ</m:t>
                  </m:r>
                </m:e>
                <m:sub>
                  <m:r>
                    <m:t>c</m:t>
                  </m:r>
                </m:sub>
              </m:sSub>
            </m:oMath>
            <w:r>
              <w:rPr>
                <w:rFonts w:hint="eastAsia"/>
                <w:sz w:val="18"/>
              </w:rPr>
              <w:t xml:space="preserve">（</w:t>
            </w:r>
            <m:oMath>
              <m:sSub>
                <m:e>
                  <m:r>
                    <m:t>g</m:t>
                  </m:r>
                </m:e>
                <m:sub>
                  <m:r>
                    <m:t>I</m:t>
                  </m:r>
                </m:sub>
              </m:sSub>
              <m:r>
                <m:rPr>
                  <m:sty m:val="p"/>
                </m:rPr>
                <m:t>=</m:t>
              </m:r>
              <m:r>
                <m:t>5</m:t>
              </m:r>
              <m:r>
                <m:rPr>
                  <m:sty m:val="p"/>
                </m:rPr>
                <m:t>%</m:t>
              </m:r>
            </m:oMath>
            <w:r>
              <w:rPr>
                <w:rFonts w:hint="eastAsia"/>
                <w:sz w:val="18"/>
              </w:rPr>
              <w:t xml:space="preserve">）</w:t>
            </w:r>
          </w:p>
        </w:tc>
        <w:tc>
          <w:tcPr>
            <w:tcBorders>
              <w:bottom w:val="single" w:sz="6" w:color="000000"/>
            </w:tcBorders>
          </w:tcPr>
          <w:p>
            <w:pPr>
              <w:pStyle w:val="Compact"/>
              <w:jc w:val="right"/>
            </w:pPr>
            <m:oMath>
              <m:acc>
                <m:accPr>
                  <m:chr m:val="‾"/>
                </m:accPr>
                <m:e>
                  <m:r>
                    <m:t>θ</m:t>
                  </m:r>
                </m:e>
              </m:acc>
            </m:oMath>
            <w:r>
              <w:rPr>
                <w:rFonts w:hint="eastAsia"/>
                <w:sz w:val="18"/>
              </w:rPr>
              <w:t xml:space="preserve">（</w:t>
            </w:r>
            <m:oMath>
              <m:sSub>
                <m:e>
                  <m:r>
                    <m:t>g</m:t>
                  </m:r>
                </m:e>
                <m:sub>
                  <m:r>
                    <m:t>I</m:t>
                  </m:r>
                </m:sub>
              </m:sSub>
              <m:r>
                <m:rPr>
                  <m:sty m:val="p"/>
                </m:rPr>
                <m:t>=</m:t>
              </m:r>
              <m:r>
                <m:t>5</m:t>
              </m:r>
              <m:r>
                <m:rPr>
                  <m:sty m:val="p"/>
                </m:rPr>
                <m:t>%</m:t>
              </m:r>
            </m:oMath>
            <w:r>
              <w:rPr>
                <w:rFonts w:hint="eastAsia"/>
                <w:sz w:val="18"/>
              </w:rPr>
              <w:t xml:space="preserve">）</w:t>
            </w:r>
          </w:p>
        </w:tc>
        <w:tc>
          <w:tcPr>
            <w:tcBorders>
              <w:bottom w:val="single" w:sz="6" w:color="000000"/>
            </w:tcBorders>
          </w:tcPr>
          <w:p>
            <w:pPr>
              <w:pStyle w:val="Compact"/>
              <w:jc w:val="right"/>
            </w:pPr>
            <m:oMath>
              <m:sSub>
                <m:e>
                  <m:r>
                    <m:t>θ</m:t>
                  </m:r>
                </m:e>
                <m:sub>
                  <m:r>
                    <m:t>c</m:t>
                  </m:r>
                </m:sub>
              </m:sSub>
            </m:oMath>
            <w:r>
              <w:rPr>
                <w:rFonts w:hint="eastAsia"/>
                <w:sz w:val="18"/>
              </w:rPr>
              <w:t xml:space="preserve">（</w:t>
            </w:r>
            <m:oMath>
              <m:sSub>
                <m:e>
                  <m:r>
                    <m:t>g</m:t>
                  </m:r>
                </m:e>
                <m:sub>
                  <m:r>
                    <m:t>I</m:t>
                  </m:r>
                </m:sub>
              </m:sSub>
              <m:r>
                <m:rPr>
                  <m:sty m:val="p"/>
                </m:rPr>
                <m:t>=</m:t>
              </m:r>
              <m:r>
                <m:t>8</m:t>
              </m:r>
              <m:r>
                <m:rPr>
                  <m:sty m:val="p"/>
                </m:rPr>
                <m:t>%</m:t>
              </m:r>
            </m:oMath>
            <w:r>
              <w:rPr>
                <w:rFonts w:hint="eastAsia"/>
                <w:sz w:val="18"/>
              </w:rPr>
              <w:t xml:space="preserve">）</w:t>
            </w:r>
          </w:p>
        </w:tc>
      </w:tr>
      <w:tr>
        <w:tc>
          <w:tcPr/>
          <w:p>
            <w:pPr>
              <w:pStyle w:val="Compact"/>
            </w:pPr>
            <w:r>
              <w:rPr>
                <w:sz w:val="18"/>
              </w:rPr>
              <w:t xml:space="preserve">→0</w:t>
            </w:r>
          </w:p>
        </w:tc>
        <w:tc>
          <w:tcPr/>
          <w:p>
            <w:pPr>
              <w:pStyle w:val="Compact"/>
              <w:jc w:val="right"/>
            </w:pPr>
            <w:r>
              <w:rPr>
                <w:sz w:val="18"/>
              </w:rPr>
              <w:t xml:space="preserve">2.99</w:t>
            </w:r>
          </w:p>
        </w:tc>
        <w:tc>
          <w:tcPr/>
          <w:p>
            <w:pPr>
              <w:pStyle w:val="Compact"/>
              <w:jc w:val="right"/>
            </w:pPr>
            <w:r>
              <w:rPr>
                <w:sz w:val="18"/>
              </w:rPr>
              <w:t xml:space="preserve">3.01</w:t>
            </w:r>
          </w:p>
        </w:tc>
        <w:tc>
          <w:tcPr/>
          <w:p>
            <w:pPr>
              <w:pStyle w:val="Compact"/>
              <w:jc w:val="right"/>
            </w:pPr>
            <w:r>
              <w:rPr>
                <w:sz w:val="18"/>
              </w:rPr>
              <w:t xml:space="preserve">3.02</w:t>
            </w:r>
          </w:p>
        </w:tc>
        <w:tc>
          <w:tcPr/>
          <w:p>
            <w:pPr>
              <w:pStyle w:val="Compact"/>
              <w:jc w:val="right"/>
            </w:pPr>
            <w:r>
              <w:rPr>
                <w:sz w:val="18"/>
              </w:rPr>
              <w:t xml:space="preserve">3.66</w:t>
            </w:r>
          </w:p>
        </w:tc>
        <w:tc>
          <w:tcPr/>
          <w:p>
            <w:pPr>
              <w:pStyle w:val="Compact"/>
              <w:jc w:val="right"/>
            </w:pPr>
            <w:r>
              <w:rPr>
                <w:sz w:val="18"/>
              </w:rPr>
              <w:t xml:space="preserve">4.21</w:t>
            </w:r>
          </w:p>
        </w:tc>
        <w:tc>
          <w:tcPr/>
          <w:p>
            <w:pPr>
              <w:pStyle w:val="Compact"/>
              <w:jc w:val="right"/>
            </w:pPr>
            <w:r>
              <w:rPr>
                <w:sz w:val="18"/>
              </w:rPr>
              <w:t xml:space="preserve">5.33</w:t>
            </w:r>
          </w:p>
        </w:tc>
        <w:tc>
          <w:tcPr/>
          <w:p>
            <w:pPr>
              <w:pStyle w:val="Compact"/>
              <w:jc w:val="right"/>
            </w:pPr>
            <w:r>
              <w:rPr>
                <w:sz w:val="18"/>
              </w:rPr>
              <w:t xml:space="preserve">4.99</w:t>
            </w:r>
          </w:p>
        </w:tc>
      </w:tr>
      <w:tr>
        <w:tc>
          <w:tcPr/>
          <w:p>
            <w:pPr>
              <w:pStyle w:val="Compact"/>
            </w:pPr>
            <w:r>
              <w:rPr>
                <w:sz w:val="18"/>
              </w:rPr>
              <w:t xml:space="preserve">0.10</w:t>
            </w:r>
          </w:p>
        </w:tc>
        <w:tc>
          <w:tcPr/>
          <w:p>
            <w:pPr>
              <w:pStyle w:val="Compact"/>
              <w:jc w:val="right"/>
            </w:pPr>
            <w:r>
              <w:rPr>
                <w:sz w:val="18"/>
              </w:rPr>
              <w:t xml:space="preserve">2.99</w:t>
            </w:r>
          </w:p>
        </w:tc>
        <w:tc>
          <w:tcPr/>
          <w:p>
            <w:pPr>
              <w:pStyle w:val="Compact"/>
              <w:jc w:val="right"/>
            </w:pPr>
            <w:r>
              <w:rPr>
                <w:sz w:val="18"/>
              </w:rPr>
              <w:t xml:space="preserve">3.48</w:t>
            </w:r>
          </w:p>
        </w:tc>
        <w:tc>
          <w:tcPr/>
          <w:p>
            <w:pPr>
              <w:pStyle w:val="Compact"/>
              <w:jc w:val="right"/>
            </w:pPr>
            <w:r>
              <w:rPr>
                <w:sz w:val="18"/>
              </w:rPr>
              <w:t xml:space="preserve">3.77</w:t>
            </w:r>
          </w:p>
        </w:tc>
        <w:tc>
          <w:tcPr/>
          <w:p>
            <w:pPr>
              <w:pStyle w:val="Compact"/>
              <w:jc w:val="right"/>
            </w:pPr>
            <w:r>
              <w:rPr>
                <w:sz w:val="18"/>
              </w:rPr>
              <w:t xml:space="preserve">3.94</w:t>
            </w:r>
          </w:p>
        </w:tc>
        <w:tc>
          <w:tcPr/>
          <w:p>
            <w:pPr>
              <w:pStyle w:val="Compact"/>
              <w:jc w:val="right"/>
            </w:pPr>
            <w:r>
              <w:rPr>
                <w:sz w:val="18"/>
              </w:rPr>
              <w:t xml:space="preserve">4.32</w:t>
            </w:r>
          </w:p>
        </w:tc>
        <w:tc>
          <w:tcPr/>
          <w:p>
            <w:pPr>
              <w:pStyle w:val="Compact"/>
              <w:jc w:val="right"/>
            </w:pPr>
            <w:r>
              <w:rPr>
                <w:sz w:val="18"/>
              </w:rPr>
              <w:t xml:space="preserve">5.56</w:t>
            </w:r>
          </w:p>
        </w:tc>
        <w:tc>
          <w:tcPr/>
          <w:p>
            <w:pPr>
              <w:pStyle w:val="Compact"/>
              <w:jc w:val="right"/>
            </w:pPr>
            <w:r>
              <w:rPr>
                <w:sz w:val="18"/>
              </w:rPr>
              <w:t xml:space="preserve">5.09</w:t>
            </w:r>
          </w:p>
        </w:tc>
      </w:tr>
      <w:tr>
        <w:tc>
          <w:tcPr/>
          <w:p>
            <w:pPr>
              <w:pStyle w:val="Compact"/>
            </w:pPr>
            <w:r>
              <w:rPr>
                <w:sz w:val="18"/>
              </w:rPr>
              <w:t xml:space="preserve">0.15</w:t>
            </w:r>
          </w:p>
        </w:tc>
        <w:tc>
          <w:tcPr/>
          <w:p>
            <w:pPr>
              <w:pStyle w:val="Compact"/>
              <w:jc w:val="right"/>
            </w:pPr>
            <w:r>
              <w:rPr>
                <w:sz w:val="18"/>
              </w:rPr>
              <w:t xml:space="preserve">2.99</w:t>
            </w:r>
          </w:p>
        </w:tc>
        <w:tc>
          <w:tcPr/>
          <w:p>
            <w:pPr>
              <w:pStyle w:val="Compact"/>
              <w:jc w:val="right"/>
            </w:pPr>
            <w:r>
              <w:rPr>
                <w:sz w:val="18"/>
              </w:rPr>
              <w:t xml:space="preserve">3.76</w:t>
            </w:r>
          </w:p>
        </w:tc>
        <w:tc>
          <w:tcPr/>
          <w:p>
            <w:pPr>
              <w:pStyle w:val="Compact"/>
              <w:jc w:val="right"/>
            </w:pPr>
            <w:r>
              <w:rPr>
                <w:sz w:val="18"/>
              </w:rPr>
              <w:t xml:space="preserve">4.23</w:t>
            </w:r>
          </w:p>
        </w:tc>
        <w:tc>
          <w:tcPr/>
          <w:p>
            <w:pPr>
              <w:pStyle w:val="Compact"/>
              <w:jc w:val="right"/>
            </w:pPr>
            <w:r>
              <w:rPr>
                <w:sz w:val="18"/>
              </w:rPr>
              <w:t xml:space="preserve">4.20</w:t>
            </w:r>
          </w:p>
        </w:tc>
        <w:tc>
          <w:tcPr/>
          <w:p>
            <w:pPr>
              <w:pStyle w:val="Compact"/>
              <w:jc w:val="right"/>
            </w:pPr>
            <w:r>
              <w:rPr>
                <w:sz w:val="18"/>
              </w:rPr>
              <w:t xml:space="preserve">4.56</w:t>
            </w:r>
          </w:p>
        </w:tc>
        <w:tc>
          <w:tcPr/>
          <w:p>
            <w:pPr>
              <w:pStyle w:val="Compact"/>
              <w:jc w:val="right"/>
            </w:pPr>
            <w:r>
              <w:rPr>
                <w:sz w:val="18"/>
              </w:rPr>
              <w:t xml:space="preserve">5.89</w:t>
            </w:r>
          </w:p>
        </w:tc>
        <w:tc>
          <w:tcPr/>
          <w:p>
            <w:pPr>
              <w:pStyle w:val="Compact"/>
              <w:jc w:val="right"/>
            </w:pPr>
            <w:r>
              <w:rPr>
                <w:sz w:val="18"/>
              </w:rPr>
              <w:t xml:space="preserve">5.27</w:t>
            </w:r>
          </w:p>
        </w:tc>
      </w:tr>
      <w:tr>
        <w:tc>
          <w:tcPr/>
          <w:p>
            <w:pPr>
              <w:pStyle w:val="Compact"/>
            </w:pPr>
            <w:r>
              <w:rPr>
                <w:sz w:val="18"/>
              </w:rPr>
              <w:t xml:space="preserve">0.20</w:t>
            </w:r>
          </w:p>
        </w:tc>
        <w:tc>
          <w:tcPr/>
          <w:p>
            <w:pPr>
              <w:pStyle w:val="Compact"/>
              <w:jc w:val="right"/>
            </w:pPr>
            <w:r>
              <w:rPr>
                <w:sz w:val="18"/>
              </w:rPr>
              <w:t xml:space="preserve">2.99</w:t>
            </w:r>
          </w:p>
        </w:tc>
        <w:tc>
          <w:tcPr/>
          <w:p>
            <w:pPr>
              <w:pStyle w:val="Compact"/>
              <w:jc w:val="right"/>
            </w:pPr>
            <w:r>
              <w:rPr>
                <w:sz w:val="18"/>
              </w:rPr>
              <w:t xml:space="preserve">4.07</w:t>
            </w:r>
          </w:p>
        </w:tc>
        <w:tc>
          <w:tcPr/>
          <w:p>
            <w:pPr>
              <w:pStyle w:val="Compact"/>
              <w:jc w:val="right"/>
            </w:pPr>
            <w:r>
              <w:rPr>
                <w:sz w:val="18"/>
              </w:rPr>
              <w:t xml:space="preserve">4.74</w:t>
            </w:r>
          </w:p>
        </w:tc>
        <w:tc>
          <w:tcPr/>
          <w:p>
            <w:pPr>
              <w:pStyle w:val="Compact"/>
              <w:jc w:val="right"/>
            </w:pPr>
            <w:r>
              <w:rPr>
                <w:sz w:val="18"/>
              </w:rPr>
              <w:t xml:space="preserve">4.51</w:t>
            </w:r>
          </w:p>
        </w:tc>
        <w:tc>
          <w:tcPr/>
          <w:p>
            <w:pPr>
              <w:pStyle w:val="Compact"/>
              <w:jc w:val="right"/>
            </w:pPr>
            <w:r>
              <w:rPr>
                <w:sz w:val="18"/>
              </w:rPr>
              <w:t xml:space="preserve">4.85</w:t>
            </w:r>
          </w:p>
        </w:tc>
        <w:tc>
          <w:tcPr/>
          <w:p>
            <w:pPr>
              <w:pStyle w:val="Compact"/>
              <w:jc w:val="right"/>
            </w:pPr>
            <w:r>
              <w:rPr>
                <w:sz w:val="18"/>
              </w:rPr>
              <w:t xml:space="preserve">6.32</w:t>
            </w:r>
          </w:p>
        </w:tc>
        <w:tc>
          <w:tcPr/>
          <w:p>
            <w:pPr>
              <w:pStyle w:val="Compact"/>
              <w:jc w:val="right"/>
            </w:pPr>
            <w:r>
              <w:rPr>
                <w:sz w:val="18"/>
              </w:rPr>
              <w:t xml:space="preserve">5.53</w:t>
            </w:r>
          </w:p>
        </w:tc>
      </w:tr>
      <w:tr>
        <w:tc>
          <w:tcPr/>
          <w:p>
            <w:pPr>
              <w:pStyle w:val="Compact"/>
            </w:pPr>
            <w:r>
              <w:rPr>
                <w:sz w:val="18"/>
              </w:rPr>
              <w:t xml:space="preserve">0.30</w:t>
            </w:r>
          </w:p>
        </w:tc>
        <w:tc>
          <w:tcPr/>
          <w:p>
            <w:pPr>
              <w:pStyle w:val="Compact"/>
              <w:jc w:val="right"/>
            </w:pPr>
            <w:r>
              <w:rPr>
                <w:sz w:val="18"/>
              </w:rPr>
              <w:t xml:space="preserve">2.99</w:t>
            </w:r>
          </w:p>
        </w:tc>
        <w:tc>
          <w:tcPr/>
          <w:p>
            <w:pPr>
              <w:pStyle w:val="Compact"/>
              <w:jc w:val="right"/>
            </w:pPr>
            <w:r>
              <w:rPr>
                <w:sz w:val="18"/>
              </w:rPr>
              <w:t xml:space="preserve">4.75</w:t>
            </w:r>
          </w:p>
        </w:tc>
        <w:tc>
          <w:tcPr/>
          <w:p>
            <w:pPr>
              <w:pStyle w:val="Compact"/>
              <w:jc w:val="right"/>
            </w:pPr>
            <w:r>
              <w:rPr>
                <w:sz w:val="18"/>
              </w:rPr>
              <w:t xml:space="preserve">5.89</w:t>
            </w:r>
          </w:p>
        </w:tc>
        <w:tc>
          <w:tcPr/>
          <w:p>
            <w:pPr>
              <w:pStyle w:val="Compact"/>
              <w:jc w:val="right"/>
            </w:pPr>
            <w:r>
              <w:rPr>
                <w:sz w:val="18"/>
              </w:rPr>
              <w:t xml:space="preserve">5.20</w:t>
            </w:r>
          </w:p>
        </w:tc>
        <w:tc>
          <w:tcPr/>
          <w:p>
            <w:pPr>
              <w:pStyle w:val="Compact"/>
              <w:jc w:val="right"/>
            </w:pPr>
            <w:r>
              <w:rPr>
                <w:sz w:val="18"/>
              </w:rPr>
              <w:t xml:space="preserve">5.54</w:t>
            </w:r>
          </w:p>
        </w:tc>
        <w:tc>
          <w:tcPr/>
          <w:p>
            <w:pPr>
              <w:pStyle w:val="Compact"/>
              <w:jc w:val="right"/>
            </w:pPr>
            <w:r>
              <w:rPr>
                <w:sz w:val="18"/>
              </w:rPr>
              <w:t xml:space="preserve">7.39</w:t>
            </w:r>
          </w:p>
        </w:tc>
        <w:tc>
          <w:tcPr/>
          <w:p>
            <w:pPr>
              <w:pStyle w:val="Compact"/>
              <w:jc w:val="right"/>
            </w:pPr>
            <w:r>
              <w:rPr>
                <w:sz w:val="18"/>
              </w:rPr>
              <w:t xml:space="preserve">6.16</w:t>
            </w:r>
          </w:p>
        </w:tc>
      </w:tr>
      <w:tr>
        <w:tc>
          <w:tcPr/>
          <w:p>
            <w:pPr>
              <w:pStyle w:val="Compact"/>
            </w:pPr>
            <w:r>
              <w:rPr>
                <w:sz w:val="18"/>
              </w:rPr>
              <w:t xml:space="preserve">WACC </w:t>
            </w:r>
            <w:r>
              <w:rPr>
                <w:rFonts w:hint="eastAsia"/>
                <w:sz w:val="18"/>
              </w:rPr>
              <w:t xml:space="preserve">8%（</w:t>
            </w:r>
            <m:oMath>
              <m:r>
                <m:t>σ</m:t>
              </m:r>
            </m:oMath>
            <w:r>
              <w:rPr>
                <w:sz w:val="18"/>
              </w:rPr>
              <w:t xml:space="preserve"> </w:t>
            </w:r>
            <w:r>
              <w:rPr>
                <w:rFonts w:hint="eastAsia"/>
                <w:sz w:val="18"/>
              </w:rPr>
              <w:t xml:space="preserve">は0.10〜0.30）</w:t>
            </w:r>
          </w:p>
        </w:tc>
        <w:tc>
          <w:tcPr/>
          <w:p>
            <w:pPr>
              <w:pStyle w:val="Compact"/>
              <w:jc w:val="right"/>
            </w:pPr>
            <w:r>
              <w:rPr>
                <w:sz w:val="18"/>
              </w:rPr>
              <w:t xml:space="preserve">3.46</w:t>
            </w:r>
          </w:p>
        </w:tc>
        <w:tc>
          <w:tcPr/>
          <w:p>
            <w:pPr>
              <w:pStyle w:val="Compact"/>
              <w:jc w:val="right"/>
            </w:pPr>
            <w:r>
              <w:rPr>
                <w:sz w:val="18"/>
              </w:rPr>
              <w:t xml:space="preserve">4.00〜5.35</w:t>
            </w:r>
          </w:p>
        </w:tc>
        <w:tc>
          <w:tcPr/>
          <w:p>
            <w:pPr>
              <w:pStyle w:val="Compact"/>
              <w:jc w:val="right"/>
            </w:pPr>
            <w:r>
              <w:rPr>
                <w:sz w:val="18"/>
              </w:rPr>
              <w:t xml:space="preserve">4.21〜6.15</w:t>
            </w:r>
          </w:p>
        </w:tc>
        <w:tc>
          <w:tcPr/>
          <w:p>
            <w:pPr>
              <w:pStyle w:val="Compact"/>
              <w:jc w:val="right"/>
            </w:pPr>
            <w:r>
              <w:rPr>
                <w:sz w:val="18"/>
              </w:rPr>
              <w:t xml:space="preserve">4.48〜5.82</w:t>
            </w:r>
          </w:p>
        </w:tc>
        <w:tc>
          <w:tcPr/>
          <w:p>
            <w:pPr>
              <w:pStyle w:val="Compact"/>
              <w:jc w:val="right"/>
            </w:pPr>
            <w:r>
              <w:rPr>
                <w:sz w:val="18"/>
              </w:rPr>
              <w:t xml:space="preserve">4.89〜6.17</w:t>
            </w:r>
          </w:p>
        </w:tc>
        <w:tc>
          <w:tcPr/>
          <w:p>
            <w:pPr>
              <w:pStyle w:val="Compact"/>
              <w:jc w:val="right"/>
            </w:pPr>
            <w:r>
              <w:rPr>
                <w:sz w:val="18"/>
              </w:rPr>
              <w:t xml:space="preserve">5.74〜7.43</w:t>
            </w:r>
          </w:p>
        </w:tc>
        <w:tc>
          <w:tcPr/>
          <w:p>
            <w:pPr>
              <w:pStyle w:val="Compact"/>
              <w:jc w:val="right"/>
            </w:pPr>
            <w:r>
              <w:rPr>
                <w:sz w:val="18"/>
              </w:rPr>
              <w:t xml:space="preserve">5.67〜6.79</w:t>
            </w:r>
          </w:p>
        </w:tc>
      </w:tr>
    </w:tbl>
    <w:p>
      <w:pPr>
        <w:pStyle w:val="TableNote"/>
      </w:pPr>
      <w:r>
        <w:rPr>
          <w:rFonts w:hint="eastAsia"/>
        </w:rPr>
        <w:t xml:space="preserve">注）FY2026</w:t>
      </w:r>
      <w:r>
        <w:t xml:space="preserve"> </w:t>
      </w:r>
      <w:r>
        <w:rPr>
          <w:rFonts w:hint="eastAsia"/>
        </w:rPr>
        <w:t xml:space="preserve">時点、FY2023〜25=1。WACC</w:t>
      </w:r>
      <w:r>
        <w:t xml:space="preserve"> </w:t>
      </w:r>
      <w:r>
        <w:rPr>
          <w:rFonts w:hint="eastAsia"/>
        </w:rPr>
        <w:t xml:space="preserve">6%、資本費6.8万円/kWh・4時間・寿命20年、実効容量収入1.25万円、粗収益</w:t>
      </w:r>
      <w:r>
        <w:t xml:space="preserve"> </w:t>
      </w:r>
      <m:oMath>
        <m:r>
          <m:t>a</m:t>
        </m:r>
        <m:r>
          <m:rPr>
            <m:sty m:val="p"/>
          </m:rPr>
          <m:t>=</m:t>
        </m:r>
        <m:r>
          <m:t>8</m:t>
        </m:r>
        <m:r>
          <m:rPr>
            <m:sty m:val="p"/>
          </m:rPr>
          <m:t>,</m:t>
        </m:r>
        <m:r>
          <m:t>427</m:t>
        </m:r>
      </m:oMath>
      <w:r>
        <w:t xml:space="preserve"> </w:t>
      </w:r>
      <w:r>
        <w:rPr>
          <w:rFonts w:hint="eastAsia"/>
        </w:rPr>
        <w:t xml:space="preserve">円（実績整合ケース）。</w:t>
      </w:r>
      <m:oMath>
        <m:sSub>
          <m:e>
            <m:r>
              <m:t>g</m:t>
            </m:r>
          </m:e>
          <m:sub>
            <m:r>
              <m:t>I</m:t>
            </m:r>
          </m:sub>
        </m:sSub>
      </m:oMath>
      <w:r>
        <w:t xml:space="preserve"> </w:t>
      </w:r>
      <w:r>
        <w:rPr>
          <w:rFonts w:hint="eastAsia"/>
        </w:rPr>
        <w:t xml:space="preserve">は資本費の年低下率で、下限は2.3万円/kWh。</w:t>
      </w:r>
      <m:oMath>
        <m:sSub>
          <m:e>
            <m:r>
              <m:t>θ</m:t>
            </m:r>
          </m:e>
          <m:sub>
            <m:r>
              <m:t>c</m:t>
            </m:r>
          </m:sub>
        </m:sSub>
      </m:oMath>
      <w:r>
        <w:t xml:space="preserve"> </w:t>
      </w:r>
      <w:r>
        <w:rPr>
          <w:rFonts w:hint="eastAsia"/>
        </w:rPr>
        <w:t xml:space="preserve">は自由参入の競争均衡の閾値、</w:t>
      </w:r>
      <m:oMath>
        <m:acc>
          <m:accPr>
            <m:chr m:val="‾"/>
          </m:accPr>
          <m:e>
            <m:r>
              <m:t>θ</m:t>
            </m:r>
          </m:e>
        </m:acc>
      </m:oMath>
      <w:r>
        <w:t xml:space="preserve"> </w:t>
      </w:r>
      <w:r>
        <w:rPr>
          <w:rFonts w:hint="eastAsia"/>
        </w:rPr>
        <w:t xml:space="preserve">は排他的な権利を持つ単独企業の閾値。</w:t>
      </w:r>
      <m:oMath>
        <m:r>
          <m:t>σ</m:t>
        </m:r>
        <m:r>
          <m:rPr>
            <m:sty m:val="p"/>
          </m:rPr>
          <m:t>→</m:t>
        </m:r>
        <m:r>
          <m:t>0</m:t>
        </m:r>
      </m:oMath>
      <w:r>
        <w:t xml:space="preserve"> </w:t>
      </w:r>
      <w:r>
        <w:t xml:space="preserve">は</w:t>
      </w:r>
      <w:r>
        <w:t xml:space="preserve"> </w:t>
      </w:r>
      <m:oMath>
        <m:r>
          <m:t>σ</m:t>
        </m:r>
        <m:r>
          <m:rPr>
            <m:sty m:val="p"/>
          </m:rPr>
          <m:t>=</m:t>
        </m:r>
        <m:r>
          <m:t>0.005</m:t>
        </m:r>
      </m:oMath>
      <w:r>
        <w:t xml:space="preserve"> </w:t>
      </w:r>
      <w:r>
        <w:rPr>
          <w:rFonts w:hint="eastAsia"/>
        </w:rPr>
        <w:t xml:space="preserve">で計算した。</w:t>
      </w:r>
    </w:p>
    <w:p>
      <w:pPr>
        <w:pStyle w:val="TableNote"/>
      </w:pPr>
      <w:r>
        <w:rPr>
          <w:rFonts w:hint="eastAsia"/>
        </w:rPr>
        <w:t xml:space="preserve">出所）日本卸電力取引所『スポット市場取引結果』より筆者作成。</w:t>
      </w:r>
    </w:p>
    <w:p>
      <w:pPr>
        <w:pStyle w:val="BodyText"/>
      </w:pPr>
      <w:r>
        <w:rPr>
          <w:rFonts w:hint="eastAsia"/>
        </w:rPr>
        <w:t xml:space="preserve">表C.33</w:t>
      </w:r>
      <w:r>
        <w:t xml:space="preserve"> </w:t>
      </w:r>
      <w:r>
        <w:rPr>
          <w:rFonts w:hint="eastAsia"/>
        </w:rPr>
        <w:t xml:space="preserve">は、本文7.8.3項の、補助金のないマーチャントの参入が各年度までに開く確率と2040年度の期待容量を示したものである。資本費低下5%/年の</w:t>
      </w:r>
      <w:r>
        <w:t xml:space="preserve"> </w:t>
      </w:r>
      <m:oMath>
        <m:r>
          <m:t>σ</m:t>
        </m:r>
      </m:oMath>
      <w:r>
        <w:t xml:space="preserve">=0.15・0.30 </w:t>
      </w:r>
      <w:r>
        <w:rPr>
          <w:rFonts w:hint="eastAsia"/>
        </w:rPr>
        <w:t xml:space="preserve">の確率の推移は本文の図7.6(c)</w:t>
      </w:r>
      <w:r>
        <w:t xml:space="preserve"> </w:t>
      </w:r>
      <w:r>
        <w:rPr>
          <w:rFonts w:hint="eastAsia"/>
        </w:rPr>
        <w:t xml:space="preserve">にも示す。</w:t>
      </w:r>
    </w:p>
    <w:p>
      <w:pPr>
        <w:pStyle w:val="TableCaption"/>
      </w:pPr>
      <w:r>
        <w:rPr>
          <w:rFonts w:hint="eastAsia"/>
        </w:rPr>
        <w:t xml:space="preserve">表C.33</w:t>
      </w:r>
      <w:r>
        <w:t xml:space="preserve">　</w:t>
      </w:r>
      <w:r>
        <w:rPr>
          <w:rFonts w:hint="eastAsia"/>
        </w:rPr>
        <w:t xml:space="preserve">マーチャント参入が開く確率と2040年度の期待容量</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3　マーチャント参入が開く確率と2040年度の期待容量"/>
      </w:tblPr>
      <w:tblGrid>
        <w:gridCol w:w="625"/>
        <w:gridCol w:w="625"/>
        <w:gridCol w:w="833"/>
        <w:gridCol w:w="833"/>
        <w:gridCol w:w="833"/>
        <w:gridCol w:w="833"/>
        <w:gridCol w:w="833"/>
        <w:gridCol w:w="833"/>
        <w:gridCol w:w="833"/>
        <w:gridCol w:w="833"/>
      </w:tblGrid>
      <w:tr>
        <w:trPr>
          <w:tblHeader w:val="on"/>
        </w:trPr>
        <w:tc>
          <w:tcPr>
            <w:tcBorders>
              <w:bottom w:val="single" w:sz="6" w:color="000000"/>
            </w:tcBorders>
          </w:tcPr>
          <w:p>
            <w:pPr>
              <w:pStyle w:val="Compact"/>
            </w:pPr>
            <m:oMath>
              <m:r>
                <m:t>σ</m:t>
              </m:r>
            </m:oMath>
          </w:p>
        </w:tc>
        <w:tc>
          <w:tcPr>
            <w:tcBorders>
              <w:bottom w:val="single" w:sz="6" w:color="000000"/>
            </w:tcBorders>
          </w:tcPr>
          <w:p>
            <w:pPr>
              <w:pStyle w:val="Compact"/>
            </w:pPr>
            <w:r>
              <w:rPr>
                <w:rFonts w:hint="eastAsia"/>
                <w:sz w:val="18"/>
              </w:rPr>
              <w:t xml:space="preserve">閾値の規則</w:t>
            </w:r>
          </w:p>
        </w:tc>
        <w:tc>
          <w:tcPr>
            <w:tcBorders>
              <w:bottom w:val="single" w:sz="6" w:color="000000"/>
            </w:tcBorders>
          </w:tcPr>
          <w:p>
            <w:pPr>
              <w:pStyle w:val="Compact"/>
              <w:jc w:val="right"/>
            </w:pPr>
            <w:r>
              <w:rPr>
                <w:rFonts w:hint="eastAsia"/>
                <w:sz w:val="18"/>
              </w:rPr>
              <w:t xml:space="preserve">資本費一定：2030</w:t>
            </w:r>
          </w:p>
        </w:tc>
        <w:tc>
          <w:tcPr>
            <w:tcBorders>
              <w:bottom w:val="single" w:sz="6" w:color="000000"/>
            </w:tcBorders>
          </w:tcPr>
          <w:p>
            <w:pPr>
              <w:pStyle w:val="Compact"/>
              <w:jc w:val="right"/>
            </w:pPr>
            <w:r>
              <w:rPr>
                <w:sz w:val="18"/>
              </w:rPr>
              <w:t xml:space="preserve">2035</w:t>
            </w:r>
          </w:p>
        </w:tc>
        <w:tc>
          <w:tcPr>
            <w:tcBorders>
              <w:bottom w:val="single" w:sz="6" w:color="000000"/>
            </w:tcBorders>
          </w:tcPr>
          <w:p>
            <w:pPr>
              <w:pStyle w:val="Compact"/>
              <w:jc w:val="right"/>
            </w:pPr>
            <w:r>
              <w:rPr>
                <w:sz w:val="18"/>
              </w:rPr>
              <w:t xml:space="preserve">2040</w:t>
            </w:r>
          </w:p>
        </w:tc>
        <w:tc>
          <w:tcPr>
            <w:tcBorders>
              <w:bottom w:val="single" w:sz="6" w:color="000000"/>
            </w:tcBorders>
          </w:tcPr>
          <w:p>
            <w:pPr>
              <w:pStyle w:val="Compact"/>
              <w:jc w:val="right"/>
            </w:pPr>
            <m:oMath>
              <m:r>
                <m:t>E</m:t>
              </m:r>
              <m:r>
                <m:rPr>
                  <m:sty m:val="p"/>
                </m:rPr>
                <m:t>[</m:t>
              </m:r>
              <m:r>
                <m:t>K</m:t>
              </m:r>
              <m:sSub>
                <m:e>
                  <m:r>
                    <m:rPr>
                      <m:sty m:val="p"/>
                    </m:rPr>
                    <m:t>]</m:t>
                  </m:r>
                </m:e>
                <m:sub>
                  <m:r>
                    <m:t>2040</m:t>
                  </m:r>
                </m:sub>
              </m:sSub>
            </m:oMath>
          </w:p>
        </w:tc>
        <w:tc>
          <w:tcPr>
            <w:tcBorders>
              <w:bottom w:val="single" w:sz="6" w:color="000000"/>
            </w:tcBorders>
          </w:tcPr>
          <w:p>
            <w:pPr>
              <w:pStyle w:val="Compact"/>
              <w:jc w:val="right"/>
            </w:pPr>
            <w:r>
              <w:rPr>
                <w:rFonts w:hint="eastAsia"/>
                <w:sz w:val="18"/>
              </w:rPr>
              <w:t xml:space="preserve">資本費低下5%/年：2030</w:t>
            </w:r>
          </w:p>
        </w:tc>
        <w:tc>
          <w:tcPr>
            <w:tcBorders>
              <w:bottom w:val="single" w:sz="6" w:color="000000"/>
            </w:tcBorders>
          </w:tcPr>
          <w:p>
            <w:pPr>
              <w:pStyle w:val="Compact"/>
              <w:jc w:val="right"/>
            </w:pPr>
            <w:r>
              <w:rPr>
                <w:sz w:val="18"/>
              </w:rPr>
              <w:t xml:space="preserve">2035</w:t>
            </w:r>
          </w:p>
        </w:tc>
        <w:tc>
          <w:tcPr>
            <w:tcBorders>
              <w:bottom w:val="single" w:sz="6" w:color="000000"/>
            </w:tcBorders>
          </w:tcPr>
          <w:p>
            <w:pPr>
              <w:pStyle w:val="Compact"/>
              <w:jc w:val="right"/>
            </w:pPr>
            <w:r>
              <w:rPr>
                <w:sz w:val="18"/>
              </w:rPr>
              <w:t xml:space="preserve">2040</w:t>
            </w:r>
          </w:p>
        </w:tc>
        <w:tc>
          <w:tcPr>
            <w:tcBorders>
              <w:bottom w:val="single" w:sz="6" w:color="000000"/>
            </w:tcBorders>
          </w:tcPr>
          <w:p>
            <w:pPr>
              <w:pStyle w:val="Compact"/>
              <w:jc w:val="right"/>
            </w:pPr>
            <m:oMath>
              <m:r>
                <m:t>E</m:t>
              </m:r>
              <m:r>
                <m:rPr>
                  <m:sty m:val="p"/>
                </m:rPr>
                <m:t>[</m:t>
              </m:r>
              <m:r>
                <m:t>K</m:t>
              </m:r>
              <m:sSub>
                <m:e>
                  <m:r>
                    <m:rPr>
                      <m:sty m:val="p"/>
                    </m:rPr>
                    <m:t>]</m:t>
                  </m:r>
                </m:e>
                <m:sub>
                  <m:r>
                    <m:t>2040</m:t>
                  </m:r>
                </m:sub>
              </m:sSub>
            </m:oMath>
          </w:p>
        </w:tc>
      </w:tr>
      <w:tr>
        <w:tc>
          <w:tcPr/>
          <w:p>
            <w:pPr>
              <w:pStyle w:val="Compact"/>
            </w:pPr>
            <w:r>
              <w:rPr>
                <w:sz w:val="18"/>
              </w:rPr>
              <w:t xml:space="preserve">0.10</w:t>
            </w:r>
          </w:p>
        </w:tc>
        <w:tc>
          <w:tcPr/>
          <w:p>
            <w:pPr>
              <w:pStyle w:val="Compact"/>
            </w:pPr>
            <w:r>
              <w:rPr>
                <w:rFonts w:hint="eastAsia"/>
                <w:sz w:val="18"/>
              </w:rPr>
              <w:t xml:space="preserve">競争均衡</w:t>
            </w:r>
          </w:p>
        </w:tc>
        <w:tc>
          <w:tcPr/>
          <w:p>
            <w:pPr>
              <w:pStyle w:val="Compact"/>
              <w:jc w:val="right"/>
            </w:pPr>
            <w:r>
              <w:rPr>
                <w:sz w:val="18"/>
              </w:rPr>
              <w:t xml:space="preserve">0.00</w:t>
            </w:r>
          </w:p>
        </w:tc>
        <w:tc>
          <w:tcPr/>
          <w:p>
            <w:pPr>
              <w:pStyle w:val="Compact"/>
              <w:jc w:val="right"/>
            </w:pPr>
            <w:r>
              <w:rPr>
                <w:sz w:val="18"/>
              </w:rPr>
              <w:t xml:space="preserve">0.02</w:t>
            </w:r>
          </w:p>
        </w:tc>
        <w:tc>
          <w:tcPr/>
          <w:p>
            <w:pPr>
              <w:pStyle w:val="Compact"/>
              <w:jc w:val="right"/>
            </w:pPr>
            <w:r>
              <w:rPr>
                <w:sz w:val="18"/>
              </w:rPr>
              <w:t xml:space="preserve">0.19</w:t>
            </w:r>
          </w:p>
        </w:tc>
        <w:tc>
          <w:tcPr/>
          <w:p>
            <w:pPr>
              <w:pStyle w:val="Compact"/>
              <w:jc w:val="right"/>
            </w:pPr>
            <w:r>
              <w:rPr>
                <w:sz w:val="18"/>
              </w:rPr>
              <w:t xml:space="preserve">0.01</w:t>
            </w:r>
          </w:p>
        </w:tc>
        <w:tc>
          <w:tcPr/>
          <w:p>
            <w:pPr>
              <w:pStyle w:val="Compact"/>
              <w:jc w:val="right"/>
            </w:pPr>
            <w:r>
              <w:rPr>
                <w:sz w:val="18"/>
              </w:rPr>
              <w:t xml:space="preserve">0.00</w:t>
            </w:r>
          </w:p>
        </w:tc>
        <w:tc>
          <w:tcPr/>
          <w:p>
            <w:pPr>
              <w:pStyle w:val="Compact"/>
              <w:jc w:val="right"/>
            </w:pPr>
            <w:r>
              <w:rPr>
                <w:sz w:val="18"/>
              </w:rPr>
              <w:t xml:space="preserve">0.16</w:t>
            </w:r>
          </w:p>
        </w:tc>
        <w:tc>
          <w:tcPr/>
          <w:p>
            <w:pPr>
              <w:pStyle w:val="Compact"/>
              <w:jc w:val="right"/>
            </w:pPr>
            <w:r>
              <w:rPr>
                <w:sz w:val="18"/>
              </w:rPr>
              <w:t xml:space="preserve">3.58</w:t>
            </w:r>
          </w:p>
        </w:tc>
        <w:tc>
          <w:tcPr/>
          <w:p>
            <w:pPr>
              <w:pStyle w:val="Compact"/>
              <w:jc w:val="right"/>
            </w:pPr>
            <w:r>
              <w:rPr>
                <w:sz w:val="18"/>
              </w:rPr>
              <w:t xml:space="preserve">0.35</w:t>
            </w:r>
          </w:p>
        </w:tc>
      </w:tr>
      <w:tr>
        <w:tc>
          <w:tcPr/>
          <w:p>
            <w:pPr>
              <w:pStyle w:val="Compact"/>
            </w:pPr>
          </w:p>
        </w:tc>
        <w:tc>
          <w:tcPr/>
          <w:p>
            <w:pPr>
              <w:pStyle w:val="Compact"/>
            </w:pPr>
            <w:r>
              <w:rPr>
                <w:rFonts w:hint="eastAsia"/>
                <w:sz w:val="18"/>
              </w:rPr>
              <w:t xml:space="preserve">静学</w:t>
            </w:r>
          </w:p>
        </w:tc>
        <w:tc>
          <w:tcPr/>
          <w:p>
            <w:pPr>
              <w:pStyle w:val="Compact"/>
              <w:jc w:val="right"/>
            </w:pPr>
            <w:r>
              <w:rPr>
                <w:sz w:val="18"/>
              </w:rPr>
              <w:t xml:space="preserve">0.00</w:t>
            </w:r>
          </w:p>
        </w:tc>
        <w:tc>
          <w:tcPr/>
          <w:p>
            <w:pPr>
              <w:pStyle w:val="Compact"/>
              <w:jc w:val="right"/>
            </w:pPr>
            <w:r>
              <w:rPr>
                <w:sz w:val="18"/>
              </w:rPr>
              <w:t xml:space="preserve">0.10</w:t>
            </w:r>
          </w:p>
        </w:tc>
        <w:tc>
          <w:tcPr/>
          <w:p>
            <w:pPr>
              <w:pStyle w:val="Compact"/>
              <w:jc w:val="right"/>
            </w:pPr>
            <w:r>
              <w:rPr>
                <w:sz w:val="18"/>
              </w:rPr>
              <w:t xml:space="preserve">0.69</w:t>
            </w:r>
          </w:p>
        </w:tc>
        <w:tc>
          <w:tcPr/>
          <w:p>
            <w:pPr>
              <w:pStyle w:val="Compact"/>
              <w:jc w:val="right"/>
            </w:pPr>
            <w:r>
              <w:rPr>
                <w:sz w:val="18"/>
              </w:rPr>
              <w:t xml:space="preserve">0.06</w:t>
            </w:r>
          </w:p>
        </w:tc>
        <w:tc>
          <w:tcPr/>
          <w:p>
            <w:pPr>
              <w:pStyle w:val="Compact"/>
              <w:jc w:val="right"/>
            </w:pPr>
            <w:r>
              <w:rPr>
                <w:sz w:val="18"/>
              </w:rPr>
              <w:t xml:space="preserve">0.02</w:t>
            </w:r>
          </w:p>
        </w:tc>
        <w:tc>
          <w:tcPr/>
          <w:p>
            <w:pPr>
              <w:pStyle w:val="Compact"/>
              <w:jc w:val="right"/>
            </w:pPr>
            <w:r>
              <w:rPr>
                <w:sz w:val="18"/>
              </w:rPr>
              <w:t xml:space="preserve">4.84</w:t>
            </w:r>
          </w:p>
        </w:tc>
        <w:tc>
          <w:tcPr/>
          <w:p>
            <w:pPr>
              <w:pStyle w:val="Compact"/>
              <w:jc w:val="right"/>
            </w:pPr>
            <w:r>
              <w:rPr>
                <w:sz w:val="18"/>
              </w:rPr>
              <w:t xml:space="preserve">23.18</w:t>
            </w:r>
          </w:p>
        </w:tc>
        <w:tc>
          <w:tcPr/>
          <w:p>
            <w:pPr>
              <w:pStyle w:val="Compact"/>
              <w:jc w:val="right"/>
            </w:pPr>
            <w:r>
              <w:rPr>
                <w:sz w:val="18"/>
              </w:rPr>
              <w:t xml:space="preserve">3.16</w:t>
            </w:r>
          </w:p>
        </w:tc>
      </w:tr>
      <w:tr>
        <w:tc>
          <w:tcPr/>
          <w:p>
            <w:pPr>
              <w:pStyle w:val="Compact"/>
            </w:pPr>
            <w:r>
              <w:rPr>
                <w:sz w:val="18"/>
              </w:rPr>
              <w:t xml:space="preserve">0.15</w:t>
            </w:r>
          </w:p>
        </w:tc>
        <w:tc>
          <w:tcPr/>
          <w:p>
            <w:pPr>
              <w:pStyle w:val="Compact"/>
            </w:pPr>
            <w:r>
              <w:rPr>
                <w:rFonts w:hint="eastAsia"/>
                <w:sz w:val="18"/>
              </w:rPr>
              <w:t xml:space="preserve">競争均衡</w:t>
            </w:r>
          </w:p>
        </w:tc>
        <w:tc>
          <w:tcPr/>
          <w:p>
            <w:pPr>
              <w:pStyle w:val="Compact"/>
              <w:jc w:val="right"/>
            </w:pPr>
            <w:r>
              <w:rPr>
                <w:sz w:val="18"/>
              </w:rPr>
              <w:t xml:space="preserve">0.00</w:t>
            </w:r>
          </w:p>
        </w:tc>
        <w:tc>
          <w:tcPr/>
          <w:p>
            <w:pPr>
              <w:pStyle w:val="Compact"/>
              <w:jc w:val="right"/>
            </w:pPr>
            <w:r>
              <w:rPr>
                <w:sz w:val="18"/>
              </w:rPr>
              <w:t xml:space="preserve">0.42</w:t>
            </w:r>
          </w:p>
        </w:tc>
        <w:tc>
          <w:tcPr/>
          <w:p>
            <w:pPr>
              <w:pStyle w:val="Compact"/>
              <w:jc w:val="right"/>
            </w:pPr>
            <w:r>
              <w:rPr>
                <w:sz w:val="18"/>
              </w:rPr>
              <w:t xml:space="preserve">1.70</w:t>
            </w:r>
          </w:p>
        </w:tc>
        <w:tc>
          <w:tcPr/>
          <w:p>
            <w:pPr>
              <w:pStyle w:val="Compact"/>
              <w:jc w:val="right"/>
            </w:pPr>
            <w:r>
              <w:rPr>
                <w:sz w:val="18"/>
              </w:rPr>
              <w:t xml:space="preserve">0.21</w:t>
            </w:r>
          </w:p>
        </w:tc>
        <w:tc>
          <w:tcPr/>
          <w:p>
            <w:pPr>
              <w:pStyle w:val="Compact"/>
              <w:jc w:val="right"/>
            </w:pPr>
            <w:r>
              <w:rPr>
                <w:sz w:val="18"/>
              </w:rPr>
              <w:t xml:space="preserve">0.00</w:t>
            </w:r>
          </w:p>
        </w:tc>
        <w:tc>
          <w:tcPr/>
          <w:p>
            <w:pPr>
              <w:pStyle w:val="Compact"/>
              <w:jc w:val="right"/>
            </w:pPr>
            <w:r>
              <w:rPr>
                <w:sz w:val="18"/>
              </w:rPr>
              <w:t xml:space="preserve">1.56</w:t>
            </w:r>
          </w:p>
        </w:tc>
        <w:tc>
          <w:tcPr/>
          <w:p>
            <w:pPr>
              <w:pStyle w:val="Compact"/>
              <w:jc w:val="right"/>
            </w:pPr>
            <w:r>
              <w:rPr>
                <w:sz w:val="18"/>
              </w:rPr>
              <w:t xml:space="preserve">8.56</w:t>
            </w:r>
          </w:p>
        </w:tc>
        <w:tc>
          <w:tcPr/>
          <w:p>
            <w:pPr>
              <w:pStyle w:val="Compact"/>
              <w:jc w:val="right"/>
            </w:pPr>
            <w:r>
              <w:rPr>
                <w:sz w:val="18"/>
              </w:rPr>
              <w:t xml:space="preserve">1.32</w:t>
            </w:r>
          </w:p>
        </w:tc>
      </w:tr>
      <w:tr>
        <w:tc>
          <w:tcPr/>
          <w:p>
            <w:pPr>
              <w:pStyle w:val="Compact"/>
            </w:pPr>
          </w:p>
        </w:tc>
        <w:tc>
          <w:tcPr/>
          <w:p>
            <w:pPr>
              <w:pStyle w:val="Compact"/>
            </w:pPr>
            <w:r>
              <w:rPr>
                <w:rFonts w:hint="eastAsia"/>
                <w:sz w:val="18"/>
              </w:rPr>
              <w:t xml:space="preserve">静学</w:t>
            </w:r>
          </w:p>
        </w:tc>
        <w:tc>
          <w:tcPr/>
          <w:p>
            <w:pPr>
              <w:pStyle w:val="Compact"/>
              <w:jc w:val="right"/>
            </w:pPr>
            <w:r>
              <w:rPr>
                <w:sz w:val="18"/>
              </w:rPr>
              <w:t xml:space="preserve">0.09</w:t>
            </w:r>
          </w:p>
        </w:tc>
        <w:tc>
          <w:tcPr/>
          <w:p>
            <w:pPr>
              <w:pStyle w:val="Compact"/>
              <w:jc w:val="right"/>
            </w:pPr>
            <w:r>
              <w:rPr>
                <w:sz w:val="18"/>
              </w:rPr>
              <w:t xml:space="preserve">1.85</w:t>
            </w:r>
          </w:p>
        </w:tc>
        <w:tc>
          <w:tcPr/>
          <w:p>
            <w:pPr>
              <w:pStyle w:val="Compact"/>
              <w:jc w:val="right"/>
            </w:pPr>
            <w:r>
              <w:rPr>
                <w:sz w:val="18"/>
              </w:rPr>
              <w:t xml:space="preserve">4.87</w:t>
            </w:r>
          </w:p>
        </w:tc>
        <w:tc>
          <w:tcPr/>
          <w:p>
            <w:pPr>
              <w:pStyle w:val="Compact"/>
              <w:jc w:val="right"/>
            </w:pPr>
            <w:r>
              <w:rPr>
                <w:sz w:val="18"/>
              </w:rPr>
              <w:t xml:space="preserve">0.65</w:t>
            </w:r>
          </w:p>
        </w:tc>
        <w:tc>
          <w:tcPr/>
          <w:p>
            <w:pPr>
              <w:pStyle w:val="Compact"/>
              <w:jc w:val="right"/>
            </w:pPr>
            <w:r>
              <w:rPr>
                <w:sz w:val="18"/>
              </w:rPr>
              <w:t xml:space="preserve">0.66</w:t>
            </w:r>
          </w:p>
        </w:tc>
        <w:tc>
          <w:tcPr/>
          <w:p>
            <w:pPr>
              <w:pStyle w:val="Compact"/>
              <w:jc w:val="right"/>
            </w:pPr>
            <w:r>
              <w:rPr>
                <w:sz w:val="18"/>
              </w:rPr>
              <w:t xml:space="preserve">12.40</w:t>
            </w:r>
          </w:p>
        </w:tc>
        <w:tc>
          <w:tcPr/>
          <w:p>
            <w:pPr>
              <w:pStyle w:val="Compact"/>
              <w:jc w:val="right"/>
            </w:pPr>
            <w:r>
              <w:rPr>
                <w:sz w:val="18"/>
              </w:rPr>
              <w:t xml:space="preserve">29.74</w:t>
            </w:r>
          </w:p>
        </w:tc>
        <w:tc>
          <w:tcPr/>
          <w:p>
            <w:pPr>
              <w:pStyle w:val="Compact"/>
              <w:jc w:val="right"/>
            </w:pPr>
            <w:r>
              <w:rPr>
                <w:sz w:val="18"/>
              </w:rPr>
              <w:t xml:space="preserve">5.91</w:t>
            </w:r>
          </w:p>
        </w:tc>
      </w:tr>
      <w:tr>
        <w:tc>
          <w:tcPr/>
          <w:p>
            <w:pPr>
              <w:pStyle w:val="Compact"/>
            </w:pPr>
            <w:r>
              <w:rPr>
                <w:sz w:val="18"/>
              </w:rPr>
              <w:t xml:space="preserve">0.20</w:t>
            </w:r>
          </w:p>
        </w:tc>
        <w:tc>
          <w:tcPr/>
          <w:p>
            <w:pPr>
              <w:pStyle w:val="Compact"/>
            </w:pPr>
            <w:r>
              <w:rPr>
                <w:rFonts w:hint="eastAsia"/>
                <w:sz w:val="18"/>
              </w:rPr>
              <w:t xml:space="preserve">競争均衡</w:t>
            </w:r>
          </w:p>
        </w:tc>
        <w:tc>
          <w:tcPr/>
          <w:p>
            <w:pPr>
              <w:pStyle w:val="Compact"/>
              <w:jc w:val="right"/>
            </w:pPr>
            <w:r>
              <w:rPr>
                <w:sz w:val="18"/>
              </w:rPr>
              <w:t xml:space="preserve">0.07</w:t>
            </w:r>
          </w:p>
        </w:tc>
        <w:tc>
          <w:tcPr/>
          <w:p>
            <w:pPr>
              <w:pStyle w:val="Compact"/>
              <w:jc w:val="right"/>
            </w:pPr>
            <w:r>
              <w:rPr>
                <w:sz w:val="18"/>
              </w:rPr>
              <w:t xml:space="preserve">1.50</w:t>
            </w:r>
          </w:p>
        </w:tc>
        <w:tc>
          <w:tcPr/>
          <w:p>
            <w:pPr>
              <w:pStyle w:val="Compact"/>
              <w:jc w:val="right"/>
            </w:pPr>
            <w:r>
              <w:rPr>
                <w:sz w:val="18"/>
              </w:rPr>
              <w:t xml:space="preserve">3.94</w:t>
            </w:r>
          </w:p>
        </w:tc>
        <w:tc>
          <w:tcPr/>
          <w:p>
            <w:pPr>
              <w:pStyle w:val="Compact"/>
              <w:jc w:val="right"/>
            </w:pPr>
            <w:r>
              <w:rPr>
                <w:sz w:val="18"/>
              </w:rPr>
              <w:t xml:space="preserve">0.65</w:t>
            </w:r>
          </w:p>
        </w:tc>
        <w:tc>
          <w:tcPr/>
          <w:p>
            <w:pPr>
              <w:pStyle w:val="Compact"/>
              <w:jc w:val="right"/>
            </w:pPr>
            <w:r>
              <w:rPr>
                <w:sz w:val="18"/>
              </w:rPr>
              <w:t xml:space="preserve">0.08</w:t>
            </w:r>
          </w:p>
        </w:tc>
        <w:tc>
          <w:tcPr/>
          <w:p>
            <w:pPr>
              <w:pStyle w:val="Compact"/>
              <w:jc w:val="right"/>
            </w:pPr>
            <w:r>
              <w:rPr>
                <w:sz w:val="18"/>
              </w:rPr>
              <w:t xml:space="preserve">3.60</w:t>
            </w:r>
          </w:p>
        </w:tc>
        <w:tc>
          <w:tcPr/>
          <w:p>
            <w:pPr>
              <w:pStyle w:val="Compact"/>
              <w:jc w:val="right"/>
            </w:pPr>
            <w:r>
              <w:rPr>
                <w:sz w:val="18"/>
              </w:rPr>
              <w:t xml:space="preserve">11.78</w:t>
            </w:r>
          </w:p>
        </w:tc>
        <w:tc>
          <w:tcPr/>
          <w:p>
            <w:pPr>
              <w:pStyle w:val="Compact"/>
              <w:jc w:val="right"/>
            </w:pPr>
            <w:r>
              <w:rPr>
                <w:sz w:val="18"/>
              </w:rPr>
              <w:t xml:space="preserve">2.38</w:t>
            </w:r>
          </w:p>
        </w:tc>
      </w:tr>
      <w:tr>
        <w:tc>
          <w:tcPr/>
          <w:p>
            <w:pPr>
              <w:pStyle w:val="Compact"/>
            </w:pPr>
          </w:p>
        </w:tc>
        <w:tc>
          <w:tcPr/>
          <w:p>
            <w:pPr>
              <w:pStyle w:val="Compact"/>
            </w:pPr>
            <w:r>
              <w:rPr>
                <w:rFonts w:hint="eastAsia"/>
                <w:sz w:val="18"/>
              </w:rPr>
              <w:t xml:space="preserve">静学</w:t>
            </w:r>
          </w:p>
        </w:tc>
        <w:tc>
          <w:tcPr/>
          <w:p>
            <w:pPr>
              <w:pStyle w:val="Compact"/>
              <w:jc w:val="right"/>
            </w:pPr>
            <w:r>
              <w:rPr>
                <w:sz w:val="18"/>
              </w:rPr>
              <w:t xml:space="preserve">0.84</w:t>
            </w:r>
          </w:p>
        </w:tc>
        <w:tc>
          <w:tcPr/>
          <w:p>
            <w:pPr>
              <w:pStyle w:val="Compact"/>
              <w:jc w:val="right"/>
            </w:pPr>
            <w:r>
              <w:rPr>
                <w:sz w:val="18"/>
              </w:rPr>
              <w:t xml:space="preserve">5.58</w:t>
            </w:r>
          </w:p>
        </w:tc>
        <w:tc>
          <w:tcPr/>
          <w:p>
            <w:pPr>
              <w:pStyle w:val="Compact"/>
              <w:jc w:val="right"/>
            </w:pPr>
            <w:r>
              <w:rPr>
                <w:sz w:val="18"/>
              </w:rPr>
              <w:t xml:space="preserve">10.33</w:t>
            </w:r>
          </w:p>
        </w:tc>
        <w:tc>
          <w:tcPr/>
          <w:p>
            <w:pPr>
              <w:pStyle w:val="Compact"/>
              <w:jc w:val="right"/>
            </w:pPr>
            <w:r>
              <w:rPr>
                <w:sz w:val="18"/>
              </w:rPr>
              <w:t xml:space="preserve">1.90</w:t>
            </w:r>
          </w:p>
        </w:tc>
        <w:tc>
          <w:tcPr/>
          <w:p>
            <w:pPr>
              <w:pStyle w:val="Compact"/>
              <w:jc w:val="right"/>
            </w:pPr>
            <w:r>
              <w:rPr>
                <w:sz w:val="18"/>
              </w:rPr>
              <w:t xml:space="preserve">2.79</w:t>
            </w:r>
          </w:p>
        </w:tc>
        <w:tc>
          <w:tcPr/>
          <w:p>
            <w:pPr>
              <w:pStyle w:val="Compact"/>
              <w:jc w:val="right"/>
            </w:pPr>
            <w:r>
              <w:rPr>
                <w:sz w:val="18"/>
              </w:rPr>
              <w:t xml:space="preserve">18.20</w:t>
            </w:r>
          </w:p>
        </w:tc>
        <w:tc>
          <w:tcPr/>
          <w:p>
            <w:pPr>
              <w:pStyle w:val="Compact"/>
              <w:jc w:val="right"/>
            </w:pPr>
            <w:r>
              <w:rPr>
                <w:sz w:val="18"/>
              </w:rPr>
              <w:t xml:space="preserve">32.99</w:t>
            </w:r>
          </w:p>
        </w:tc>
        <w:tc>
          <w:tcPr/>
          <w:p>
            <w:pPr>
              <w:pStyle w:val="Compact"/>
              <w:jc w:val="right"/>
            </w:pPr>
            <w:r>
              <w:rPr>
                <w:sz w:val="18"/>
              </w:rPr>
              <w:t xml:space="preserve">8.25</w:t>
            </w:r>
          </w:p>
        </w:tc>
      </w:tr>
      <w:tr>
        <w:tc>
          <w:tcPr/>
          <w:p>
            <w:pPr>
              <w:pStyle w:val="Compact"/>
            </w:pPr>
            <w:r>
              <w:rPr>
                <w:sz w:val="18"/>
              </w:rPr>
              <w:t xml:space="preserve">0.30</w:t>
            </w:r>
          </w:p>
        </w:tc>
        <w:tc>
          <w:tcPr/>
          <w:p>
            <w:pPr>
              <w:pStyle w:val="Compact"/>
            </w:pPr>
            <w:r>
              <w:rPr>
                <w:rFonts w:hint="eastAsia"/>
                <w:sz w:val="18"/>
              </w:rPr>
              <w:t xml:space="preserve">競争均衡</w:t>
            </w:r>
          </w:p>
        </w:tc>
        <w:tc>
          <w:tcPr/>
          <w:p>
            <w:pPr>
              <w:pStyle w:val="Compact"/>
              <w:jc w:val="right"/>
            </w:pPr>
            <w:r>
              <w:rPr>
                <w:sz w:val="18"/>
              </w:rPr>
              <w:t xml:space="preserve">0.59</w:t>
            </w:r>
          </w:p>
        </w:tc>
        <w:tc>
          <w:tcPr/>
          <w:p>
            <w:pPr>
              <w:pStyle w:val="Compact"/>
              <w:jc w:val="right"/>
            </w:pPr>
            <w:r>
              <w:rPr>
                <w:sz w:val="18"/>
              </w:rPr>
              <w:t xml:space="preserve">3.99</w:t>
            </w:r>
          </w:p>
        </w:tc>
        <w:tc>
          <w:tcPr/>
          <w:p>
            <w:pPr>
              <w:pStyle w:val="Compact"/>
              <w:jc w:val="right"/>
            </w:pPr>
            <w:r>
              <w:rPr>
                <w:sz w:val="18"/>
              </w:rPr>
              <w:t xml:space="preserve">7.34</w:t>
            </w:r>
          </w:p>
        </w:tc>
        <w:tc>
          <w:tcPr/>
          <w:p>
            <w:pPr>
              <w:pStyle w:val="Compact"/>
              <w:jc w:val="right"/>
            </w:pPr>
            <w:r>
              <w:rPr>
                <w:sz w:val="18"/>
              </w:rPr>
              <w:t xml:space="preserve">1.76</w:t>
            </w:r>
          </w:p>
        </w:tc>
        <w:tc>
          <w:tcPr/>
          <w:p>
            <w:pPr>
              <w:pStyle w:val="Compact"/>
              <w:jc w:val="right"/>
            </w:pPr>
            <w:r>
              <w:rPr>
                <w:sz w:val="18"/>
              </w:rPr>
              <w:t xml:space="preserve">0.69</w:t>
            </w:r>
          </w:p>
        </w:tc>
        <w:tc>
          <w:tcPr/>
          <w:p>
            <w:pPr>
              <w:pStyle w:val="Compact"/>
              <w:jc w:val="right"/>
            </w:pPr>
            <w:r>
              <w:rPr>
                <w:sz w:val="18"/>
              </w:rPr>
              <w:t xml:space="preserve">6.77</w:t>
            </w:r>
          </w:p>
        </w:tc>
        <w:tc>
          <w:tcPr/>
          <w:p>
            <w:pPr>
              <w:pStyle w:val="Compact"/>
              <w:jc w:val="right"/>
            </w:pPr>
            <w:r>
              <w:rPr>
                <w:sz w:val="18"/>
              </w:rPr>
              <w:t xml:space="preserve">14.22</w:t>
            </w:r>
          </w:p>
        </w:tc>
        <w:tc>
          <w:tcPr/>
          <w:p>
            <w:pPr>
              <w:pStyle w:val="Compact"/>
              <w:jc w:val="right"/>
            </w:pPr>
            <w:r>
              <w:rPr>
                <w:sz w:val="18"/>
              </w:rPr>
              <w:t xml:space="preserve">3.95</w:t>
            </w:r>
          </w:p>
        </w:tc>
      </w:tr>
      <w:tr>
        <w:tc>
          <w:tcPr/>
          <w:p>
            <w:pPr>
              <w:pStyle w:val="Compact"/>
            </w:pPr>
          </w:p>
        </w:tc>
        <w:tc>
          <w:tcPr/>
          <w:p>
            <w:pPr>
              <w:pStyle w:val="Compact"/>
            </w:pPr>
            <w:r>
              <w:rPr>
                <w:rFonts w:hint="eastAsia"/>
                <w:sz w:val="18"/>
              </w:rPr>
              <w:t xml:space="preserve">静学</w:t>
            </w:r>
          </w:p>
        </w:tc>
        <w:tc>
          <w:tcPr/>
          <w:p>
            <w:pPr>
              <w:pStyle w:val="Compact"/>
              <w:jc w:val="right"/>
            </w:pPr>
            <w:r>
              <w:rPr>
                <w:sz w:val="18"/>
              </w:rPr>
              <w:t xml:space="preserve">4.74</w:t>
            </w:r>
          </w:p>
        </w:tc>
        <w:tc>
          <w:tcPr/>
          <w:p>
            <w:pPr>
              <w:pStyle w:val="Compact"/>
              <w:jc w:val="right"/>
            </w:pPr>
            <w:r>
              <w:rPr>
                <w:sz w:val="18"/>
              </w:rPr>
              <w:t xml:space="preserve">13.23</w:t>
            </w:r>
          </w:p>
        </w:tc>
        <w:tc>
          <w:tcPr/>
          <w:p>
            <w:pPr>
              <w:pStyle w:val="Compact"/>
              <w:jc w:val="right"/>
            </w:pPr>
            <w:r>
              <w:rPr>
                <w:sz w:val="18"/>
              </w:rPr>
              <w:t xml:space="preserve">18.55</w:t>
            </w:r>
          </w:p>
        </w:tc>
        <w:tc>
          <w:tcPr/>
          <w:p>
            <w:pPr>
              <w:pStyle w:val="Compact"/>
              <w:jc w:val="right"/>
            </w:pPr>
            <w:r>
              <w:rPr>
                <w:sz w:val="18"/>
              </w:rPr>
              <w:t xml:space="preserve">4.90</w:t>
            </w:r>
          </w:p>
        </w:tc>
        <w:tc>
          <w:tcPr/>
          <w:p>
            <w:pPr>
              <w:pStyle w:val="Compact"/>
              <w:jc w:val="right"/>
            </w:pPr>
            <w:r>
              <w:rPr>
                <w:sz w:val="18"/>
              </w:rPr>
              <w:t xml:space="preserve">8.71</w:t>
            </w:r>
          </w:p>
        </w:tc>
        <w:tc>
          <w:tcPr/>
          <w:p>
            <w:pPr>
              <w:pStyle w:val="Compact"/>
              <w:jc w:val="right"/>
            </w:pPr>
            <w:r>
              <w:rPr>
                <w:sz w:val="18"/>
              </w:rPr>
              <w:t xml:space="preserve">24.85</w:t>
            </w:r>
          </w:p>
        </w:tc>
        <w:tc>
          <w:tcPr/>
          <w:p>
            <w:pPr>
              <w:pStyle w:val="Compact"/>
              <w:jc w:val="right"/>
            </w:pPr>
            <w:r>
              <w:rPr>
                <w:sz w:val="18"/>
              </w:rPr>
              <w:t xml:space="preserve">35.39</w:t>
            </w:r>
          </w:p>
        </w:tc>
        <w:tc>
          <w:tcPr/>
          <w:p>
            <w:pPr>
              <w:pStyle w:val="Compact"/>
              <w:jc w:val="right"/>
            </w:pPr>
            <w:r>
              <w:rPr>
                <w:sz w:val="18"/>
              </w:rPr>
              <w:t xml:space="preserve">11.56</w:t>
            </w:r>
          </w:p>
        </w:tc>
      </w:tr>
    </w:tbl>
    <w:p>
      <w:pPr>
        <w:pStyle w:val="TableNote"/>
      </w:pPr>
      <w:r>
        <w:rPr>
          <w:rFonts w:hint="eastAsia"/>
        </w:rPr>
        <w:t xml:space="preserve">注）各年度までに参入が開く確率（%）と、2040年度のフリート容量の期待値</w:t>
      </w:r>
      <w:r>
        <w:t xml:space="preserve"> </w:t>
      </w:r>
      <m:oMath>
        <m:r>
          <m:t>E</m:t>
        </m:r>
        <m:r>
          <m:rPr>
            <m:sty m:val="p"/>
          </m:rPr>
          <m:t>[</m:t>
        </m:r>
        <m:r>
          <m:t>K</m:t>
        </m:r>
        <m:sSub>
          <m:e>
            <m:r>
              <m:rPr>
                <m:sty m:val="p"/>
              </m:rPr>
              <m:t>]</m:t>
            </m:r>
          </m:e>
          <m:sub>
            <m:r>
              <m:t>2040</m:t>
            </m:r>
          </m:sub>
        </m:sSub>
      </m:oMath>
      <w:r>
        <w:rPr>
          <w:rFonts w:hint="eastAsia"/>
        </w:rPr>
        <w:t xml:space="preserve">（万kW）。出発点は2026年6月の恒久成分の推定値1.22。WACC</w:t>
      </w:r>
      <w:r>
        <w:t xml:space="preserve"> </w:t>
      </w:r>
      <w:r>
        <w:rPr>
          <w:rFonts w:hint="eastAsia"/>
        </w:rPr>
        <w:t xml:space="preserve">6%、資本費6.8万円/kWh・4時間、実効容量収入1.25万円で一定、補助金なし、</w:t>
      </w:r>
      <m:oMath>
        <m:sSub>
          <m:e>
            <m:r>
              <m:t>K</m:t>
            </m:r>
          </m:e>
          <m:sub>
            <m:r>
              <m:rPr>
                <m:sty m:val="p"/>
              </m:rPr>
              <m:t>e</m:t>
            </m:r>
            <m:r>
              <m:rPr>
                <m:sty m:val="p"/>
              </m:rPr>
              <m:t>x</m:t>
            </m:r>
            <m:r>
              <m:rPr>
                <m:sty m:val="p"/>
              </m:rPr>
              <m:t>o</m:t>
            </m:r>
          </m:sub>
        </m:sSub>
        <m:r>
          <m:rPr>
            <m:sty m:val="p"/>
          </m:rPr>
          <m:t>=</m:t>
        </m:r>
        <m:r>
          <m:t>0</m:t>
        </m:r>
      </m:oMath>
      <w:r>
        <w:rPr>
          <w:rFonts w:hint="eastAsia"/>
        </w:rPr>
        <w:t xml:space="preserve">、粗収益は実績整合ケース。競争均衡は</w:t>
      </w:r>
      <w:r>
        <w:t xml:space="preserve"> </w:t>
      </w:r>
      <m:oMath>
        <m:sSub>
          <m:e>
            <m:r>
              <m:t>θ</m:t>
            </m:r>
          </m:e>
          <m:sub>
            <m:r>
              <m:t>c</m:t>
            </m:r>
          </m:sub>
        </m:sSub>
      </m:oMath>
      <w:r>
        <w:rPr>
          <w:rFonts w:hint="eastAsia"/>
        </w:rPr>
        <w:t xml:space="preserve">、静学は</w:t>
      </w:r>
      <w:r>
        <w:t xml:space="preserve"> </w:t>
      </w:r>
      <m:oMath>
        <m:sSup>
          <m:e>
            <m:r>
              <m:t>θ</m:t>
            </m:r>
          </m:e>
          <m:sup>
            <m:r>
              <m:rPr>
                <m:sty m:val="p"/>
              </m:rPr>
              <m:t>*</m:t>
            </m:r>
          </m:sup>
        </m:sSup>
      </m:oMath>
      <w:r>
        <w:t xml:space="preserve"> </w:t>
      </w:r>
      <w:r>
        <w:rPr>
          <w:rFonts w:hint="eastAsia"/>
        </w:rPr>
        <w:t xml:space="preserve">の各年度の値を閾値とする。</w:t>
      </w:r>
    </w:p>
    <w:p>
      <w:pPr>
        <w:pStyle w:val="TableNote"/>
      </w:pPr>
      <w:r>
        <w:rPr>
          <w:rFonts w:hint="eastAsia"/>
        </w:rPr>
        <w:t xml:space="preserve">出所）表C.32</w:t>
      </w:r>
      <w:r>
        <w:t xml:space="preserve"> </w:t>
      </w:r>
      <w:r>
        <w:rPr>
          <w:rFonts w:hint="eastAsia"/>
        </w:rPr>
        <w:t xml:space="preserve">と同じ。</w:t>
      </w:r>
    </w:p>
    <w:p>
      <w:pPr>
        <w:pStyle w:val="BodyText"/>
      </w:pPr>
      <w:r>
        <w:rPr>
          <w:rFonts w:hint="eastAsia"/>
          <w:b/>
          <w:bCs/>
        </w:rPr>
        <w:t xml:space="preserve">閾値と確率の補足</w:t>
      </w:r>
      <w:r>
        <w:t xml:space="preserve">　</w:t>
      </w:r>
      <w:r>
        <w:rPr>
          <w:rFonts w:hint="eastAsia"/>
        </w:rPr>
        <w:t xml:space="preserve">資本費低下5%/年・</w:t>
      </w:r>
      <m:oMath>
        <m:r>
          <m:t>σ</m:t>
        </m:r>
      </m:oMath>
      <w:r>
        <w:rPr>
          <w:rFonts w:hint="eastAsia"/>
        </w:rPr>
        <w:t xml:space="preserve">=0.10〜0.30では、競争均衡の閾値は4.3〜5.5、単独企業の閾値は5.6〜7.4である。資本費が年5%下がる場合、静学の損益分岐は2040年度に1.55まで下がり、競争均衡の閾値は2040年度でも2.27〜2.86にとどまる。2030年度までの確率は静学の規則では最大8.7%である。2040年度の</w:t>
      </w:r>
      <w:r>
        <w:t xml:space="preserve"> </w:t>
      </w:r>
      <m:oMath>
        <m:r>
          <m:t>K</m:t>
        </m:r>
      </m:oMath>
      <w:r>
        <w:t xml:space="preserve"> </w:t>
      </w:r>
      <w:r>
        <w:rPr>
          <w:rFonts w:hint="eastAsia"/>
        </w:rPr>
        <w:t xml:space="preserve">の期待値の最大3.95万kW（</w:t>
      </w:r>
      <m:oMath>
        <m:r>
          <m:t>σ</m:t>
        </m:r>
        <m:r>
          <m:rPr>
            <m:sty m:val="p"/>
          </m:rPr>
          <m:t>=</m:t>
        </m:r>
        <m:r>
          <m:t>0.30</m:t>
        </m:r>
      </m:oMath>
      <w:r>
        <w:rPr>
          <w:rFonts w:hint="eastAsia"/>
        </w:rPr>
        <w:t xml:space="preserve">・資本費低下5%/年）の99%点は62万kW</w:t>
      </w:r>
      <w:r>
        <w:t xml:space="preserve"> </w:t>
      </w:r>
      <w:r>
        <w:rPr>
          <w:rFonts w:hint="eastAsia"/>
        </w:rPr>
        <w:t xml:space="preserve">である。フリートを戦略</w:t>
      </w:r>
      <w:r>
        <w:t xml:space="preserve"> c </w:t>
      </w:r>
      <w:r>
        <w:rPr>
          <w:rFonts w:hint="eastAsia"/>
        </w:rPr>
        <w:t xml:space="preserve">の窓に従って配分すると、期待値は約2割小さい（最大3.1万kW、99%点47万kW）。</w:t>
      </w:r>
      <m:oMath>
        <m:r>
          <m:t>λ</m:t>
        </m:r>
      </m:oMath>
      <w:r>
        <w:t xml:space="preserve"> </w:t>
      </w:r>
      <w:r>
        <w:rPr>
          <w:rFonts w:hint="eastAsia"/>
        </w:rPr>
        <w:t xml:space="preserve">の95%区間では、2040年度までの確率の最大は6.3〜8.6%（資本費一定）・12.5〜16.0%（資本費低下5%/年）である。FY2026（4〜6月）の水準1.57をすべて恒久と置くと、2040年度までの確率は競争均衡で1.5〜12.4%（資本費一定）、13.6〜21.3%（資本費低下5%/年）になる。出発点を1.22のまま</w:t>
      </w:r>
      <w:r>
        <w:t xml:space="preserve"> WACC </w:t>
      </w:r>
      <w:r>
        <w:rPr>
          <w:rFonts w:hint="eastAsia"/>
        </w:rPr>
        <w:t xml:space="preserve">を8%にすると、資本費低下5%/年で1.8〜12.0%である。粗収益をモデル直値（</w:t>
      </w:r>
      <m:oMath>
        <m:r>
          <m:t>a</m:t>
        </m:r>
        <m:r>
          <m:rPr>
            <m:sty m:val="p"/>
          </m:rPr>
          <m:t>=</m:t>
        </m:r>
        <m:r>
          <m:t>7</m:t>
        </m:r>
        <m:r>
          <m:rPr>
            <m:sty m:val="p"/>
          </m:rPr>
          <m:t>,</m:t>
        </m:r>
        <m:r>
          <m:t>602</m:t>
        </m:r>
      </m:oMath>
      <w:r>
        <w:t xml:space="preserve"> </w:t>
      </w:r>
      <w:r>
        <w:rPr>
          <w:rFonts w:hint="eastAsia"/>
        </w:rPr>
        <w:t xml:space="preserve">円）にすると、競争均衡の2040年度までの確率は0.07〜5.86%（資本費一定）・1.88〜11.92%（資本費低下5%/年）、接続済み20万kW</w:t>
      </w:r>
      <w:r>
        <w:t xml:space="preserve"> </w:t>
      </w:r>
      <w:r>
        <w:rPr>
          <w:rFonts w:hint="eastAsia"/>
        </w:rPr>
        <w:t xml:space="preserve">を出発点に置くと0.01〜3.73%・0.43〜8.29%である。</w:t>
      </w:r>
    </w:p>
    <w:p>
      <w:pPr>
        <w:pStyle w:val="TableCaption"/>
      </w:pPr>
      <w:r>
        <w:rPr>
          <w:rFonts w:hint="eastAsia"/>
        </w:rPr>
        <w:t xml:space="preserve">表C.34</w:t>
      </w:r>
      <w:r>
        <w:t xml:space="preserve">　</w:t>
      </w:r>
      <w:r>
        <w:rPr>
          <w:rFonts w:hint="eastAsia"/>
        </w:rPr>
        <w:t xml:space="preserve">容量収入の上振れ・補助・既設容量の感応度</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4　容量収入の上振れ・補助・既設容量の感応度"/>
      </w:tblPr>
      <w:tblGrid>
        <w:gridCol w:w="1250"/>
        <w:gridCol w:w="1667"/>
        <w:gridCol w:w="1250"/>
        <w:gridCol w:w="1250"/>
        <w:gridCol w:w="1250"/>
        <w:gridCol w:w="1250"/>
      </w:tblGrid>
      <w:tr>
        <w:trPr>
          <w:tblHeader w:val="on"/>
        </w:trPr>
        <w:tc>
          <w:tcPr>
            <w:tcBorders>
              <w:bottom w:val="single" w:sz="6" w:color="000000"/>
            </w:tcBorders>
          </w:tcPr>
          <w:p>
            <w:pPr>
              <w:pStyle w:val="Compact"/>
            </w:pPr>
            <w:r>
              <w:rPr>
                <w:sz w:val="18"/>
              </w:rPr>
              <w:t xml:space="preserve">ケース</w:t>
            </w:r>
          </w:p>
        </w:tc>
        <w:tc>
          <w:tcPr>
            <w:tcBorders>
              <w:bottom w:val="single" w:sz="6" w:color="000000"/>
            </w:tcBorders>
          </w:tcPr>
          <w:p>
            <w:pPr>
              <w:pStyle w:val="Compact"/>
              <w:jc w:val="right"/>
            </w:pPr>
            <m:oMath>
              <m:sSup>
                <m:e>
                  <m:r>
                    <m:t>θ</m:t>
                  </m:r>
                </m:e>
                <m:sup>
                  <m:r>
                    <m:rPr>
                      <m:sty m:val="p"/>
                    </m:rPr>
                    <m:t>*</m:t>
                  </m:r>
                </m:sup>
              </m:sSup>
            </m:oMath>
            <w:r>
              <w:rPr>
                <w:rFonts w:hint="eastAsia"/>
                <w:sz w:val="18"/>
              </w:rPr>
              <w:t xml:space="preserve">（FY2026）</w:t>
            </w:r>
          </w:p>
        </w:tc>
        <w:tc>
          <w:tcPr>
            <w:tcBorders>
              <w:bottom w:val="single" w:sz="6" w:color="000000"/>
            </w:tcBorders>
          </w:tcPr>
          <w:p>
            <w:pPr>
              <w:pStyle w:val="Compact"/>
            </w:pPr>
            <m:oMath>
              <m:sSub>
                <m:e>
                  <m:r>
                    <m:t>θ</m:t>
                  </m:r>
                </m:e>
                <m:sub>
                  <m:r>
                    <m:t>c</m:t>
                  </m:r>
                </m:sub>
              </m:sSub>
            </m:oMath>
            <w:r>
              <w:rPr>
                <w:rFonts w:hint="eastAsia"/>
                <w:sz w:val="18"/>
              </w:rPr>
              <w:t xml:space="preserve">（FY2026、</w:t>
            </w:r>
            <m:oMath>
              <m:r>
                <m:t>σ</m:t>
              </m:r>
            </m:oMath>
            <w:r>
              <w:rPr>
                <w:rFonts w:hint="eastAsia"/>
                <w:sz w:val="18"/>
              </w:rPr>
              <w:t xml:space="preserve">=0.10〜0.30）</w:t>
            </w:r>
            <m:oMath>
              <m:sSub>
                <m:e>
                  <m:r>
                    <m:t>g</m:t>
                  </m:r>
                </m:e>
                <m:sub>
                  <m:r>
                    <m:t>I</m:t>
                  </m:r>
                </m:sub>
              </m:sSub>
            </m:oMath>
            <w:r>
              <w:rPr>
                <w:rFonts w:hint="eastAsia"/>
                <w:sz w:val="18"/>
              </w:rPr>
              <w:t xml:space="preserve">=0／5%</w:t>
            </w:r>
          </w:p>
        </w:tc>
        <w:tc>
          <w:tcPr>
            <w:tcBorders>
              <w:bottom w:val="single" w:sz="6" w:color="000000"/>
            </w:tcBorders>
          </w:tcPr>
          <w:p>
            <w:pPr>
              <w:pStyle w:val="Compact"/>
            </w:pPr>
            <w:r>
              <w:rPr>
                <w:rFonts w:hint="eastAsia"/>
                <w:sz w:val="18"/>
              </w:rPr>
              <w:t xml:space="preserve">2030年度までの確率の最大</w:t>
            </w:r>
            <w:r>
              <w:rPr>
                <w:sz w:val="18"/>
              </w:rPr>
              <w:t xml:space="preserve"> </w:t>
            </w:r>
            <m:oMath>
              <m:sSub>
                <m:e>
                  <m:r>
                    <m:t>g</m:t>
                  </m:r>
                </m:e>
                <m:sub>
                  <m:r>
                    <m:t>I</m:t>
                  </m:r>
                </m:sub>
              </m:sSub>
            </m:oMath>
            <w:r>
              <w:rPr>
                <w:rFonts w:hint="eastAsia"/>
                <w:sz w:val="18"/>
              </w:rPr>
              <w:t xml:space="preserve">=0／5%</w:t>
            </w:r>
          </w:p>
        </w:tc>
        <w:tc>
          <w:tcPr>
            <w:tcBorders>
              <w:bottom w:val="single" w:sz="6" w:color="000000"/>
            </w:tcBorders>
          </w:tcPr>
          <w:p>
            <w:pPr>
              <w:pStyle w:val="Compact"/>
            </w:pPr>
            <w:r>
              <w:rPr>
                <w:rFonts w:hint="eastAsia"/>
                <w:sz w:val="18"/>
              </w:rPr>
              <w:t xml:space="preserve">2040年度までの確率</w:t>
            </w:r>
            <w:r>
              <w:rPr>
                <w:sz w:val="18"/>
              </w:rPr>
              <w:t xml:space="preserve"> </w:t>
            </w:r>
            <m:oMath>
              <m:sSub>
                <m:e>
                  <m:r>
                    <m:t>g</m:t>
                  </m:r>
                </m:e>
                <m:sub>
                  <m:r>
                    <m:t>I</m:t>
                  </m:r>
                </m:sub>
              </m:sSub>
            </m:oMath>
            <w:r>
              <w:rPr>
                <w:rFonts w:hint="eastAsia"/>
                <w:sz w:val="18"/>
              </w:rPr>
              <w:t xml:space="preserve">=0／5%</w:t>
            </w:r>
          </w:p>
        </w:tc>
        <w:tc>
          <w:tcPr>
            <w:tcBorders>
              <w:bottom w:val="single" w:sz="6" w:color="000000"/>
            </w:tcBorders>
          </w:tcPr>
          <w:p>
            <w:pPr>
              <w:pStyle w:val="Compact"/>
            </w:pPr>
            <m:oMath>
              <m:r>
                <m:t>E</m:t>
              </m:r>
              <m:r>
                <m:rPr>
                  <m:sty m:val="p"/>
                </m:rPr>
                <m:t>[</m:t>
              </m:r>
              <m:r>
                <m:t>K</m:t>
              </m:r>
              <m:sSub>
                <m:e>
                  <m:r>
                    <m:rPr>
                      <m:sty m:val="p"/>
                    </m:rPr>
                    <m:t>]</m:t>
                  </m:r>
                </m:e>
                <m:sub>
                  <m:r>
                    <m:t>2040</m:t>
                  </m:r>
                </m:sub>
              </m:sSub>
            </m:oMath>
            <w:r>
              <w:rPr>
                <w:sz w:val="18"/>
              </w:rPr>
              <w:t xml:space="preserve"> </w:t>
            </w:r>
            <w:r>
              <w:rPr>
                <w:rFonts w:hint="eastAsia"/>
                <w:sz w:val="18"/>
              </w:rPr>
              <w:t xml:space="preserve">の最大（万kW）</w:t>
            </w:r>
            <m:oMath>
              <m:sSub>
                <m:e>
                  <m:r>
                    <m:t>g</m:t>
                  </m:r>
                </m:e>
                <m:sub>
                  <m:r>
                    <m:t>I</m:t>
                  </m:r>
                </m:sub>
              </m:sSub>
            </m:oMath>
            <w:r>
              <w:rPr>
                <w:rFonts w:hint="eastAsia"/>
                <w:sz w:val="18"/>
              </w:rPr>
              <w:t xml:space="preserve">=0／5%</w:t>
            </w:r>
          </w:p>
        </w:tc>
      </w:tr>
      <w:tr>
        <w:tc>
          <w:tcPr/>
          <w:p>
            <w:pPr>
              <w:pStyle w:val="Compact"/>
            </w:pPr>
            <w:r>
              <w:rPr>
                <w:rFonts w:hint="eastAsia"/>
                <w:sz w:val="18"/>
              </w:rPr>
              <w:t xml:space="preserve">主（1.25万円一定、補助なし、</w:t>
            </w:r>
            <m:oMath>
              <m:sSub>
                <m:e>
                  <m:r>
                    <m:t>K</m:t>
                  </m:r>
                </m:e>
                <m:sub>
                  <m:r>
                    <m:rPr>
                      <m:sty m:val="p"/>
                    </m:rPr>
                    <m:t>e</m:t>
                  </m:r>
                  <m:r>
                    <m:rPr>
                      <m:sty m:val="p"/>
                    </m:rPr>
                    <m:t>x</m:t>
                  </m:r>
                  <m:r>
                    <m:rPr>
                      <m:sty m:val="p"/>
                    </m:rPr>
                    <m:t>o</m:t>
                  </m:r>
                </m:sub>
              </m:sSub>
              <m:r>
                <m:rPr>
                  <m:sty m:val="p"/>
                </m:rPr>
                <m:t>=</m:t>
              </m:r>
              <m:r>
                <m:t>0</m:t>
              </m:r>
            </m:oMath>
            <w:r>
              <w:rPr>
                <w:rFonts w:hint="eastAsia"/>
                <w:sz w:val="18"/>
              </w:rPr>
              <w:t xml:space="preserve">）</w:t>
            </w:r>
          </w:p>
        </w:tc>
        <w:tc>
          <w:tcPr/>
          <w:p>
            <w:pPr>
              <w:pStyle w:val="Compact"/>
              <w:jc w:val="right"/>
            </w:pPr>
            <w:r>
              <w:rPr>
                <w:sz w:val="18"/>
              </w:rPr>
              <w:t xml:space="preserve">2.99</w:t>
            </w:r>
          </w:p>
        </w:tc>
        <w:tc>
          <w:tcPr/>
          <w:p>
            <w:pPr>
              <w:pStyle w:val="Compact"/>
            </w:pPr>
            <w:r>
              <w:rPr>
                <w:rFonts w:hint="eastAsia"/>
                <w:sz w:val="18"/>
              </w:rPr>
              <w:t xml:space="preserve">3.48〜4.75／4.32〜5.54</w:t>
            </w:r>
          </w:p>
        </w:tc>
        <w:tc>
          <w:tcPr/>
          <w:p>
            <w:pPr>
              <w:pStyle w:val="Compact"/>
            </w:pPr>
            <w:r>
              <w:rPr>
                <w:rFonts w:hint="eastAsia"/>
                <w:sz w:val="18"/>
              </w:rPr>
              <w:t xml:space="preserve">0.6／0.7</w:t>
            </w:r>
          </w:p>
        </w:tc>
        <w:tc>
          <w:tcPr/>
          <w:p>
            <w:pPr>
              <w:pStyle w:val="Compact"/>
            </w:pPr>
            <w:r>
              <w:rPr>
                <w:rFonts w:hint="eastAsia"/>
                <w:sz w:val="18"/>
              </w:rPr>
              <w:t xml:space="preserve">0.2〜7.3／3.6〜14.2</w:t>
            </w:r>
          </w:p>
        </w:tc>
        <w:tc>
          <w:tcPr/>
          <w:p>
            <w:pPr>
              <w:pStyle w:val="Compact"/>
            </w:pPr>
            <w:r>
              <w:rPr>
                <w:rFonts w:hint="eastAsia"/>
                <w:sz w:val="18"/>
              </w:rPr>
              <w:t xml:space="preserve">1.8／4.0</w:t>
            </w:r>
          </w:p>
        </w:tc>
      </w:tr>
      <w:tr>
        <w:tc>
          <w:tcPr/>
          <w:p>
            <w:pPr>
              <w:pStyle w:val="Compact"/>
            </w:pPr>
            <w:r>
              <w:rPr>
                <w:rFonts w:hint="eastAsia"/>
                <w:sz w:val="18"/>
              </w:rPr>
              <w:t xml:space="preserve">容量収入1.75万円（FY2030〜）</w:t>
            </w:r>
          </w:p>
        </w:tc>
        <w:tc>
          <w:tcPr/>
          <w:p>
            <w:pPr>
              <w:pStyle w:val="Compact"/>
              <w:jc w:val="right"/>
            </w:pPr>
            <w:r>
              <w:rPr>
                <w:sz w:val="18"/>
              </w:rPr>
              <w:t xml:space="preserve">2.53</w:t>
            </w:r>
          </w:p>
        </w:tc>
        <w:tc>
          <w:tcPr/>
          <w:p>
            <w:pPr>
              <w:pStyle w:val="Compact"/>
            </w:pPr>
            <w:r>
              <w:rPr>
                <w:rFonts w:hint="eastAsia"/>
                <w:sz w:val="18"/>
              </w:rPr>
              <w:t xml:space="preserve">3.17〜4.23／4.26〜5.14</w:t>
            </w:r>
          </w:p>
        </w:tc>
        <w:tc>
          <w:tcPr/>
          <w:p>
            <w:pPr>
              <w:pStyle w:val="Compact"/>
            </w:pPr>
            <w:r>
              <w:rPr>
                <w:rFonts w:hint="eastAsia"/>
                <w:sz w:val="18"/>
              </w:rPr>
              <w:t xml:space="preserve">1.7／1.9</w:t>
            </w:r>
          </w:p>
        </w:tc>
        <w:tc>
          <w:tcPr/>
          <w:p>
            <w:pPr>
              <w:pStyle w:val="Compact"/>
            </w:pPr>
            <w:r>
              <w:rPr>
                <w:rFonts w:hint="eastAsia"/>
                <w:sz w:val="18"/>
              </w:rPr>
              <w:t xml:space="preserve">1.2〜11.6／17.6〜23.9</w:t>
            </w:r>
          </w:p>
        </w:tc>
        <w:tc>
          <w:tcPr/>
          <w:p>
            <w:pPr>
              <w:pStyle w:val="Compact"/>
            </w:pPr>
            <w:r>
              <w:rPr>
                <w:rFonts w:hint="eastAsia"/>
                <w:sz w:val="18"/>
              </w:rPr>
              <w:t xml:space="preserve">2.9／7.2</w:t>
            </w:r>
          </w:p>
        </w:tc>
      </w:tr>
      <w:tr>
        <w:tc>
          <w:tcPr/>
          <w:p>
            <w:pPr>
              <w:pStyle w:val="Compact"/>
            </w:pPr>
            <w:r>
              <w:rPr>
                <w:rFonts w:hint="eastAsia"/>
                <w:sz w:val="18"/>
              </w:rPr>
              <w:t xml:space="preserve">容量収入2.5万円（FY2030〜）</w:t>
            </w:r>
          </w:p>
        </w:tc>
        <w:tc>
          <w:tcPr/>
          <w:p>
            <w:pPr>
              <w:pStyle w:val="Compact"/>
              <w:jc w:val="right"/>
            </w:pPr>
            <w:r>
              <w:rPr>
                <w:sz w:val="18"/>
              </w:rPr>
              <w:t xml:space="preserve">1.85</w:t>
            </w:r>
          </w:p>
        </w:tc>
        <w:tc>
          <w:tcPr/>
          <w:p>
            <w:pPr>
              <w:pStyle w:val="Compact"/>
            </w:pPr>
            <w:r>
              <w:rPr>
                <w:rFonts w:hint="eastAsia"/>
                <w:sz w:val="18"/>
              </w:rPr>
              <w:t xml:space="preserve">3.06〜3.57／—</w:t>
            </w:r>
          </w:p>
        </w:tc>
        <w:tc>
          <w:tcPr/>
          <w:p>
            <w:pPr>
              <w:pStyle w:val="Compact"/>
            </w:pPr>
            <w:r>
              <w:rPr>
                <w:rFonts w:hint="eastAsia"/>
                <w:sz w:val="18"/>
              </w:rPr>
              <w:t xml:space="preserve">9.7／—</w:t>
            </w:r>
          </w:p>
        </w:tc>
        <w:tc>
          <w:tcPr/>
          <w:p>
            <w:pPr>
              <w:pStyle w:val="Compact"/>
            </w:pPr>
            <w:r>
              <w:rPr>
                <w:rFonts w:hint="eastAsia"/>
                <w:sz w:val="18"/>
              </w:rPr>
              <w:t xml:space="preserve">21.2〜27.7／—</w:t>
            </w:r>
          </w:p>
        </w:tc>
        <w:tc>
          <w:tcPr/>
          <w:p>
            <w:pPr>
              <w:pStyle w:val="Compact"/>
            </w:pPr>
            <w:r>
              <w:rPr>
                <w:rFonts w:hint="eastAsia"/>
                <w:sz w:val="18"/>
              </w:rPr>
              <w:t xml:space="preserve">7.6／—</w:t>
            </w:r>
          </w:p>
        </w:tc>
      </w:tr>
      <w:tr>
        <w:tc>
          <w:tcPr/>
          <w:p>
            <w:pPr>
              <w:pStyle w:val="Compact"/>
            </w:pPr>
            <w:r>
              <w:rPr>
                <w:rFonts w:hint="eastAsia"/>
                <w:sz w:val="18"/>
              </w:rPr>
              <w:t xml:space="preserve">1/2補助（上限なし）</w:t>
            </w:r>
          </w:p>
        </w:tc>
        <w:tc>
          <w:tcPr/>
          <w:p>
            <w:pPr>
              <w:pStyle w:val="Compact"/>
              <w:jc w:val="right"/>
            </w:pPr>
            <w:r>
              <w:rPr>
                <w:sz w:val="18"/>
              </w:rPr>
              <w:t xml:space="preserve">1.58</w:t>
            </w:r>
          </w:p>
        </w:tc>
        <w:tc>
          <w:tcPr/>
          <w:p>
            <w:pPr>
              <w:pStyle w:val="Compact"/>
            </w:pPr>
            <w:r>
              <w:rPr>
                <w:rFonts w:hint="eastAsia"/>
                <w:sz w:val="18"/>
              </w:rPr>
              <w:t xml:space="preserve">1.84〜2.51／2.26〜2.90</w:t>
            </w:r>
          </w:p>
        </w:tc>
        <w:tc>
          <w:tcPr/>
          <w:p>
            <w:pPr>
              <w:pStyle w:val="Compact"/>
            </w:pPr>
            <w:r>
              <w:rPr>
                <w:rFonts w:hint="eastAsia"/>
                <w:sz w:val="18"/>
              </w:rPr>
              <w:t xml:space="preserve">9.1／9.3</w:t>
            </w:r>
          </w:p>
        </w:tc>
        <w:tc>
          <w:tcPr/>
          <w:p>
            <w:pPr>
              <w:pStyle w:val="Compact"/>
            </w:pPr>
            <w:r>
              <w:rPr>
                <w:rFonts w:hint="eastAsia"/>
                <w:sz w:val="18"/>
              </w:rPr>
              <w:t xml:space="preserve">16.6〜25.4／35.6〜48.1</w:t>
            </w:r>
          </w:p>
        </w:tc>
        <w:tc>
          <w:tcPr/>
          <w:p>
            <w:pPr>
              <w:pStyle w:val="Compact"/>
            </w:pPr>
            <w:r>
              <w:rPr>
                <w:rFonts w:hint="eastAsia"/>
                <w:sz w:val="18"/>
              </w:rPr>
              <w:t xml:space="preserve">6.9（2.9）／11.6（5.0）</w:t>
            </w:r>
          </w:p>
        </w:tc>
      </w:tr>
      <w:tr>
        <w:tc>
          <w:tcPr/>
          <w:p>
            <w:pPr>
              <w:pStyle w:val="Compact"/>
            </w:pPr>
            <w:r>
              <w:rPr>
                <w:rFonts w:hint="eastAsia"/>
                <w:sz w:val="18"/>
              </w:rPr>
              <w:t xml:space="preserve">1/3補助（上限なし）</w:t>
            </w:r>
          </w:p>
        </w:tc>
        <w:tc>
          <w:tcPr/>
          <w:p>
            <w:pPr>
              <w:pStyle w:val="Compact"/>
              <w:jc w:val="right"/>
            </w:pPr>
            <w:r>
              <w:rPr>
                <w:sz w:val="18"/>
              </w:rPr>
              <w:t xml:space="preserve">2.05</w:t>
            </w:r>
          </w:p>
        </w:tc>
        <w:tc>
          <w:tcPr/>
          <w:p>
            <w:pPr>
              <w:pStyle w:val="Compact"/>
            </w:pPr>
            <w:r>
              <w:rPr>
                <w:rFonts w:hint="eastAsia"/>
                <w:sz w:val="18"/>
              </w:rPr>
              <w:t xml:space="preserve">2.39〜3.26／2.95〜3.78</w:t>
            </w:r>
          </w:p>
        </w:tc>
        <w:tc>
          <w:tcPr/>
          <w:p>
            <w:pPr>
              <w:pStyle w:val="Compact"/>
            </w:pPr>
            <w:r>
              <w:rPr>
                <w:rFonts w:hint="eastAsia"/>
                <w:sz w:val="18"/>
              </w:rPr>
              <w:t xml:space="preserve">3.3／3.6</w:t>
            </w:r>
          </w:p>
        </w:tc>
        <w:tc>
          <w:tcPr/>
          <w:p>
            <w:pPr>
              <w:pStyle w:val="Compact"/>
            </w:pPr>
            <w:r>
              <w:rPr>
                <w:rFonts w:hint="eastAsia"/>
                <w:sz w:val="18"/>
              </w:rPr>
              <w:t xml:space="preserve">3.6〜15.7／21.9〜26.4</w:t>
            </w:r>
          </w:p>
        </w:tc>
        <w:tc>
          <w:tcPr/>
          <w:p>
            <w:pPr>
              <w:pStyle w:val="Compact"/>
            </w:pPr>
            <w:r>
              <w:rPr>
                <w:rFonts w:hint="eastAsia"/>
                <w:sz w:val="18"/>
              </w:rPr>
              <w:t xml:space="preserve">4.1／7.7</w:t>
            </w:r>
          </w:p>
        </w:tc>
      </w:tr>
      <w:tr>
        <w:tc>
          <w:tcPr/>
          <w:p>
            <w:pPr>
              <w:pStyle w:val="Compact"/>
            </w:pPr>
            <w:r>
              <w:rPr>
                <w:rFonts w:hint="eastAsia"/>
                <w:sz w:val="18"/>
              </w:rPr>
              <w:t xml:space="preserve">1/2補助・上限40億円（実効29.4%）</w:t>
            </w:r>
          </w:p>
        </w:tc>
        <w:tc>
          <w:tcPr/>
          <w:p>
            <w:pPr>
              <w:pStyle w:val="Compact"/>
              <w:jc w:val="right"/>
            </w:pPr>
            <w:r>
              <w:rPr>
                <w:sz w:val="18"/>
              </w:rPr>
              <w:t xml:space="preserve">2.16</w:t>
            </w:r>
          </w:p>
        </w:tc>
        <w:tc>
          <w:tcPr/>
          <w:p>
            <w:pPr>
              <w:pStyle w:val="Compact"/>
            </w:pPr>
            <w:r>
              <w:rPr>
                <w:rFonts w:hint="eastAsia"/>
                <w:sz w:val="18"/>
              </w:rPr>
              <w:t xml:space="preserve">2.52〜3.44／3.11〜3.99</w:t>
            </w:r>
          </w:p>
        </w:tc>
        <w:tc>
          <w:tcPr/>
          <w:p>
            <w:pPr>
              <w:pStyle w:val="Compact"/>
            </w:pPr>
            <w:r>
              <w:rPr>
                <w:rFonts w:hint="eastAsia"/>
                <w:sz w:val="18"/>
              </w:rPr>
              <w:t xml:space="preserve">2.7／2.9</w:t>
            </w:r>
          </w:p>
        </w:tc>
        <w:tc>
          <w:tcPr/>
          <w:p>
            <w:pPr>
              <w:pStyle w:val="Compact"/>
            </w:pPr>
            <w:r>
              <w:rPr>
                <w:rFonts w:hint="eastAsia"/>
                <w:sz w:val="18"/>
              </w:rPr>
              <w:t xml:space="preserve">2.6〜14.3／17.8〜23.9</w:t>
            </w:r>
          </w:p>
        </w:tc>
        <w:tc>
          <w:tcPr/>
          <w:p>
            <w:pPr>
              <w:pStyle w:val="Compact"/>
            </w:pPr>
            <w:r>
              <w:rPr>
                <w:rFonts w:hint="eastAsia"/>
                <w:sz w:val="18"/>
              </w:rPr>
              <w:t xml:space="preserve">3.6（2.4）／7.0（4.1）</w:t>
            </w:r>
          </w:p>
        </w:tc>
      </w:tr>
      <w:tr>
        <w:tc>
          <w:tcPr/>
          <w:p>
            <w:pPr>
              <w:pStyle w:val="Compact"/>
            </w:pPr>
            <w:r>
              <w:rPr>
                <w:rFonts w:hint="eastAsia"/>
                <w:sz w:val="18"/>
              </w:rPr>
              <w:t xml:space="preserve">1/2補助＋容量収入1.75万円（FY2030〜）</w:t>
            </w:r>
          </w:p>
        </w:tc>
        <w:tc>
          <w:tcPr/>
          <w:p>
            <w:pPr>
              <w:pStyle w:val="Compact"/>
              <w:jc w:val="right"/>
            </w:pPr>
            <w:r>
              <w:rPr>
                <w:sz w:val="18"/>
              </w:rPr>
              <w:t xml:space="preserve">1.13</w:t>
            </w:r>
          </w:p>
        </w:tc>
        <w:tc>
          <w:tcPr/>
          <w:p>
            <w:pPr>
              <w:pStyle w:val="Compact"/>
            </w:pPr>
            <w:r>
              <w:rPr>
                <w:rFonts w:hint="eastAsia"/>
                <w:sz w:val="18"/>
              </w:rPr>
              <w:t xml:space="preserve">1.61〜2.02／2.22〜2.54</w:t>
            </w:r>
          </w:p>
        </w:tc>
        <w:tc>
          <w:tcPr/>
          <w:p>
            <w:pPr>
              <w:pStyle w:val="Compact"/>
            </w:pPr>
            <w:r>
              <w:rPr>
                <w:rFonts w:hint="eastAsia"/>
                <w:sz w:val="18"/>
              </w:rPr>
              <w:t xml:space="preserve">66.4／50.3</w:t>
            </w:r>
          </w:p>
        </w:tc>
        <w:tc>
          <w:tcPr/>
          <w:p>
            <w:pPr>
              <w:pStyle w:val="Compact"/>
            </w:pPr>
            <w:r>
              <w:rPr>
                <w:rFonts w:hint="eastAsia"/>
                <w:sz w:val="18"/>
              </w:rPr>
              <w:t xml:space="preserve">50.3〜81.7／65.8〜97.2</w:t>
            </w:r>
          </w:p>
        </w:tc>
        <w:tc>
          <w:tcPr/>
          <w:p>
            <w:pPr>
              <w:pStyle w:val="Compact"/>
            </w:pPr>
            <w:r>
              <w:rPr>
                <w:rFonts w:hint="eastAsia"/>
                <w:sz w:val="18"/>
              </w:rPr>
              <w:t xml:space="preserve">16.2（9.1）／36.5（12.6）</w:t>
            </w:r>
          </w:p>
        </w:tc>
      </w:tr>
      <w:tr>
        <w:tc>
          <w:tcPr/>
          <w:p>
            <w:pPr>
              <w:pStyle w:val="Compact"/>
            </w:pPr>
            <m:oMath>
              <m:sSub>
                <m:e>
                  <m:r>
                    <m:t>K</m:t>
                  </m:r>
                </m:e>
                <m:sub>
                  <m:r>
                    <m:rPr>
                      <m:sty m:val="p"/>
                    </m:rPr>
                    <m:t>e</m:t>
                  </m:r>
                  <m:r>
                    <m:rPr>
                      <m:sty m:val="p"/>
                    </m:rPr>
                    <m:t>x</m:t>
                  </m:r>
                  <m:r>
                    <m:rPr>
                      <m:sty m:val="p"/>
                    </m:rPr>
                    <m:t>o</m:t>
                  </m:r>
                </m:sub>
              </m:sSub>
              <m:r>
                <m:rPr>
                  <m:sty m:val="p"/>
                </m:rPr>
                <m:t>=</m:t>
              </m:r>
              <m:r>
                <m:t>20</m:t>
              </m:r>
            </m:oMath>
            <w:r>
              <w:rPr>
                <w:sz w:val="18"/>
              </w:rPr>
              <w:t xml:space="preserve"> </w:t>
            </w:r>
            <w:r>
              <w:rPr>
                <w:rFonts w:hint="eastAsia"/>
                <w:sz w:val="18"/>
              </w:rPr>
              <w:t xml:space="preserve">万kW（接続済み）</w:t>
            </w:r>
          </w:p>
        </w:tc>
        <w:tc>
          <w:tcPr/>
          <w:p>
            <w:pPr>
              <w:pStyle w:val="Compact"/>
              <w:jc w:val="right"/>
            </w:pPr>
            <w:r>
              <w:rPr>
                <w:sz w:val="18"/>
              </w:rPr>
              <w:t xml:space="preserve">4.05</w:t>
            </w:r>
          </w:p>
        </w:tc>
        <w:tc>
          <w:tcPr/>
          <w:p>
            <w:pPr>
              <w:pStyle w:val="Compact"/>
            </w:pPr>
            <w:r>
              <w:rPr>
                <w:rFonts w:hint="eastAsia"/>
                <w:sz w:val="18"/>
              </w:rPr>
              <w:t xml:space="preserve">4.72〜6.44／5.86〜7.50</w:t>
            </w:r>
          </w:p>
        </w:tc>
        <w:tc>
          <w:tcPr/>
          <w:p>
            <w:pPr>
              <w:pStyle w:val="Compact"/>
            </w:pPr>
            <w:r>
              <w:rPr>
                <w:rFonts w:hint="eastAsia"/>
                <w:sz w:val="18"/>
              </w:rPr>
              <w:t xml:space="preserve">0.1／0.1</w:t>
            </w:r>
          </w:p>
        </w:tc>
        <w:tc>
          <w:tcPr/>
          <w:p>
            <w:pPr>
              <w:pStyle w:val="Compact"/>
            </w:pPr>
            <w:r>
              <w:rPr>
                <w:rFonts w:hint="eastAsia"/>
                <w:sz w:val="18"/>
              </w:rPr>
              <w:t xml:space="preserve">0.0〜3.7／0.4〜8.3</w:t>
            </w:r>
          </w:p>
        </w:tc>
        <w:tc>
          <w:tcPr/>
          <w:p>
            <w:pPr>
              <w:pStyle w:val="Compact"/>
            </w:pPr>
            <w:r>
              <w:rPr>
                <w:rFonts w:hint="eastAsia"/>
                <w:sz w:val="18"/>
              </w:rPr>
              <w:t xml:space="preserve">0.7／1.7</w:t>
            </w:r>
          </w:p>
        </w:tc>
      </w:tr>
      <w:tr>
        <w:tc>
          <w:tcPr/>
          <w:p>
            <w:pPr>
              <w:pStyle w:val="Compact"/>
            </w:pPr>
            <m:oMath>
              <m:sSub>
                <m:e>
                  <m:r>
                    <m:t>K</m:t>
                  </m:r>
                </m:e>
                <m:sub>
                  <m:r>
                    <m:rPr>
                      <m:sty m:val="p"/>
                    </m:rPr>
                    <m:t>e</m:t>
                  </m:r>
                  <m:r>
                    <m:rPr>
                      <m:sty m:val="p"/>
                    </m:rPr>
                    <m:t>x</m:t>
                  </m:r>
                  <m:r>
                    <m:rPr>
                      <m:sty m:val="p"/>
                    </m:rPr>
                    <m:t>o</m:t>
                  </m:r>
                </m:sub>
              </m:sSub>
              <m:r>
                <m:rPr>
                  <m:sty m:val="p"/>
                </m:rPr>
                <m:t>=</m:t>
              </m:r>
              <m:r>
                <m:t>87.4</m:t>
              </m:r>
            </m:oMath>
            <w:r>
              <w:rPr>
                <w:sz w:val="18"/>
              </w:rPr>
              <w:t xml:space="preserve"> </w:t>
            </w:r>
            <w:r>
              <w:rPr>
                <w:rFonts w:hint="eastAsia"/>
                <w:sz w:val="18"/>
              </w:rPr>
              <w:t xml:space="preserve">万kW（接続済み＋LTDA</w:t>
            </w:r>
            <w:r>
              <w:rPr>
                <w:sz w:val="18"/>
              </w:rPr>
              <w:t xml:space="preserve"> </w:t>
            </w:r>
            <w:r>
              <w:rPr>
                <w:rFonts w:hint="eastAsia"/>
                <w:sz w:val="18"/>
              </w:rPr>
              <w:t xml:space="preserve">北海道）</w:t>
            </w:r>
          </w:p>
        </w:tc>
        <w:tc>
          <w:tcPr/>
          <w:p>
            <w:pPr>
              <w:pStyle w:val="Compact"/>
              <w:jc w:val="right"/>
            </w:pPr>
            <w:r>
              <w:rPr>
                <w:sz w:val="18"/>
              </w:rPr>
              <w:t xml:space="preserve">25.9</w:t>
            </w:r>
          </w:p>
        </w:tc>
        <w:tc>
          <w:tcPr/>
          <w:p>
            <w:pPr>
              <w:pStyle w:val="Compact"/>
            </w:pPr>
            <w:r>
              <w:rPr>
                <w:rFonts w:hint="eastAsia"/>
                <w:sz w:val="18"/>
              </w:rPr>
              <w:t xml:space="preserve">30.2〜41.2／37.5〜48.0</w:t>
            </w:r>
          </w:p>
        </w:tc>
        <w:tc>
          <w:tcPr/>
          <w:p>
            <w:pPr>
              <w:pStyle w:val="Compact"/>
            </w:pPr>
            <w:r>
              <w:rPr>
                <w:rFonts w:hint="eastAsia"/>
                <w:sz w:val="18"/>
              </w:rPr>
              <w:t xml:space="preserve">0.0／0.0</w:t>
            </w:r>
          </w:p>
        </w:tc>
        <w:tc>
          <w:tcPr/>
          <w:p>
            <w:pPr>
              <w:pStyle w:val="Compact"/>
            </w:pPr>
            <w:r>
              <w:rPr>
                <w:rFonts w:hint="eastAsia"/>
                <w:sz w:val="18"/>
              </w:rPr>
              <w:t xml:space="preserve">0.1以下／0.1以下</w:t>
            </w:r>
          </w:p>
        </w:tc>
        <w:tc>
          <w:tcPr/>
          <w:p>
            <w:pPr>
              <w:pStyle w:val="Compact"/>
            </w:pPr>
            <w:r>
              <w:rPr>
                <w:rFonts w:hint="eastAsia"/>
                <w:sz w:val="18"/>
              </w:rPr>
              <w:t xml:space="preserve">0.0／0.0</w:t>
            </w:r>
          </w:p>
        </w:tc>
      </w:tr>
    </w:tbl>
    <w:p>
      <w:pPr>
        <w:pStyle w:val="TableNote"/>
      </w:pPr>
      <w:r>
        <w:rPr>
          <w:rFonts w:hint="eastAsia"/>
        </w:rPr>
        <w:t xml:space="preserve">注）FY2026</w:t>
      </w:r>
      <w:r>
        <w:t xml:space="preserve"> </w:t>
      </w:r>
      <w:r>
        <w:rPr>
          <w:rFonts w:hint="eastAsia"/>
        </w:rPr>
        <w:t xml:space="preserve">時点の閾値、WACC</w:t>
      </w:r>
      <w:r>
        <w:t xml:space="preserve"> </w:t>
      </w:r>
      <w:r>
        <w:rPr>
          <w:rFonts w:hint="eastAsia"/>
        </w:rPr>
        <w:t xml:space="preserve">6%、資本費6.8万円/kWh・4時間、出発点1.22、実績整合ケース。確率（%）は競争均衡の規則による。容量収入1.75万円・2.5万円は</w:t>
      </w:r>
      <w:r>
        <w:t xml:space="preserve"> FY2030 </w:t>
      </w:r>
      <w:r>
        <w:rPr>
          <w:rFonts w:hint="eastAsia"/>
        </w:rPr>
        <w:t xml:space="preserve">以降の値で、FY2027〜29</w:t>
      </w:r>
      <w:r>
        <w:t xml:space="preserve"> </w:t>
      </w:r>
      <w:r>
        <w:rPr>
          <w:rFonts w:hint="eastAsia"/>
        </w:rPr>
        <w:t xml:space="preserve">は1.25万円。FY2030</w:t>
      </w:r>
      <w:r>
        <w:t xml:space="preserve"> </w:t>
      </w:r>
      <w:r>
        <w:rPr>
          <w:rFonts w:hint="eastAsia"/>
        </w:rPr>
        <w:t xml:space="preserve">の静学の損益分岐は、1.75万円で2.40（資本費低下5%/年では1.87）、2.5万円で1.50。補助は投資額と資本費の下限に（1−補助率）を掛け、後続の参入者も補助を受けると置いた近似で、括弧内は北海道の交付額180.6億円で賄える容量（1/2補助で13.3万kW、実効29.4%で22.6万kW）で打ち切った期待容量。</w:t>
      </w:r>
      <m:oMath>
        <m:sSub>
          <m:e>
            <m:r>
              <m:t>K</m:t>
            </m:r>
          </m:e>
          <m:sub>
            <m:r>
              <m:rPr>
                <m:sty m:val="p"/>
              </m:rPr>
              <m:t>e</m:t>
            </m:r>
            <m:r>
              <m:rPr>
                <m:sty m:val="p"/>
              </m:rPr>
              <m:t>x</m:t>
            </m:r>
            <m:r>
              <m:rPr>
                <m:sty m:val="p"/>
              </m:rPr>
              <m:t>o</m:t>
            </m:r>
          </m:sub>
        </m:sSub>
      </m:oMath>
      <w:r>
        <w:t xml:space="preserve"> </w:t>
      </w:r>
      <w:r>
        <w:rPr>
          <w:rFonts w:hint="eastAsia"/>
        </w:rPr>
        <w:t xml:space="preserve">は既設・契約型の容量を出発点に置いた場合で、87.4万kW</w:t>
      </w:r>
      <w:r>
        <w:t xml:space="preserve"> </w:t>
      </w:r>
      <w:r>
        <w:rPr>
          <w:rFonts w:hint="eastAsia"/>
        </w:rPr>
        <w:t xml:space="preserve">は推定範囲外の外挿と既設分の二重計上を含む。2.5万円・資本費低下5%/年は静学の損益分岐が負になるため計算していない。</w:t>
      </w:r>
    </w:p>
    <w:p>
      <w:pPr>
        <w:pStyle w:val="TableNote"/>
      </w:pPr>
      <w:r>
        <w:rPr>
          <w:rFonts w:hint="eastAsia"/>
        </w:rPr>
        <w:t xml:space="preserve">出所）表C.31</w:t>
      </w:r>
      <w:r>
        <w:t xml:space="preserve"> </w:t>
      </w:r>
      <w:r>
        <w:rPr>
          <w:rFonts w:hint="eastAsia"/>
        </w:rPr>
        <w:t xml:space="preserve">の出所、電力広域的運営推進機関『メインオークション需要曲線』、環境共創イニシアチブ『系統用蓄電池等電力貯蔵システム導入支援事業</w:t>
      </w:r>
      <w:r>
        <w:t xml:space="preserve"> </w:t>
      </w:r>
      <w:r>
        <w:rPr>
          <w:rFonts w:hint="eastAsia"/>
        </w:rPr>
        <w:t xml:space="preserve">交付決定一覧』より筆者作成。</w:t>
      </w:r>
    </w:p>
    <w:p>
      <w:pPr>
        <w:pStyle w:val="BodyText"/>
      </w:pPr>
      <w:r>
        <w:t xml:space="preserve">FY2030 </w:t>
      </w:r>
      <w:r>
        <w:rPr>
          <w:rFonts w:hint="eastAsia"/>
        </w:rPr>
        <w:t xml:space="preserve">以降に2030年度向けの指標価格（実効1.75万円）が続くと、FY2030</w:t>
      </w:r>
      <w:r>
        <w:t xml:space="preserve"> </w:t>
      </w:r>
      <w:r>
        <w:rPr>
          <w:rFonts w:hint="eastAsia"/>
        </w:rPr>
        <w:t xml:space="preserve">の静学の損益分岐は2.40、競争均衡の閾値は2.8〜3.8（資本費一定）に下がり、2040年度までの確率は資本費一定で1.2〜11.6%、資本費低下5%/年で17.6〜23.9%になる（WACC</w:t>
      </w:r>
      <w:r>
        <w:t xml:space="preserve"> </w:t>
      </w:r>
      <w:r>
        <w:rPr>
          <w:rFonts w:hint="eastAsia"/>
        </w:rPr>
        <w:t xml:space="preserve">8%では0.3〜8.5%・9.1〜19.0%）。上限近傍の2.5万円（資本費一定）では、2030年度までに3.2〜9.7%、2040年度までに21〜28%である。1/2補助（上限なし）の静学の損益分岐は1.58（WACC</w:t>
      </w:r>
      <w:r>
        <w:t xml:space="preserve"> </w:t>
      </w:r>
      <w:r>
        <w:rPr>
          <w:rFonts w:hint="eastAsia"/>
        </w:rPr>
        <w:t xml:space="preserve">8%で1.81）で、FY2026上期の水準（1.57）とほぼ等しい。1/2補助に容量収入1.75万円が重なると、FY2030</w:t>
      </w:r>
      <w:r>
        <w:t xml:space="preserve"> </w:t>
      </w:r>
      <w:r>
        <w:rPr>
          <w:rFonts w:hint="eastAsia"/>
        </w:rPr>
        <w:t xml:space="preserve">の静学の損益分岐は0.99と1を下回り、2040年度までの確率は最大97%、期待容量は最大37万kW</w:t>
      </w:r>
      <w:r>
        <w:t xml:space="preserve"> </w:t>
      </w:r>
      <w:r>
        <w:rPr>
          <w:rFonts w:hint="eastAsia"/>
        </w:rPr>
        <w:t xml:space="preserve">になる。ただしこれは容量価格の</w:t>
      </w:r>
      <w:r>
        <w:t xml:space="preserve"> </w:t>
      </w:r>
      <m:oMath>
        <m:r>
          <m:t>K</m:t>
        </m:r>
      </m:oMath>
      <w:r>
        <w:t xml:space="preserve"> </w:t>
      </w:r>
      <w:r>
        <w:rPr>
          <w:rFonts w:hint="eastAsia"/>
        </w:rPr>
        <w:t xml:space="preserve">依存を無視した上限側の値である。</w:t>
      </w:r>
    </w:p>
    <w:p>
      <w:pPr>
        <w:pStyle w:val="TableCaption"/>
      </w:pPr>
      <w:r>
        <w:rPr>
          <w:rFonts w:hint="eastAsia"/>
        </w:rPr>
        <w:t xml:space="preserve">表C.35</w:t>
      </w:r>
      <w:r>
        <w:t xml:space="preserve">　</w:t>
      </w:r>
      <w:r>
        <w:rPr>
          <w:rFonts w:hint="eastAsia"/>
        </w:rPr>
        <w:t xml:space="preserve">価格水準の期待成長を見込む場合の参入閾値と参入が開く確率</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5　価格水準の期待成長を見込む場合の参入閾値と参入が開く確率"/>
      </w:tblPr>
      <w:tblGrid>
        <w:gridCol w:w="720"/>
        <w:gridCol w:w="720"/>
        <w:gridCol w:w="720"/>
        <w:gridCol w:w="960"/>
        <w:gridCol w:w="960"/>
        <w:gridCol w:w="960"/>
        <w:gridCol w:w="960"/>
        <w:gridCol w:w="960"/>
        <w:gridCol w:w="960"/>
      </w:tblGrid>
      <w:tr>
        <w:trPr>
          <w:tblHeader w:val="on"/>
        </w:trPr>
        <w:tc>
          <w:tcPr>
            <w:tcBorders>
              <w:bottom w:val="single" w:sz="6" w:color="000000"/>
            </w:tcBorders>
          </w:tcPr>
          <w:p>
            <w:pPr>
              <w:pStyle w:val="Compact"/>
            </w:pPr>
            <m:oMath>
              <m:r>
                <m:t>α</m:t>
              </m:r>
            </m:oMath>
            <w:r>
              <w:rPr>
                <w:sz w:val="18"/>
              </w:rPr>
              <w:t xml:space="preserve"> </w:t>
            </w:r>
            <w:r>
              <w:rPr>
                <w:rFonts w:hint="eastAsia"/>
                <w:sz w:val="18"/>
              </w:rPr>
              <w:t xml:space="preserve">の置き方</w:t>
            </w:r>
          </w:p>
        </w:tc>
        <w:tc>
          <w:tcPr>
            <w:tcBorders>
              <w:bottom w:val="single" w:sz="6" w:color="000000"/>
            </w:tcBorders>
          </w:tcPr>
          <w:p>
            <w:pPr>
              <w:pStyle w:val="Compact"/>
            </w:pPr>
            <m:oMath>
              <m:sSub>
                <m:e>
                  <m:r>
                    <m:t>g</m:t>
                  </m:r>
                </m:e>
                <m:sub>
                  <m:r>
                    <m:t>I</m:t>
                  </m:r>
                </m:sub>
              </m:sSub>
            </m:oMath>
          </w:p>
        </w:tc>
        <w:tc>
          <w:tcPr>
            <w:tcBorders>
              <w:bottom w:val="single" w:sz="6" w:color="000000"/>
            </w:tcBorders>
          </w:tcPr>
          <w:p>
            <w:pPr>
              <w:pStyle w:val="Compact"/>
            </w:pPr>
            <m:oMath>
              <m:r>
                <m:t>σ</m:t>
              </m:r>
            </m:oMath>
          </w:p>
        </w:tc>
        <w:tc>
          <w:tcPr>
            <w:tcBorders>
              <w:bottom w:val="single" w:sz="6" w:color="000000"/>
            </w:tcBorders>
          </w:tcPr>
          <w:p>
            <w:pPr>
              <w:pStyle w:val="Compact"/>
              <w:jc w:val="right"/>
            </w:pPr>
            <m:oMath>
              <m:sSubSup>
                <m:e>
                  <m:r>
                    <m:t>θ</m:t>
                  </m:r>
                </m:e>
                <m:sub>
                  <m:r>
                    <m:t>α</m:t>
                  </m:r>
                </m:sub>
                <m:sup>
                  <m:r>
                    <m:rPr>
                      <m:sty m:val="p"/>
                    </m:rPr>
                    <m:t>*</m:t>
                  </m:r>
                </m:sup>
              </m:sSubSup>
            </m:oMath>
          </w:p>
        </w:tc>
        <w:tc>
          <w:tcPr>
            <w:tcBorders>
              <w:bottom w:val="single" w:sz="6" w:color="000000"/>
            </w:tcBorders>
          </w:tcPr>
          <w:p>
            <w:pPr>
              <w:pStyle w:val="Compact"/>
              <w:jc w:val="right"/>
            </w:pPr>
            <m:oMath>
              <m:sSub>
                <m:e>
                  <m:r>
                    <m:t>θ</m:t>
                  </m:r>
                </m:e>
                <m:sub>
                  <m:r>
                    <m:t>c</m:t>
                  </m:r>
                </m:sub>
              </m:sSub>
            </m:oMath>
          </w:p>
        </w:tc>
        <w:tc>
          <w:tcPr>
            <w:tcBorders>
              <w:bottom w:val="single" w:sz="6" w:color="000000"/>
            </w:tcBorders>
          </w:tcPr>
          <w:p>
            <w:pPr>
              <w:pStyle w:val="Compact"/>
              <w:jc w:val="right"/>
            </w:pPr>
            <w:r>
              <w:rPr>
                <w:rFonts w:hint="eastAsia"/>
                <w:sz w:val="18"/>
              </w:rPr>
              <w:t xml:space="preserve">2030（競争均衡）</w:t>
            </w:r>
          </w:p>
        </w:tc>
        <w:tc>
          <w:tcPr>
            <w:tcBorders>
              <w:bottom w:val="single" w:sz="6" w:color="000000"/>
            </w:tcBorders>
          </w:tcPr>
          <w:p>
            <w:pPr>
              <w:pStyle w:val="Compact"/>
              <w:jc w:val="right"/>
            </w:pPr>
            <w:r>
              <w:rPr>
                <w:rFonts w:hint="eastAsia"/>
                <w:sz w:val="18"/>
              </w:rPr>
              <w:t xml:space="preserve">2040（競争均衡）</w:t>
            </w:r>
          </w:p>
        </w:tc>
        <w:tc>
          <w:tcPr>
            <w:tcBorders>
              <w:bottom w:val="single" w:sz="6" w:color="000000"/>
            </w:tcBorders>
          </w:tcPr>
          <w:p>
            <w:pPr>
              <w:pStyle w:val="Compact"/>
              <w:jc w:val="right"/>
            </w:pPr>
            <w:r>
              <w:rPr>
                <w:rFonts w:hint="eastAsia"/>
                <w:sz w:val="18"/>
              </w:rPr>
              <w:t xml:space="preserve">2040（静学・期待経路）</w:t>
            </w:r>
          </w:p>
        </w:tc>
        <w:tc>
          <w:tcPr>
            <w:tcBorders>
              <w:bottom w:val="single" w:sz="6" w:color="000000"/>
            </w:tcBorders>
          </w:tcPr>
          <w:p>
            <w:pPr>
              <w:pStyle w:val="Compact"/>
              <w:jc w:val="right"/>
            </w:pPr>
            <m:oMath>
              <m:r>
                <m:t>E</m:t>
              </m:r>
              <m:r>
                <m:rPr>
                  <m:sty m:val="p"/>
                </m:rPr>
                <m:t>[</m:t>
              </m:r>
              <m:r>
                <m:t>K</m:t>
              </m:r>
              <m:sSub>
                <m:e>
                  <m:r>
                    <m:rPr>
                      <m:sty m:val="p"/>
                    </m:rPr>
                    <m:t>]</m:t>
                  </m:r>
                </m:e>
                <m:sub>
                  <m:r>
                    <m:t>2040</m:t>
                  </m:r>
                </m:sub>
              </m:sSub>
            </m:oMath>
            <w:r>
              <w:rPr>
                <w:rFonts w:hint="eastAsia"/>
                <w:sz w:val="18"/>
              </w:rPr>
              <w:t xml:space="preserve">（万kW）</w:t>
            </w:r>
          </w:p>
        </w:tc>
      </w:tr>
      <w:tr>
        <w:tc>
          <w:tcPr/>
          <w:p>
            <w:pPr>
              <w:pStyle w:val="Compact"/>
            </w:pPr>
            <m:oMath>
              <m:r>
                <m:t>α</m:t>
              </m:r>
              <m:r>
                <m:rPr>
                  <m:sty m:val="p"/>
                </m:rPr>
                <m:t>=</m:t>
              </m:r>
              <m:r>
                <m:t>2</m:t>
              </m:r>
            </m:oMath>
            <w:r>
              <w:rPr>
                <w:rFonts w:hint="eastAsia"/>
                <w:sz w:val="18"/>
              </w:rPr>
              <w:t xml:space="preserve">%/年</w:t>
            </w:r>
          </w:p>
        </w:tc>
        <w:tc>
          <w:tcPr/>
          <w:p>
            <w:pPr>
              <w:pStyle w:val="Compact"/>
            </w:pPr>
            <w:r>
              <w:rPr>
                <w:sz w:val="18"/>
              </w:rPr>
              <w:t xml:space="preserve">0</w:t>
            </w:r>
          </w:p>
        </w:tc>
        <w:tc>
          <w:tcPr/>
          <w:p>
            <w:pPr>
              <w:pStyle w:val="Compact"/>
            </w:pPr>
            <w:r>
              <w:rPr>
                <w:sz w:val="18"/>
              </w:rPr>
              <w:t xml:space="preserve">0.10</w:t>
            </w:r>
          </w:p>
        </w:tc>
        <w:tc>
          <w:tcPr/>
          <w:p>
            <w:pPr>
              <w:pStyle w:val="Compact"/>
              <w:jc w:val="right"/>
            </w:pPr>
            <w:r>
              <w:rPr>
                <w:sz w:val="18"/>
              </w:rPr>
              <w:t xml:space="preserve">2.50</w:t>
            </w:r>
          </w:p>
        </w:tc>
        <w:tc>
          <w:tcPr/>
          <w:p>
            <w:pPr>
              <w:pStyle w:val="Compact"/>
              <w:jc w:val="right"/>
            </w:pPr>
            <w:r>
              <w:rPr>
                <w:sz w:val="18"/>
              </w:rPr>
              <w:t xml:space="preserve">3.22</w:t>
            </w:r>
          </w:p>
        </w:tc>
        <w:tc>
          <w:tcPr/>
          <w:p>
            <w:pPr>
              <w:pStyle w:val="Compact"/>
              <w:jc w:val="right"/>
            </w:pPr>
            <w:r>
              <w:rPr>
                <w:sz w:val="18"/>
              </w:rPr>
              <w:t xml:space="preserve">0.00</w:t>
            </w:r>
          </w:p>
        </w:tc>
        <w:tc>
          <w:tcPr/>
          <w:p>
            <w:pPr>
              <w:pStyle w:val="Compact"/>
              <w:jc w:val="right"/>
            </w:pPr>
            <w:r>
              <w:rPr>
                <w:sz w:val="18"/>
              </w:rPr>
              <w:t xml:space="preserve">2.56</w:t>
            </w:r>
          </w:p>
        </w:tc>
        <w:tc>
          <w:tcPr/>
          <w:p>
            <w:pPr>
              <w:pStyle w:val="Compact"/>
              <w:jc w:val="right"/>
            </w:pPr>
            <w:r>
              <w:rPr>
                <w:sz w:val="18"/>
              </w:rPr>
              <w:t xml:space="preserve">11.06</w:t>
            </w:r>
          </w:p>
        </w:tc>
        <w:tc>
          <w:tcPr/>
          <w:p>
            <w:pPr>
              <w:pStyle w:val="Compact"/>
              <w:jc w:val="right"/>
            </w:pPr>
            <w:r>
              <w:rPr>
                <w:sz w:val="18"/>
              </w:rPr>
              <w:t xml:space="preserve">0.24</w:t>
            </w:r>
          </w:p>
        </w:tc>
      </w:tr>
      <w:tr>
        <w:tc>
          <w:tcPr/>
          <w:p>
            <w:pPr>
              <w:pStyle w:val="Compact"/>
            </w:pPr>
          </w:p>
        </w:tc>
        <w:tc>
          <w:tcPr/>
          <w:p>
            <w:pPr>
              <w:pStyle w:val="Compact"/>
            </w:pPr>
            <w:r>
              <w:rPr>
                <w:sz w:val="18"/>
              </w:rPr>
              <w:t xml:space="preserve">0</w:t>
            </w:r>
          </w:p>
        </w:tc>
        <w:tc>
          <w:tcPr/>
          <w:p>
            <w:pPr>
              <w:pStyle w:val="Compact"/>
            </w:pPr>
            <w:r>
              <w:rPr>
                <w:sz w:val="18"/>
              </w:rPr>
              <w:t xml:space="preserve">0.15</w:t>
            </w:r>
          </w:p>
        </w:tc>
        <w:tc>
          <w:tcPr/>
          <w:p>
            <w:pPr>
              <w:pStyle w:val="Compact"/>
              <w:jc w:val="right"/>
            </w:pPr>
            <w:r>
              <w:rPr>
                <w:sz w:val="18"/>
              </w:rPr>
              <w:t xml:space="preserve">2.50</w:t>
            </w:r>
          </w:p>
        </w:tc>
        <w:tc>
          <w:tcPr/>
          <w:p>
            <w:pPr>
              <w:pStyle w:val="Compact"/>
              <w:jc w:val="right"/>
            </w:pPr>
            <w:r>
              <w:rPr>
                <w:sz w:val="18"/>
              </w:rPr>
              <w:t xml:space="preserve">3.47</w:t>
            </w:r>
          </w:p>
        </w:tc>
        <w:tc>
          <w:tcPr/>
          <w:p>
            <w:pPr>
              <w:pStyle w:val="Compact"/>
              <w:jc w:val="right"/>
            </w:pPr>
            <w:r>
              <w:rPr>
                <w:sz w:val="18"/>
              </w:rPr>
              <w:t xml:space="preserve">0.04</w:t>
            </w:r>
          </w:p>
        </w:tc>
        <w:tc>
          <w:tcPr/>
          <w:p>
            <w:pPr>
              <w:pStyle w:val="Compact"/>
              <w:jc w:val="right"/>
            </w:pPr>
            <w:r>
              <w:rPr>
                <w:sz w:val="18"/>
              </w:rPr>
              <w:t xml:space="preserve">6.83</w:t>
            </w:r>
          </w:p>
        </w:tc>
        <w:tc>
          <w:tcPr/>
          <w:p>
            <w:pPr>
              <w:pStyle w:val="Compact"/>
              <w:jc w:val="right"/>
            </w:pPr>
            <w:r>
              <w:rPr>
                <w:sz w:val="18"/>
              </w:rPr>
              <w:t xml:space="preserve">20.63</w:t>
            </w:r>
          </w:p>
        </w:tc>
        <w:tc>
          <w:tcPr/>
          <w:p>
            <w:pPr>
              <w:pStyle w:val="Compact"/>
              <w:jc w:val="right"/>
            </w:pPr>
            <w:r>
              <w:rPr>
                <w:sz w:val="18"/>
              </w:rPr>
              <w:t xml:space="preserve">0.99</w:t>
            </w:r>
          </w:p>
        </w:tc>
      </w:tr>
      <w:tr>
        <w:tc>
          <w:tcPr/>
          <w:p>
            <w:pPr>
              <w:pStyle w:val="Compact"/>
            </w:pPr>
          </w:p>
        </w:tc>
        <w:tc>
          <w:tcPr/>
          <w:p>
            <w:pPr>
              <w:pStyle w:val="Compact"/>
            </w:pPr>
            <w:r>
              <w:rPr>
                <w:sz w:val="18"/>
              </w:rPr>
              <w:t xml:space="preserve">0</w:t>
            </w:r>
          </w:p>
        </w:tc>
        <w:tc>
          <w:tcPr/>
          <w:p>
            <w:pPr>
              <w:pStyle w:val="Compact"/>
            </w:pPr>
            <w:r>
              <w:rPr>
                <w:sz w:val="18"/>
              </w:rPr>
              <w:t xml:space="preserve">0.20</w:t>
            </w:r>
          </w:p>
        </w:tc>
        <w:tc>
          <w:tcPr/>
          <w:p>
            <w:pPr>
              <w:pStyle w:val="Compact"/>
              <w:jc w:val="right"/>
            </w:pPr>
            <w:r>
              <w:rPr>
                <w:sz w:val="18"/>
              </w:rPr>
              <w:t xml:space="preserve">2.50</w:t>
            </w:r>
          </w:p>
        </w:tc>
        <w:tc>
          <w:tcPr/>
          <w:p>
            <w:pPr>
              <w:pStyle w:val="Compact"/>
              <w:jc w:val="right"/>
            </w:pPr>
            <w:r>
              <w:rPr>
                <w:sz w:val="18"/>
              </w:rPr>
              <w:t xml:space="preserve">3.75</w:t>
            </w:r>
          </w:p>
        </w:tc>
        <w:tc>
          <w:tcPr/>
          <w:p>
            <w:pPr>
              <w:pStyle w:val="Compact"/>
              <w:jc w:val="right"/>
            </w:pPr>
            <w:r>
              <w:rPr>
                <w:sz w:val="18"/>
              </w:rPr>
              <w:t xml:space="preserve">0.26</w:t>
            </w:r>
          </w:p>
        </w:tc>
        <w:tc>
          <w:tcPr/>
          <w:p>
            <w:pPr>
              <w:pStyle w:val="Compact"/>
              <w:jc w:val="right"/>
            </w:pPr>
            <w:r>
              <w:rPr>
                <w:sz w:val="18"/>
              </w:rPr>
              <w:t xml:space="preserve">9.93</w:t>
            </w:r>
          </w:p>
        </w:tc>
        <w:tc>
          <w:tcPr/>
          <w:p>
            <w:pPr>
              <w:pStyle w:val="Compact"/>
              <w:jc w:val="right"/>
            </w:pPr>
            <w:r>
              <w:rPr>
                <w:sz w:val="18"/>
              </w:rPr>
              <w:t xml:space="preserve">26.70</w:t>
            </w:r>
          </w:p>
        </w:tc>
        <w:tc>
          <w:tcPr/>
          <w:p>
            <w:pPr>
              <w:pStyle w:val="Compact"/>
              <w:jc w:val="right"/>
            </w:pPr>
            <w:r>
              <w:rPr>
                <w:sz w:val="18"/>
              </w:rPr>
              <w:t xml:space="preserve">1.89</w:t>
            </w:r>
          </w:p>
        </w:tc>
      </w:tr>
      <w:tr>
        <w:tc>
          <w:tcPr/>
          <w:p>
            <w:pPr>
              <w:pStyle w:val="Compact"/>
            </w:pPr>
          </w:p>
        </w:tc>
        <w:tc>
          <w:tcPr/>
          <w:p>
            <w:pPr>
              <w:pStyle w:val="Compact"/>
            </w:pPr>
            <w:r>
              <w:rPr>
                <w:sz w:val="18"/>
              </w:rPr>
              <w:t xml:space="preserve">0</w:t>
            </w:r>
          </w:p>
        </w:tc>
        <w:tc>
          <w:tcPr/>
          <w:p>
            <w:pPr>
              <w:pStyle w:val="Compact"/>
            </w:pPr>
            <w:r>
              <w:rPr>
                <w:sz w:val="18"/>
              </w:rPr>
              <w:t xml:space="preserve">0.30</w:t>
            </w:r>
          </w:p>
        </w:tc>
        <w:tc>
          <w:tcPr/>
          <w:p>
            <w:pPr>
              <w:pStyle w:val="Compact"/>
              <w:jc w:val="right"/>
            </w:pPr>
            <w:r>
              <w:rPr>
                <w:sz w:val="18"/>
              </w:rPr>
              <w:t xml:space="preserve">2.50</w:t>
            </w:r>
          </w:p>
        </w:tc>
        <w:tc>
          <w:tcPr/>
          <w:p>
            <w:pPr>
              <w:pStyle w:val="Compact"/>
              <w:jc w:val="right"/>
            </w:pPr>
            <w:r>
              <w:rPr>
                <w:sz w:val="18"/>
              </w:rPr>
              <w:t xml:space="preserve">4.40</w:t>
            </w:r>
          </w:p>
        </w:tc>
        <w:tc>
          <w:tcPr/>
          <w:p>
            <w:pPr>
              <w:pStyle w:val="Compact"/>
              <w:jc w:val="right"/>
            </w:pPr>
            <w:r>
              <w:rPr>
                <w:sz w:val="18"/>
              </w:rPr>
              <w:t xml:space="preserve">1.23</w:t>
            </w:r>
          </w:p>
        </w:tc>
        <w:tc>
          <w:tcPr/>
          <w:p>
            <w:pPr>
              <w:pStyle w:val="Compact"/>
              <w:jc w:val="right"/>
            </w:pPr>
            <w:r>
              <w:rPr>
                <w:sz w:val="18"/>
              </w:rPr>
              <w:t xml:space="preserve">12.77</w:t>
            </w:r>
          </w:p>
        </w:tc>
        <w:tc>
          <w:tcPr/>
          <w:p>
            <w:pPr>
              <w:pStyle w:val="Compact"/>
              <w:jc w:val="right"/>
            </w:pPr>
            <w:r>
              <w:rPr>
                <w:sz w:val="18"/>
              </w:rPr>
              <w:t xml:space="preserve">32.71</w:t>
            </w:r>
          </w:p>
        </w:tc>
        <w:tc>
          <w:tcPr/>
          <w:p>
            <w:pPr>
              <w:pStyle w:val="Compact"/>
              <w:jc w:val="right"/>
            </w:pPr>
            <w:r>
              <w:rPr>
                <w:sz w:val="18"/>
              </w:rPr>
              <w:t xml:space="preserve">3.35</w:t>
            </w:r>
          </w:p>
        </w:tc>
      </w:tr>
      <w:tr>
        <w:tc>
          <w:tcPr/>
          <w:p>
            <w:pPr>
              <w:pStyle w:val="Compact"/>
            </w:pPr>
          </w:p>
        </w:tc>
        <w:tc>
          <w:tcPr/>
          <w:p>
            <w:pPr>
              <w:pStyle w:val="Compact"/>
            </w:pPr>
            <w:r>
              <w:rPr>
                <w:sz w:val="18"/>
              </w:rPr>
              <w:t xml:space="preserve">5%</w:t>
            </w:r>
          </w:p>
        </w:tc>
        <w:tc>
          <w:tcPr/>
          <w:p>
            <w:pPr>
              <w:pStyle w:val="Compact"/>
            </w:pPr>
            <w:r>
              <w:rPr>
                <w:sz w:val="18"/>
              </w:rPr>
              <w:t xml:space="preserve">0.10</w:t>
            </w:r>
          </w:p>
        </w:tc>
        <w:tc>
          <w:tcPr/>
          <w:p>
            <w:pPr>
              <w:pStyle w:val="Compact"/>
              <w:jc w:val="right"/>
            </w:pPr>
            <w:r>
              <w:rPr>
                <w:sz w:val="18"/>
              </w:rPr>
              <w:t xml:space="preserve">2.50</w:t>
            </w:r>
          </w:p>
        </w:tc>
        <w:tc>
          <w:tcPr/>
          <w:p>
            <w:pPr>
              <w:pStyle w:val="Compact"/>
              <w:jc w:val="right"/>
            </w:pPr>
            <w:r>
              <w:rPr>
                <w:sz w:val="18"/>
              </w:rPr>
              <w:t xml:space="preserve">4.18</w:t>
            </w:r>
          </w:p>
        </w:tc>
        <w:tc>
          <w:tcPr/>
          <w:p>
            <w:pPr>
              <w:pStyle w:val="Compact"/>
              <w:jc w:val="right"/>
            </w:pPr>
            <w:r>
              <w:rPr>
                <w:sz w:val="18"/>
              </w:rPr>
              <w:t xml:space="preserve">0.00</w:t>
            </w:r>
          </w:p>
        </w:tc>
        <w:tc>
          <w:tcPr/>
          <w:p>
            <w:pPr>
              <w:pStyle w:val="Compact"/>
              <w:jc w:val="right"/>
            </w:pPr>
            <w:r>
              <w:rPr>
                <w:sz w:val="18"/>
              </w:rPr>
              <w:t xml:space="preserve">16.23</w:t>
            </w:r>
          </w:p>
        </w:tc>
        <w:tc>
          <w:tcPr/>
          <w:p>
            <w:pPr>
              <w:pStyle w:val="Compact"/>
              <w:jc w:val="right"/>
            </w:pPr>
            <w:r>
              <w:rPr>
                <w:sz w:val="18"/>
              </w:rPr>
              <w:t xml:space="preserve">69.17</w:t>
            </w:r>
          </w:p>
        </w:tc>
        <w:tc>
          <w:tcPr/>
          <w:p>
            <w:pPr>
              <w:pStyle w:val="Compact"/>
              <w:jc w:val="right"/>
            </w:pPr>
            <w:r>
              <w:rPr>
                <w:sz w:val="18"/>
              </w:rPr>
              <w:t xml:space="preserve">2.06</w:t>
            </w:r>
          </w:p>
        </w:tc>
      </w:tr>
      <w:tr>
        <w:tc>
          <w:tcPr/>
          <w:p>
            <w:pPr>
              <w:pStyle w:val="Compact"/>
            </w:pPr>
          </w:p>
        </w:tc>
        <w:tc>
          <w:tcPr/>
          <w:p>
            <w:pPr>
              <w:pStyle w:val="Compact"/>
            </w:pPr>
            <w:r>
              <w:rPr>
                <w:sz w:val="18"/>
              </w:rPr>
              <w:t xml:space="preserve">5%</w:t>
            </w:r>
          </w:p>
        </w:tc>
        <w:tc>
          <w:tcPr/>
          <w:p>
            <w:pPr>
              <w:pStyle w:val="Compact"/>
            </w:pPr>
            <w:r>
              <w:rPr>
                <w:sz w:val="18"/>
              </w:rPr>
              <w:t xml:space="preserve">0.15</w:t>
            </w:r>
          </w:p>
        </w:tc>
        <w:tc>
          <w:tcPr/>
          <w:p>
            <w:pPr>
              <w:pStyle w:val="Compact"/>
              <w:jc w:val="right"/>
            </w:pPr>
            <w:r>
              <w:rPr>
                <w:sz w:val="18"/>
              </w:rPr>
              <w:t xml:space="preserve">2.50</w:t>
            </w:r>
          </w:p>
        </w:tc>
        <w:tc>
          <w:tcPr/>
          <w:p>
            <w:pPr>
              <w:pStyle w:val="Compact"/>
              <w:jc w:val="right"/>
            </w:pPr>
            <w:r>
              <w:rPr>
                <w:sz w:val="18"/>
              </w:rPr>
              <w:t xml:space="preserve">4.35</w:t>
            </w:r>
          </w:p>
        </w:tc>
        <w:tc>
          <w:tcPr/>
          <w:p>
            <w:pPr>
              <w:pStyle w:val="Compact"/>
              <w:jc w:val="right"/>
            </w:pPr>
            <w:r>
              <w:rPr>
                <w:sz w:val="18"/>
              </w:rPr>
              <w:t xml:space="preserve">0.03</w:t>
            </w:r>
          </w:p>
        </w:tc>
        <w:tc>
          <w:tcPr/>
          <w:p>
            <w:pPr>
              <w:pStyle w:val="Compact"/>
              <w:jc w:val="right"/>
            </w:pPr>
            <w:r>
              <w:rPr>
                <w:sz w:val="18"/>
              </w:rPr>
              <w:t xml:space="preserve">21.06</w:t>
            </w:r>
          </w:p>
        </w:tc>
        <w:tc>
          <w:tcPr/>
          <w:p>
            <w:pPr>
              <w:pStyle w:val="Compact"/>
              <w:jc w:val="right"/>
            </w:pPr>
            <w:r>
              <w:rPr>
                <w:sz w:val="18"/>
              </w:rPr>
              <w:t xml:space="preserve">61.86</w:t>
            </w:r>
          </w:p>
        </w:tc>
        <w:tc>
          <w:tcPr/>
          <w:p>
            <w:pPr>
              <w:pStyle w:val="Compact"/>
              <w:jc w:val="right"/>
            </w:pPr>
            <w:r>
              <w:rPr>
                <w:sz w:val="18"/>
              </w:rPr>
              <w:t xml:space="preserve">3.90</w:t>
            </w:r>
          </w:p>
        </w:tc>
      </w:tr>
      <w:tr>
        <w:tc>
          <w:tcPr/>
          <w:p>
            <w:pPr>
              <w:pStyle w:val="Compact"/>
            </w:pPr>
          </w:p>
        </w:tc>
        <w:tc>
          <w:tcPr/>
          <w:p>
            <w:pPr>
              <w:pStyle w:val="Compact"/>
            </w:pPr>
            <w:r>
              <w:rPr>
                <w:sz w:val="18"/>
              </w:rPr>
              <w:t xml:space="preserve">5%</w:t>
            </w:r>
          </w:p>
        </w:tc>
        <w:tc>
          <w:tcPr/>
          <w:p>
            <w:pPr>
              <w:pStyle w:val="Compact"/>
            </w:pPr>
            <w:r>
              <w:rPr>
                <w:sz w:val="18"/>
              </w:rPr>
              <w:t xml:space="preserve">0.20</w:t>
            </w:r>
          </w:p>
        </w:tc>
        <w:tc>
          <w:tcPr/>
          <w:p>
            <w:pPr>
              <w:pStyle w:val="Compact"/>
              <w:jc w:val="right"/>
            </w:pPr>
            <w:r>
              <w:rPr>
                <w:sz w:val="18"/>
              </w:rPr>
              <w:t xml:space="preserve">2.50</w:t>
            </w:r>
          </w:p>
        </w:tc>
        <w:tc>
          <w:tcPr/>
          <w:p>
            <w:pPr>
              <w:pStyle w:val="Compact"/>
              <w:jc w:val="right"/>
            </w:pPr>
            <w:r>
              <w:rPr>
                <w:sz w:val="18"/>
              </w:rPr>
              <w:t xml:space="preserve">4.60</w:t>
            </w:r>
          </w:p>
        </w:tc>
        <w:tc>
          <w:tcPr/>
          <w:p>
            <w:pPr>
              <w:pStyle w:val="Compact"/>
              <w:jc w:val="right"/>
            </w:pPr>
            <w:r>
              <w:rPr>
                <w:sz w:val="18"/>
              </w:rPr>
              <w:t xml:space="preserve">0.24</w:t>
            </w:r>
          </w:p>
        </w:tc>
        <w:tc>
          <w:tcPr/>
          <w:p>
            <w:pPr>
              <w:pStyle w:val="Compact"/>
              <w:jc w:val="right"/>
            </w:pPr>
            <w:r>
              <w:rPr>
                <w:sz w:val="18"/>
              </w:rPr>
              <w:t xml:space="preserve">22.45</w:t>
            </w:r>
          </w:p>
        </w:tc>
        <w:tc>
          <w:tcPr/>
          <w:p>
            <w:pPr>
              <w:pStyle w:val="Compact"/>
              <w:jc w:val="right"/>
            </w:pPr>
            <w:r>
              <w:rPr>
                <w:sz w:val="18"/>
              </w:rPr>
              <w:t xml:space="preserve">57.75</w:t>
            </w:r>
          </w:p>
        </w:tc>
        <w:tc>
          <w:tcPr/>
          <w:p>
            <w:pPr>
              <w:pStyle w:val="Compact"/>
              <w:jc w:val="right"/>
            </w:pPr>
            <w:r>
              <w:rPr>
                <w:sz w:val="18"/>
              </w:rPr>
              <w:t xml:space="preserve">5.25</w:t>
            </w:r>
          </w:p>
        </w:tc>
      </w:tr>
      <w:tr>
        <w:tc>
          <w:tcPr/>
          <w:p>
            <w:pPr>
              <w:pStyle w:val="Compact"/>
            </w:pPr>
          </w:p>
        </w:tc>
        <w:tc>
          <w:tcPr/>
          <w:p>
            <w:pPr>
              <w:pStyle w:val="Compact"/>
            </w:pPr>
            <w:r>
              <w:rPr>
                <w:sz w:val="18"/>
              </w:rPr>
              <w:t xml:space="preserve">5%</w:t>
            </w:r>
          </w:p>
        </w:tc>
        <w:tc>
          <w:tcPr/>
          <w:p>
            <w:pPr>
              <w:pStyle w:val="Compact"/>
            </w:pPr>
            <w:r>
              <w:rPr>
                <w:sz w:val="18"/>
              </w:rPr>
              <w:t xml:space="preserve">0.30</w:t>
            </w:r>
          </w:p>
        </w:tc>
        <w:tc>
          <w:tcPr/>
          <w:p>
            <w:pPr>
              <w:pStyle w:val="Compact"/>
              <w:jc w:val="right"/>
            </w:pPr>
            <w:r>
              <w:rPr>
                <w:sz w:val="18"/>
              </w:rPr>
              <w:t xml:space="preserve">2.50</w:t>
            </w:r>
          </w:p>
        </w:tc>
        <w:tc>
          <w:tcPr/>
          <w:p>
            <w:pPr>
              <w:pStyle w:val="Compact"/>
              <w:jc w:val="right"/>
            </w:pPr>
            <w:r>
              <w:rPr>
                <w:sz w:val="18"/>
              </w:rPr>
              <w:t xml:space="preserve">5.22</w:t>
            </w:r>
          </w:p>
        </w:tc>
        <w:tc>
          <w:tcPr/>
          <w:p>
            <w:pPr>
              <w:pStyle w:val="Compact"/>
              <w:jc w:val="right"/>
            </w:pPr>
            <w:r>
              <w:rPr>
                <w:sz w:val="18"/>
              </w:rPr>
              <w:t xml:space="preserve">1.28</w:t>
            </w:r>
          </w:p>
        </w:tc>
        <w:tc>
          <w:tcPr/>
          <w:p>
            <w:pPr>
              <w:pStyle w:val="Compact"/>
              <w:jc w:val="right"/>
            </w:pPr>
            <w:r>
              <w:rPr>
                <w:sz w:val="18"/>
              </w:rPr>
              <w:t xml:space="preserve">21.82</w:t>
            </w:r>
          </w:p>
        </w:tc>
        <w:tc>
          <w:tcPr/>
          <w:p>
            <w:pPr>
              <w:pStyle w:val="Compact"/>
              <w:jc w:val="right"/>
            </w:pPr>
            <w:r>
              <w:rPr>
                <w:sz w:val="18"/>
              </w:rPr>
              <w:t xml:space="preserve">52.63</w:t>
            </w:r>
          </w:p>
        </w:tc>
        <w:tc>
          <w:tcPr/>
          <w:p>
            <w:pPr>
              <w:pStyle w:val="Compact"/>
              <w:jc w:val="right"/>
            </w:pPr>
            <w:r>
              <w:rPr>
                <w:sz w:val="18"/>
              </w:rPr>
              <w:t xml:space="preserve">6.66</w:t>
            </w:r>
          </w:p>
        </w:tc>
      </w:tr>
      <w:tr>
        <w:tc>
          <w:tcPr/>
          <w:p>
            <w:pPr>
              <w:pStyle w:val="Compact"/>
            </w:pPr>
            <m:oMath>
              <m:r>
                <m:t>α</m:t>
              </m:r>
              <m:r>
                <m:rPr>
                  <m:sty m:val="p"/>
                </m:rPr>
                <m:t>=</m:t>
              </m:r>
              <m:r>
                <m:rPr>
                  <m:sty m:val="p"/>
                </m:rPr>
                <m:t>exp</m:t>
              </m:r>
              <m:r>
                <m:rPr>
                  <m:sty m:val="p"/>
                </m:rPr>
                <m:t>(</m:t>
              </m:r>
              <m:sSup>
                <m:e>
                  <m:r>
                    <m:t>σ</m:t>
                  </m:r>
                </m:e>
                <m:sup>
                  <m:r>
                    <m:t>2</m:t>
                  </m:r>
                </m:sup>
              </m:sSup>
              <m:r>
                <m:rPr>
                  <m:sty m:val="p"/>
                </m:rPr>
                <m:t>/</m:t>
              </m:r>
              <m:r>
                <m:t>2</m:t>
              </m:r>
              <m:r>
                <m:rPr>
                  <m:sty m:val="p"/>
                </m:rPr>
                <m:t>)</m:t>
              </m:r>
              <m:r>
                <m:rPr>
                  <m:sty m:val="p"/>
                </m:rPr>
                <m:t>−</m:t>
              </m:r>
              <m:r>
                <m:t>1</m:t>
              </m:r>
            </m:oMath>
          </w:p>
        </w:tc>
        <w:tc>
          <w:tcPr/>
          <w:p>
            <w:pPr>
              <w:pStyle w:val="Compact"/>
            </w:pPr>
            <w:r>
              <w:rPr>
                <w:sz w:val="18"/>
              </w:rPr>
              <w:t xml:space="preserve">0</w:t>
            </w:r>
          </w:p>
        </w:tc>
        <w:tc>
          <w:tcPr/>
          <w:p>
            <w:pPr>
              <w:pStyle w:val="Compact"/>
            </w:pPr>
            <w:r>
              <w:rPr>
                <w:rFonts w:hint="eastAsia"/>
                <w:sz w:val="18"/>
              </w:rPr>
              <w:t xml:space="preserve">0.10（</w:t>
            </w:r>
            <m:oMath>
              <m:r>
                <m:t>α</m:t>
              </m:r>
              <m:r>
                <m:rPr>
                  <m:sty m:val="p"/>
                </m:rPr>
                <m:t>=</m:t>
              </m:r>
              <m:r>
                <m:t>0.50</m:t>
              </m:r>
              <m:r>
                <m:rPr>
                  <m:sty m:val="p"/>
                </m:rPr>
                <m:t>%</m:t>
              </m:r>
            </m:oMath>
            <w:r>
              <w:rPr>
                <w:rFonts w:hint="eastAsia"/>
                <w:sz w:val="18"/>
              </w:rPr>
              <w:t xml:space="preserve">）</w:t>
            </w:r>
          </w:p>
        </w:tc>
        <w:tc>
          <w:tcPr/>
          <w:p>
            <w:pPr>
              <w:pStyle w:val="Compact"/>
              <w:jc w:val="right"/>
            </w:pPr>
            <w:r>
              <w:rPr>
                <w:sz w:val="18"/>
              </w:rPr>
              <w:t xml:space="preserve">2.86</w:t>
            </w:r>
          </w:p>
        </w:tc>
        <w:tc>
          <w:tcPr/>
          <w:p>
            <w:pPr>
              <w:pStyle w:val="Compact"/>
              <w:jc w:val="right"/>
            </w:pPr>
            <w:r>
              <w:rPr>
                <w:sz w:val="18"/>
              </w:rPr>
              <w:t xml:space="preserve">3.41</w:t>
            </w:r>
          </w:p>
        </w:tc>
        <w:tc>
          <w:tcPr/>
          <w:p>
            <w:pPr>
              <w:pStyle w:val="Compact"/>
              <w:jc w:val="right"/>
            </w:pPr>
            <w:r>
              <w:rPr>
                <w:sz w:val="18"/>
              </w:rPr>
              <w:t xml:space="preserve">0.00</w:t>
            </w:r>
          </w:p>
        </w:tc>
        <w:tc>
          <w:tcPr/>
          <w:p>
            <w:pPr>
              <w:pStyle w:val="Compact"/>
              <w:jc w:val="right"/>
            </w:pPr>
            <w:r>
              <w:rPr>
                <w:sz w:val="18"/>
              </w:rPr>
              <w:t xml:space="preserve">0.41</w:t>
            </w:r>
          </w:p>
        </w:tc>
        <w:tc>
          <w:tcPr/>
          <w:p>
            <w:pPr>
              <w:pStyle w:val="Compact"/>
              <w:jc w:val="right"/>
            </w:pPr>
            <w:r>
              <w:rPr>
                <w:sz w:val="18"/>
              </w:rPr>
              <w:t xml:space="preserve">1.59</w:t>
            </w:r>
          </w:p>
        </w:tc>
        <w:tc>
          <w:tcPr/>
          <w:p>
            <w:pPr>
              <w:pStyle w:val="Compact"/>
              <w:jc w:val="right"/>
            </w:pPr>
            <w:r>
              <w:rPr>
                <w:sz w:val="18"/>
              </w:rPr>
              <w:t xml:space="preserve">0.03</w:t>
            </w:r>
          </w:p>
        </w:tc>
      </w:tr>
      <w:tr>
        <w:tc>
          <w:tcPr/>
          <w:p>
            <w:pPr>
              <w:pStyle w:val="Compact"/>
            </w:pPr>
          </w:p>
        </w:tc>
        <w:tc>
          <w:tcPr/>
          <w:p>
            <w:pPr>
              <w:pStyle w:val="Compact"/>
            </w:pPr>
            <w:r>
              <w:rPr>
                <w:sz w:val="18"/>
              </w:rPr>
              <w:t xml:space="preserve">0</w:t>
            </w:r>
          </w:p>
        </w:tc>
        <w:tc>
          <w:tcPr/>
          <w:p>
            <w:pPr>
              <w:pStyle w:val="Compact"/>
            </w:pPr>
            <w:r>
              <w:rPr>
                <w:rFonts w:hint="eastAsia"/>
                <w:sz w:val="18"/>
              </w:rPr>
              <w:t xml:space="preserve">0.15（1.13%）</w:t>
            </w:r>
          </w:p>
        </w:tc>
        <w:tc>
          <w:tcPr/>
          <w:p>
            <w:pPr>
              <w:pStyle w:val="Compact"/>
              <w:jc w:val="right"/>
            </w:pPr>
            <w:r>
              <w:rPr>
                <w:sz w:val="18"/>
              </w:rPr>
              <w:t xml:space="preserve">2.71</w:t>
            </w:r>
          </w:p>
        </w:tc>
        <w:tc>
          <w:tcPr/>
          <w:p>
            <w:pPr>
              <w:pStyle w:val="Compact"/>
              <w:jc w:val="right"/>
            </w:pPr>
            <w:r>
              <w:rPr>
                <w:sz w:val="18"/>
              </w:rPr>
              <w:t xml:space="preserve">3.59</w:t>
            </w:r>
          </w:p>
        </w:tc>
        <w:tc>
          <w:tcPr/>
          <w:p>
            <w:pPr>
              <w:pStyle w:val="Compact"/>
              <w:jc w:val="right"/>
            </w:pPr>
            <w:r>
              <w:rPr>
                <w:sz w:val="18"/>
              </w:rPr>
              <w:t xml:space="preserve">0.02</w:t>
            </w:r>
          </w:p>
        </w:tc>
        <w:tc>
          <w:tcPr/>
          <w:p>
            <w:pPr>
              <w:pStyle w:val="Compact"/>
              <w:jc w:val="right"/>
            </w:pPr>
            <w:r>
              <w:rPr>
                <w:sz w:val="18"/>
              </w:rPr>
              <w:t xml:space="preserve">3.92</w:t>
            </w:r>
          </w:p>
        </w:tc>
        <w:tc>
          <w:tcPr/>
          <w:p>
            <w:pPr>
              <w:pStyle w:val="Compact"/>
              <w:jc w:val="right"/>
            </w:pPr>
            <w:r>
              <w:rPr>
                <w:sz w:val="18"/>
              </w:rPr>
              <w:t xml:space="preserve">11.78</w:t>
            </w:r>
          </w:p>
        </w:tc>
        <w:tc>
          <w:tcPr/>
          <w:p>
            <w:pPr>
              <w:pStyle w:val="Compact"/>
              <w:jc w:val="right"/>
            </w:pPr>
            <w:r>
              <w:rPr>
                <w:sz w:val="18"/>
              </w:rPr>
              <w:t xml:space="preserve">0.52</w:t>
            </w:r>
          </w:p>
        </w:tc>
      </w:tr>
      <w:tr>
        <w:tc>
          <w:tcPr/>
          <w:p>
            <w:pPr>
              <w:pStyle w:val="Compact"/>
            </w:pPr>
          </w:p>
        </w:tc>
        <w:tc>
          <w:tcPr/>
          <w:p>
            <w:pPr>
              <w:pStyle w:val="Compact"/>
            </w:pPr>
            <w:r>
              <w:rPr>
                <w:sz w:val="18"/>
              </w:rPr>
              <w:t xml:space="preserve">0</w:t>
            </w:r>
          </w:p>
        </w:tc>
        <w:tc>
          <w:tcPr/>
          <w:p>
            <w:pPr>
              <w:pStyle w:val="Compact"/>
            </w:pPr>
            <w:r>
              <w:rPr>
                <w:rFonts w:hint="eastAsia"/>
                <w:sz w:val="18"/>
              </w:rPr>
              <w:t xml:space="preserve">0.20（2.02%）</w:t>
            </w:r>
          </w:p>
        </w:tc>
        <w:tc>
          <w:tcPr/>
          <w:p>
            <w:pPr>
              <w:pStyle w:val="Compact"/>
              <w:jc w:val="right"/>
            </w:pPr>
            <w:r>
              <w:rPr>
                <w:sz w:val="18"/>
              </w:rPr>
              <w:t xml:space="preserve">2.50</w:t>
            </w:r>
          </w:p>
        </w:tc>
        <w:tc>
          <w:tcPr/>
          <w:p>
            <w:pPr>
              <w:pStyle w:val="Compact"/>
              <w:jc w:val="right"/>
            </w:pPr>
            <w:r>
              <w:rPr>
                <w:sz w:val="18"/>
              </w:rPr>
              <w:t xml:space="preserve">3.75</w:t>
            </w:r>
          </w:p>
        </w:tc>
        <w:tc>
          <w:tcPr/>
          <w:p>
            <w:pPr>
              <w:pStyle w:val="Compact"/>
              <w:jc w:val="right"/>
            </w:pPr>
            <w:r>
              <w:rPr>
                <w:sz w:val="18"/>
              </w:rPr>
              <w:t xml:space="preserve">0.26</w:t>
            </w:r>
          </w:p>
        </w:tc>
        <w:tc>
          <w:tcPr/>
          <w:p>
            <w:pPr>
              <w:pStyle w:val="Compact"/>
              <w:jc w:val="right"/>
            </w:pPr>
            <w:r>
              <w:rPr>
                <w:sz w:val="18"/>
              </w:rPr>
              <w:t xml:space="preserve">9.99</w:t>
            </w:r>
          </w:p>
        </w:tc>
        <w:tc>
          <w:tcPr/>
          <w:p>
            <w:pPr>
              <w:pStyle w:val="Compact"/>
              <w:jc w:val="right"/>
            </w:pPr>
            <w:r>
              <w:rPr>
                <w:sz w:val="18"/>
              </w:rPr>
              <w:t xml:space="preserve">26.81</w:t>
            </w:r>
          </w:p>
        </w:tc>
        <w:tc>
          <w:tcPr/>
          <w:p>
            <w:pPr>
              <w:pStyle w:val="Compact"/>
              <w:jc w:val="right"/>
            </w:pPr>
            <w:r>
              <w:rPr>
                <w:sz w:val="18"/>
              </w:rPr>
              <w:t xml:space="preserve">1.91</w:t>
            </w:r>
          </w:p>
        </w:tc>
      </w:tr>
      <w:tr>
        <w:tc>
          <w:tcPr/>
          <w:p>
            <w:pPr>
              <w:pStyle w:val="Compact"/>
            </w:pPr>
          </w:p>
        </w:tc>
        <w:tc>
          <w:tcPr/>
          <w:p>
            <w:pPr>
              <w:pStyle w:val="Compact"/>
            </w:pPr>
            <w:r>
              <w:rPr>
                <w:sz w:val="18"/>
              </w:rPr>
              <w:t xml:space="preserve">0</w:t>
            </w:r>
          </w:p>
        </w:tc>
        <w:tc>
          <w:tcPr/>
          <w:p>
            <w:pPr>
              <w:pStyle w:val="Compact"/>
            </w:pPr>
            <w:r>
              <w:rPr>
                <w:rFonts w:hint="eastAsia"/>
                <w:sz w:val="18"/>
              </w:rPr>
              <w:t xml:space="preserve">0.30（4.60%）</w:t>
            </w:r>
          </w:p>
        </w:tc>
        <w:tc>
          <w:tcPr/>
          <w:p>
            <w:pPr>
              <w:pStyle w:val="Compact"/>
              <w:jc w:val="right"/>
            </w:pPr>
            <w:r>
              <w:rPr>
                <w:sz w:val="18"/>
              </w:rPr>
              <w:t xml:space="preserve">1.96</w:t>
            </w:r>
          </w:p>
        </w:tc>
        <w:tc>
          <w:tcPr/>
          <w:p>
            <w:pPr>
              <w:pStyle w:val="Compact"/>
              <w:jc w:val="right"/>
            </w:pPr>
            <w:r>
              <w:rPr>
                <w:sz w:val="18"/>
              </w:rPr>
              <w:t xml:space="preserve">4.01</w:t>
            </w:r>
          </w:p>
        </w:tc>
        <w:tc>
          <w:tcPr/>
          <w:p>
            <w:pPr>
              <w:pStyle w:val="Compact"/>
              <w:jc w:val="right"/>
            </w:pPr>
            <w:r>
              <w:rPr>
                <w:sz w:val="18"/>
              </w:rPr>
              <w:t xml:space="preserve">2.74</w:t>
            </w:r>
          </w:p>
        </w:tc>
        <w:tc>
          <w:tcPr/>
          <w:p>
            <w:pPr>
              <w:pStyle w:val="Compact"/>
              <w:jc w:val="right"/>
            </w:pPr>
            <w:r>
              <w:rPr>
                <w:sz w:val="18"/>
              </w:rPr>
              <w:t xml:space="preserve">22.74</w:t>
            </w:r>
          </w:p>
        </w:tc>
        <w:tc>
          <w:tcPr/>
          <w:p>
            <w:pPr>
              <w:pStyle w:val="Compact"/>
              <w:jc w:val="right"/>
            </w:pPr>
            <w:r>
              <w:rPr>
                <w:sz w:val="18"/>
              </w:rPr>
              <w:t xml:space="preserve">56.62</w:t>
            </w:r>
          </w:p>
        </w:tc>
        <w:tc>
          <w:tcPr/>
          <w:p>
            <w:pPr>
              <w:pStyle w:val="Compact"/>
              <w:jc w:val="right"/>
            </w:pPr>
            <w:r>
              <w:rPr>
                <w:sz w:val="18"/>
              </w:rPr>
              <w:t xml:space="preserve">6.81</w:t>
            </w:r>
          </w:p>
        </w:tc>
      </w:tr>
      <w:tr>
        <w:tc>
          <w:tcPr/>
          <w:p>
            <w:pPr>
              <w:pStyle w:val="Compact"/>
            </w:pPr>
          </w:p>
        </w:tc>
        <w:tc>
          <w:tcPr/>
          <w:p>
            <w:pPr>
              <w:pStyle w:val="Compact"/>
            </w:pPr>
            <w:r>
              <w:rPr>
                <w:sz w:val="18"/>
              </w:rPr>
              <w:t xml:space="preserve">5%</w:t>
            </w:r>
          </w:p>
        </w:tc>
        <w:tc>
          <w:tcPr/>
          <w:p>
            <w:pPr>
              <w:pStyle w:val="Compact"/>
            </w:pPr>
            <w:r>
              <w:rPr>
                <w:sz w:val="18"/>
              </w:rPr>
              <w:t xml:space="preserve">0.10</w:t>
            </w:r>
          </w:p>
        </w:tc>
        <w:tc>
          <w:tcPr/>
          <w:p>
            <w:pPr>
              <w:pStyle w:val="Compact"/>
              <w:jc w:val="right"/>
            </w:pPr>
            <w:r>
              <w:rPr>
                <w:sz w:val="18"/>
              </w:rPr>
              <w:t xml:space="preserve">2.86</w:t>
            </w:r>
          </w:p>
        </w:tc>
        <w:tc>
          <w:tcPr/>
          <w:p>
            <w:pPr>
              <w:pStyle w:val="Compact"/>
              <w:jc w:val="right"/>
            </w:pPr>
            <w:r>
              <w:rPr>
                <w:sz w:val="18"/>
              </w:rPr>
              <w:t xml:space="preserve">4.28</w:t>
            </w:r>
          </w:p>
        </w:tc>
        <w:tc>
          <w:tcPr/>
          <w:p>
            <w:pPr>
              <w:pStyle w:val="Compact"/>
              <w:jc w:val="right"/>
            </w:pPr>
            <w:r>
              <w:rPr>
                <w:sz w:val="18"/>
              </w:rPr>
              <w:t xml:space="preserve">0.00</w:t>
            </w:r>
          </w:p>
        </w:tc>
        <w:tc>
          <w:tcPr/>
          <w:p>
            <w:pPr>
              <w:pStyle w:val="Compact"/>
              <w:jc w:val="right"/>
            </w:pPr>
            <w:r>
              <w:rPr>
                <w:sz w:val="18"/>
              </w:rPr>
              <w:t xml:space="preserve">5.56</w:t>
            </w:r>
          </w:p>
        </w:tc>
        <w:tc>
          <w:tcPr/>
          <w:p>
            <w:pPr>
              <w:pStyle w:val="Compact"/>
              <w:jc w:val="right"/>
            </w:pPr>
            <w:r>
              <w:rPr>
                <w:sz w:val="18"/>
              </w:rPr>
              <w:t xml:space="preserve">33.70</w:t>
            </w:r>
          </w:p>
        </w:tc>
        <w:tc>
          <w:tcPr/>
          <w:p>
            <w:pPr>
              <w:pStyle w:val="Compact"/>
              <w:jc w:val="right"/>
            </w:pPr>
            <w:r>
              <w:rPr>
                <w:sz w:val="18"/>
              </w:rPr>
              <w:t xml:space="preserve">0.58</w:t>
            </w:r>
          </w:p>
        </w:tc>
      </w:tr>
      <w:tr>
        <w:tc>
          <w:tcPr/>
          <w:p>
            <w:pPr>
              <w:pStyle w:val="Compact"/>
            </w:pPr>
          </w:p>
        </w:tc>
        <w:tc>
          <w:tcPr/>
          <w:p>
            <w:pPr>
              <w:pStyle w:val="Compact"/>
            </w:pPr>
            <w:r>
              <w:rPr>
                <w:sz w:val="18"/>
              </w:rPr>
              <w:t xml:space="preserve">5%</w:t>
            </w:r>
          </w:p>
        </w:tc>
        <w:tc>
          <w:tcPr/>
          <w:p>
            <w:pPr>
              <w:pStyle w:val="Compact"/>
            </w:pPr>
            <w:r>
              <w:rPr>
                <w:sz w:val="18"/>
              </w:rPr>
              <w:t xml:space="preserve">0.15</w:t>
            </w:r>
          </w:p>
        </w:tc>
        <w:tc>
          <w:tcPr/>
          <w:p>
            <w:pPr>
              <w:pStyle w:val="Compact"/>
              <w:jc w:val="right"/>
            </w:pPr>
            <w:r>
              <w:rPr>
                <w:sz w:val="18"/>
              </w:rPr>
              <w:t xml:space="preserve">2.71</w:t>
            </w:r>
          </w:p>
        </w:tc>
        <w:tc>
          <w:tcPr/>
          <w:p>
            <w:pPr>
              <w:pStyle w:val="Compact"/>
              <w:jc w:val="right"/>
            </w:pPr>
            <w:r>
              <w:rPr>
                <w:sz w:val="18"/>
              </w:rPr>
              <w:t xml:space="preserve">4.43</w:t>
            </w:r>
          </w:p>
        </w:tc>
        <w:tc>
          <w:tcPr/>
          <w:p>
            <w:pPr>
              <w:pStyle w:val="Compact"/>
              <w:jc w:val="right"/>
            </w:pPr>
            <w:r>
              <w:rPr>
                <w:sz w:val="18"/>
              </w:rPr>
              <w:t xml:space="preserve">0.01</w:t>
            </w:r>
          </w:p>
        </w:tc>
        <w:tc>
          <w:tcPr/>
          <w:p>
            <w:pPr>
              <w:pStyle w:val="Compact"/>
              <w:jc w:val="right"/>
            </w:pPr>
            <w:r>
              <w:rPr>
                <w:sz w:val="18"/>
              </w:rPr>
              <w:t xml:space="preserve">14.78</w:t>
            </w:r>
          </w:p>
        </w:tc>
        <w:tc>
          <w:tcPr/>
          <w:p>
            <w:pPr>
              <w:pStyle w:val="Compact"/>
              <w:jc w:val="right"/>
            </w:pPr>
            <w:r>
              <w:rPr>
                <w:sz w:val="18"/>
              </w:rPr>
              <w:t xml:space="preserve">47.50</w:t>
            </w:r>
          </w:p>
        </w:tc>
        <w:tc>
          <w:tcPr/>
          <w:p>
            <w:pPr>
              <w:pStyle w:val="Compact"/>
              <w:jc w:val="right"/>
            </w:pPr>
            <w:r>
              <w:rPr>
                <w:sz w:val="18"/>
              </w:rPr>
              <w:t xml:space="preserve">2.52</w:t>
            </w:r>
          </w:p>
        </w:tc>
      </w:tr>
      <w:tr>
        <w:tc>
          <w:tcPr/>
          <w:p>
            <w:pPr>
              <w:pStyle w:val="Compact"/>
            </w:pPr>
          </w:p>
        </w:tc>
        <w:tc>
          <w:tcPr/>
          <w:p>
            <w:pPr>
              <w:pStyle w:val="Compact"/>
            </w:pPr>
            <w:r>
              <w:rPr>
                <w:sz w:val="18"/>
              </w:rPr>
              <w:t xml:space="preserve">5%</w:t>
            </w:r>
          </w:p>
        </w:tc>
        <w:tc>
          <w:tcPr/>
          <w:p>
            <w:pPr>
              <w:pStyle w:val="Compact"/>
            </w:pPr>
            <w:r>
              <w:rPr>
                <w:sz w:val="18"/>
              </w:rPr>
              <w:t xml:space="preserve">0.20</w:t>
            </w:r>
          </w:p>
        </w:tc>
        <w:tc>
          <w:tcPr/>
          <w:p>
            <w:pPr>
              <w:pStyle w:val="Compact"/>
              <w:jc w:val="right"/>
            </w:pPr>
            <w:r>
              <w:rPr>
                <w:sz w:val="18"/>
              </w:rPr>
              <w:t xml:space="preserve">2.50</w:t>
            </w:r>
          </w:p>
        </w:tc>
        <w:tc>
          <w:tcPr/>
          <w:p>
            <w:pPr>
              <w:pStyle w:val="Compact"/>
              <w:jc w:val="right"/>
            </w:pPr>
            <w:r>
              <w:rPr>
                <w:sz w:val="18"/>
              </w:rPr>
              <w:t xml:space="preserve">4.60</w:t>
            </w:r>
          </w:p>
        </w:tc>
        <w:tc>
          <w:tcPr/>
          <w:p>
            <w:pPr>
              <w:pStyle w:val="Compact"/>
              <w:jc w:val="right"/>
            </w:pPr>
            <w:r>
              <w:rPr>
                <w:sz w:val="18"/>
              </w:rPr>
              <w:t xml:space="preserve">0.24</w:t>
            </w:r>
          </w:p>
        </w:tc>
        <w:tc>
          <w:tcPr/>
          <w:p>
            <w:pPr>
              <w:pStyle w:val="Compact"/>
              <w:jc w:val="right"/>
            </w:pPr>
            <w:r>
              <w:rPr>
                <w:sz w:val="18"/>
              </w:rPr>
              <w:t xml:space="preserve">22.57</w:t>
            </w:r>
          </w:p>
        </w:tc>
        <w:tc>
          <w:tcPr/>
          <w:p>
            <w:pPr>
              <w:pStyle w:val="Compact"/>
              <w:jc w:val="right"/>
            </w:pPr>
            <w:r>
              <w:rPr>
                <w:sz w:val="18"/>
              </w:rPr>
              <w:t xml:space="preserve">57.95</w:t>
            </w:r>
          </w:p>
        </w:tc>
        <w:tc>
          <w:tcPr/>
          <w:p>
            <w:pPr>
              <w:pStyle w:val="Compact"/>
              <w:jc w:val="right"/>
            </w:pPr>
            <w:r>
              <w:rPr>
                <w:sz w:val="18"/>
              </w:rPr>
              <w:t xml:space="preserve">5.28</w:t>
            </w:r>
          </w:p>
        </w:tc>
      </w:tr>
      <w:tr>
        <w:tc>
          <w:tcPr/>
          <w:p>
            <w:pPr>
              <w:pStyle w:val="Compact"/>
            </w:pPr>
          </w:p>
        </w:tc>
        <w:tc>
          <w:tcPr/>
          <w:p>
            <w:pPr>
              <w:pStyle w:val="Compact"/>
            </w:pPr>
            <w:r>
              <w:rPr>
                <w:sz w:val="18"/>
              </w:rPr>
              <w:t xml:space="preserve">5%</w:t>
            </w:r>
          </w:p>
        </w:tc>
        <w:tc>
          <w:tcPr/>
          <w:p>
            <w:pPr>
              <w:pStyle w:val="Compact"/>
            </w:pPr>
            <w:r>
              <w:rPr>
                <w:sz w:val="18"/>
              </w:rPr>
              <w:t xml:space="preserve">0.30</w:t>
            </w:r>
          </w:p>
        </w:tc>
        <w:tc>
          <w:tcPr/>
          <w:p>
            <w:pPr>
              <w:pStyle w:val="Compact"/>
              <w:jc w:val="right"/>
            </w:pPr>
            <w:r>
              <w:rPr>
                <w:sz w:val="18"/>
              </w:rPr>
              <w:t xml:space="preserve">1.96</w:t>
            </w:r>
          </w:p>
        </w:tc>
        <w:tc>
          <w:tcPr/>
          <w:p>
            <w:pPr>
              <w:pStyle w:val="Compact"/>
              <w:jc w:val="right"/>
            </w:pPr>
            <w:r>
              <w:rPr>
                <w:sz w:val="18"/>
              </w:rPr>
              <w:t xml:space="preserve">4.87</w:t>
            </w:r>
          </w:p>
        </w:tc>
        <w:tc>
          <w:tcPr/>
          <w:p>
            <w:pPr>
              <w:pStyle w:val="Compact"/>
              <w:jc w:val="right"/>
            </w:pPr>
            <w:r>
              <w:rPr>
                <w:sz w:val="18"/>
              </w:rPr>
              <w:t xml:space="preserve">2.59</w:t>
            </w:r>
          </w:p>
        </w:tc>
        <w:tc>
          <w:tcPr/>
          <w:p>
            <w:pPr>
              <w:pStyle w:val="Compact"/>
              <w:jc w:val="right"/>
            </w:pPr>
            <w:r>
              <w:rPr>
                <w:sz w:val="18"/>
              </w:rPr>
              <w:t xml:space="preserve">33.99</w:t>
            </w:r>
          </w:p>
        </w:tc>
        <w:tc>
          <w:tcPr/>
          <w:p>
            <w:pPr>
              <w:pStyle w:val="Compact"/>
              <w:jc w:val="right"/>
            </w:pPr>
            <w:r>
              <w:rPr>
                <w:sz w:val="18"/>
              </w:rPr>
              <w:t xml:space="preserve">74.80</w:t>
            </w:r>
          </w:p>
        </w:tc>
        <w:tc>
          <w:tcPr/>
          <w:p>
            <w:pPr>
              <w:pStyle w:val="Compact"/>
              <w:jc w:val="right"/>
            </w:pPr>
            <w:r>
              <w:rPr>
                <w:sz w:val="18"/>
              </w:rPr>
              <w:t xml:space="preserve">11.77</w:t>
            </w:r>
          </w:p>
        </w:tc>
      </w:tr>
    </w:tbl>
    <w:p>
      <w:pPr>
        <w:pStyle w:val="TableNote"/>
      </w:pPr>
      <w:r>
        <w:rPr>
          <w:rFonts w:hint="eastAsia"/>
        </w:rPr>
        <w:t xml:space="preserve">注）FY2026</w:t>
      </w:r>
      <w:r>
        <w:t xml:space="preserve"> </w:t>
      </w:r>
      <w:r>
        <w:rPr>
          <w:rFonts w:hint="eastAsia"/>
        </w:rPr>
        <w:t xml:space="preserve">時点の閾値と、各年度までにマーチャント参入が開く確率（%）。出発点は恒久成分の推定値1.22、WACC</w:t>
      </w:r>
      <w:r>
        <w:t xml:space="preserve"> </w:t>
      </w:r>
      <w:r>
        <w:rPr>
          <w:rFonts w:hint="eastAsia"/>
        </w:rPr>
        <w:t xml:space="preserve">6%、資本費6.8万円/kWh・4時間、実効容量収入1.25万円、補助金なし、粗収益は実績整合ケース。</w:t>
      </w:r>
      <m:oMath>
        <m:sSubSup>
          <m:e>
            <m:r>
              <m:t>θ</m:t>
            </m:r>
          </m:e>
          <m:sub>
            <m:r>
              <m:t>α</m:t>
            </m:r>
          </m:sub>
          <m:sup>
            <m:r>
              <m:rPr>
                <m:sty m:val="p"/>
              </m:rPr>
              <m:t>*</m:t>
            </m:r>
          </m:sup>
        </m:sSubSup>
      </m:oMath>
      <w:r>
        <w:t xml:space="preserve"> </w:t>
      </w:r>
      <w:r>
        <w:rPr>
          <w:rFonts w:hint="eastAsia"/>
        </w:rPr>
        <w:t xml:space="preserve">は期待経路で評価した静学の損益分岐、費用</w:t>
      </w:r>
      <w:r>
        <w:t xml:space="preserve"> </w:t>
      </w:r>
      <m:oMath>
        <m:r>
          <m:t>F</m:t>
        </m:r>
      </m:oMath>
      <w:r>
        <w:t xml:space="preserve"> </w:t>
      </w:r>
      <w:r>
        <w:rPr>
          <w:rFonts w:hint="eastAsia"/>
        </w:rPr>
        <w:t xml:space="preserve">は一定。</w:t>
      </w:r>
    </w:p>
    <w:p>
      <w:pPr>
        <w:pStyle w:val="TableNote"/>
      </w:pPr>
      <w:r>
        <w:rPr>
          <w:rFonts w:hint="eastAsia"/>
        </w:rPr>
        <w:t xml:space="preserve">出所）表C.31</w:t>
      </w:r>
      <w:r>
        <w:t xml:space="preserve"> </w:t>
      </w:r>
      <w:r>
        <w:rPr>
          <w:rFonts w:hint="eastAsia"/>
        </w:rPr>
        <w:t xml:space="preserve">と同じ。</w:t>
      </w:r>
    </w:p>
    <w:p>
      <w:pPr>
        <w:pStyle w:val="BodyText"/>
      </w:pPr>
      <w:r>
        <w:rPr>
          <w:rFonts w:hint="eastAsia"/>
        </w:rPr>
        <w:t xml:space="preserve">価格水準の期待成長</w:t>
      </w:r>
      <w:r>
        <w:t xml:space="preserve"> </w:t>
      </w:r>
      <m:oMath>
        <m:r>
          <m:t>α</m:t>
        </m:r>
        <m:r>
          <m:rPr>
            <m:sty m:val="p"/>
          </m:rPr>
          <m:t>=</m:t>
        </m:r>
        <m:r>
          <m:t>0</m:t>
        </m:r>
      </m:oMath>
      <w:r>
        <w:t xml:space="preserve"> </w:t>
      </w:r>
      <w:r>
        <w:rPr>
          <w:rFonts w:hint="eastAsia"/>
        </w:rPr>
        <w:t xml:space="preserve">の置き方は、データからは支持も否定もできない。恒久成分にドリフトを加えた状態空間モデルでは、対数のドリフトは年+5.7%（標準誤差11.8%）と推定され、0とも年10%前後とも区別できない。また2因子モデルは対数のドリフトを0としており、水準に直すと年</w:t>
      </w:r>
      <w:r>
        <w:t xml:space="preserve"> </w:t>
      </w:r>
      <m:oMath>
        <m:r>
          <m:rPr>
            <m:sty m:val="p"/>
          </m:rPr>
          <m:t>exp</m:t>
        </m:r>
        <m:r>
          <m:rPr>
            <m:sty m:val="p"/>
          </m:rPr>
          <m:t>(</m:t>
        </m:r>
        <m:sSup>
          <m:e>
            <m:r>
              <m:t>σ</m:t>
            </m:r>
          </m:e>
          <m:sup>
            <m:r>
              <m:t>2</m:t>
            </m:r>
          </m:sup>
        </m:sSup>
        <m:r>
          <m:rPr>
            <m:sty m:val="p"/>
          </m:rPr>
          <m:t>/</m:t>
        </m:r>
        <m:r>
          <m:t>2</m:t>
        </m:r>
        <m:r>
          <m:rPr>
            <m:sty m:val="p"/>
          </m:rPr>
          <m:t>)</m:t>
        </m:r>
        <m:r>
          <m:rPr>
            <m:sty m:val="p"/>
          </m:rPr>
          <m:t>−</m:t>
        </m:r>
        <m:r>
          <m:t>1</m:t>
        </m:r>
      </m:oMath>
      <w:r>
        <w:rPr>
          <w:rFonts w:hint="eastAsia"/>
        </w:rPr>
        <w:t xml:space="preserve">（</w:t>
      </w:r>
      <m:oMath>
        <m:r>
          <m:t>σ</m:t>
        </m:r>
        <m:r>
          <m:rPr>
            <m:sty m:val="p"/>
          </m:rPr>
          <m:t>=</m:t>
        </m:r>
        <m:r>
          <m:t>0.30</m:t>
        </m:r>
      </m:oMath>
      <w:r>
        <w:t xml:space="preserve"> </w:t>
      </w:r>
      <w:r>
        <w:rPr>
          <w:rFonts w:hint="eastAsia"/>
        </w:rPr>
        <w:t xml:space="preserve">で4.6%）の成長にあたる。期待成長があると、価格水準一定で求めた</w:t>
      </w:r>
      <w:r>
        <w:t xml:space="preserve"> </w:t>
      </w:r>
      <m:oMath>
        <m:sSup>
          <m:e>
            <m:r>
              <m:t>θ</m:t>
            </m:r>
          </m:e>
          <m:sup>
            <m:r>
              <m:rPr>
                <m:sty m:val="p"/>
              </m:rPr>
              <m:t>*</m:t>
            </m:r>
          </m:sup>
        </m:sSup>
        <m:r>
          <m:rPr>
            <m:sty m:val="p"/>
          </m:rPr>
          <m:t>=</m:t>
        </m:r>
        <m:r>
          <m:t>2.99</m:t>
        </m:r>
      </m:oMath>
      <w:r>
        <w:t xml:space="preserve"> </w:t>
      </w:r>
      <w:r>
        <w:rPr>
          <w:rFonts w:hint="eastAsia"/>
        </w:rPr>
        <w:t xml:space="preserve">は参入閾値の下限ではなくなり、下限を与えるのは期待経路で評価した</w:t>
      </w:r>
      <w:r>
        <w:t xml:space="preserve"> </w:t>
      </w:r>
      <m:oMath>
        <m:sSubSup>
          <m:e>
            <m:r>
              <m:t>θ</m:t>
            </m:r>
          </m:e>
          <m:sub>
            <m:r>
              <m:t>α</m:t>
            </m:r>
          </m:sub>
          <m:sup>
            <m:r>
              <m:rPr>
                <m:sty m:val="p"/>
              </m:rPr>
              <m:t>*</m:t>
            </m:r>
          </m:sup>
        </m:sSubSup>
      </m:oMath>
      <w:r>
        <w:rPr>
          <w:rFonts w:hint="eastAsia"/>
        </w:rPr>
        <w:t xml:space="preserve">（</w:t>
      </w:r>
      <m:oMath>
        <m:r>
          <m:t>α</m:t>
        </m:r>
        <m:r>
          <m:rPr>
            <m:sty m:val="p"/>
          </m:rPr>
          <m:t>=</m:t>
        </m:r>
        <m:r>
          <m:t>2</m:t>
        </m:r>
        <m:r>
          <m:rPr>
            <m:sty m:val="p"/>
          </m:rPr>
          <m:t>%</m:t>
        </m:r>
      </m:oMath>
      <w:r>
        <w:t xml:space="preserve"> </w:t>
      </w:r>
      <w:r>
        <w:rPr>
          <w:rFonts w:hint="eastAsia"/>
        </w:rPr>
        <w:t xml:space="preserve">で2.50）になる。</w:t>
      </w:r>
      <m:oMath>
        <m:r>
          <m:t>α</m:t>
        </m:r>
        <m:r>
          <m:rPr>
            <m:sty m:val="p"/>
          </m:rPr>
          <m:t>=</m:t>
        </m:r>
        <m:r>
          <m:t>2</m:t>
        </m:r>
        <m:r>
          <m:rPr>
            <m:sty m:val="p"/>
          </m:rPr>
          <m:t>%</m:t>
        </m:r>
      </m:oMath>
      <w:r>
        <w:t xml:space="preserve"> </w:t>
      </w:r>
      <w:r>
        <w:rPr>
          <w:rFonts w:hint="eastAsia"/>
        </w:rPr>
        <w:t xml:space="preserve">では、競争均衡の閾値は</w:t>
      </w:r>
      <w:r>
        <w:t xml:space="preserve"> </w:t>
      </w:r>
      <m:oMath>
        <m:sSubSup>
          <m:e>
            <m:r>
              <m:t>θ</m:t>
            </m:r>
          </m:e>
          <m:sub>
            <m:r>
              <m:t>α</m:t>
            </m:r>
          </m:sub>
          <m:sup>
            <m:r>
              <m:rPr>
                <m:sty m:val="p"/>
              </m:rPr>
              <m:t>*</m:t>
            </m:r>
          </m:sup>
        </m:sSubSup>
      </m:oMath>
      <w:r>
        <w:t xml:space="preserve"> </w:t>
      </w:r>
      <w:r>
        <w:rPr>
          <w:rFonts w:hint="eastAsia"/>
        </w:rPr>
        <w:t xml:space="preserve">の1.29〜2.09倍である。2040年度の期待容量は最大11.8万kW（99%点で83万kW）にとどまる。</w:t>
      </w:r>
    </w:p>
    <w:p>
      <w:pPr>
        <w:pStyle w:val="BodyText"/>
      </w:pPr>
      <w:r>
        <w:rPr>
          <w:rFonts w:hint="eastAsia"/>
          <w:b/>
          <w:bCs/>
        </w:rPr>
        <w:t xml:space="preserve">識別と計算の限界</w:t>
      </w:r>
      <w:r>
        <w:t xml:space="preserve">　</w:t>
      </w:r>
      <w:r>
        <w:rPr>
          <w:rFonts w:hint="eastAsia"/>
        </w:rPr>
        <w:t xml:space="preserve">第一に、恒久成分のボラティリティ</w:t>
      </w:r>
      <w:r>
        <w:t xml:space="preserve"> </w:t>
      </w:r>
      <m:oMath>
        <m:r>
          <m:t>σ</m:t>
        </m:r>
      </m:oMath>
      <w:r>
        <w:t xml:space="preserve"> </w:t>
      </w:r>
      <w:r>
        <w:rPr>
          <w:rFonts w:hint="eastAsia"/>
        </w:rPr>
        <w:t xml:space="preserve">は識別できない。推定値は燃料危機を含めると年0.30、含めなければ0〜0.11で、95%区間は0〜0.64に及ぶ。Pindyck（1999）は約1世紀分の価格系列を用いて、エネルギー価格が確率的に動く長期の趨勢へ平均回帰することを示した。恒久成分の識別には、このような1世紀規模の価格系列か、Schwartz</w:t>
      </w:r>
      <w:r>
        <w:t xml:space="preserve"> and </w:t>
      </w:r>
      <w:r>
        <w:rPr>
          <w:rFonts w:hint="eastAsia"/>
        </w:rPr>
        <w:t xml:space="preserve">Smith（2000）のように先物の期間構造（彼らは原油先物で2因子を推定した）が要るが、北海道エリアにはどちらもない。第二に、期待成長</w:t>
      </w:r>
      <w:r>
        <w:t xml:space="preserve"> </w:t>
      </w:r>
      <m:oMath>
        <m:r>
          <m:t>α</m:t>
        </m:r>
      </m:oMath>
      <w:r>
        <w:t xml:space="preserve"> </w:t>
      </w:r>
      <w:r>
        <w:rPr>
          <w:rFonts w:hint="eastAsia"/>
        </w:rPr>
        <w:t xml:space="preserve">も識別できない。</w:t>
      </w:r>
      <m:oMath>
        <m:r>
          <m:t>α</m:t>
        </m:r>
        <m:r>
          <m:rPr>
            <m:sty m:val="p"/>
          </m:rPr>
          <m:t>&gt;</m:t>
        </m:r>
        <m:r>
          <m:t>0</m:t>
        </m:r>
      </m:oMath>
      <w:r>
        <w:t xml:space="preserve"> </w:t>
      </w:r>
      <w:r>
        <w:rPr>
          <w:rFonts w:hint="eastAsia"/>
        </w:rPr>
        <w:t xml:space="preserve">でも残るのは、2030年度までの確率が3%以下（ドリフト0・</w:t>
      </w:r>
      <m:oMath>
        <m:r>
          <m:t>σ</m:t>
        </m:r>
        <m:r>
          <m:rPr>
            <m:sty m:val="p"/>
          </m:rPr>
          <m:t>=</m:t>
        </m:r>
        <m:r>
          <m:t>0.30</m:t>
        </m:r>
      </m:oMath>
      <w:r>
        <w:t xml:space="preserve"> </w:t>
      </w:r>
      <w:r>
        <w:rPr>
          <w:rFonts w:hint="eastAsia"/>
        </w:rPr>
        <w:t xml:space="preserve">で2.7%）であることと、2040年度のフリート容量の期待値が12万kW</w:t>
      </w:r>
      <w:r>
        <w:t xml:space="preserve"> </w:t>
      </w:r>
      <w:r>
        <w:rPr>
          <w:rFonts w:hint="eastAsia"/>
        </w:rPr>
        <w:t xml:space="preserve">未満であることである。第三に、競争均衡の閾値の計算では、フリートの退役と再参入、容量市場価格の</w:t>
      </w:r>
      <w:r>
        <w:t xml:space="preserve"> </w:t>
      </w:r>
      <m:oMath>
        <m:r>
          <m:t>K</m:t>
        </m:r>
      </m:oMath>
      <w:r>
        <w:t xml:space="preserve"> </w:t>
      </w:r>
      <w:r>
        <w:rPr>
          <w:rFonts w:hint="eastAsia"/>
        </w:rPr>
        <w:t xml:space="preserve">依存、年1回の判断と1年の建設ラグを簡略化している。容量価格の低下を入れれば閾値は上がる方向に動き、容量収入が2030年度向け以降に上がれば閾値は下がる。出発点</w:t>
      </w:r>
      <w:r>
        <w:t xml:space="preserve"> </w:t>
      </w:r>
      <m:oMath>
        <m:r>
          <m:t>ξ</m:t>
        </m:r>
        <m:r>
          <m:rPr>
            <m:sty m:val="p"/>
          </m:rPr>
          <m:t>=</m:t>
        </m:r>
        <m:r>
          <m:t>1.22</m:t>
        </m:r>
      </m:oMath>
      <w:r>
        <w:t xml:space="preserve"> </w:t>
      </w:r>
      <w:r>
        <w:rPr>
          <w:rFonts w:hint="eastAsia"/>
        </w:rPr>
        <w:t xml:space="preserve">の推定誤差は確率に反映しておらず、上側は出発点1.57の感応度で示すにとどめた。第四に、校正係数</w:t>
      </w:r>
      <w:r>
        <w:t xml:space="preserve"> </w:t>
      </w:r>
      <m:oMath>
        <m:r>
          <m:t>λ</m:t>
        </m:r>
      </m:oMath>
      <w:r>
        <w:t xml:space="preserve"> </w:t>
      </w:r>
      <w:r>
        <w:t xml:space="preserve">は</w:t>
      </w:r>
      <w:r>
        <w:t xml:space="preserve"> </w:t>
      </w:r>
      <m:oMath>
        <m:r>
          <m:t>K</m:t>
        </m:r>
        <m:r>
          <m:rPr>
            <m:sty m:val="p"/>
          </m:rPr>
          <m:t>=</m:t>
        </m:r>
        <m:r>
          <m:t>0</m:t>
        </m:r>
      </m:oMath>
      <w:r>
        <w:t xml:space="preserve">・</w:t>
      </w:r>
      <m:oMath>
        <m:r>
          <m:t>θ</m:t>
        </m:r>
        <m:r>
          <m:rPr>
            <m:sty m:val="p"/>
          </m:rPr>
          <m:t>=</m:t>
        </m:r>
        <m:r>
          <m:t>1</m:t>
        </m:r>
      </m:oMath>
      <w:r>
        <w:t xml:space="preserve"> </w:t>
      </w:r>
      <w:r>
        <w:rPr>
          <w:rFonts w:hint="eastAsia"/>
        </w:rPr>
        <w:t xml:space="preserve">の標本内の値であり、閾値と確率は</w:t>
      </w:r>
      <w:r>
        <w:t xml:space="preserve"> </w:t>
      </w:r>
      <m:oMath>
        <m:r>
          <m:t>λ</m:t>
        </m:r>
      </m:oMath>
      <w:r>
        <w:t xml:space="preserve"> </w:t>
      </w:r>
      <w:r>
        <w:rPr>
          <w:rFonts w:hint="eastAsia"/>
        </w:rPr>
        <w:t xml:space="preserve">の大きさに応じて動く。</w:t>
      </w:r>
    </w:p>
    <w:bookmarkEnd w:id="381"/>
    <w:bookmarkEnd w:id="382"/>
    <w:bookmarkStart w:id="390" w:name="c.4-均衡からの乖離と契約の評価第8章"/>
    <w:p>
      <w:pPr>
        <w:pStyle w:val="Heading2"/>
      </w:pPr>
      <w:r>
        <w:t xml:space="preserve">C.4　</w:t>
      </w:r>
      <w:r>
        <w:rPr>
          <w:rFonts w:hint="eastAsia"/>
        </w:rPr>
        <w:t xml:space="preserve">均衡からの乖離と契約の評価（第8章）</w:t>
      </w:r>
    </w:p>
    <w:p>
      <w:pPr>
        <w:pStyle w:val="FirstParagraph"/>
      </w:pPr>
      <w:r>
        <w:rPr>
          <w:rFonts w:hint="eastAsia"/>
        </w:rPr>
        <w:t xml:space="preserve">本節は、第8章の本文で要約した市場外収入（付録C.4.1）、抑制と価格の対応（付録C.4.2）、損益分岐面（付録C.4.3）、事業</w:t>
      </w:r>
      <w:r>
        <w:t xml:space="preserve"> IRR </w:t>
      </w:r>
      <w:r>
        <w:rPr>
          <w:rFonts w:hint="eastAsia"/>
        </w:rPr>
        <w:t xml:space="preserve">と調整現在価値（付録C.4.4）、確実性等価（付録C.4.5）、多因子</w:t>
      </w:r>
      <w:r>
        <w:t xml:space="preserve"> </w:t>
      </w:r>
      <w:r>
        <w:rPr>
          <w:rFonts w:hint="eastAsia"/>
        </w:rPr>
        <w:t xml:space="preserve">CFaR（付録C.4.6）、ヘッジ有効性（付録C.4.7）の詳細と感応度を示す。</w:t>
      </w:r>
    </w:p>
    <w:bookmarkStart w:id="383" w:name="c.4.1-市場外収入の補足"/>
    <w:p>
      <w:pPr>
        <w:pStyle w:val="Heading3"/>
      </w:pPr>
      <w:r>
        <w:t xml:space="preserve">C.4.1　</w:t>
      </w:r>
      <w:r>
        <w:rPr>
          <w:rFonts w:hint="eastAsia"/>
        </w:rPr>
        <w:t xml:space="preserve">市場外収入の補足</w:t>
      </w:r>
    </w:p>
    <w:p>
      <w:pPr>
        <w:pStyle w:val="FirstParagraph"/>
      </w:pPr>
      <w:r>
        <w:rPr>
          <w:rFonts w:hint="eastAsia"/>
          <w:b/>
          <w:bCs/>
        </w:rPr>
        <w:t xml:space="preserve">容量市場</w:t>
      </w:r>
      <w:r>
        <w:t xml:space="preserve">　</w:t>
      </w:r>
      <w:r>
        <w:rPr>
          <w:rFonts w:hint="eastAsia"/>
        </w:rPr>
        <w:t xml:space="preserve">北海道の約定価格は上限近傍（2029年度向けで14,972円/kW）で、4時間蓄電池の調整係数83.6%を掛けた実効収入は約1.25万円/kW-年である。これは、2026〜2029年度向けの4回の北海道の約定価格に調整係数0.836を掛けた値（7,314〜12,517円/kW-年）の上端にあたり、2026年度向けでは実効0.73万円である。2030年度向けから指標価格（Net</w:t>
      </w:r>
      <w:r>
        <w:t xml:space="preserve"> </w:t>
      </w:r>
      <w:r>
        <w:rPr>
          <w:rFonts w:hint="eastAsia"/>
        </w:rPr>
        <w:t xml:space="preserve">CONE）が約2倍の20,911円/kW</w:t>
      </w:r>
      <w:r>
        <w:t xml:space="preserve"> </w:t>
      </w:r>
      <w:r>
        <w:rPr>
          <w:rFonts w:hint="eastAsia"/>
        </w:rPr>
        <w:t xml:space="preserve">になれば（OCCTO,</w:t>
      </w:r>
      <w:r>
        <w:t xml:space="preserve"> </w:t>
      </w:r>
      <w:r>
        <w:rPr>
          <w:rFonts w:hint="eastAsia"/>
        </w:rPr>
        <w:t xml:space="preserve">2026c）、実効収入は指標価格で約1.75万円、上限価格（1.5×Net</w:t>
      </w:r>
      <w:r>
        <w:t xml:space="preserve"> </w:t>
      </w:r>
      <w:r>
        <w:rPr>
          <w:rFonts w:hint="eastAsia"/>
        </w:rPr>
        <w:t xml:space="preserve">CONE＝31,366.5円）で約2.6万円/kW-年まで上がりうる。蓄電池の応札の急増（全国で2029年度向け169万kW）は、容量市場の側の共食いの開始を示唆しており、この上振れは持続的とは限らない。容量価格の</w:t>
      </w:r>
      <w:r>
        <w:t xml:space="preserve"> K </w:t>
      </w:r>
      <w:r>
        <w:rPr>
          <w:rFonts w:hint="eastAsia"/>
        </w:rPr>
        <w:t xml:space="preserve">への依存は、2030年度向けの価格軸を持つ需要曲線の上の移動として内生化し（7.6節）、損益分岐面の均衡容量に反映した。多因子</w:t>
      </w:r>
      <w:r>
        <w:t xml:space="preserve"> CFaR </w:t>
      </w:r>
      <w:r>
        <w:rPr>
          <w:rFonts w:hint="eastAsia"/>
        </w:rPr>
        <w:t xml:space="preserve">では、この約定水準が主ケースでマーチャントの市場収入の最大のリスク因子（5%</w:t>
      </w:r>
      <w:r>
        <w:t xml:space="preserve"> CFaR の Shapley </w:t>
      </w:r>
      <w:r>
        <w:rPr>
          <w:rFonts w:hint="eastAsia"/>
        </w:rPr>
        <w:t xml:space="preserve">配分の51%）であり、他者の参入（35%）と並ぶ二大因子である（2026年度向けを除く3値では他者の参入が60%で最大）。</w:t>
      </w:r>
    </w:p>
    <w:p>
      <w:pPr>
        <w:pStyle w:val="BodyText"/>
      </w:pPr>
      <w:r>
        <w:rPr>
          <w:rFonts w:hint="eastAsia"/>
          <w:b/>
          <w:bCs/>
        </w:rPr>
        <w:t xml:space="preserve">長期脱炭素電源オークション</w:t>
      </w:r>
      <w:r>
        <w:t xml:space="preserve">　LTDA </w:t>
      </w:r>
      <w:r>
        <w:rPr>
          <w:rFonts w:hint="eastAsia"/>
        </w:rPr>
        <w:t xml:space="preserve">の落札蓄電池は、全国で371.3万kW（第1〜3回、109.2・137.0・125.1万kW）、北海道で約67.4万kW（第1回32.5万kW・第2回20.9万kW・第3回14.0万kW）である。推定の方法と別解は付録A.6</w:t>
      </w:r>
      <w:r>
        <w:t xml:space="preserve"> </w:t>
      </w:r>
      <w:r>
        <w:rPr>
          <w:rFonts w:hint="eastAsia"/>
        </w:rPr>
        <w:t xml:space="preserve">に示す。LTDA</w:t>
      </w:r>
      <w:r>
        <w:t xml:space="preserve"> </w:t>
      </w:r>
      <w:r>
        <w:rPr>
          <w:rFonts w:hint="eastAsia"/>
        </w:rPr>
        <w:t xml:space="preserve">の供給力の提供は実需給2027年度以降なので、2026年5月末の接続済み約20万kW</w:t>
      </w:r>
      <w:r>
        <w:t xml:space="preserve"> </w:t>
      </w:r>
      <w:r>
        <w:rPr>
          <w:rFonts w:hint="eastAsia"/>
        </w:rPr>
        <w:t xml:space="preserve">とは提供時期が重ならない。接続済みと</w:t>
      </w:r>
      <w:r>
        <w:t xml:space="preserve"> LTDA </w:t>
      </w:r>
      <w:r>
        <w:rPr>
          <w:rFonts w:hint="eastAsia"/>
        </w:rPr>
        <w:t xml:space="preserve">を合わせて外生に置く既設・契約型の容量は約87.4万kW（6時間級の</w:t>
      </w:r>
      <w:r>
        <w:t xml:space="preserve"> kWh </w:t>
      </w:r>
      <w:r>
        <w:rPr>
          <w:rFonts w:hint="eastAsia"/>
        </w:rPr>
        <w:t xml:space="preserve">を4時間に換算すると99.1万kW）である。第3回（2025年度応札分）では、蓄電池の応札273.1万kW</w:t>
      </w:r>
      <w:r>
        <w:t xml:space="preserve"> </w:t>
      </w:r>
      <w:r>
        <w:rPr>
          <w:rFonts w:hint="eastAsia"/>
        </w:rPr>
        <w:t xml:space="preserve">に対し落札は125.1万kW（落札率46%）で、脱炭素電源全体の約定総額は年4,748億円、426.1万kW</w:t>
      </w:r>
      <w:r>
        <w:t xml:space="preserve"> </w:t>
      </w:r>
      <w:r>
        <w:rPr>
          <w:rFonts w:hint="eastAsia"/>
        </w:rPr>
        <w:t xml:space="preserve">に対して1kWあたり約11.1万円/年（他市場収益の還付控除前）に達する。他市場収益は3段階の割合で還付される。応札価格に含まれる資本コスト相当額までは95%、（契約単価−メインオークション約定価格）×契約容量を超える部分は85%、その間は90%であり（容量確保契約約款第28条）、平均して約9割に達する。このため</w:t>
      </w:r>
      <w:r>
        <w:t xml:space="preserve"> LTDA </w:t>
      </w:r>
      <w:r>
        <w:rPr>
          <w:rFonts w:hint="eastAsia"/>
        </w:rPr>
        <w:t xml:space="preserve">電源は市場収益に依存せずに建設され、落札者に残る市場収益は1割程度にすぎない。</w:t>
      </w:r>
    </w:p>
    <w:p>
      <w:pPr>
        <w:pStyle w:val="BodyText"/>
      </w:pPr>
      <w:r>
        <w:rPr>
          <w:rFonts w:hint="eastAsia"/>
        </w:rPr>
        <w:t xml:space="preserve">蓄電池の上限価格は、第3回で7.6〜8.1万円/kW-年（北海道7.7万円）、応札年度2026の募集要綱（2026年9月公表）で7.1〜7.4万円/kW-年（北海道7.2万円）である（OCCTO,</w:t>
      </w:r>
      <w:r>
        <w:t xml:space="preserve"> 2025a, </w:t>
      </w:r>
      <w:r>
        <w:rPr>
          <w:rFonts w:hint="eastAsia"/>
        </w:rPr>
        <w:t xml:space="preserve">2026a）。契約容量は設備容量ではない。応札年度2026の募集要綱では、応札容量の上限は期待容量（送電端の設備容量に調整係数を掛けて自動計算される値）であり、容量確保契約は応札容量で成立する（OCCTO,</w:t>
      </w:r>
      <w:r>
        <w:t xml:space="preserve"> 2026a, pp. 32–33, </w:t>
      </w:r>
      <w:r>
        <w:rPr>
          <w:rFonts w:hint="eastAsia"/>
        </w:rPr>
        <w:t xml:space="preserve">様式6）。北海道の6時間蓄電池の調整係数0.932（容量市場の2029年度向けの値で代用）を当てると、設備1kWあたりの固定収入は上限価格の93.2%以下になる。それでも、本研究の参入必要収益（4時間仕様で3.2〜3.6万円/kW-年。6時間仕様に資本費を比例換算すると、式(4.6)で割引率4〜6%として約4.2〜4.8万円）を大きく上回る。落札電源は、供給力提供開始年度を除き、制度適用期間中は同じ設備容量でメインオークションに参加できない（OCCTO,</w:t>
      </w:r>
      <w:r>
        <w:t xml:space="preserve"> 2026a, pp. </w:t>
      </w:r>
      <w:r>
        <w:rPr>
          <w:rFonts w:hint="eastAsia"/>
        </w:rPr>
        <w:t xml:space="preserve">47–48）。</w:t>
      </w:r>
    </w:p>
    <w:p>
      <w:pPr>
        <w:pStyle w:val="BodyText"/>
      </w:pPr>
      <w:r>
        <w:rPr>
          <w:rFonts w:hint="eastAsia"/>
        </w:rPr>
        <w:t xml:space="preserve">工藤（2025）は、蓄電池以外の参加が低調で募集未達が続く一方、蓄電池は応札が活発で募集が縮減されていること（第3回の募集案では蓄電池は継続時間6時間以上に限定）、9割還付の下では投資リスクと収益が見合わないこと、上限価格の閾値の引き上げ（10万円から20万円/kW-年へ）が提案されていることを指摘している。ただし最終的な募集要綱で20万円が適用されたのは太陽光・洋上風力等であり、蓄電池の上限は上記の水準にとどまり、応札年度2026ではさらに引き下げられた。第3回から、蓄電池は「1日1回以上連続6時間以上の運転継続が可能」で、連続発電可能時間の年平均が6時間以上のものに限られ（第2回は3〜6時間と6時間以上の2区分）、1日2回の3時間充放電では要件を満たさない。蓄電池・揚水の応札は募集上限の3.4〜7倍に達し、制度の有効性が問われている（工藤，2025）。</w:t>
      </w:r>
    </w:p>
    <w:p>
      <w:pPr>
        <w:pStyle w:val="BodyText"/>
      </w:pPr>
      <w:r>
        <w:rPr>
          <w:rFonts w:hint="eastAsia"/>
          <w:b/>
          <w:bCs/>
        </w:rPr>
        <w:t xml:space="preserve">補助金</w:t>
      </w:r>
      <w:r>
        <w:t xml:space="preserve">　SII </w:t>
      </w:r>
      <w:r>
        <w:rPr>
          <w:rFonts w:hint="eastAsia"/>
        </w:rPr>
        <w:t xml:space="preserve">の「再生可能エネルギー導入拡大・系統用蓄電池等電力貯蔵システム導入支援事業」は、受電電力1,000kW</w:t>
      </w:r>
      <w:r>
        <w:t xml:space="preserve"> </w:t>
      </w:r>
      <w:r>
        <w:rPr>
          <w:rFonts w:hint="eastAsia"/>
        </w:rPr>
        <w:t xml:space="preserve">以上の系統用蓄電池の設計費・設備費・工事費を補助する。補助率は1,000kW</w:t>
      </w:r>
      <w:r>
        <w:t xml:space="preserve"> </w:t>
      </w:r>
      <w:r>
        <w:rPr>
          <w:rFonts w:hint="eastAsia"/>
        </w:rPr>
        <w:t xml:space="preserve">以上10,000kW</w:t>
      </w:r>
      <w:r>
        <w:t xml:space="preserve"> </w:t>
      </w:r>
      <w:r>
        <w:rPr>
          <w:rFonts w:hint="eastAsia"/>
        </w:rPr>
        <w:t xml:space="preserve">未満で1/3以内（上限10億円）、10,000kW</w:t>
      </w:r>
      <w:r>
        <w:t xml:space="preserve"> </w:t>
      </w:r>
      <w:r>
        <w:rPr>
          <w:rFonts w:hint="eastAsia"/>
        </w:rPr>
        <w:t xml:space="preserve">以上で1/2以内（上限40億円）、長期間エネルギー貯蔵（LDES）で2/3以内（上限20億円）であり、2024・2025年度の公募要領で同じである。交付決定は2024年度が27件（補助金346.5億円）で、うち北海道が9件（131.6億円）と最多、2025年度は37件（363.2億円）のうち北海道3件（49.0億円）であった（環境共創イニシアチブ，2024，2025）。補助率を</w:t>
      </w:r>
      <w:r>
        <w:t xml:space="preserve"> </w:t>
      </w:r>
      <m:oMath>
        <m:r>
          <m:t>s</m:t>
        </m:r>
      </m:oMath>
      <w:r>
        <w:t xml:space="preserve"> </w:t>
      </w:r>
      <w:r>
        <w:rPr>
          <w:rFonts w:hint="eastAsia"/>
        </w:rPr>
        <w:t xml:space="preserve">とすると、参入必要収益は資本費の年額×</w:t>
      </w:r>
      <m:oMath>
        <m:r>
          <m:t>s</m:t>
        </m:r>
      </m:oMath>
      <w:r>
        <w:t xml:space="preserve"> </w:t>
      </w:r>
      <w:r>
        <w:rPr>
          <w:rFonts w:hint="eastAsia"/>
        </w:rPr>
        <w:t xml:space="preserve">だけ低下する。1/2補助は、上限額が効かない規模なら、実効の資本費を6.8万円から3.4万円/kWh</w:t>
      </w:r>
      <w:r>
        <w:t xml:space="preserve"> </w:t>
      </w:r>
      <w:r>
        <w:rPr>
          <w:rFonts w:hint="eastAsia"/>
        </w:rPr>
        <w:t xml:space="preserve">に下げる。ただし4時間・6.8万円/kWh</w:t>
      </w:r>
      <w:r>
        <w:t xml:space="preserve"> </w:t>
      </w:r>
      <w:r>
        <w:rPr>
          <w:rFonts w:hint="eastAsia"/>
        </w:rPr>
        <w:t xml:space="preserve">では上限40億円が約2.9万kW</w:t>
      </w:r>
      <w:r>
        <w:t xml:space="preserve"> </w:t>
      </w:r>
      <w:r>
        <w:rPr>
          <w:rFonts w:hint="eastAsia"/>
        </w:rPr>
        <w:t xml:space="preserve">を超える案件から効き始め、5万kW</w:t>
      </w:r>
      <w:r>
        <w:t xml:space="preserve"> </w:t>
      </w:r>
      <w:r>
        <w:rPr>
          <w:rFonts w:hint="eastAsia"/>
        </w:rPr>
        <w:t xml:space="preserve">なら実効の補助率は29%、実効の資本費は約4.8万円/kWh</w:t>
      </w:r>
      <w:r>
        <w:t xml:space="preserve"> </w:t>
      </w:r>
      <w:r>
        <w:rPr>
          <w:rFonts w:hint="eastAsia"/>
        </w:rPr>
        <w:t xml:space="preserve">にとどまる。上限のない1/2補助と容量収入1.25万円を合わせた損益分岐の水準係数は1.58（割引率6%、実績整合ケース。8%では1.81）で、FY2026上期の水準（1.57）とほぼ等しい。上限のない1/2補助を受けたマーチャントの事業</w:t>
      </w:r>
      <w:r>
        <w:t xml:space="preserve"> IRR は、</w:t>
      </w:r>
      <m:oMath>
        <m:r>
          <m:t>θ</m:t>
        </m:r>
        <m:r>
          <m:rPr>
            <m:sty m:val="p"/>
          </m:rPr>
          <m:t>=</m:t>
        </m:r>
        <m:r>
          <m:t>1</m:t>
        </m:r>
      </m:oMath>
      <w:r>
        <w:t xml:space="preserve"> </w:t>
      </w:r>
      <w:r>
        <w:rPr>
          <w:rFonts w:hint="eastAsia"/>
        </w:rPr>
        <w:t xml:space="preserve">で0.3%、FY2026上期の水準で5.9%、FY2022</w:t>
      </w:r>
      <w:r>
        <w:t xml:space="preserve"> </w:t>
      </w:r>
      <w:r>
        <w:rPr>
          <w:rFonts w:hint="eastAsia"/>
        </w:rPr>
        <w:t xml:space="preserve">の水準で7.2%である。補助を受けたマーチャントの判定は割引率の選び方に依存し、</w:t>
      </w:r>
      <m:oMath>
        <m:sSubSup>
          <m:e>
            <m:r>
              <m:t>r</m:t>
            </m:r>
          </m:e>
          <m:sub>
            <m:r>
              <m:t>A</m:t>
            </m:r>
          </m:sub>
          <m:sup>
            <m:r>
              <m:t>M</m:t>
            </m:r>
          </m:sup>
        </m:sSubSup>
        <m:r>
          <m:rPr>
            <m:sty m:val="p"/>
          </m:rPr>
          <m:t>=</m:t>
        </m:r>
        <m:r>
          <m:t>9</m:t>
        </m:r>
        <m:r>
          <m:rPr>
            <m:sty m:val="p"/>
          </m:rPr>
          <m:t>%</m:t>
        </m:r>
      </m:oMath>
      <w:r>
        <w:t xml:space="preserve"> </w:t>
      </w:r>
      <w:r>
        <w:t xml:space="preserve">では FY2022 </w:t>
      </w:r>
      <w:r>
        <w:rPr>
          <w:rFonts w:hint="eastAsia"/>
        </w:rPr>
        <w:t xml:space="preserve">の水準でも</w:t>
      </w:r>
      <w:r>
        <w:t xml:space="preserve"> APV </w:t>
      </w:r>
      <w:r>
        <w:rPr>
          <w:rFonts w:hint="eastAsia"/>
        </w:rPr>
        <w:t xml:space="preserve">は負である。</w:t>
      </w:r>
    </w:p>
    <w:bookmarkEnd w:id="383"/>
    <w:bookmarkStart w:id="384" w:name="c.4.2-抑制と価格の対応の詳細"/>
    <w:p>
      <w:pPr>
        <w:pStyle w:val="Heading3"/>
      </w:pPr>
      <w:r>
        <w:t xml:space="preserve">C.4.2　</w:t>
      </w:r>
      <w:r>
        <w:rPr>
          <w:rFonts w:hint="eastAsia"/>
        </w:rPr>
        <w:t xml:space="preserve">抑制と価格の対応の詳細</w:t>
      </w:r>
    </w:p>
    <w:p>
      <w:pPr>
        <w:pStyle w:val="FirstParagraph"/>
      </w:pPr>
      <w:r>
        <w:rPr>
          <w:rFonts w:hint="eastAsia"/>
          <w:b/>
          <w:bCs/>
        </w:rPr>
        <w:t xml:space="preserve">抑制の推移</w:t>
      </w:r>
      <w:r>
        <w:t xml:space="preserve">　</w:t>
      </w:r>
      <w:r>
        <w:rPr>
          <w:rFonts w:hint="eastAsia"/>
        </w:rPr>
        <w:t xml:space="preserve">北海道の風力の抑制率（電力量ベース）は、2022〜24年度に0〜0.04%（FY2023</w:t>
      </w:r>
      <w:r>
        <w:t xml:space="preserve"> </w:t>
      </w:r>
      <w:r>
        <w:rPr>
          <w:rFonts w:hint="eastAsia"/>
        </w:rPr>
        <w:t xml:space="preserve">は0.000%）、2025年度に0.10%、2026年度4〜6月に1.35%と立ち上がり、抑制時間は12時間（FY2024）、109時間（FY2025）、235時間（FY2026</w:t>
      </w:r>
      <w:r>
        <w:t xml:space="preserve"> </w:t>
      </w:r>
      <w:r>
        <w:rPr>
          <w:rFonts w:hint="eastAsia"/>
        </w:rPr>
        <w:t xml:space="preserve">の4〜6月）である。1.35%は春の抑制の最盛期の3か月の率で、年率ではない（FY2025</w:t>
      </w:r>
      <w:r>
        <w:t xml:space="preserve"> </w:t>
      </w:r>
      <w:r>
        <w:rPr>
          <w:rFonts w:hint="eastAsia"/>
        </w:rPr>
        <w:t xml:space="preserve">の年率は0.10%、月別の最大は2026年5月の2.19%）。</w:t>
      </w:r>
    </w:p>
    <w:p>
      <w:pPr>
        <w:pStyle w:val="BodyText"/>
      </w:pPr>
      <w:r>
        <w:rPr>
          <w:rFonts w:hint="eastAsia"/>
          <w:b/>
          <w:bCs/>
        </w:rPr>
        <w:t xml:space="preserve">抑制時の価格</w:t>
      </w:r>
      <w:r>
        <w:t xml:space="preserve">　</w:t>
      </w:r>
      <w:r>
        <w:rPr>
          <w:rFonts w:hint="eastAsia"/>
        </w:rPr>
        <w:t xml:space="preserve">抑制が発生した時間のエリア価格は、時間ベースで、下限価格（0.01円/kWh）への張り付きが60〜69%、0.01〜5円が19〜28%、5円超が12.8%（FY2025・26とも）である。電力量ベースでは、下限張り付き・0.01〜5円・5円超の順に、FY2025</w:t>
      </w:r>
      <w:r>
        <w:t xml:space="preserve"> で55.1・29.2・15.7%、FY2026 </w:t>
      </w:r>
      <w:r>
        <w:rPr>
          <w:rFonts w:hint="eastAsia"/>
        </w:rPr>
        <w:t xml:space="preserve">の4〜6月で77.2・13.4・9.4%、期間計（2025年4月〜2026年6月）で71.8・17.3・10.9%である。</w:t>
      </w:r>
    </w:p>
    <w:p>
      <w:pPr>
        <w:pStyle w:val="BodyText"/>
      </w:pPr>
      <w:r>
        <w:rPr>
          <w:rFonts w:hint="eastAsia"/>
          <w:b/>
          <w:bCs/>
        </w:rPr>
        <w:t xml:space="preserve">5円超の抑制</w:t>
      </w:r>
      <w:r>
        <w:t xml:space="preserve">　</w:t>
      </w:r>
      <w:r>
        <w:rPr>
          <w:rFonts w:hint="eastAsia"/>
        </w:rPr>
        <w:t xml:space="preserve">5円超の抑制（44時間・1,443.5MWh、期間の風力抑制電力量の10.9%）は、ローカル系統の混雑を示すものではない。その88.6%（電力量）は太陽光の抑制と同じ時間に起き、64%（時間。ローカル制御の規模の太陽光の抑制を連続の判定から除くと73%）は再エネの抑制が続いた時間帯の最初か最後の時間に生じている（5円以下の抑制では19〜22%）。同じ日に下限張り付きの時間がある時間も18時間あり、太陽光の抑制との同時発生・同じ日の下限張り付き・時間帯の端のいずれにも当たらない時間はない。30分値で下限のコマを含む時間もない。前日に時間帯単位で計画されるエリア全体の制御と、時間ごとのスポット価格とのずれと読むのが自然であり、ローカル混雑によるものではない（ローカル制御の対象に風力はない）。</w:t>
      </w:r>
    </w:p>
    <w:p>
      <w:pPr>
        <w:pStyle w:val="BodyText"/>
      </w:pPr>
      <w:r>
        <w:rPr>
          <w:rFonts w:hint="eastAsia"/>
          <w:b/>
          <w:bCs/>
        </w:rPr>
        <w:t xml:space="preserve">ローカル制御</w:t>
      </w:r>
      <w:r>
        <w:t xml:space="preserve">　OCCTO </w:t>
      </w:r>
      <w:r>
        <w:rPr>
          <w:rFonts w:hint="eastAsia"/>
        </w:rPr>
        <w:t xml:space="preserve">の検証資料によれば、道内初のローカル混雑による出力制御（66kV</w:t>
      </w:r>
      <w:r>
        <w:t xml:space="preserve"> </w:t>
      </w:r>
      <w:r>
        <w:rPr>
          <w:rFonts w:hint="eastAsia"/>
        </w:rPr>
        <w:t xml:space="preserve">の岩松線は2025年11月と2026年5〜6月、富川線は2026年5〜6月）の対象は、両系統とも太陽光のノンファーム電源で、風力の連系はない。自然変動電源の抑制量は各系統で最大0.02〜0.25万kW（岩松線の抑制必要量は2026年5月の日祝日に最大0.8万kW）で、太陽光の抑制電力量の1.5%以下である（OCCTO,</w:t>
      </w:r>
      <w:r>
        <w:t xml:space="preserve"> 2026b, </w:t>
      </w:r>
      <w:r>
        <w:rPr>
          <w:rFonts w:hint="eastAsia"/>
        </w:rPr>
        <w:t xml:space="preserve">別紙2）。5円超の時間のうち7時間（223.5MWh、5円超の15.5%）はローカル制御の日時と重なるが、両系統に風力の連系はないので、これらもエリア全体の制御による。2025年12月〜2026年4月分の公表は確認できない。なお、需給実績の太陽光の出力制御量はローカル制御を含む（エリア全体の制御がない2026年5〜6月の35日には、公表された時間帯に319MWh、最大抑制量×時間の上限の66%が現れる）。北海道の出力制御の大半はエリア全体の需給バランス制約によるもので、2026年4月は11日・計画最大133.6万kW、5月は18日・同126.1万kW</w:t>
      </w:r>
      <w:r>
        <w:t xml:space="preserve"> </w:t>
      </w:r>
      <w:r>
        <w:rPr>
          <w:rFonts w:hint="eastAsia"/>
        </w:rPr>
        <w:t xml:space="preserve">である。5円超の抑制の分類と、ローカル制御の一覧は表D.4</w:t>
      </w:r>
      <w:r>
        <w:t xml:space="preserve"> </w:t>
      </w:r>
      <w:r>
        <w:rPr>
          <w:rFonts w:hint="eastAsia"/>
        </w:rPr>
        <w:t xml:space="preserve">と表D.5</w:t>
      </w:r>
      <w:r>
        <w:t xml:space="preserve"> </w:t>
      </w:r>
      <w:r>
        <w:rPr>
          <w:rFonts w:hint="eastAsia"/>
        </w:rPr>
        <w:t xml:space="preserve">に示す。</w:t>
      </w:r>
    </w:p>
    <w:p>
      <w:pPr>
        <w:pStyle w:val="BodyText"/>
      </w:pPr>
      <w:r>
        <w:rPr>
          <w:rFonts w:hint="eastAsia"/>
          <w:b/>
          <w:bCs/>
        </w:rPr>
        <w:t xml:space="preserve">海外との比較</w:t>
      </w:r>
      <w:r>
        <w:t xml:space="preserve">　</w:t>
      </w:r>
      <w:r>
        <w:rPr>
          <w:rFonts w:hint="eastAsia"/>
        </w:rPr>
        <w:t xml:space="preserve">英国の47の風力サイトの併設蓄電池（1MWh、2021年）を評価した</w:t>
      </w:r>
      <w:r>
        <w:t xml:space="preserve"> Atherton et </w:t>
      </w:r>
      <w:r>
        <w:rPr>
          <w:rFonts w:hint="eastAsia"/>
        </w:rPr>
        <w:t xml:space="preserve">al.（2023）は、全サイトが2〜3年で回収するがその主因はどのサイトでも価格裁定であり、抑制の多いスコットランドのサイトでは回収が遅い代わりに抑制の削減が大きいことを示した。ただし英国は制約支払いで抑制が補償される制度であり、ノーダル価格の</w:t>
      </w:r>
      <w:r>
        <w:t xml:space="preserve"> </w:t>
      </w:r>
      <w:r>
        <w:rPr>
          <w:rFonts w:hint="eastAsia"/>
        </w:rPr>
        <w:t xml:space="preserve">ERCOT、補償のないゾーン価格の日本とは、ローカル制約の価値の帰属先が異なる。併設蓄電池の価値が裁定と抑制回避の二つの成分からなり、後者の比重が系統制約で決まるという構図は本研究の分解と同じであり、北海道の現状でも裁定が主である点も同じである。</w:t>
      </w:r>
    </w:p>
    <w:p>
      <w:pPr>
        <w:pStyle w:val="TableCaption"/>
      </w:pPr>
      <w:r>
        <w:rPr>
          <w:rFonts w:hint="eastAsia"/>
        </w:rPr>
        <w:t xml:space="preserve">表C.36</w:t>
      </w:r>
      <w:r>
        <w:t xml:space="preserve">　</w:t>
      </w:r>
      <w:r>
        <w:rPr>
          <w:rFonts w:hint="eastAsia"/>
        </w:rPr>
        <w:t xml:space="preserve">併設蓄電池の容量制約下での抑制回避可能率</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6　併設蓄電池の容量制約下での抑制回避可能率"/>
      </w:tblPr>
      <w:tblGrid>
        <w:gridCol w:w="2160"/>
        <w:gridCol w:w="2880"/>
        <w:gridCol w:w="2880"/>
      </w:tblGrid>
      <w:tr>
        <w:trPr>
          <w:tblHeader w:val="on"/>
        </w:trPr>
        <w:tc>
          <w:tcPr>
            <w:tcBorders>
              <w:bottom w:val="single" w:sz="6" w:color="000000"/>
            </w:tcBorders>
          </w:tcPr>
          <w:p>
            <w:pPr>
              <w:pStyle w:val="Compact"/>
            </w:pPr>
            <w:r>
              <w:rPr>
                <w:rFonts w:hint="eastAsia"/>
                <w:sz w:val="18"/>
              </w:rPr>
              <w:t xml:space="preserve">併設仕様（kWh/kW・放電時間）</w:t>
            </w:r>
          </w:p>
        </w:tc>
        <w:tc>
          <w:tcPr>
            <w:tcBorders>
              <w:bottom w:val="single" w:sz="6" w:color="000000"/>
            </w:tcBorders>
          </w:tcPr>
          <w:p>
            <w:pPr>
              <w:pStyle w:val="Compact"/>
              <w:jc w:val="right"/>
            </w:pPr>
            <w:r>
              <w:rPr>
                <w:rFonts w:hint="eastAsia"/>
                <w:sz w:val="18"/>
              </w:rPr>
              <w:t xml:space="preserve">一様分布</w:t>
            </w:r>
          </w:p>
        </w:tc>
        <w:tc>
          <w:tcPr>
            <w:tcBorders>
              <w:bottom w:val="single" w:sz="6" w:color="000000"/>
            </w:tcBorders>
          </w:tcPr>
          <w:p>
            <w:pPr>
              <w:pStyle w:val="Compact"/>
              <w:jc w:val="right"/>
            </w:pPr>
            <w:r>
              <w:rPr>
                <w:rFonts w:hint="eastAsia"/>
                <w:sz w:val="18"/>
              </w:rPr>
              <w:t xml:space="preserve">集中（容量20%のサイトに抑制の77%）</w:t>
            </w:r>
          </w:p>
        </w:tc>
      </w:tr>
      <w:tr>
        <w:tc>
          <w:tcPr/>
          <w:p>
            <w:pPr>
              <w:pStyle w:val="Compact"/>
            </w:pPr>
            <w:r>
              <w:rPr>
                <w:rFonts w:hint="eastAsia"/>
                <w:sz w:val="18"/>
              </w:rPr>
              <w:t xml:space="preserve">0.64・4時間</w:t>
            </w:r>
          </w:p>
        </w:tc>
        <w:tc>
          <w:tcPr/>
          <w:p>
            <w:pPr>
              <w:pStyle w:val="Compact"/>
              <w:jc w:val="right"/>
            </w:pPr>
            <w:r>
              <w:rPr>
                <w:sz w:val="18"/>
              </w:rPr>
              <w:t xml:space="preserve">96.8%</w:t>
            </w:r>
          </w:p>
        </w:tc>
        <w:tc>
          <w:tcPr/>
          <w:p>
            <w:pPr>
              <w:pStyle w:val="Compact"/>
              <w:jc w:val="right"/>
            </w:pPr>
            <w:r>
              <w:rPr>
                <w:sz w:val="18"/>
              </w:rPr>
              <w:t xml:space="preserve">65.3%</w:t>
            </w:r>
          </w:p>
        </w:tc>
      </w:tr>
      <w:tr>
        <w:tc>
          <w:tcPr/>
          <w:p>
            <w:pPr>
              <w:pStyle w:val="Compact"/>
            </w:pPr>
            <w:r>
              <w:rPr>
                <w:rFonts w:hint="eastAsia"/>
                <w:sz w:val="18"/>
              </w:rPr>
              <w:t xml:space="preserve">0.64・2時間</w:t>
            </w:r>
          </w:p>
        </w:tc>
        <w:tc>
          <w:tcPr/>
          <w:p>
            <w:pPr>
              <w:pStyle w:val="Compact"/>
              <w:jc w:val="right"/>
            </w:pPr>
            <w:r>
              <w:rPr>
                <w:sz w:val="18"/>
              </w:rPr>
              <w:t xml:space="preserve">99.2%</w:t>
            </w:r>
          </w:p>
        </w:tc>
        <w:tc>
          <w:tcPr/>
          <w:p>
            <w:pPr>
              <w:pStyle w:val="Compact"/>
              <w:jc w:val="right"/>
            </w:pPr>
            <w:r>
              <w:rPr>
                <w:sz w:val="18"/>
              </w:rPr>
              <w:t xml:space="preserve">67.3%</w:t>
            </w:r>
          </w:p>
        </w:tc>
      </w:tr>
      <w:tr>
        <w:tc>
          <w:tcPr/>
          <w:p>
            <w:pPr>
              <w:pStyle w:val="Compact"/>
            </w:pPr>
            <w:r>
              <w:rPr>
                <w:rFonts w:hint="eastAsia"/>
                <w:sz w:val="18"/>
              </w:rPr>
              <w:t xml:space="preserve">1.28・4時間</w:t>
            </w:r>
          </w:p>
        </w:tc>
        <w:tc>
          <w:tcPr/>
          <w:p>
            <w:pPr>
              <w:pStyle w:val="Compact"/>
              <w:jc w:val="right"/>
            </w:pPr>
            <w:r>
              <w:rPr>
                <w:sz w:val="18"/>
              </w:rPr>
              <w:t xml:space="preserve">100%</w:t>
            </w:r>
          </w:p>
        </w:tc>
        <w:tc>
          <w:tcPr/>
          <w:p>
            <w:pPr>
              <w:pStyle w:val="Compact"/>
              <w:jc w:val="right"/>
            </w:pPr>
            <w:r>
              <w:rPr>
                <w:sz w:val="18"/>
              </w:rPr>
              <w:t xml:space="preserve">84.3%</w:t>
            </w:r>
          </w:p>
        </w:tc>
      </w:tr>
      <w:tr>
        <w:tc>
          <w:tcPr/>
          <w:p>
            <w:pPr>
              <w:pStyle w:val="Compact"/>
            </w:pPr>
            <w:r>
              <w:rPr>
                <w:rFonts w:hint="eastAsia"/>
                <w:sz w:val="18"/>
              </w:rPr>
              <w:t xml:space="preserve">2.0・4時間</w:t>
            </w:r>
          </w:p>
        </w:tc>
        <w:tc>
          <w:tcPr/>
          <w:p>
            <w:pPr>
              <w:pStyle w:val="Compact"/>
              <w:jc w:val="right"/>
            </w:pPr>
            <w:r>
              <w:rPr>
                <w:sz w:val="18"/>
              </w:rPr>
              <w:t xml:space="preserve">100%</w:t>
            </w:r>
          </w:p>
        </w:tc>
        <w:tc>
          <w:tcPr/>
          <w:p>
            <w:pPr>
              <w:pStyle w:val="Compact"/>
              <w:jc w:val="right"/>
            </w:pPr>
            <w:r>
              <w:rPr>
                <w:sz w:val="18"/>
              </w:rPr>
              <w:t xml:space="preserve">93.8%</w:t>
            </w:r>
          </w:p>
        </w:tc>
      </w:tr>
    </w:tbl>
    <w:p>
      <w:pPr>
        <w:pStyle w:val="TableNote"/>
      </w:pPr>
      <w:r>
        <w:rPr>
          <w:rFonts w:hint="eastAsia"/>
        </w:rPr>
        <w:t xml:space="preserve">注）北海道の風力、2025年4月〜2026年6月の時間値、フリート集約の充電状態のシミュレーション。併設容量を倍の1.28kWh/kW</w:t>
      </w:r>
      <w:r>
        <w:t xml:space="preserve"> </w:t>
      </w:r>
      <w:r>
        <w:rPr>
          <w:rFonts w:hint="eastAsia"/>
        </w:rPr>
        <w:t xml:space="preserve">にすれば集中のケースでも84%に上がる一方、放電時間を2時間に短縮しても2ポイントしか改善しないので、制約は出力ではなく容量（kWh）である。</w:t>
      </w:r>
    </w:p>
    <w:p>
      <w:pPr>
        <w:pStyle w:val="TableNote"/>
      </w:pPr>
      <w:r>
        <w:rPr>
          <w:rFonts w:hint="eastAsia"/>
        </w:rPr>
        <w:t xml:space="preserve">出所）北海道電力ネットワーク『エリア需給実績』（出力制御量を含む）より筆者作成。</w:t>
      </w:r>
    </w:p>
    <w:p>
      <w:pPr>
        <w:pStyle w:val="TableCaption"/>
      </w:pPr>
      <w:r>
        <w:rPr>
          <w:rFonts w:hint="eastAsia"/>
        </w:rPr>
        <w:t xml:space="preserve">表C.37</w:t>
      </w:r>
      <w:r>
        <w:t xml:space="preserve">　</w:t>
      </w:r>
      <w:r>
        <w:rPr>
          <w:rFonts w:hint="eastAsia"/>
        </w:rPr>
        <w:t xml:space="preserve">併設蓄電池の抑制回避の増分価値</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7　併設蓄電池の抑制回避の増分価値"/>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抑制率（年率）と拡大の方法</w:t>
            </w:r>
          </w:p>
        </w:tc>
        <w:tc>
          <w:tcPr>
            <w:tcBorders>
              <w:bottom w:val="single" w:sz="6" w:color="000000"/>
            </w:tcBorders>
          </w:tcPr>
          <w:p>
            <w:pPr>
              <w:pStyle w:val="Compact"/>
            </w:pPr>
            <w:r>
              <w:rPr>
                <w:rFonts w:hint="eastAsia"/>
                <w:sz w:val="18"/>
              </w:rPr>
              <w:t xml:space="preserve">回避率（一様／集中）</w:t>
            </w:r>
          </w:p>
        </w:tc>
        <w:tc>
          <w:tcPr>
            <w:tcBorders>
              <w:bottom w:val="single" w:sz="6" w:color="000000"/>
            </w:tcBorders>
          </w:tcPr>
          <w:p>
            <w:pPr>
              <w:pStyle w:val="Compact"/>
            </w:pPr>
            <w:r>
              <w:rPr>
                <w:rFonts w:hint="eastAsia"/>
                <w:sz w:val="18"/>
              </w:rPr>
              <w:t xml:space="preserve">増分（円/kW蓄電池-年、一様／集中）</w:t>
            </w:r>
          </w:p>
        </w:tc>
        <w:tc>
          <w:tcPr>
            <w:tcBorders>
              <w:bottom w:val="single" w:sz="6" w:color="000000"/>
            </w:tcBorders>
          </w:tcPr>
          <w:p>
            <w:pPr>
              <w:pStyle w:val="Compact"/>
            </w:pPr>
            <w:r>
              <w:rPr>
                <w:rFonts w:hint="eastAsia"/>
                <w:sz w:val="18"/>
              </w:rPr>
              <w:t xml:space="preserve">同（円/kW風力-年）</w:t>
            </w:r>
          </w:p>
        </w:tc>
        <w:tc>
          <w:tcPr>
            <w:tcBorders>
              <w:bottom w:val="single" w:sz="6" w:color="000000"/>
            </w:tcBorders>
          </w:tcPr>
          <w:p>
            <w:pPr>
              <w:pStyle w:val="Compact"/>
            </w:pPr>
            <w:r>
              <w:rPr>
                <w:rFonts w:hint="eastAsia"/>
                <w:sz w:val="18"/>
              </w:rPr>
              <w:t xml:space="preserve">スポット裁定（6,675円）に対する比</w:t>
            </w:r>
          </w:p>
        </w:tc>
      </w:tr>
      <w:tr>
        <w:tc>
          <w:tcPr/>
          <w:p>
            <w:pPr>
              <w:pStyle w:val="Compact"/>
            </w:pPr>
            <w:r>
              <w:rPr>
                <w:rFonts w:hint="eastAsia"/>
                <w:sz w:val="18"/>
              </w:rPr>
              <w:t xml:space="preserve">0.10%（FY2025</w:t>
            </w:r>
            <w:r>
              <w:rPr>
                <w:sz w:val="18"/>
              </w:rPr>
              <w:t xml:space="preserve"> </w:t>
            </w:r>
            <w:r>
              <w:rPr>
                <w:rFonts w:hint="eastAsia"/>
                <w:sz w:val="18"/>
              </w:rPr>
              <w:t xml:space="preserve">の実績）</w:t>
            </w:r>
          </w:p>
        </w:tc>
        <w:tc>
          <w:tcPr/>
          <w:p>
            <w:pPr>
              <w:pStyle w:val="Compact"/>
            </w:pPr>
            <w:r>
              <w:rPr>
                <w:rFonts w:hint="eastAsia"/>
                <w:sz w:val="18"/>
              </w:rPr>
              <w:t xml:space="preserve">97%／74%</w:t>
            </w:r>
          </w:p>
        </w:tc>
        <w:tc>
          <w:tcPr/>
          <w:p>
            <w:pPr>
              <w:pStyle w:val="Compact"/>
            </w:pPr>
            <w:r>
              <w:rPr>
                <w:rFonts w:hint="eastAsia"/>
                <w:sz w:val="18"/>
              </w:rPr>
              <w:t xml:space="preserve">64／49</w:t>
            </w:r>
          </w:p>
        </w:tc>
        <w:tc>
          <w:tcPr/>
          <w:p>
            <w:pPr>
              <w:pStyle w:val="Compact"/>
            </w:pPr>
            <w:r>
              <w:rPr>
                <w:rFonts w:hint="eastAsia"/>
                <w:sz w:val="18"/>
              </w:rPr>
              <w:t xml:space="preserve">10／8</w:t>
            </w:r>
          </w:p>
        </w:tc>
        <w:tc>
          <w:tcPr/>
          <w:p>
            <w:pPr>
              <w:pStyle w:val="Compact"/>
            </w:pPr>
            <w:r>
              <w:rPr>
                <w:rFonts w:hint="eastAsia"/>
                <w:sz w:val="18"/>
              </w:rPr>
              <w:t xml:space="preserve">1.0%／0.7%</w:t>
            </w:r>
          </w:p>
        </w:tc>
      </w:tr>
      <w:tr>
        <w:tc>
          <w:tcPr/>
          <w:p>
            <w:pPr>
              <w:pStyle w:val="Compact"/>
            </w:pPr>
            <w:r>
              <w:rPr>
                <w:rFonts w:hint="eastAsia"/>
                <w:sz w:val="18"/>
              </w:rPr>
              <w:t xml:space="preserve">1.35%（FY2026</w:t>
            </w:r>
            <w:r>
              <w:rPr>
                <w:sz w:val="18"/>
              </w:rPr>
              <w:t xml:space="preserve"> </w:t>
            </w:r>
            <w:r>
              <w:rPr>
                <w:rFonts w:hint="eastAsia"/>
                <w:sz w:val="18"/>
              </w:rPr>
              <w:t xml:space="preserve">4〜6月を年率とみなす、上限）</w:t>
            </w:r>
          </w:p>
        </w:tc>
        <w:tc>
          <w:tcPr/>
          <w:p>
            <w:pPr>
              <w:pStyle w:val="Compact"/>
            </w:pPr>
            <w:r>
              <w:rPr>
                <w:rFonts w:hint="eastAsia"/>
                <w:sz w:val="18"/>
              </w:rPr>
              <w:t xml:space="preserve">97%／62%</w:t>
            </w:r>
          </w:p>
        </w:tc>
        <w:tc>
          <w:tcPr/>
          <w:p>
            <w:pPr>
              <w:pStyle w:val="Compact"/>
            </w:pPr>
            <w:r>
              <w:rPr>
                <w:rFonts w:hint="eastAsia"/>
                <w:sz w:val="18"/>
              </w:rPr>
              <w:t xml:space="preserve">741／487</w:t>
            </w:r>
          </w:p>
        </w:tc>
        <w:tc>
          <w:tcPr/>
          <w:p>
            <w:pPr>
              <w:pStyle w:val="Compact"/>
            </w:pPr>
            <w:r>
              <w:rPr>
                <w:rFonts w:hint="eastAsia"/>
                <w:sz w:val="18"/>
              </w:rPr>
              <w:t xml:space="preserve">119／78</w:t>
            </w:r>
          </w:p>
        </w:tc>
        <w:tc>
          <w:tcPr/>
          <w:p>
            <w:pPr>
              <w:pStyle w:val="Compact"/>
            </w:pPr>
            <w:r>
              <w:rPr>
                <w:rFonts w:hint="eastAsia"/>
                <w:sz w:val="18"/>
              </w:rPr>
              <w:t xml:space="preserve">11%／7%</w:t>
            </w:r>
          </w:p>
        </w:tc>
      </w:tr>
      <w:tr>
        <w:tc>
          <w:tcPr/>
          <w:p>
            <w:pPr>
              <w:pStyle w:val="Compact"/>
            </w:pPr>
            <w:r>
              <w:rPr>
                <w:rFonts w:hint="eastAsia"/>
                <w:sz w:val="18"/>
              </w:rPr>
              <w:t xml:space="preserve">2.8%（比例拡大）</w:t>
            </w:r>
          </w:p>
        </w:tc>
        <w:tc>
          <w:tcPr/>
          <w:p>
            <w:pPr>
              <w:pStyle w:val="Compact"/>
            </w:pPr>
            <w:r>
              <w:rPr>
                <w:rFonts w:hint="eastAsia"/>
                <w:sz w:val="18"/>
              </w:rPr>
              <w:t xml:space="preserve">77%／46%</w:t>
            </w:r>
          </w:p>
        </w:tc>
        <w:tc>
          <w:tcPr/>
          <w:p>
            <w:pPr>
              <w:pStyle w:val="Compact"/>
            </w:pPr>
            <w:r>
              <w:rPr>
                <w:rFonts w:hint="eastAsia"/>
                <w:sz w:val="18"/>
              </w:rPr>
              <w:t xml:space="preserve">1,246／753</w:t>
            </w:r>
          </w:p>
        </w:tc>
        <w:tc>
          <w:tcPr/>
          <w:p>
            <w:pPr>
              <w:pStyle w:val="Compact"/>
            </w:pPr>
            <w:r>
              <w:rPr>
                <w:rFonts w:hint="eastAsia"/>
                <w:sz w:val="18"/>
              </w:rPr>
              <w:t xml:space="preserve">199／121</w:t>
            </w:r>
          </w:p>
        </w:tc>
        <w:tc>
          <w:tcPr/>
          <w:p>
            <w:pPr>
              <w:pStyle w:val="Compact"/>
            </w:pPr>
            <w:r>
              <w:rPr>
                <w:rFonts w:hint="eastAsia"/>
                <w:sz w:val="18"/>
              </w:rPr>
              <w:t xml:space="preserve">19%／11%</w:t>
            </w:r>
          </w:p>
        </w:tc>
      </w:tr>
      <w:tr>
        <w:tc>
          <w:tcPr/>
          <w:p>
            <w:pPr>
              <w:pStyle w:val="Compact"/>
            </w:pPr>
            <w:r>
              <w:rPr>
                <w:rFonts w:hint="eastAsia"/>
                <w:sz w:val="18"/>
              </w:rPr>
              <w:t xml:space="preserve">6.0%（比例拡大）</w:t>
            </w:r>
          </w:p>
        </w:tc>
        <w:tc>
          <w:tcPr/>
          <w:p>
            <w:pPr>
              <w:pStyle w:val="Compact"/>
            </w:pPr>
            <w:r>
              <w:rPr>
                <w:rFonts w:hint="eastAsia"/>
                <w:sz w:val="18"/>
              </w:rPr>
              <w:t xml:space="preserve">49%／35%</w:t>
            </w:r>
          </w:p>
        </w:tc>
        <w:tc>
          <w:tcPr/>
          <w:p>
            <w:pPr>
              <w:pStyle w:val="Compact"/>
            </w:pPr>
            <w:r>
              <w:rPr>
                <w:rFonts w:hint="eastAsia"/>
                <w:sz w:val="18"/>
              </w:rPr>
              <w:t xml:space="preserve">1,696／1,186</w:t>
            </w:r>
          </w:p>
        </w:tc>
        <w:tc>
          <w:tcPr/>
          <w:p>
            <w:pPr>
              <w:pStyle w:val="Compact"/>
            </w:pPr>
            <w:r>
              <w:rPr>
                <w:rFonts w:hint="eastAsia"/>
                <w:sz w:val="18"/>
              </w:rPr>
              <w:t xml:space="preserve">271／190</w:t>
            </w:r>
          </w:p>
        </w:tc>
        <w:tc>
          <w:tcPr/>
          <w:p>
            <w:pPr>
              <w:pStyle w:val="Compact"/>
            </w:pPr>
            <w:r>
              <w:rPr>
                <w:rFonts w:hint="eastAsia"/>
                <w:sz w:val="18"/>
              </w:rPr>
              <w:t xml:space="preserve">25%／18%</w:t>
            </w:r>
          </w:p>
        </w:tc>
      </w:tr>
      <w:tr>
        <w:tc>
          <w:tcPr/>
          <w:p>
            <w:pPr>
              <w:pStyle w:val="Compact"/>
            </w:pPr>
            <w:r>
              <w:rPr>
                <w:rFonts w:hint="eastAsia"/>
                <w:sz w:val="18"/>
              </w:rPr>
              <w:t xml:space="preserve">12.1%（比例拡大の頭打ち）</w:t>
            </w:r>
          </w:p>
        </w:tc>
        <w:tc>
          <w:tcPr/>
          <w:p>
            <w:pPr>
              <w:pStyle w:val="Compact"/>
            </w:pPr>
            <w:r>
              <w:rPr>
                <w:rFonts w:hint="eastAsia"/>
                <w:sz w:val="18"/>
              </w:rPr>
              <w:t xml:space="preserve">30%／24%</w:t>
            </w:r>
          </w:p>
        </w:tc>
        <w:tc>
          <w:tcPr/>
          <w:p>
            <w:pPr>
              <w:pStyle w:val="Compact"/>
            </w:pPr>
            <w:r>
              <w:rPr>
                <w:rFonts w:hint="eastAsia"/>
                <w:sz w:val="18"/>
              </w:rPr>
              <w:t xml:space="preserve">2,074／1,681</w:t>
            </w:r>
          </w:p>
        </w:tc>
        <w:tc>
          <w:tcPr/>
          <w:p>
            <w:pPr>
              <w:pStyle w:val="Compact"/>
            </w:pPr>
            <w:r>
              <w:rPr>
                <w:rFonts w:hint="eastAsia"/>
                <w:sz w:val="18"/>
              </w:rPr>
              <w:t xml:space="preserve">332／269</w:t>
            </w:r>
          </w:p>
        </w:tc>
        <w:tc>
          <w:tcPr/>
          <w:p>
            <w:pPr>
              <w:pStyle w:val="Compact"/>
            </w:pPr>
            <w:r>
              <w:rPr>
                <w:rFonts w:hint="eastAsia"/>
                <w:sz w:val="18"/>
              </w:rPr>
              <w:t xml:space="preserve">31%／25%</w:t>
            </w:r>
          </w:p>
        </w:tc>
      </w:tr>
      <w:tr>
        <w:tc>
          <w:tcPr/>
          <w:p>
            <w:pPr>
              <w:pStyle w:val="Compact"/>
            </w:pPr>
            <w:r>
              <w:rPr>
                <w:rFonts w:hint="eastAsia"/>
                <w:sz w:val="18"/>
              </w:rPr>
              <w:t xml:space="preserve">3%（回避率一定、上限側）</w:t>
            </w:r>
          </w:p>
        </w:tc>
        <w:tc>
          <w:tcPr/>
          <w:p>
            <w:pPr>
              <w:pStyle w:val="Compact"/>
            </w:pPr>
            <w:r>
              <w:rPr>
                <w:rFonts w:hint="eastAsia"/>
                <w:sz w:val="18"/>
              </w:rPr>
              <w:t xml:space="preserve">97%／65%</w:t>
            </w:r>
          </w:p>
        </w:tc>
        <w:tc>
          <w:tcPr/>
          <w:p>
            <w:pPr>
              <w:pStyle w:val="Compact"/>
            </w:pPr>
            <w:r>
              <w:rPr>
                <w:rFonts w:hint="eastAsia"/>
                <w:sz w:val="18"/>
              </w:rPr>
              <w:t xml:space="preserve">1,899／1,318</w:t>
            </w:r>
          </w:p>
        </w:tc>
        <w:tc>
          <w:tcPr/>
          <w:p>
            <w:pPr>
              <w:pStyle w:val="Compact"/>
            </w:pPr>
            <w:r>
              <w:rPr>
                <w:rFonts w:hint="eastAsia"/>
                <w:sz w:val="18"/>
              </w:rPr>
              <w:t xml:space="preserve">304／211</w:t>
            </w:r>
          </w:p>
        </w:tc>
        <w:tc>
          <w:tcPr/>
          <w:p>
            <w:pPr>
              <w:pStyle w:val="Compact"/>
            </w:pPr>
            <w:r>
              <w:rPr>
                <w:rFonts w:hint="eastAsia"/>
                <w:sz w:val="18"/>
              </w:rPr>
              <w:t xml:space="preserve">28%／20%</w:t>
            </w:r>
          </w:p>
        </w:tc>
      </w:tr>
      <w:tr>
        <w:tc>
          <w:tcPr/>
          <w:p>
            <w:pPr>
              <w:pStyle w:val="Compact"/>
            </w:pPr>
            <w:r>
              <w:rPr>
                <w:rFonts w:hint="eastAsia"/>
                <w:sz w:val="18"/>
              </w:rPr>
              <w:t xml:space="preserve">8%（回避率一定、上限側）</w:t>
            </w:r>
          </w:p>
        </w:tc>
        <w:tc>
          <w:tcPr/>
          <w:p>
            <w:pPr>
              <w:pStyle w:val="Compact"/>
            </w:pPr>
            <w:r>
              <w:rPr>
                <w:rFonts w:hint="eastAsia"/>
                <w:sz w:val="18"/>
              </w:rPr>
              <w:t xml:space="preserve">97%／65%</w:t>
            </w:r>
          </w:p>
        </w:tc>
        <w:tc>
          <w:tcPr/>
          <w:p>
            <w:pPr>
              <w:pStyle w:val="Compact"/>
            </w:pPr>
            <w:r>
              <w:rPr>
                <w:rFonts w:hint="eastAsia"/>
                <w:sz w:val="18"/>
              </w:rPr>
              <w:t xml:space="preserve">5,064／3,516</w:t>
            </w:r>
          </w:p>
        </w:tc>
        <w:tc>
          <w:tcPr/>
          <w:p>
            <w:pPr>
              <w:pStyle w:val="Compact"/>
            </w:pPr>
            <w:r>
              <w:rPr>
                <w:rFonts w:hint="eastAsia"/>
                <w:sz w:val="18"/>
              </w:rPr>
              <w:t xml:space="preserve">810／562</w:t>
            </w:r>
          </w:p>
        </w:tc>
        <w:tc>
          <w:tcPr/>
          <w:p>
            <w:pPr>
              <w:pStyle w:val="Compact"/>
            </w:pPr>
            <w:r>
              <w:rPr>
                <w:rFonts w:hint="eastAsia"/>
                <w:sz w:val="18"/>
              </w:rPr>
              <w:t xml:space="preserve">76%／53%</w:t>
            </w:r>
          </w:p>
        </w:tc>
      </w:tr>
      <w:tr>
        <w:tc>
          <w:tcPr/>
          <w:p>
            <w:pPr>
              <w:pStyle w:val="Compact"/>
            </w:pPr>
            <w:r>
              <w:rPr>
                <w:rFonts w:hint="eastAsia"/>
                <w:sz w:val="18"/>
              </w:rPr>
              <w:t xml:space="preserve">15〜37%（回避率一定、1日1サイクルの上限）</w:t>
            </w:r>
          </w:p>
        </w:tc>
        <w:tc>
          <w:tcPr/>
          <w:p>
            <w:pPr>
              <w:pStyle w:val="Compact"/>
            </w:pPr>
            <w:r>
              <w:rPr>
                <w:rFonts w:hint="eastAsia"/>
                <w:sz w:val="18"/>
              </w:rPr>
              <w:t xml:space="preserve">71〜29%／65〜29%</w:t>
            </w:r>
          </w:p>
        </w:tc>
        <w:tc>
          <w:tcPr/>
          <w:p>
            <w:pPr>
              <w:pStyle w:val="Compact"/>
            </w:pPr>
            <w:r>
              <w:rPr>
                <w:rFonts w:hint="eastAsia"/>
                <w:sz w:val="18"/>
              </w:rPr>
              <w:t xml:space="preserve">6,988／6,592〜7,191</w:t>
            </w:r>
          </w:p>
        </w:tc>
        <w:tc>
          <w:tcPr/>
          <w:p>
            <w:pPr>
              <w:pStyle w:val="Compact"/>
            </w:pPr>
            <w:r>
              <w:rPr>
                <w:rFonts w:hint="eastAsia"/>
                <w:sz w:val="18"/>
              </w:rPr>
              <w:t xml:space="preserve">1,118／1,055〜1,150</w:t>
            </w:r>
          </w:p>
        </w:tc>
        <w:tc>
          <w:tcPr/>
          <w:p>
            <w:pPr>
              <w:pStyle w:val="Compact"/>
            </w:pPr>
            <w:r>
              <w:rPr>
                <w:rFonts w:hint="eastAsia"/>
                <w:sz w:val="18"/>
              </w:rPr>
              <w:t xml:space="preserve">105%／99〜108%</w:t>
            </w:r>
          </w:p>
        </w:tc>
      </w:tr>
    </w:tbl>
    <w:p>
      <w:pPr>
        <w:pStyle w:val="TableNote"/>
      </w:pPr>
      <w:r>
        <w:rPr>
          <w:rFonts w:hint="eastAsia"/>
        </w:rPr>
        <w:t xml:space="preserve">注）系統から充電する場合に比べた増分。風力1kWあたり0.64kWh・4時間・プレミアム3円。増分は日ごとの線形計画でスポット裁定と同時に最適化した完全予見の上界。比例拡大は</w:t>
      </w:r>
      <w:r>
        <w:t xml:space="preserve"> FY2026 </w:t>
      </w:r>
      <w:r>
        <w:rPr>
          <w:rFonts w:hint="eastAsia"/>
        </w:rPr>
        <w:t xml:space="preserve">の4〜6月の時間値の抑制を比例的に拡大したもの、回避率一定は表C.36</w:t>
      </w:r>
      <w:r>
        <w:t xml:space="preserve"> </w:t>
      </w:r>
      <w:r>
        <w:rPr>
          <w:rFonts w:hint="eastAsia"/>
        </w:rPr>
        <w:t xml:space="preserve">の回避率を保つ上限側。1.35%での蓄電池1kWh</w:t>
      </w:r>
      <w:r>
        <w:t xml:space="preserve"> </w:t>
      </w:r>
      <w:r>
        <w:rPr>
          <w:rFonts w:hint="eastAsia"/>
        </w:rPr>
        <w:t xml:space="preserve">あたりの増分は185円・122円。プレミアムを2〜4円とすると、1.35%で風力1kW</w:t>
      </w:r>
      <w:r>
        <w:t xml:space="preserve"> </w:t>
      </w:r>
      <w:r>
        <w:rPr>
          <w:rFonts w:hint="eastAsia"/>
        </w:rPr>
        <w:t xml:space="preserve">あたり63〜142円。参考に、14円×抑制電力量（スポット裁定との重複を含む上限）は1.35%で2,393円で、増分の約3.2倍。</w:t>
      </w:r>
    </w:p>
    <w:p>
      <w:pPr>
        <w:pStyle w:val="TableNote"/>
      </w:pPr>
      <w:r>
        <w:rPr>
          <w:rFonts w:hint="eastAsia"/>
        </w:rPr>
        <w:t xml:space="preserve">出所）表C.36</w:t>
      </w:r>
      <w:r>
        <w:t xml:space="preserve"> </w:t>
      </w:r>
      <w:r>
        <w:rPr>
          <w:rFonts w:hint="eastAsia"/>
        </w:rPr>
        <w:t xml:space="preserve">と同じ資料、日本卸電力取引所『スポット市場取引結果』より筆者作成。</w:t>
      </w:r>
    </w:p>
    <w:p>
      <w:pPr>
        <w:pStyle w:val="TableCaption"/>
      </w:pPr>
      <w:r>
        <w:rPr>
          <w:rFonts w:hint="eastAsia"/>
        </w:rPr>
        <w:t xml:space="preserve">表C.38</w:t>
      </w:r>
      <w:r>
        <w:t xml:space="preserve">　</w:t>
      </w:r>
      <w:r>
        <w:rPr>
          <w:rFonts w:hint="eastAsia"/>
        </w:rPr>
        <w:t xml:space="preserve">併設4時間蓄電池の参入が開く抑制率</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8　併設4時間蓄電池の参入が開く抑制率"/>
      </w:tblPr>
      <w:tblGrid>
        <w:gridCol w:w="1320"/>
        <w:gridCol w:w="990"/>
        <w:gridCol w:w="990"/>
        <w:gridCol w:w="1320"/>
        <w:gridCol w:w="990"/>
        <w:gridCol w:w="1320"/>
        <w:gridCol w:w="990"/>
      </w:tblGrid>
      <w:tr>
        <w:trPr>
          <w:tblHeader w:val="on"/>
        </w:trPr>
        <w:tc>
          <w:tcPr>
            <w:tcBorders>
              <w:bottom w:val="single" w:sz="6" w:color="000000"/>
            </w:tcBorders>
          </w:tcPr>
          <w:p>
            <w:pPr>
              <w:pStyle w:val="Compact"/>
              <w:jc w:val="right"/>
            </w:pPr>
            <w:r>
              <w:rPr>
                <w:rFonts w:hint="eastAsia"/>
                <w:sz w:val="18"/>
              </w:rPr>
              <w:t xml:space="preserve">資本費（万円/kWh）</w:t>
            </w:r>
          </w:p>
        </w:tc>
        <w:tc>
          <w:tcPr>
            <w:tcBorders>
              <w:bottom w:val="single" w:sz="6" w:color="000000"/>
            </w:tcBorders>
          </w:tcPr>
          <w:p>
            <w:pPr>
              <w:pStyle w:val="Compact"/>
            </w:pPr>
            <m:oMath>
              <m:sSubSup>
                <m:e>
                  <m:r>
                    <m:t>c</m:t>
                  </m:r>
                </m:e>
                <m:sub>
                  <m:r>
                    <m:rPr>
                      <m:sty m:val="p"/>
                    </m:rPr>
                    <m:t>r</m:t>
                  </m:r>
                  <m:r>
                    <m:rPr>
                      <m:sty m:val="p"/>
                    </m:rPr>
                    <m:t>e</m:t>
                  </m:r>
                  <m:r>
                    <m:rPr>
                      <m:sty m:val="p"/>
                    </m:rPr>
                    <m:t>q</m:t>
                  </m:r>
                </m:sub>
                <m:sup>
                  <m:r>
                    <m:rPr>
                      <m:sty m:val="p"/>
                    </m:rPr>
                    <m:t>c</m:t>
                  </m:r>
                  <m:r>
                    <m:rPr>
                      <m:sty m:val="p"/>
                    </m:rPr>
                    <m:t>o</m:t>
                  </m:r>
                </m:sup>
              </m:sSubSup>
            </m:oMath>
            <w:r>
              <w:rPr>
                <w:sz w:val="18"/>
              </w:rPr>
              <w:t xml:space="preserve"> </w:t>
            </w:r>
            <w:r>
              <w:rPr>
                <w:rFonts w:hint="eastAsia"/>
                <w:sz w:val="18"/>
              </w:rPr>
              <w:t xml:space="preserve">の定義</w:t>
            </w:r>
          </w:p>
        </w:tc>
        <w:tc>
          <w:tcPr>
            <w:tcBorders>
              <w:bottom w:val="single" w:sz="6" w:color="000000"/>
            </w:tcBorders>
          </w:tcPr>
          <w:p>
            <w:pPr>
              <w:pStyle w:val="Compact"/>
            </w:pPr>
            <w:r>
              <w:rPr>
                <w:rFonts w:hint="eastAsia"/>
                <w:sz w:val="18"/>
              </w:rPr>
              <w:t xml:space="preserve">容量収入</w:t>
            </w:r>
          </w:p>
        </w:tc>
        <w:tc>
          <w:tcPr>
            <w:tcBorders>
              <w:bottom w:val="single" w:sz="6" w:color="000000"/>
            </w:tcBorders>
          </w:tcPr>
          <w:p>
            <w:pPr>
              <w:pStyle w:val="Compact"/>
              <w:jc w:val="right"/>
            </w:pPr>
            <w:r>
              <w:rPr>
                <w:rFonts w:hint="eastAsia"/>
                <w:sz w:val="18"/>
              </w:rPr>
              <w:t xml:space="preserve">割引率6%：抑制なしの過不足</w:t>
            </w:r>
          </w:p>
        </w:tc>
        <w:tc>
          <w:tcPr>
            <w:tcBorders>
              <w:bottom w:val="single" w:sz="6" w:color="000000"/>
            </w:tcBorders>
          </w:tcPr>
          <w:p>
            <w:pPr>
              <w:pStyle w:val="Compact"/>
            </w:pPr>
            <w:r>
              <w:rPr>
                <w:rFonts w:hint="eastAsia"/>
                <w:sz w:val="18"/>
              </w:rPr>
              <w:t xml:space="preserve">割引率6%：参入が開く抑制率</w:t>
            </w:r>
          </w:p>
        </w:tc>
        <w:tc>
          <w:tcPr>
            <w:tcBorders>
              <w:bottom w:val="single" w:sz="6" w:color="000000"/>
            </w:tcBorders>
          </w:tcPr>
          <w:p>
            <w:pPr>
              <w:pStyle w:val="Compact"/>
              <w:jc w:val="right"/>
            </w:pPr>
            <w:r>
              <w:rPr>
                <w:rFonts w:hint="eastAsia"/>
                <w:sz w:val="18"/>
              </w:rPr>
              <w:t xml:space="preserve">割引率8%：抑制なしの過不足</w:t>
            </w:r>
          </w:p>
        </w:tc>
        <w:tc>
          <w:tcPr>
            <w:tcBorders>
              <w:bottom w:val="single" w:sz="6" w:color="000000"/>
            </w:tcBorders>
          </w:tcPr>
          <w:p>
            <w:pPr>
              <w:pStyle w:val="Compact"/>
            </w:pPr>
            <w:r>
              <w:rPr>
                <w:rFonts w:hint="eastAsia"/>
                <w:sz w:val="18"/>
              </w:rPr>
              <w:t xml:space="preserve">割引率8%：参入が開く抑制率</w:t>
            </w:r>
          </w:p>
        </w:tc>
      </w:tr>
      <w:tr>
        <w:tc>
          <w:tcPr/>
          <w:p>
            <w:pPr>
              <w:pStyle w:val="Compact"/>
              <w:jc w:val="right"/>
            </w:pPr>
            <w:r>
              <w:rPr>
                <w:sz w:val="18"/>
              </w:rPr>
              <w:t xml:space="preserve">6.8</w:t>
            </w:r>
          </w:p>
        </w:tc>
        <w:tc>
          <w:tcPr/>
          <w:p>
            <w:pPr>
              <w:pStyle w:val="Compact"/>
            </w:pPr>
            <w:r>
              <w:rPr>
                <w:rFonts w:hint="eastAsia"/>
                <w:sz w:val="18"/>
              </w:rPr>
              <w:t xml:space="preserve">系統用と同じ</w:t>
            </w:r>
          </w:p>
        </w:tc>
        <w:tc>
          <w:tcPr/>
          <w:p>
            <w:pPr>
              <w:pStyle w:val="Compact"/>
            </w:pPr>
            <w:r>
              <w:rPr>
                <w:sz w:val="18"/>
              </w:rPr>
              <w:t xml:space="preserve">あり</w:t>
            </w:r>
          </w:p>
        </w:tc>
        <w:tc>
          <w:tcPr/>
          <w:p>
            <w:pPr>
              <w:pStyle w:val="Compact"/>
              <w:jc w:val="right"/>
            </w:pPr>
            <w:r>
              <w:rPr>
                <w:sz w:val="18"/>
              </w:rPr>
              <w:t xml:space="preserve">−16,722</w:t>
            </w:r>
          </w:p>
        </w:tc>
        <w:tc>
          <w:tcPr/>
          <w:p>
            <w:pPr>
              <w:pStyle w:val="Compact"/>
            </w:pPr>
            <w:r>
              <w:rPr>
                <w:rFonts w:hint="eastAsia"/>
                <w:sz w:val="18"/>
              </w:rPr>
              <w:t xml:space="preserve">37%でも開かない</w:t>
            </w:r>
          </w:p>
        </w:tc>
        <w:tc>
          <w:tcPr/>
          <w:p>
            <w:pPr>
              <w:pStyle w:val="Compact"/>
              <w:jc w:val="right"/>
            </w:pPr>
            <w:r>
              <w:rPr>
                <w:sz w:val="18"/>
              </w:rPr>
              <w:t xml:space="preserve">−20,712</w:t>
            </w:r>
          </w:p>
        </w:tc>
        <w:tc>
          <w:tcPr/>
          <w:p>
            <w:pPr>
              <w:pStyle w:val="Compact"/>
            </w:pPr>
            <w:r>
              <w:rPr>
                <w:rFonts w:hint="eastAsia"/>
                <w:sz w:val="18"/>
              </w:rPr>
              <w:t xml:space="preserve">37%でも開かない</w:t>
            </w:r>
          </w:p>
        </w:tc>
      </w:tr>
      <w:tr>
        <w:tc>
          <w:tcPr/>
          <w:p>
            <w:pPr>
              <w:pStyle w:val="Compact"/>
              <w:jc w:val="right"/>
            </w:pPr>
            <w:r>
              <w:rPr>
                <w:sz w:val="18"/>
              </w:rPr>
              <w:t xml:space="preserve">6.8</w:t>
            </w:r>
          </w:p>
        </w:tc>
        <w:tc>
          <w:tcPr/>
          <w:p>
            <w:pPr>
              <w:pStyle w:val="Compact"/>
            </w:pPr>
            <w:r>
              <w:rPr>
                <w:rFonts w:hint="eastAsia"/>
                <w:sz w:val="18"/>
              </w:rPr>
              <w:t xml:space="preserve">併設</w:t>
            </w:r>
          </w:p>
        </w:tc>
        <w:tc>
          <w:tcPr/>
          <w:p>
            <w:pPr>
              <w:pStyle w:val="Compact"/>
            </w:pPr>
            <w:r>
              <w:rPr>
                <w:sz w:val="18"/>
              </w:rPr>
              <w:t xml:space="preserve">あり</w:t>
            </w:r>
          </w:p>
        </w:tc>
        <w:tc>
          <w:tcPr/>
          <w:p>
            <w:pPr>
              <w:pStyle w:val="Compact"/>
              <w:jc w:val="right"/>
            </w:pPr>
            <w:r>
              <w:rPr>
                <w:sz w:val="18"/>
              </w:rPr>
              <w:t xml:space="preserve">−8,727</w:t>
            </w:r>
          </w:p>
        </w:tc>
        <w:tc>
          <w:tcPr/>
          <w:p>
            <w:pPr>
              <w:pStyle w:val="Compact"/>
            </w:pPr>
            <w:r>
              <w:rPr>
                <w:rFonts w:hint="eastAsia"/>
                <w:sz w:val="18"/>
              </w:rPr>
              <w:t xml:space="preserve">37%でも開かない（最良−1,391）</w:t>
            </w:r>
          </w:p>
        </w:tc>
        <w:tc>
          <w:tcPr/>
          <w:p>
            <w:pPr>
              <w:pStyle w:val="Compact"/>
              <w:jc w:val="right"/>
            </w:pPr>
            <w:r>
              <w:rPr>
                <w:sz w:val="18"/>
              </w:rPr>
              <w:t xml:space="preserve">−12,717</w:t>
            </w:r>
          </w:p>
        </w:tc>
        <w:tc>
          <w:tcPr/>
          <w:p>
            <w:pPr>
              <w:pStyle w:val="Compact"/>
            </w:pPr>
            <w:r>
              <w:rPr>
                <w:rFonts w:hint="eastAsia"/>
                <w:sz w:val="18"/>
              </w:rPr>
              <w:t xml:space="preserve">37%でも開かない</w:t>
            </w:r>
          </w:p>
        </w:tc>
      </w:tr>
      <w:tr>
        <w:tc>
          <w:tcPr/>
          <w:p>
            <w:pPr>
              <w:pStyle w:val="Compact"/>
              <w:jc w:val="right"/>
            </w:pPr>
            <w:r>
              <w:rPr>
                <w:sz w:val="18"/>
              </w:rPr>
              <w:t xml:space="preserve">4.0</w:t>
            </w:r>
          </w:p>
        </w:tc>
        <w:tc>
          <w:tcPr/>
          <w:p>
            <w:pPr>
              <w:pStyle w:val="Compact"/>
            </w:pPr>
            <w:r>
              <w:rPr>
                <w:rFonts w:hint="eastAsia"/>
                <w:sz w:val="18"/>
              </w:rPr>
              <w:t xml:space="preserve">系統用と同じ</w:t>
            </w:r>
          </w:p>
        </w:tc>
        <w:tc>
          <w:tcPr/>
          <w:p>
            <w:pPr>
              <w:pStyle w:val="Compact"/>
            </w:pPr>
            <w:r>
              <w:rPr>
                <w:sz w:val="18"/>
              </w:rPr>
              <w:t xml:space="preserve">あり</w:t>
            </w:r>
          </w:p>
        </w:tc>
        <w:tc>
          <w:tcPr/>
          <w:p>
            <w:pPr>
              <w:pStyle w:val="Compact"/>
              <w:jc w:val="right"/>
            </w:pPr>
            <w:r>
              <w:rPr>
                <w:sz w:val="18"/>
              </w:rPr>
              <w:t xml:space="preserve">−6,834</w:t>
            </w:r>
          </w:p>
        </w:tc>
        <w:tc>
          <w:tcPr/>
          <w:p>
            <w:pPr>
              <w:pStyle w:val="Compact"/>
            </w:pPr>
            <w:r>
              <w:rPr>
                <w:rFonts w:hint="eastAsia"/>
                <w:sz w:val="18"/>
              </w:rPr>
              <w:t xml:space="preserve">回避率一定でだけ9.2〜17.0%</w:t>
            </w:r>
          </w:p>
        </w:tc>
        <w:tc>
          <w:tcPr/>
          <w:p>
            <w:pPr>
              <w:pStyle w:val="Compact"/>
              <w:jc w:val="right"/>
            </w:pPr>
            <w:r>
              <w:rPr>
                <w:sz w:val="18"/>
              </w:rPr>
              <w:t xml:space="preserve">−9,181</w:t>
            </w:r>
          </w:p>
        </w:tc>
        <w:tc>
          <w:tcPr/>
          <w:p>
            <w:pPr>
              <w:pStyle w:val="Compact"/>
            </w:pPr>
            <w:r>
              <w:rPr>
                <w:rFonts w:hint="eastAsia"/>
                <w:sz w:val="18"/>
              </w:rPr>
              <w:t xml:space="preserve">開かない</w:t>
            </w:r>
          </w:p>
        </w:tc>
      </w:tr>
      <w:tr>
        <w:tc>
          <w:tcPr/>
          <w:p>
            <w:pPr>
              <w:pStyle w:val="Compact"/>
              <w:jc w:val="right"/>
            </w:pPr>
            <w:r>
              <w:rPr>
                <w:sz w:val="18"/>
              </w:rPr>
              <w:t xml:space="preserve">4.0</w:t>
            </w:r>
          </w:p>
        </w:tc>
        <w:tc>
          <w:tcPr/>
          <w:p>
            <w:pPr>
              <w:pStyle w:val="Compact"/>
            </w:pPr>
            <w:r>
              <w:rPr>
                <w:rFonts w:hint="eastAsia"/>
                <w:sz w:val="18"/>
              </w:rPr>
              <w:t xml:space="preserve">併設</w:t>
            </w:r>
          </w:p>
        </w:tc>
        <w:tc>
          <w:tcPr/>
          <w:p>
            <w:pPr>
              <w:pStyle w:val="Compact"/>
            </w:pPr>
            <w:r>
              <w:rPr>
                <w:sz w:val="18"/>
              </w:rPr>
              <w:t xml:space="preserve">あり</w:t>
            </w:r>
          </w:p>
        </w:tc>
        <w:tc>
          <w:tcPr/>
          <w:p>
            <w:pPr>
              <w:pStyle w:val="Compact"/>
              <w:jc w:val="right"/>
            </w:pPr>
            <w:r>
              <w:rPr>
                <w:sz w:val="18"/>
              </w:rPr>
              <w:t xml:space="preserve">+1,161</w:t>
            </w:r>
          </w:p>
        </w:tc>
        <w:tc>
          <w:tcPr/>
          <w:p>
            <w:pPr>
              <w:pStyle w:val="Compact"/>
            </w:pPr>
            <w:r>
              <w:rPr>
                <w:rFonts w:hint="eastAsia"/>
                <w:sz w:val="18"/>
              </w:rPr>
              <w:t xml:space="preserve">抑制なしで成立</w:t>
            </w:r>
          </w:p>
        </w:tc>
        <w:tc>
          <w:tcPr/>
          <w:p>
            <w:pPr>
              <w:pStyle w:val="Compact"/>
              <w:jc w:val="right"/>
            </w:pPr>
            <w:r>
              <w:rPr>
                <w:sz w:val="18"/>
              </w:rPr>
              <w:t xml:space="preserve">−1,186</w:t>
            </w:r>
          </w:p>
        </w:tc>
        <w:tc>
          <w:tcPr/>
          <w:p>
            <w:pPr>
              <w:pStyle w:val="Compact"/>
            </w:pPr>
            <w:r>
              <w:rPr>
                <w:rFonts w:hint="eastAsia"/>
                <w:sz w:val="18"/>
              </w:rPr>
              <w:t xml:space="preserve">比例拡大2.7〜7.3%、回避率一定2.1〜3.4%</w:t>
            </w:r>
          </w:p>
        </w:tc>
      </w:tr>
      <w:tr>
        <w:tc>
          <w:tcPr/>
          <w:p>
            <w:pPr>
              <w:pStyle w:val="Compact"/>
              <w:jc w:val="right"/>
            </w:pPr>
            <w:r>
              <w:rPr>
                <w:sz w:val="18"/>
              </w:rPr>
              <w:t xml:space="preserve">2.3</w:t>
            </w:r>
          </w:p>
        </w:tc>
        <w:tc>
          <w:tcPr/>
          <w:p>
            <w:pPr>
              <w:pStyle w:val="Compact"/>
            </w:pPr>
            <w:r>
              <w:rPr>
                <w:rFonts w:hint="eastAsia"/>
                <w:sz w:val="18"/>
              </w:rPr>
              <w:t xml:space="preserve">系統用と同じ</w:t>
            </w:r>
          </w:p>
        </w:tc>
        <w:tc>
          <w:tcPr/>
          <w:p>
            <w:pPr>
              <w:pStyle w:val="Compact"/>
            </w:pPr>
            <w:r>
              <w:rPr>
                <w:sz w:val="18"/>
              </w:rPr>
              <w:t xml:space="preserve">あり</w:t>
            </w:r>
          </w:p>
        </w:tc>
        <w:tc>
          <w:tcPr/>
          <w:p>
            <w:pPr>
              <w:pStyle w:val="Compact"/>
              <w:jc w:val="right"/>
            </w:pPr>
            <w:r>
              <w:rPr>
                <w:sz w:val="18"/>
              </w:rPr>
              <w:t xml:space="preserve">−831</w:t>
            </w:r>
          </w:p>
        </w:tc>
        <w:tc>
          <w:tcPr/>
          <w:p>
            <w:pPr>
              <w:pStyle w:val="Compact"/>
            </w:pPr>
            <w:r>
              <w:rPr>
                <w:rFonts w:hint="eastAsia"/>
                <w:sz w:val="18"/>
              </w:rPr>
              <w:t xml:space="preserve">比例拡大1.35%以下〜4.8%、回避率一定1.35%以下〜2.3%</w:t>
            </w:r>
          </w:p>
        </w:tc>
        <w:tc>
          <w:tcPr/>
          <w:p>
            <w:pPr>
              <w:pStyle w:val="Compact"/>
              <w:jc w:val="right"/>
            </w:pPr>
            <w:r>
              <w:rPr>
                <w:sz w:val="18"/>
              </w:rPr>
              <w:t xml:space="preserve">−2,180</w:t>
            </w:r>
          </w:p>
        </w:tc>
        <w:tc>
          <w:tcPr/>
          <w:p>
            <w:pPr>
              <w:pStyle w:val="Compact"/>
            </w:pPr>
            <w:r>
              <w:rPr>
                <w:rFonts w:hint="eastAsia"/>
                <w:sz w:val="18"/>
              </w:rPr>
              <w:t xml:space="preserve">比例拡大で7.5%（6組合せのうち5つは開かない）、回避率一定2.9〜6.0%</w:t>
            </w:r>
          </w:p>
        </w:tc>
      </w:tr>
      <w:tr>
        <w:tc>
          <w:tcPr/>
          <w:p>
            <w:pPr>
              <w:pStyle w:val="Compact"/>
              <w:jc w:val="right"/>
            </w:pPr>
            <w:r>
              <w:rPr>
                <w:sz w:val="18"/>
              </w:rPr>
              <w:t xml:space="preserve">2.3</w:t>
            </w:r>
          </w:p>
        </w:tc>
        <w:tc>
          <w:tcPr/>
          <w:p>
            <w:pPr>
              <w:pStyle w:val="Compact"/>
            </w:pPr>
            <w:r>
              <w:rPr>
                <w:rFonts w:hint="eastAsia"/>
                <w:sz w:val="18"/>
              </w:rPr>
              <w:t xml:space="preserve">併設</w:t>
            </w:r>
          </w:p>
        </w:tc>
        <w:tc>
          <w:tcPr/>
          <w:p>
            <w:pPr>
              <w:pStyle w:val="Compact"/>
            </w:pPr>
            <w:r>
              <w:rPr>
                <w:sz w:val="18"/>
              </w:rPr>
              <w:t xml:space="preserve">あり</w:t>
            </w:r>
          </w:p>
        </w:tc>
        <w:tc>
          <w:tcPr/>
          <w:p>
            <w:pPr>
              <w:pStyle w:val="Compact"/>
              <w:jc w:val="right"/>
            </w:pPr>
            <w:r>
              <w:rPr>
                <w:sz w:val="18"/>
              </w:rPr>
              <w:t xml:space="preserve">+7,164</w:t>
            </w:r>
          </w:p>
        </w:tc>
        <w:tc>
          <w:tcPr/>
          <w:p>
            <w:pPr>
              <w:pStyle w:val="Compact"/>
            </w:pPr>
            <w:r>
              <w:rPr>
                <w:rFonts w:hint="eastAsia"/>
                <w:sz w:val="18"/>
              </w:rPr>
              <w:t xml:space="preserve">抑制なしで成立</w:t>
            </w:r>
          </w:p>
        </w:tc>
        <w:tc>
          <w:tcPr/>
          <w:p>
            <w:pPr>
              <w:pStyle w:val="Compact"/>
              <w:jc w:val="right"/>
            </w:pPr>
            <w:r>
              <w:rPr>
                <w:sz w:val="18"/>
              </w:rPr>
              <w:t xml:space="preserve">+5,815</w:t>
            </w:r>
          </w:p>
        </w:tc>
        <w:tc>
          <w:tcPr/>
          <w:p>
            <w:pPr>
              <w:pStyle w:val="Compact"/>
            </w:pPr>
            <w:r>
              <w:rPr>
                <w:rFonts w:hint="eastAsia"/>
                <w:sz w:val="18"/>
              </w:rPr>
              <w:t xml:space="preserve">抑制なしで成立</w:t>
            </w:r>
          </w:p>
        </w:tc>
      </w:tr>
      <w:tr>
        <w:tc>
          <w:tcPr/>
          <w:p>
            <w:pPr>
              <w:pStyle w:val="Compact"/>
              <w:jc w:val="right"/>
            </w:pPr>
            <w:r>
              <w:rPr>
                <w:sz w:val="18"/>
              </w:rPr>
              <w:t xml:space="preserve">2.3</w:t>
            </w:r>
          </w:p>
        </w:tc>
        <w:tc>
          <w:tcPr/>
          <w:p>
            <w:pPr>
              <w:pStyle w:val="Compact"/>
            </w:pPr>
            <w:r>
              <w:rPr>
                <w:rFonts w:hint="eastAsia"/>
                <w:sz w:val="18"/>
              </w:rPr>
              <w:t xml:space="preserve">併設</w:t>
            </w:r>
          </w:p>
        </w:tc>
        <w:tc>
          <w:tcPr/>
          <w:p>
            <w:pPr>
              <w:pStyle w:val="Compact"/>
            </w:pPr>
            <w:r>
              <w:rPr>
                <w:sz w:val="18"/>
              </w:rPr>
              <w:t xml:space="preserve">なし</w:t>
            </w:r>
          </w:p>
        </w:tc>
        <w:tc>
          <w:tcPr/>
          <w:p>
            <w:pPr>
              <w:pStyle w:val="Compact"/>
              <w:jc w:val="right"/>
            </w:pPr>
            <w:r>
              <w:rPr>
                <w:sz w:val="18"/>
              </w:rPr>
              <w:t xml:space="preserve">−5,352</w:t>
            </w:r>
          </w:p>
        </w:tc>
        <w:tc>
          <w:tcPr/>
          <w:p>
            <w:pPr>
              <w:pStyle w:val="Compact"/>
            </w:pPr>
            <w:r>
              <w:rPr>
                <w:rFonts w:hint="eastAsia"/>
                <w:sz w:val="18"/>
              </w:rPr>
              <w:t xml:space="preserve">回避率一定でだけ8.4〜14.4%</w:t>
            </w:r>
          </w:p>
        </w:tc>
        <w:tc>
          <w:tcPr/>
          <w:p>
            <w:pPr>
              <w:pStyle w:val="Compact"/>
              <w:jc w:val="right"/>
            </w:pPr>
            <w:r>
              <w:rPr>
                <w:sz w:val="18"/>
              </w:rPr>
              <w:t xml:space="preserve">−6,702</w:t>
            </w:r>
          </w:p>
        </w:tc>
        <w:tc>
          <w:tcPr/>
          <w:p>
            <w:pPr>
              <w:pStyle w:val="Compact"/>
            </w:pPr>
            <w:r>
              <w:rPr>
                <w:rFonts w:hint="eastAsia"/>
                <w:sz w:val="18"/>
              </w:rPr>
              <w:t xml:space="preserve">回避率一定・プレミアム4円でだけ11.9〜15.0%</w:t>
            </w:r>
          </w:p>
        </w:tc>
      </w:tr>
      <w:tr>
        <w:tc>
          <w:tcPr/>
          <w:p>
            <w:pPr>
              <w:pStyle w:val="Compact"/>
              <w:jc w:val="right"/>
            </w:pPr>
            <w:r>
              <w:rPr>
                <w:sz w:val="18"/>
              </w:rPr>
              <w:t xml:space="preserve">2.3</w:t>
            </w:r>
          </w:p>
        </w:tc>
        <w:tc>
          <w:tcPr/>
          <w:p>
            <w:pPr>
              <w:pStyle w:val="Compact"/>
            </w:pPr>
            <w:r>
              <w:rPr>
                <w:rFonts w:hint="eastAsia"/>
                <w:sz w:val="18"/>
              </w:rPr>
              <w:t xml:space="preserve">系統用と同じ</w:t>
            </w:r>
          </w:p>
        </w:tc>
        <w:tc>
          <w:tcPr/>
          <w:p>
            <w:pPr>
              <w:pStyle w:val="Compact"/>
            </w:pPr>
            <w:r>
              <w:rPr>
                <w:sz w:val="18"/>
              </w:rPr>
              <w:t xml:space="preserve">なし</w:t>
            </w:r>
          </w:p>
        </w:tc>
        <w:tc>
          <w:tcPr/>
          <w:p>
            <w:pPr>
              <w:pStyle w:val="Compact"/>
              <w:jc w:val="right"/>
            </w:pPr>
            <w:r>
              <w:rPr>
                <w:sz w:val="18"/>
              </w:rPr>
              <w:t xml:space="preserve">−13,347</w:t>
            </w:r>
          </w:p>
        </w:tc>
        <w:tc>
          <w:tcPr/>
          <w:p>
            <w:pPr>
              <w:pStyle w:val="Compact"/>
            </w:pPr>
            <w:r>
              <w:rPr>
                <w:rFonts w:hint="eastAsia"/>
                <w:sz w:val="18"/>
              </w:rPr>
              <w:t xml:space="preserve">開かない</w:t>
            </w:r>
          </w:p>
        </w:tc>
        <w:tc>
          <w:tcPr/>
          <w:p>
            <w:pPr>
              <w:pStyle w:val="Compact"/>
              <w:jc w:val="right"/>
            </w:pPr>
            <w:r>
              <w:rPr>
                <w:sz w:val="18"/>
              </w:rPr>
              <w:t xml:space="preserve">−14,697</w:t>
            </w:r>
          </w:p>
        </w:tc>
        <w:tc>
          <w:tcPr/>
          <w:p>
            <w:pPr>
              <w:pStyle w:val="Compact"/>
            </w:pPr>
            <w:r>
              <w:rPr>
                <w:rFonts w:hint="eastAsia"/>
                <w:sz w:val="18"/>
              </w:rPr>
              <w:t xml:space="preserve">開かない</w:t>
            </w:r>
          </w:p>
        </w:tc>
      </w:tr>
    </w:tbl>
    <w:p>
      <w:pPr>
        <w:pStyle w:val="TableNote"/>
      </w:pPr>
      <w:r>
        <w:rPr>
          <w:rFonts w:hint="eastAsia"/>
        </w:rPr>
        <w:t xml:space="preserve">注）抑制率は年率。風力1kWあたり0.64kWh、スポット裁定は実績整合ケース、抑制回避は増分、プレミアム2〜4円、分布は一様・集中。比例拡大は年率約12%で頭打ちになるのでそこまで、回避率一定は37%（2035年度の見通し）まで評価した。過不足は抑制なし・プレミアム3円の</w:t>
      </w:r>
      <w:r>
        <w:t xml:space="preserve"> </w:t>
      </w:r>
      <m:oMath>
        <m:sSubSup>
          <m:e>
            <m:r>
              <m:t>π</m:t>
            </m:r>
          </m:e>
          <m:sub>
            <m:r>
              <m:rPr>
                <m:sty m:val="p"/>
              </m:rPr>
              <m:t>s</m:t>
            </m:r>
            <m:r>
              <m:rPr>
                <m:sty m:val="p"/>
              </m:rPr>
              <m:t>p</m:t>
            </m:r>
            <m:r>
              <m:rPr>
                <m:sty m:val="p"/>
              </m:rPr>
              <m:t>o</m:t>
            </m:r>
            <m:r>
              <m:rPr>
                <m:sty m:val="p"/>
              </m:rPr>
              <m:t>t</m:t>
            </m:r>
          </m:sub>
          <m:sup>
            <m:r>
              <m:rPr>
                <m:sty m:val="p"/>
              </m:rPr>
              <m:t>′</m:t>
            </m:r>
          </m:sup>
        </m:sSubSup>
        <m:r>
          <m:rPr>
            <m:sty m:val="p"/>
          </m:rPr>
          <m:t>+</m:t>
        </m:r>
        <m:r>
          <m:t>κ</m:t>
        </m:r>
        <m:sSub>
          <m:e>
            <m:r>
              <m:t>P</m:t>
            </m:r>
          </m:e>
          <m:sub>
            <m:r>
              <m:rPr>
                <m:sty m:val="p"/>
              </m:rPr>
              <m:t>c</m:t>
            </m:r>
            <m:r>
              <m:rPr>
                <m:sty m:val="p"/>
              </m:rPr>
              <m:t>a</m:t>
            </m:r>
            <m:r>
              <m:rPr>
                <m:sty m:val="p"/>
              </m:rPr>
              <m:t>p</m:t>
            </m:r>
          </m:sub>
        </m:sSub>
        <m:r>
          <m:rPr>
            <m:sty m:val="p"/>
          </m:rPr>
          <m:t>−</m:t>
        </m:r>
        <m:sSubSup>
          <m:e>
            <m:r>
              <m:t>c</m:t>
            </m:r>
          </m:e>
          <m:sub>
            <m:r>
              <m:rPr>
                <m:sty m:val="p"/>
              </m:rPr>
              <m:t>r</m:t>
            </m:r>
            <m:r>
              <m:rPr>
                <m:sty m:val="p"/>
              </m:rPr>
              <m:t>e</m:t>
            </m:r>
            <m:r>
              <m:rPr>
                <m:sty m:val="p"/>
              </m:rPr>
              <m:t>q</m:t>
            </m:r>
          </m:sub>
          <m:sup>
            <m:r>
              <m:rPr>
                <m:sty m:val="p"/>
              </m:rPr>
              <m:t>c</m:t>
            </m:r>
            <m:r>
              <m:rPr>
                <m:sty m:val="p"/>
              </m:rPr>
              <m:t>o</m:t>
            </m:r>
          </m:sup>
        </m:sSubSup>
      </m:oMath>
      <w:r>
        <w:rPr>
          <w:rFonts w:hint="eastAsia"/>
        </w:rPr>
        <w:t xml:space="preserve">（円/kW-年）。定義は付録B.5.2。容量収入は1.25万円。現行の資本費6.8万円/kWh</w:t>
      </w:r>
      <w:r>
        <w:t xml:space="preserve"> </w:t>
      </w:r>
      <w:r>
        <w:rPr>
          <w:rFonts w:hint="eastAsia"/>
        </w:rPr>
        <w:t xml:space="preserve">では、384通りの最良でも不足は年1,391円/kW</w:t>
      </w:r>
      <w:r>
        <w:t xml:space="preserve"> </w:t>
      </w:r>
      <w:r>
        <w:rPr>
          <w:rFonts w:hint="eastAsia"/>
        </w:rPr>
        <w:t xml:space="preserve">である。2時間仕様は288通りのすべてで開かない。損益分岐の資本費（系統用と同じ定義・容量収入あり・割引率6%）は、抑制がなければ2.06万円/kWh、抑制率1.35%で2.27万円、比例拡大で頭打ちになる約12%で2.65万円/kWh、回避率一定の上限側でも4.04万円/kWh（集中では4.10万円）である。8%・比例拡大では、資本費2.3万円・系統用と同じ定義でも大半が12%でも成り立たない。</w:t>
      </w:r>
    </w:p>
    <w:p>
      <w:pPr>
        <w:pStyle w:val="TableNote"/>
      </w:pPr>
      <w:r>
        <w:rPr>
          <w:rFonts w:hint="eastAsia"/>
        </w:rPr>
        <w:t xml:space="preserve">出所）表C.37</w:t>
      </w:r>
      <w:r>
        <w:t xml:space="preserve"> </w:t>
      </w:r>
      <w:r>
        <w:rPr>
          <w:rFonts w:hint="eastAsia"/>
        </w:rPr>
        <w:t xml:space="preserve">と同じ。</w:t>
      </w:r>
    </w:p>
    <w:bookmarkEnd w:id="384"/>
    <w:bookmarkStart w:id="385" w:name="c.4.3-損益分岐面の補足"/>
    <w:p>
      <w:pPr>
        <w:pStyle w:val="Heading3"/>
      </w:pPr>
      <w:r>
        <w:t xml:space="preserve">C.4.3　</w:t>
      </w:r>
      <w:r>
        <w:rPr>
          <w:rFonts w:hint="eastAsia"/>
        </w:rPr>
        <w:t xml:space="preserve">損益分岐面の補足</w:t>
      </w:r>
    </w:p>
    <w:p>
      <w:pPr>
        <w:pStyle w:val="FirstParagraph"/>
      </w:pPr>
      <w:r>
        <w:rPr>
          <w:rFonts w:hint="eastAsia"/>
        </w:rPr>
        <w:t xml:space="preserve">表C.39</w:t>
      </w:r>
      <w:r>
        <w:t xml:space="preserve"> </w:t>
      </w:r>
      <w:r>
        <w:rPr>
          <w:rFonts w:hint="eastAsia"/>
        </w:rPr>
        <w:t xml:space="preserve">は、本文8.6節の損益分岐の価格水準係数</w:t>
      </w:r>
      <w:r>
        <w:t xml:space="preserve"> </w:t>
      </w:r>
      <m:oMath>
        <m:sSup>
          <m:e>
            <m:r>
              <m:t>θ</m:t>
            </m:r>
          </m:e>
          <m:sup>
            <m:r>
              <m:rPr>
                <m:sty m:val="p"/>
              </m:rPr>
              <m:t>*</m:t>
            </m:r>
          </m:sup>
        </m:sSup>
      </m:oMath>
      <w:r>
        <w:t xml:space="preserve"> </w:t>
      </w:r>
      <w:r>
        <w:rPr>
          <w:rFonts w:hint="eastAsia"/>
        </w:rPr>
        <w:t xml:space="preserve">を、資本費と実効容量収入の格子で示したものである。連続的な等高線は本文の図8.3</w:t>
      </w:r>
      <w:r>
        <w:t xml:space="preserve"> </w:t>
      </w:r>
      <w:r>
        <w:rPr>
          <w:rFonts w:hint="eastAsia"/>
        </w:rPr>
        <w:t xml:space="preserve">に示す。</w:t>
      </w:r>
    </w:p>
    <w:p>
      <w:pPr>
        <w:pStyle w:val="TableCaption"/>
      </w:pPr>
      <w:r>
        <w:rPr>
          <w:rFonts w:hint="eastAsia"/>
        </w:rPr>
        <w:t xml:space="preserve">表C.39</w:t>
      </w:r>
      <w:r>
        <w:t xml:space="preserve">　</w:t>
      </w:r>
      <w:r>
        <w:rPr>
          <w:rFonts w:hint="eastAsia"/>
        </w:rPr>
        <w:t xml:space="preserve">損益分岐の価格水準係数</w:t>
      </w:r>
      <w:r>
        <w:t xml:space="preserve"> </w:t>
      </w:r>
      <m:oMath>
        <m:sSup>
          <m:e>
            <m:r>
              <m:t>θ</m:t>
            </m:r>
          </m:e>
          <m:sup>
            <m:r>
              <m:rPr>
                <m:sty m:val="p"/>
              </m:rPr>
              <m:t>*</m:t>
            </m:r>
          </m:sup>
        </m:sSup>
      </m:oMath>
      <w:r>
        <w:rPr>
          <w:rFonts w:hint="eastAsia"/>
        </w:rPr>
        <w:t xml:space="preserve">（割引率6%、</w:t>
      </w:r>
      <m:oMath>
        <m:r>
          <m:t>K</m:t>
        </m:r>
        <m:r>
          <m:rPr>
            <m:sty m:val="p"/>
          </m:rPr>
          <m:t>=</m:t>
        </m:r>
        <m:r>
          <m:t>0</m:t>
        </m:r>
      </m:oMath>
      <w:r>
        <w:rPr>
          <w:rFonts w:hint="eastAsia"/>
        </w:rPr>
        <w:t xml:space="preserve">）</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39　損益分岐の価格水準係数 \theta^*（割引率6%、K=0）"/>
      </w:tblPr>
      <w:tblGrid>
        <w:gridCol w:w="1320"/>
        <w:gridCol w:w="1320"/>
        <w:gridCol w:w="1320"/>
        <w:gridCol w:w="1320"/>
        <w:gridCol w:w="1320"/>
        <w:gridCol w:w="1320"/>
      </w:tblGrid>
      <w:tr>
        <w:trPr>
          <w:tblHeader w:val="on"/>
        </w:trPr>
        <w:tc>
          <w:tcPr>
            <w:tcBorders>
              <w:bottom w:val="single" w:sz="6" w:color="000000"/>
            </w:tcBorders>
          </w:tcPr>
          <w:p>
            <w:pPr>
              <w:pStyle w:val="Compact"/>
              <w:jc w:val="right"/>
            </w:pPr>
            <w:r>
              <w:rPr>
                <w:rFonts w:hint="eastAsia"/>
                <w:sz w:val="18"/>
              </w:rPr>
              <w:t xml:space="preserve">資本費（万円/kWh）</w:t>
            </w:r>
          </w:p>
        </w:tc>
        <w:tc>
          <w:tcPr>
            <w:tcBorders>
              <w:bottom w:val="single" w:sz="6" w:color="000000"/>
            </w:tcBorders>
          </w:tcPr>
          <w:p>
            <w:pPr>
              <w:pStyle w:val="Compact"/>
              <w:jc w:val="right"/>
            </w:pPr>
            <w:r>
              <w:rPr>
                <w:rFonts w:hint="eastAsia"/>
                <w:sz w:val="18"/>
              </w:rPr>
              <w:t xml:space="preserve">容量収入なし</w:t>
            </w:r>
          </w:p>
        </w:tc>
        <w:tc>
          <w:tcPr>
            <w:tcBorders>
              <w:bottom w:val="single" w:sz="6" w:color="000000"/>
            </w:tcBorders>
          </w:tcPr>
          <w:p>
            <w:pPr>
              <w:pStyle w:val="Compact"/>
              <w:jc w:val="right"/>
            </w:pPr>
            <w:r>
              <w:rPr>
                <w:rFonts w:hint="eastAsia"/>
                <w:sz w:val="18"/>
              </w:rPr>
              <w:t xml:space="preserve">0.83万円（発動指令）</w:t>
            </w:r>
          </w:p>
        </w:tc>
        <w:tc>
          <w:tcPr>
            <w:tcBorders>
              <w:bottom w:val="single" w:sz="6" w:color="000000"/>
            </w:tcBorders>
          </w:tcPr>
          <w:p>
            <w:pPr>
              <w:pStyle w:val="Compact"/>
              <w:jc w:val="right"/>
            </w:pPr>
            <w:r>
              <w:rPr>
                <w:rFonts w:hint="eastAsia"/>
                <w:sz w:val="18"/>
              </w:rPr>
              <w:t xml:space="preserve">1.25万円（現行）</w:t>
            </w:r>
          </w:p>
        </w:tc>
        <w:tc>
          <w:tcPr>
            <w:tcBorders>
              <w:bottom w:val="single" w:sz="6" w:color="000000"/>
            </w:tcBorders>
          </w:tcPr>
          <w:p>
            <w:pPr>
              <w:pStyle w:val="Compact"/>
              <w:jc w:val="right"/>
            </w:pPr>
            <w:r>
              <w:rPr>
                <w:rFonts w:hint="eastAsia"/>
                <w:sz w:val="18"/>
              </w:rPr>
              <w:t xml:space="preserve">1.75万円（2030年度向け）</w:t>
            </w:r>
          </w:p>
        </w:tc>
        <w:tc>
          <w:tcPr>
            <w:tcBorders>
              <w:bottom w:val="single" w:sz="6" w:color="000000"/>
            </w:tcBorders>
          </w:tcPr>
          <w:p>
            <w:pPr>
              <w:pStyle w:val="Compact"/>
              <w:jc w:val="right"/>
            </w:pPr>
            <w:r>
              <w:rPr>
                <w:rFonts w:hint="eastAsia"/>
                <w:sz w:val="18"/>
              </w:rPr>
              <w:t xml:space="preserve">2.5万円（上限近傍）</w:t>
            </w:r>
          </w:p>
        </w:tc>
      </w:tr>
      <w:tr>
        <w:tc>
          <w:tcPr/>
          <w:p>
            <w:pPr>
              <w:pStyle w:val="Compact"/>
              <w:jc w:val="right"/>
            </w:pPr>
            <w:r>
              <w:rPr>
                <w:rFonts w:hint="eastAsia"/>
                <w:sz w:val="18"/>
              </w:rPr>
              <w:t xml:space="preserve">2.3（揚水並み）</w:t>
            </w:r>
          </w:p>
        </w:tc>
        <w:tc>
          <w:tcPr/>
          <w:p>
            <w:pPr>
              <w:pStyle w:val="Compact"/>
              <w:jc w:val="right"/>
            </w:pPr>
            <w:r>
              <w:rPr>
                <w:sz w:val="18"/>
              </w:rPr>
              <w:t xml:space="preserve">2.61</w:t>
            </w:r>
          </w:p>
        </w:tc>
        <w:tc>
          <w:tcPr/>
          <w:p>
            <w:pPr>
              <w:pStyle w:val="Compact"/>
              <w:jc w:val="right"/>
            </w:pPr>
            <w:r>
              <w:rPr>
                <w:sz w:val="18"/>
              </w:rPr>
              <w:t xml:space="preserve">1.62</w:t>
            </w:r>
          </w:p>
        </w:tc>
        <w:tc>
          <w:tcPr/>
          <w:p>
            <w:pPr>
              <w:pStyle w:val="Compact"/>
              <w:jc w:val="right"/>
            </w:pPr>
            <w:r>
              <w:rPr>
                <w:sz w:val="18"/>
              </w:rPr>
              <w:t xml:space="preserve">1.12</w:t>
            </w:r>
          </w:p>
        </w:tc>
        <w:tc>
          <w:tcPr/>
          <w:p>
            <w:pPr>
              <w:pStyle w:val="Compact"/>
              <w:jc w:val="right"/>
            </w:pPr>
            <w:r>
              <w:rPr>
                <w:b/>
                <w:bCs/>
                <w:sz w:val="18"/>
              </w:rPr>
              <w:t xml:space="preserve">0.53</w:t>
            </w:r>
          </w:p>
        </w:tc>
        <w:tc>
          <w:tcPr/>
          <w:p>
            <w:pPr>
              <w:pStyle w:val="Compact"/>
              <w:jc w:val="right"/>
            </w:pPr>
            <w:r>
              <w:rPr>
                <w:b/>
                <w:bCs/>
                <w:sz w:val="18"/>
              </w:rPr>
              <w:t xml:space="preserve">&lt;0</w:t>
            </w:r>
          </w:p>
        </w:tc>
      </w:tr>
      <w:tr>
        <w:tc>
          <w:tcPr/>
          <w:p>
            <w:pPr>
              <w:pStyle w:val="Compact"/>
              <w:jc w:val="right"/>
            </w:pPr>
            <w:r>
              <w:rPr>
                <w:sz w:val="18"/>
              </w:rPr>
              <w:t xml:space="preserve">3.0</w:t>
            </w:r>
          </w:p>
        </w:tc>
        <w:tc>
          <w:tcPr/>
          <w:p>
            <w:pPr>
              <w:pStyle w:val="Compact"/>
              <w:jc w:val="right"/>
            </w:pPr>
            <w:r>
              <w:rPr>
                <w:sz w:val="18"/>
              </w:rPr>
              <w:t xml:space="preserve">2.90</w:t>
            </w:r>
          </w:p>
        </w:tc>
        <w:tc>
          <w:tcPr/>
          <w:p>
            <w:pPr>
              <w:pStyle w:val="Compact"/>
              <w:jc w:val="right"/>
            </w:pPr>
            <w:r>
              <w:rPr>
                <w:sz w:val="18"/>
              </w:rPr>
              <w:t xml:space="preserve">1.91</w:t>
            </w:r>
          </w:p>
        </w:tc>
        <w:tc>
          <w:tcPr/>
          <w:p>
            <w:pPr>
              <w:pStyle w:val="Compact"/>
              <w:jc w:val="right"/>
            </w:pPr>
            <w:r>
              <w:rPr>
                <w:sz w:val="18"/>
              </w:rPr>
              <w:t xml:space="preserve">1.41</w:t>
            </w:r>
          </w:p>
        </w:tc>
        <w:tc>
          <w:tcPr/>
          <w:p>
            <w:pPr>
              <w:pStyle w:val="Compact"/>
              <w:jc w:val="right"/>
            </w:pPr>
            <w:r>
              <w:rPr>
                <w:b/>
                <w:bCs/>
                <w:sz w:val="18"/>
              </w:rPr>
              <w:t xml:space="preserve">0.82</w:t>
            </w:r>
          </w:p>
        </w:tc>
        <w:tc>
          <w:tcPr/>
          <w:p>
            <w:pPr>
              <w:pStyle w:val="Compact"/>
              <w:jc w:val="right"/>
            </w:pPr>
            <w:r>
              <w:rPr>
                <w:b/>
                <w:bCs/>
                <w:sz w:val="18"/>
              </w:rPr>
              <w:t xml:space="preserve">&lt;0</w:t>
            </w:r>
          </w:p>
        </w:tc>
      </w:tr>
      <w:tr>
        <w:tc>
          <w:tcPr/>
          <w:p>
            <w:pPr>
              <w:pStyle w:val="Compact"/>
              <w:jc w:val="right"/>
            </w:pPr>
            <w:r>
              <w:rPr>
                <w:sz w:val="18"/>
              </w:rPr>
              <w:t xml:space="preserve">4.0</w:t>
            </w:r>
          </w:p>
        </w:tc>
        <w:tc>
          <w:tcPr/>
          <w:p>
            <w:pPr>
              <w:pStyle w:val="Compact"/>
              <w:jc w:val="right"/>
            </w:pPr>
            <w:r>
              <w:rPr>
                <w:sz w:val="18"/>
              </w:rPr>
              <w:t xml:space="preserve">3.31</w:t>
            </w:r>
          </w:p>
        </w:tc>
        <w:tc>
          <w:tcPr/>
          <w:p>
            <w:pPr>
              <w:pStyle w:val="Compact"/>
              <w:jc w:val="right"/>
            </w:pPr>
            <w:r>
              <w:rPr>
                <w:sz w:val="18"/>
              </w:rPr>
              <w:t xml:space="preserve">2.33</w:t>
            </w:r>
          </w:p>
        </w:tc>
        <w:tc>
          <w:tcPr/>
          <w:p>
            <w:pPr>
              <w:pStyle w:val="Compact"/>
              <w:jc w:val="right"/>
            </w:pPr>
            <w:r>
              <w:rPr>
                <w:sz w:val="18"/>
              </w:rPr>
              <w:t xml:space="preserve">1.83</w:t>
            </w:r>
          </w:p>
        </w:tc>
        <w:tc>
          <w:tcPr/>
          <w:p>
            <w:pPr>
              <w:pStyle w:val="Compact"/>
              <w:jc w:val="right"/>
            </w:pPr>
            <w:r>
              <w:rPr>
                <w:sz w:val="18"/>
              </w:rPr>
              <w:t xml:space="preserve">1.24</w:t>
            </w:r>
          </w:p>
        </w:tc>
        <w:tc>
          <w:tcPr/>
          <w:p>
            <w:pPr>
              <w:pStyle w:val="Compact"/>
              <w:jc w:val="right"/>
            </w:pPr>
            <w:r>
              <w:rPr>
                <w:b/>
                <w:bCs/>
                <w:sz w:val="18"/>
              </w:rPr>
              <w:t xml:space="preserve">0.33</w:t>
            </w:r>
          </w:p>
        </w:tc>
      </w:tr>
      <w:tr>
        <w:tc>
          <w:tcPr/>
          <w:p>
            <w:pPr>
              <w:pStyle w:val="Compact"/>
              <w:jc w:val="right"/>
            </w:pPr>
            <w:r>
              <w:rPr>
                <w:sz w:val="18"/>
              </w:rPr>
              <w:t xml:space="preserve">5.0</w:t>
            </w:r>
          </w:p>
        </w:tc>
        <w:tc>
          <w:tcPr/>
          <w:p>
            <w:pPr>
              <w:pStyle w:val="Compact"/>
              <w:jc w:val="right"/>
            </w:pPr>
            <w:r>
              <w:rPr>
                <w:sz w:val="18"/>
              </w:rPr>
              <w:t xml:space="preserve">3.72</w:t>
            </w:r>
          </w:p>
        </w:tc>
        <w:tc>
          <w:tcPr/>
          <w:p>
            <w:pPr>
              <w:pStyle w:val="Compact"/>
              <w:jc w:val="right"/>
            </w:pPr>
            <w:r>
              <w:rPr>
                <w:sz w:val="18"/>
              </w:rPr>
              <w:t xml:space="preserve">2.74</w:t>
            </w:r>
          </w:p>
        </w:tc>
        <w:tc>
          <w:tcPr/>
          <w:p>
            <w:pPr>
              <w:pStyle w:val="Compact"/>
              <w:jc w:val="right"/>
            </w:pPr>
            <w:r>
              <w:rPr>
                <w:sz w:val="18"/>
              </w:rPr>
              <w:t xml:space="preserve">2.24</w:t>
            </w:r>
          </w:p>
        </w:tc>
        <w:tc>
          <w:tcPr/>
          <w:p>
            <w:pPr>
              <w:pStyle w:val="Compact"/>
              <w:jc w:val="right"/>
            </w:pPr>
            <w:r>
              <w:rPr>
                <w:sz w:val="18"/>
              </w:rPr>
              <w:t xml:space="preserve">1.65</w:t>
            </w:r>
          </w:p>
        </w:tc>
        <w:tc>
          <w:tcPr/>
          <w:p>
            <w:pPr>
              <w:pStyle w:val="Compact"/>
              <w:jc w:val="right"/>
            </w:pPr>
            <w:r>
              <w:rPr>
                <w:b/>
                <w:bCs/>
                <w:sz w:val="18"/>
              </w:rPr>
              <w:t xml:space="preserve">0.75</w:t>
            </w:r>
          </w:p>
        </w:tc>
      </w:tr>
      <w:tr>
        <w:tc>
          <w:tcPr/>
          <w:p>
            <w:pPr>
              <w:pStyle w:val="Compact"/>
              <w:jc w:val="right"/>
            </w:pPr>
            <w:r>
              <w:rPr>
                <w:sz w:val="18"/>
              </w:rPr>
              <w:t xml:space="preserve">6.0</w:t>
            </w:r>
          </w:p>
        </w:tc>
        <w:tc>
          <w:tcPr/>
          <w:p>
            <w:pPr>
              <w:pStyle w:val="Compact"/>
              <w:jc w:val="right"/>
            </w:pPr>
            <w:r>
              <w:rPr>
                <w:sz w:val="18"/>
              </w:rPr>
              <w:t xml:space="preserve">4.14</w:t>
            </w:r>
          </w:p>
        </w:tc>
        <w:tc>
          <w:tcPr/>
          <w:p>
            <w:pPr>
              <w:pStyle w:val="Compact"/>
              <w:jc w:val="right"/>
            </w:pPr>
            <w:r>
              <w:rPr>
                <w:sz w:val="18"/>
              </w:rPr>
              <w:t xml:space="preserve">3.15</w:t>
            </w:r>
          </w:p>
        </w:tc>
        <w:tc>
          <w:tcPr/>
          <w:p>
            <w:pPr>
              <w:pStyle w:val="Compact"/>
              <w:jc w:val="right"/>
            </w:pPr>
            <w:r>
              <w:rPr>
                <w:sz w:val="18"/>
              </w:rPr>
              <w:t xml:space="preserve">2.66</w:t>
            </w:r>
          </w:p>
        </w:tc>
        <w:tc>
          <w:tcPr/>
          <w:p>
            <w:pPr>
              <w:pStyle w:val="Compact"/>
              <w:jc w:val="right"/>
            </w:pPr>
            <w:r>
              <w:rPr>
                <w:sz w:val="18"/>
              </w:rPr>
              <w:t xml:space="preserve">2.06</w:t>
            </w:r>
          </w:p>
        </w:tc>
        <w:tc>
          <w:tcPr/>
          <w:p>
            <w:pPr>
              <w:pStyle w:val="Compact"/>
              <w:jc w:val="right"/>
            </w:pPr>
            <w:r>
              <w:rPr>
                <w:sz w:val="18"/>
              </w:rPr>
              <w:t xml:space="preserve">1.16</w:t>
            </w:r>
          </w:p>
        </w:tc>
      </w:tr>
      <w:tr>
        <w:tc>
          <w:tcPr/>
          <w:p>
            <w:pPr>
              <w:pStyle w:val="Compact"/>
              <w:jc w:val="right"/>
            </w:pPr>
            <w:r>
              <w:rPr>
                <w:rFonts w:hint="eastAsia"/>
                <w:sz w:val="18"/>
              </w:rPr>
              <w:t xml:space="preserve">6.8（現行）</w:t>
            </w:r>
          </w:p>
        </w:tc>
        <w:tc>
          <w:tcPr/>
          <w:p>
            <w:pPr>
              <w:pStyle w:val="Compact"/>
              <w:jc w:val="right"/>
            </w:pPr>
            <w:r>
              <w:rPr>
                <w:sz w:val="18"/>
              </w:rPr>
              <w:t xml:space="preserve">4.47</w:t>
            </w:r>
          </w:p>
        </w:tc>
        <w:tc>
          <w:tcPr/>
          <w:p>
            <w:pPr>
              <w:pStyle w:val="Compact"/>
              <w:jc w:val="right"/>
            </w:pPr>
            <w:r>
              <w:rPr>
                <w:sz w:val="18"/>
              </w:rPr>
              <w:t xml:space="preserve">3.48</w:t>
            </w:r>
          </w:p>
        </w:tc>
        <w:tc>
          <w:tcPr/>
          <w:p>
            <w:pPr>
              <w:pStyle w:val="Compact"/>
              <w:jc w:val="right"/>
            </w:pPr>
            <w:r>
              <w:rPr>
                <w:sz w:val="18"/>
              </w:rPr>
              <w:t xml:space="preserve">2.99</w:t>
            </w:r>
          </w:p>
        </w:tc>
        <w:tc>
          <w:tcPr/>
          <w:p>
            <w:pPr>
              <w:pStyle w:val="Compact"/>
              <w:jc w:val="right"/>
            </w:pPr>
            <w:r>
              <w:rPr>
                <w:sz w:val="18"/>
              </w:rPr>
              <w:t xml:space="preserve">2.40</w:t>
            </w:r>
          </w:p>
        </w:tc>
        <w:tc>
          <w:tcPr/>
          <w:p>
            <w:pPr>
              <w:pStyle w:val="Compact"/>
              <w:jc w:val="right"/>
            </w:pPr>
            <w:r>
              <w:rPr>
                <w:sz w:val="18"/>
              </w:rPr>
              <w:t xml:space="preserve">1.49</w:t>
            </w:r>
          </w:p>
        </w:tc>
      </w:tr>
    </w:tbl>
    <w:p>
      <w:pPr>
        <w:pStyle w:val="TableNote"/>
      </w:pPr>
      <w:r>
        <w:rPr>
          <w:rFonts w:hint="eastAsia"/>
        </w:rPr>
        <w:t xml:space="preserve">注）列は実効容量収入。分母は実績整合ケースの</w:t>
      </w:r>
      <w:r>
        <w:t xml:space="preserve"> </w:t>
      </w:r>
      <m:oMath>
        <m:r>
          <m:t>a</m:t>
        </m:r>
        <m:r>
          <m:rPr>
            <m:sty m:val="p"/>
          </m:rPr>
          <m:t>(</m:t>
        </m:r>
        <m:r>
          <m:t>0</m:t>
        </m:r>
        <m:r>
          <m:rPr>
            <m:sty m:val="p"/>
          </m:rPr>
          <m:t>)</m:t>
        </m:r>
        <m:r>
          <m:rPr>
            <m:sty m:val="p"/>
          </m:rPr>
          <m:t>=</m:t>
        </m:r>
        <m:r>
          <m:t>8</m:t>
        </m:r>
        <m:r>
          <m:rPr>
            <m:sty m:val="p"/>
          </m:rPr>
          <m:t>,</m:t>
        </m:r>
        <m:r>
          <m:t>427</m:t>
        </m:r>
      </m:oMath>
      <w:r>
        <w:t xml:space="preserve"> </w:t>
      </w:r>
      <w:r>
        <w:rPr>
          <w:rFonts w:hint="eastAsia"/>
        </w:rPr>
        <w:t xml:space="preserve">円/kW-年。太字は</w:t>
      </w:r>
      <w:r>
        <w:t xml:space="preserve"> FY2023〜25 </w:t>
      </w:r>
      <w:r>
        <w:rPr>
          <w:rFonts w:hint="eastAsia"/>
        </w:rPr>
        <w:t xml:space="preserve">の水準（</w:t>
      </w:r>
      <m:oMath>
        <m:r>
          <m:t>θ</m:t>
        </m:r>
        <m:r>
          <m:rPr>
            <m:sty m:val="p"/>
          </m:rPr>
          <m:t>=</m:t>
        </m:r>
        <m:r>
          <m:t>1</m:t>
        </m:r>
      </m:oMath>
      <w:r>
        <w:rPr>
          <w:rFonts w:hint="eastAsia"/>
        </w:rPr>
        <w:t xml:space="preserve">）で参入が開く組合せ、&lt;0</w:t>
      </w:r>
      <w:r>
        <w:t xml:space="preserve"> </w:t>
      </w:r>
      <w:r>
        <w:rPr>
          <w:rFonts w:hint="eastAsia"/>
        </w:rPr>
        <w:t xml:space="preserve">は容量収入だけで</w:t>
      </w:r>
      <w:r>
        <w:t xml:space="preserve"> </w:t>
      </w:r>
      <m:oMath>
        <m:sSub>
          <m:e>
            <m:r>
              <m:t>c</m:t>
            </m:r>
          </m:e>
          <m:sub>
            <m:r>
              <m:rPr>
                <m:sty m:val="p"/>
              </m:rPr>
              <m:t>r</m:t>
            </m:r>
            <m:r>
              <m:rPr>
                <m:sty m:val="p"/>
              </m:rPr>
              <m:t>e</m:t>
            </m:r>
            <m:r>
              <m:rPr>
                <m:sty m:val="p"/>
              </m:rPr>
              <m:t>q</m:t>
            </m:r>
          </m:sub>
        </m:sSub>
      </m:oMath>
      <w:r>
        <w:t xml:space="preserve"> </w:t>
      </w:r>
      <w:r>
        <w:rPr>
          <w:rFonts w:hint="eastAsia"/>
        </w:rPr>
        <w:t xml:space="preserve">を満たす組合せ。校正係数</w:t>
      </w:r>
      <w:r>
        <w:t xml:space="preserve"> </w:t>
      </w:r>
      <m:oMath>
        <m:r>
          <m:t>λ</m:t>
        </m:r>
      </m:oMath>
      <w:r>
        <w:t xml:space="preserve"> </w:t>
      </w:r>
      <w:r>
        <w:rPr>
          <w:rFonts w:hint="eastAsia"/>
        </w:rPr>
        <w:t xml:space="preserve">の95%区間による幅は、現状で2.78〜3.21。</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メインオークション需要曲線』『容量市場メインオークション用調整係数』、経済産業省『定置用蓄電システム普及拡大検討会の結果とりまとめ』より筆者推計。</w:t>
      </w:r>
    </w:p>
    <w:p>
      <w:pPr>
        <w:pStyle w:val="BodyText"/>
      </w:pPr>
      <w:r>
        <w:rPr>
          <w:rFonts w:hint="eastAsia"/>
        </w:rPr>
        <w:t xml:space="preserve">表C.39</w:t>
      </w:r>
      <w:r>
        <w:t xml:space="preserve"> </w:t>
      </w:r>
      <w:r>
        <w:rPr>
          <w:rFonts w:hint="eastAsia"/>
        </w:rPr>
        <w:t xml:space="preserve">の現状の値2.99</w:t>
      </w:r>
      <w:r>
        <w:t xml:space="preserve"> </w:t>
      </w:r>
      <w:r>
        <w:rPr>
          <w:rFonts w:hint="eastAsia"/>
        </w:rPr>
        <w:t xml:space="preserve">は、校正係数</w:t>
      </w:r>
      <w:r>
        <w:t xml:space="preserve"> </w:t>
      </w:r>
      <m:oMath>
        <m:r>
          <m:t>λ</m:t>
        </m:r>
      </m:oMath>
      <w:r>
        <w:t xml:space="preserve"> </w:t>
      </w:r>
      <w:r>
        <w:rPr>
          <w:rFonts w:hint="eastAsia"/>
        </w:rPr>
        <w:t xml:space="preserve">の95%区間で2.78〜3.21、モデル直値で3.31</w:t>
      </w:r>
      <w:r>
        <w:t xml:space="preserve"> </w:t>
      </w:r>
      <w:r>
        <w:rPr>
          <w:rFonts w:hint="eastAsia"/>
        </w:rPr>
        <w:t xml:space="preserve">である。揚水並みの資本費2.3万円/kWh・現行の容量収入1.25万円では1.12（</w:t>
      </w:r>
      <m:oMath>
        <m:r>
          <m:t>λ</m:t>
        </m:r>
      </m:oMath>
      <w:r>
        <w:t xml:space="preserve"> </w:t>
      </w:r>
      <w:r>
        <w:rPr>
          <w:rFonts w:hint="eastAsia"/>
        </w:rPr>
        <w:t xml:space="preserve">の95%区間で1.05〜1.21）で、FY2023〜25</w:t>
      </w:r>
      <w:r>
        <w:t xml:space="preserve"> </w:t>
      </w:r>
      <w:r>
        <w:rPr>
          <w:rFonts w:hint="eastAsia"/>
        </w:rPr>
        <w:t xml:space="preserve">の水準（</w:t>
      </w:r>
      <m:oMath>
        <m:r>
          <m:t>θ</m:t>
        </m:r>
        <m:r>
          <m:rPr>
            <m:sty m:val="p"/>
          </m:rPr>
          <m:t>=</m:t>
        </m:r>
        <m:r>
          <m:t>1</m:t>
        </m:r>
      </m:oMath>
      <w:r>
        <w:rPr>
          <w:rFonts w:hint="eastAsia"/>
        </w:rPr>
        <w:t xml:space="preserve">）では参入が開かないが、恒久成分の水準1.22</w:t>
      </w:r>
      <w:r>
        <w:t xml:space="preserve"> や </w:t>
      </w:r>
      <w:r>
        <w:rPr>
          <w:rFonts w:hint="eastAsia"/>
        </w:rPr>
        <w:t xml:space="preserve">FY2026上期の水準ならば開く。2030年度向けの</w:t>
      </w:r>
      <w:r>
        <w:t xml:space="preserve"> Net </w:t>
      </w:r>
      <w:r>
        <w:rPr>
          <w:rFonts w:hint="eastAsia"/>
        </w:rPr>
        <w:t xml:space="preserve">CONE（実効1.75万円）でも、現行の資本費では2.40</w:t>
      </w:r>
      <w:r>
        <w:t xml:space="preserve"> である。FY2023〜25 </w:t>
      </w:r>
      <w:r>
        <w:rPr>
          <w:rFonts w:hint="eastAsia"/>
        </w:rPr>
        <w:t xml:space="preserve">の水準で参入が開くのは、資本費2.3万円/kWh</w:t>
      </w:r>
      <w:r>
        <w:t xml:space="preserve"> </w:t>
      </w:r>
      <w:r>
        <w:rPr>
          <w:rFonts w:hint="eastAsia"/>
        </w:rPr>
        <w:t xml:space="preserve">かつ実効容量収入1.75万円以上（0.53）、3.0万円かつ1.75万円以上（0.82）、4.0〜5.0万円かつ2.5万円（0.33〜0.75）である。恒久成分の水準（1.22）では、2.3万円・1.25万円（1.12）と6.0万円・2.5万円（1.16）が加わる。FY2026上期の水準（1.57）が続けば、さらに3.0万円・1.25万円（1.41）、4.0万円・1.75万円（1.24）、そして現行の6.8万円/kWh・2.5万円（1.49）でも開く。FY2022</w:t>
      </w:r>
      <w:r>
        <w:t xml:space="preserve"> </w:t>
      </w:r>
      <w:r>
        <w:rPr>
          <w:rFonts w:hint="eastAsia"/>
        </w:rPr>
        <w:t xml:space="preserve">の水準（1.72）では、2.3万円・0.83万円（1.62）と5.0万円・1.75万円（1.65）も開く。</w:t>
      </w:r>
    </w:p>
    <w:p>
      <w:pPr>
        <w:pStyle w:val="BodyText"/>
      </w:pPr>
      <w:r>
        <w:rPr>
          <w:rFonts w:hint="eastAsia"/>
        </w:rPr>
        <w:t xml:space="preserve">参入が開いた後の均衡容量（表C.40）では、価格水準が</w:t>
      </w:r>
      <w:r>
        <w:t xml:space="preserve"> </w:t>
      </w:r>
      <w:r>
        <w:rPr>
          <w:rFonts w:hint="eastAsia"/>
        </w:rPr>
        <w:t xml:space="preserve">FY2026上期並み（</w:t>
      </w:r>
      <m:oMath>
        <m:r>
          <m:t>θ</m:t>
        </m:r>
        <m:r>
          <m:rPr>
            <m:sty m:val="p"/>
          </m:rPr>
          <m:t>=</m:t>
        </m:r>
        <m:r>
          <m:t>1.57</m:t>
        </m:r>
      </m:oMath>
      <w:r>
        <w:rPr>
          <w:rFonts w:hint="eastAsia"/>
        </w:rPr>
        <w:t xml:space="preserve">）で資本費が揚水並みまで下がり、容量収入が1.75万円の場合、容量価格を定数とすれば</w:t>
      </w:r>
      <w:r>
        <w:t xml:space="preserve"> </w:t>
      </w:r>
      <m:oMath>
        <m:sSup>
          <m:e>
            <m:r>
              <m:t>K</m:t>
            </m:r>
          </m:e>
          <m:sup>
            <m:r>
              <m:rPr>
                <m:sty m:val="p"/>
              </m:rPr>
              <m:t>*</m:t>
            </m:r>
          </m:sup>
        </m:sSup>
      </m:oMath>
      <w:r>
        <w:rPr>
          <w:rFonts w:hint="eastAsia"/>
        </w:rPr>
        <w:t xml:space="preserve">≈55万kW</w:t>
      </w:r>
      <w:r>
        <w:t xml:space="preserve"> </w:t>
      </w:r>
      <w:r>
        <w:rPr>
          <w:rFonts w:hint="eastAsia"/>
        </w:rPr>
        <w:t xml:space="preserve">だが、北海道が単独ブロックとして分断される按分曲線では実効容量収入が</w:t>
      </w:r>
      <w:r>
        <w:t xml:space="preserve"> K </w:t>
      </w:r>
      <w:r>
        <w:rPr>
          <w:rFonts w:hint="eastAsia"/>
        </w:rPr>
        <w:t xml:space="preserve">とともに急速に下がる（約22万kW</w:t>
      </w:r>
      <w:r>
        <w:t xml:space="preserve"> </w:t>
      </w:r>
      <w:r>
        <w:rPr>
          <w:rFonts w:hint="eastAsia"/>
        </w:rPr>
        <w:t xml:space="preserve">で0）ため</w:t>
      </w:r>
      <w:r>
        <w:t xml:space="preserve"> </w:t>
      </w:r>
      <m:oMath>
        <m:sSup>
          <m:e>
            <m:r>
              <m:t>K</m:t>
            </m:r>
          </m:e>
          <m:sup>
            <m:r>
              <m:rPr>
                <m:sty m:val="p"/>
              </m:rPr>
              <m:t>*</m:t>
            </m:r>
          </m:sup>
        </m:sSup>
      </m:oMath>
      <w:r>
        <w:rPr>
          <w:rFonts w:hint="eastAsia"/>
        </w:rPr>
        <w:t xml:space="preserve">≈9万kW、全国連系でも約46万kW</w:t>
      </w:r>
      <w:r>
        <w:t xml:space="preserve"> </w:t>
      </w:r>
      <w:r>
        <w:rPr>
          <w:rFonts w:hint="eastAsia"/>
        </w:rPr>
        <w:t xml:space="preserve">にとどまる。上限近傍の容量収入2.5万円が維持されるなら、定数のケースでは300万kW</w:t>
      </w:r>
      <w:r>
        <w:t xml:space="preserve"> </w:t>
      </w:r>
      <w:r>
        <w:rPr>
          <w:rFonts w:hint="eastAsia"/>
        </w:rPr>
        <w:t xml:space="preserve">を超えても閉じない（資本費2.3万円では容量収入2.5万円だけで</w:t>
      </w:r>
      <w:r>
        <w:t xml:space="preserve"> </w:t>
      </w:r>
      <m:oMath>
        <m:sSub>
          <m:e>
            <m:r>
              <m:t>c</m:t>
            </m:r>
          </m:e>
          <m:sub>
            <m:r>
              <m:rPr>
                <m:sty m:val="p"/>
              </m:rPr>
              <m:t>r</m:t>
            </m:r>
            <m:r>
              <m:rPr>
                <m:sty m:val="p"/>
              </m:rPr>
              <m:t>e</m:t>
            </m:r>
            <m:r>
              <m:rPr>
                <m:sty m:val="p"/>
              </m:rPr>
              <m:t>q</m:t>
            </m:r>
          </m:sub>
        </m:sSub>
      </m:oMath>
      <w:r>
        <w:t xml:space="preserve"> </w:t>
      </w:r>
      <w:r>
        <w:rPr>
          <w:rFonts w:hint="eastAsia"/>
        </w:rPr>
        <w:t xml:space="preserve">を上回り、スポット収益が負になっても参入が止まらない）。</w:t>
      </w:r>
      <m:oMath>
        <m:r>
          <m:t>θ</m:t>
        </m:r>
        <m:r>
          <m:rPr>
            <m:sty m:val="p"/>
          </m:rPr>
          <m:t>=</m:t>
        </m:r>
        <m:r>
          <m:t>1</m:t>
        </m:r>
      </m:oMath>
      <w:r>
        <w:rPr>
          <w:rFonts w:hint="eastAsia"/>
        </w:rPr>
        <w:t xml:space="preserve">・資本費2.3万円・容量収入2.5万円の全国連系の約77万kW</w:t>
      </w:r>
      <w:r>
        <w:t xml:space="preserve"> </w:t>
      </w:r>
      <w:r>
        <w:rPr>
          <w:rFonts w:hint="eastAsia"/>
        </w:rPr>
        <w:t xml:space="preserve">は、比例縮小で76万kW、FY2026上期の水準でも83万kW、フリートが戦略</w:t>
      </w:r>
      <w:r>
        <w:t xml:space="preserve"> c </w:t>
      </w:r>
      <w:r>
        <w:rPr>
          <w:rFonts w:hint="eastAsia"/>
        </w:rPr>
        <w:t xml:space="preserve">の窓に従う配分では64万kW</w:t>
      </w:r>
      <w:r>
        <w:t xml:space="preserve"> </w:t>
      </w:r>
      <w:r>
        <w:rPr>
          <w:rFonts w:hint="eastAsia"/>
        </w:rPr>
        <w:t xml:space="preserve">である。既設の接続済み約20万kW</w:t>
      </w:r>
      <w:r>
        <w:t xml:space="preserve"> </w:t>
      </w:r>
      <w:r>
        <w:rPr>
          <w:rFonts w:hint="eastAsia"/>
        </w:rPr>
        <w:t xml:space="preserve">を外生に置くと、マーチャント分は全国連系で57万kW、北海道按分で0である（既設20万kW</w:t>
      </w:r>
      <w:r>
        <w:t xml:space="preserve"> </w:t>
      </w:r>
      <w:r>
        <w:rPr>
          <w:rFonts w:hint="eastAsia"/>
        </w:rPr>
        <w:t xml:space="preserve">が2029年度向けの約定に既に含まれるとして容量価格に入れない場合は、全国68万kW・北海道6万kW）。LTDA</w:t>
      </w:r>
      <w:r>
        <w:t xml:space="preserve"> </w:t>
      </w:r>
      <w:r>
        <w:rPr>
          <w:rFonts w:hint="eastAsia"/>
        </w:rPr>
        <w:t xml:space="preserve">の北海道分を加えた87.4万kW</w:t>
      </w:r>
      <w:r>
        <w:t xml:space="preserve"> </w:t>
      </w:r>
      <w:r>
        <w:rPr>
          <w:rFonts w:hint="eastAsia"/>
        </w:rPr>
        <w:t xml:space="preserve">の上では、全国連系で34万kW、北海道按分で0である。</w:t>
      </w:r>
    </w:p>
    <w:p>
      <w:pPr>
        <w:pStyle w:val="TableCaption"/>
      </w:pPr>
      <w:r>
        <w:rPr>
          <w:rFonts w:hint="eastAsia"/>
        </w:rPr>
        <w:t xml:space="preserve">表C.40</w:t>
      </w:r>
      <w:r>
        <w:t xml:space="preserve">　</w:t>
      </w:r>
      <w:r>
        <w:rPr>
          <w:rFonts w:hint="eastAsia"/>
        </w:rPr>
        <w:t xml:space="preserve">参入が開く組合せにおける均衡容量</w:t>
      </w:r>
      <w:r>
        <w:t xml:space="preserve"> </w:t>
      </w:r>
      <m:oMath>
        <m:sSup>
          <m:e>
            <m:r>
              <m:t>K</m:t>
            </m:r>
          </m:e>
          <m:sup>
            <m:r>
              <m:rPr>
                <m:sty m:val="p"/>
              </m:rPr>
              <m:t>*</m:t>
            </m:r>
          </m:sup>
        </m:sSup>
      </m:oMath>
      <w:r>
        <w:rPr>
          <w:rFonts w:hint="eastAsia"/>
        </w:rPr>
        <w:t xml:space="preserve">（万kW）</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0　参入が開く組合せにおける均衡容量 K^*（万kW）"/>
      </w:tblPr>
      <w:tblGrid>
        <w:gridCol w:w="1250"/>
        <w:gridCol w:w="1667"/>
        <w:gridCol w:w="1667"/>
        <w:gridCol w:w="1667"/>
        <w:gridCol w:w="1667"/>
      </w:tblGrid>
      <w:tr>
        <w:trPr>
          <w:tblHeader w:val="on"/>
        </w:trPr>
        <w:tc>
          <w:tcPr>
            <w:tcBorders>
              <w:bottom w:val="single" w:sz="6" w:color="000000"/>
            </w:tcBorders>
          </w:tcPr>
          <w:p>
            <w:pPr>
              <w:pStyle w:val="Compact"/>
            </w:pPr>
            <w:r>
              <w:rPr>
                <w:rFonts w:hint="eastAsia"/>
                <w:sz w:val="18"/>
              </w:rPr>
              <w:t xml:space="preserve">条件（</w:t>
            </w:r>
            <m:oMath>
              <m:r>
                <m:t>θ</m:t>
              </m:r>
            </m:oMath>
            <w:r>
              <w:rPr>
                <w:rFonts w:hint="eastAsia"/>
                <w:sz w:val="18"/>
              </w:rPr>
              <w:t xml:space="preserve">、資本費、実効容量収入）</w:t>
            </w:r>
          </w:p>
        </w:tc>
        <w:tc>
          <w:tcPr>
            <w:tcBorders>
              <w:bottom w:val="single" w:sz="6" w:color="000000"/>
            </w:tcBorders>
          </w:tcPr>
          <w:p>
            <w:pPr>
              <w:pStyle w:val="Compact"/>
              <w:jc w:val="right"/>
            </w:pPr>
            <w:r>
              <w:rPr>
                <w:rFonts w:hint="eastAsia"/>
                <w:sz w:val="18"/>
              </w:rPr>
              <w:t xml:space="preserve">容量価格定数</w:t>
            </w:r>
          </w:p>
        </w:tc>
        <w:tc>
          <w:tcPr>
            <w:tcBorders>
              <w:bottom w:val="single" w:sz="6" w:color="000000"/>
            </w:tcBorders>
          </w:tcPr>
          <w:p>
            <w:pPr>
              <w:pStyle w:val="Compact"/>
              <w:jc w:val="right"/>
            </w:pPr>
            <w:r>
              <w:rPr>
                <w:rFonts w:hint="eastAsia"/>
                <w:sz w:val="18"/>
              </w:rPr>
              <w:t xml:space="preserve">北海道ブロック按分</w:t>
            </w:r>
          </w:p>
        </w:tc>
        <w:tc>
          <w:tcPr>
            <w:tcBorders>
              <w:bottom w:val="single" w:sz="6" w:color="000000"/>
            </w:tcBorders>
          </w:tcPr>
          <w:p>
            <w:pPr>
              <w:pStyle w:val="Compact"/>
              <w:jc w:val="right"/>
            </w:pPr>
            <w:r>
              <w:rPr>
                <w:rFonts w:hint="eastAsia"/>
                <w:sz w:val="18"/>
              </w:rPr>
              <w:t xml:space="preserve">全国連系</w:t>
            </w:r>
          </w:p>
        </w:tc>
        <w:tc>
          <w:tcPr>
            <w:tcBorders>
              <w:bottom w:val="single" w:sz="6" w:color="000000"/>
            </w:tcBorders>
          </w:tcPr>
          <w:p>
            <w:pPr>
              <w:pStyle w:val="Compact"/>
              <w:jc w:val="right"/>
            </w:pPr>
            <w:r>
              <w:rPr>
                <w:rFonts w:hint="eastAsia"/>
                <w:sz w:val="18"/>
              </w:rPr>
              <w:t xml:space="preserve">接続済み20万kW</w:t>
            </w:r>
            <w:r>
              <w:rPr>
                <w:sz w:val="18"/>
              </w:rPr>
              <w:t xml:space="preserve"> </w:t>
            </w:r>
            <w:r>
              <w:rPr>
                <w:rFonts w:hint="eastAsia"/>
                <w:sz w:val="18"/>
              </w:rPr>
              <w:t xml:space="preserve">の上のマーチャント分（全国連系）</w:t>
            </w:r>
          </w:p>
        </w:tc>
      </w:tr>
      <w:tr>
        <w:tc>
          <w:tcPr/>
          <w:p>
            <w:pPr>
              <w:pStyle w:val="Compact"/>
            </w:pPr>
            <w:r>
              <w:rPr>
                <w:rFonts w:hint="eastAsia"/>
                <w:b/>
                <w:bCs/>
                <w:sz w:val="18"/>
              </w:rPr>
              <w:t xml:space="preserve">パネルA：</w:t>
            </w:r>
            <m:oMath>
              <m:r>
                <m:t>θ</m:t>
              </m:r>
              <m:r>
                <m:rPr>
                  <m:sty m:val="p"/>
                </m:rPr>
                <m:t>=</m:t>
              </m:r>
              <m:r>
                <m:t>1</m:t>
              </m:r>
            </m:oMath>
            <w:r>
              <w:rPr>
                <w:b/>
                <w:bCs/>
                <w:sz w:val="18"/>
              </w:rPr>
              <w:t xml:space="preserve"> </w:t>
            </w:r>
            <w:r>
              <w:rPr>
                <w:rFonts w:hint="eastAsia"/>
                <w:b/>
                <w:bCs/>
                <w:sz w:val="18"/>
              </w:rPr>
              <w:t xml:space="preserve">で開く組合せ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1.00、2.3万、1.75万</w:t>
            </w:r>
          </w:p>
        </w:tc>
        <w:tc>
          <w:tcPr/>
          <w:p>
            <w:pPr>
              <w:pStyle w:val="Compact"/>
              <w:jc w:val="right"/>
            </w:pPr>
            <w:r>
              <w:rPr>
                <w:sz w:val="18"/>
              </w:rPr>
              <w:t xml:space="preserve">36.6</w:t>
            </w:r>
          </w:p>
        </w:tc>
        <w:tc>
          <w:tcPr/>
          <w:p>
            <w:pPr>
              <w:pStyle w:val="Compact"/>
              <w:jc w:val="right"/>
            </w:pPr>
            <w:r>
              <w:rPr>
                <w:sz w:val="18"/>
              </w:rPr>
              <w:t xml:space="preserve">4.4</w:t>
            </w:r>
          </w:p>
        </w:tc>
        <w:tc>
          <w:tcPr/>
          <w:p>
            <w:pPr>
              <w:pStyle w:val="Compact"/>
              <w:jc w:val="right"/>
            </w:pPr>
            <w:r>
              <w:rPr>
                <w:sz w:val="18"/>
              </w:rPr>
              <w:t xml:space="preserve">29.1</w:t>
            </w:r>
          </w:p>
        </w:tc>
        <w:tc>
          <w:tcPr/>
          <w:p>
            <w:pPr>
              <w:pStyle w:val="Compact"/>
              <w:jc w:val="right"/>
            </w:pPr>
            <w:r>
              <w:rPr>
                <w:sz w:val="18"/>
              </w:rPr>
              <w:t xml:space="preserve">9.2</w:t>
            </w:r>
          </w:p>
        </w:tc>
      </w:tr>
      <w:tr>
        <w:tc>
          <w:tcPr/>
          <w:p>
            <w:pPr>
              <w:pStyle w:val="Compact"/>
            </w:pPr>
            <w:r>
              <w:rPr>
                <w:rFonts w:hint="eastAsia"/>
                <w:sz w:val="18"/>
              </w:rPr>
              <w:t xml:space="preserve">1.00、2.3万、2.5万</w:t>
            </w:r>
          </w:p>
        </w:tc>
        <w:tc>
          <w:tcPr/>
          <w:p>
            <w:pPr>
              <w:pStyle w:val="Compact"/>
              <w:jc w:val="right"/>
            </w:pPr>
            <w:r>
              <w:rPr>
                <w:rFonts w:hint="eastAsia"/>
                <w:sz w:val="18"/>
              </w:rPr>
              <w:t xml:space="preserve">300超</w:t>
            </w:r>
          </w:p>
        </w:tc>
        <w:tc>
          <w:tcPr/>
          <w:p>
            <w:pPr>
              <w:pStyle w:val="Compact"/>
              <w:jc w:val="right"/>
            </w:pPr>
            <w:r>
              <w:rPr>
                <w:sz w:val="18"/>
              </w:rPr>
              <w:t xml:space="preserve">8.1</w:t>
            </w:r>
          </w:p>
        </w:tc>
        <w:tc>
          <w:tcPr/>
          <w:p>
            <w:pPr>
              <w:pStyle w:val="Compact"/>
              <w:jc w:val="right"/>
            </w:pPr>
            <w:r>
              <w:rPr>
                <w:sz w:val="18"/>
              </w:rPr>
              <w:t xml:space="preserve">76.9</w:t>
            </w:r>
          </w:p>
        </w:tc>
        <w:tc>
          <w:tcPr/>
          <w:p>
            <w:pPr>
              <w:pStyle w:val="Compact"/>
              <w:jc w:val="right"/>
            </w:pPr>
            <w:r>
              <w:rPr>
                <w:sz w:val="18"/>
              </w:rPr>
              <w:t xml:space="preserve">56.9</w:t>
            </w:r>
          </w:p>
        </w:tc>
      </w:tr>
      <w:tr>
        <w:tc>
          <w:tcPr/>
          <w:p>
            <w:pPr>
              <w:pStyle w:val="Compact"/>
            </w:pPr>
            <w:r>
              <w:rPr>
                <w:rFonts w:hint="eastAsia"/>
                <w:sz w:val="18"/>
              </w:rPr>
              <w:t xml:space="preserve">1.00、3.0万、1.75万</w:t>
            </w:r>
          </w:p>
        </w:tc>
        <w:tc>
          <w:tcPr/>
          <w:p>
            <w:pPr>
              <w:pStyle w:val="Compact"/>
              <w:jc w:val="right"/>
            </w:pPr>
            <w:r>
              <w:rPr>
                <w:sz w:val="18"/>
              </w:rPr>
              <w:t xml:space="preserve">13.5</w:t>
            </w:r>
          </w:p>
        </w:tc>
        <w:tc>
          <w:tcPr/>
          <w:p>
            <w:pPr>
              <w:pStyle w:val="Compact"/>
              <w:jc w:val="right"/>
            </w:pPr>
            <w:r>
              <w:rPr>
                <w:sz w:val="18"/>
              </w:rPr>
              <w:t xml:space="preserve">1.7</w:t>
            </w:r>
          </w:p>
        </w:tc>
        <w:tc>
          <w:tcPr/>
          <w:p>
            <w:pPr>
              <w:pStyle w:val="Compact"/>
              <w:jc w:val="right"/>
            </w:pPr>
            <w:r>
              <w:rPr>
                <w:sz w:val="18"/>
              </w:rPr>
              <w:t xml:space="preserve">11.0</w:t>
            </w:r>
          </w:p>
        </w:tc>
        <w:tc>
          <w:tcPr/>
          <w:p>
            <w:pPr>
              <w:pStyle w:val="Compact"/>
              <w:jc w:val="right"/>
            </w:pPr>
            <w:r>
              <w:rPr>
                <w:sz w:val="18"/>
              </w:rPr>
              <w:t xml:space="preserve">0</w:t>
            </w:r>
          </w:p>
        </w:tc>
      </w:tr>
      <w:tr>
        <w:tc>
          <w:tcPr/>
          <w:p>
            <w:pPr>
              <w:pStyle w:val="Compact"/>
            </w:pPr>
            <w:r>
              <w:rPr>
                <w:rFonts w:hint="eastAsia"/>
                <w:sz w:val="18"/>
              </w:rPr>
              <w:t xml:space="preserve">1.00、3.0万、2.5万</w:t>
            </w:r>
          </w:p>
        </w:tc>
        <w:tc>
          <w:tcPr/>
          <w:p>
            <w:pPr>
              <w:pStyle w:val="Compact"/>
              <w:jc w:val="right"/>
            </w:pPr>
            <w:r>
              <w:rPr>
                <w:rFonts w:hint="eastAsia"/>
                <w:sz w:val="18"/>
              </w:rPr>
              <w:t xml:space="preserve">300超</w:t>
            </w:r>
          </w:p>
        </w:tc>
        <w:tc>
          <w:tcPr/>
          <w:p>
            <w:pPr>
              <w:pStyle w:val="Compact"/>
              <w:jc w:val="right"/>
            </w:pPr>
            <w:r>
              <w:rPr>
                <w:sz w:val="18"/>
              </w:rPr>
              <w:t xml:space="preserve">5.3</w:t>
            </w:r>
          </w:p>
        </w:tc>
        <w:tc>
          <w:tcPr/>
          <w:p>
            <w:pPr>
              <w:pStyle w:val="Compact"/>
              <w:jc w:val="right"/>
            </w:pPr>
            <w:r>
              <w:rPr>
                <w:sz w:val="18"/>
              </w:rPr>
              <w:t xml:space="preserve">57.0</w:t>
            </w:r>
          </w:p>
        </w:tc>
        <w:tc>
          <w:tcPr/>
          <w:p>
            <w:pPr>
              <w:pStyle w:val="Compact"/>
              <w:jc w:val="right"/>
            </w:pPr>
            <w:r>
              <w:rPr>
                <w:sz w:val="18"/>
              </w:rPr>
              <w:t xml:space="preserve">37.0</w:t>
            </w:r>
          </w:p>
        </w:tc>
      </w:tr>
      <w:tr>
        <w:tc>
          <w:tcPr/>
          <w:p>
            <w:pPr>
              <w:pStyle w:val="Compact"/>
            </w:pPr>
            <w:r>
              <w:rPr>
                <w:rFonts w:hint="eastAsia"/>
                <w:sz w:val="18"/>
              </w:rPr>
              <w:t xml:space="preserve">1.00、4.0万、2.5万</w:t>
            </w:r>
          </w:p>
        </w:tc>
        <w:tc>
          <w:tcPr/>
          <w:p>
            <w:pPr>
              <w:pStyle w:val="Compact"/>
              <w:jc w:val="right"/>
            </w:pPr>
            <w:r>
              <w:rPr>
                <w:sz w:val="18"/>
              </w:rPr>
              <w:t xml:space="preserve">55.5</w:t>
            </w:r>
          </w:p>
        </w:tc>
        <w:tc>
          <w:tcPr/>
          <w:p>
            <w:pPr>
              <w:pStyle w:val="Compact"/>
              <w:jc w:val="right"/>
            </w:pPr>
            <w:r>
              <w:rPr>
                <w:sz w:val="18"/>
              </w:rPr>
              <w:t xml:space="preserve">2.9</w:t>
            </w:r>
          </w:p>
        </w:tc>
        <w:tc>
          <w:tcPr/>
          <w:p>
            <w:pPr>
              <w:pStyle w:val="Compact"/>
              <w:jc w:val="right"/>
            </w:pPr>
            <w:r>
              <w:rPr>
                <w:sz w:val="18"/>
              </w:rPr>
              <w:t xml:space="preserve">33.5</w:t>
            </w:r>
          </w:p>
        </w:tc>
        <w:tc>
          <w:tcPr/>
          <w:p>
            <w:pPr>
              <w:pStyle w:val="Compact"/>
              <w:jc w:val="right"/>
            </w:pPr>
            <w:r>
              <w:rPr>
                <w:sz w:val="18"/>
              </w:rPr>
              <w:t xml:space="preserve">13.5</w:t>
            </w:r>
          </w:p>
        </w:tc>
      </w:tr>
      <w:tr>
        <w:tc>
          <w:tcPr/>
          <w:p>
            <w:pPr>
              <w:pStyle w:val="Compact"/>
            </w:pPr>
            <w:r>
              <w:rPr>
                <w:rFonts w:hint="eastAsia"/>
                <w:sz w:val="18"/>
              </w:rPr>
              <w:t xml:space="preserve">1.00、5.0万、2.5万</w:t>
            </w:r>
          </w:p>
        </w:tc>
        <w:tc>
          <w:tcPr/>
          <w:p>
            <w:pPr>
              <w:pStyle w:val="Compact"/>
              <w:jc w:val="right"/>
            </w:pPr>
            <w:r>
              <w:rPr>
                <w:sz w:val="18"/>
              </w:rPr>
              <w:t xml:space="preserve">19.2</w:t>
            </w:r>
          </w:p>
        </w:tc>
        <w:tc>
          <w:tcPr/>
          <w:p>
            <w:pPr>
              <w:pStyle w:val="Compact"/>
              <w:jc w:val="right"/>
            </w:pPr>
            <w:r>
              <w:rPr>
                <w:sz w:val="18"/>
              </w:rPr>
              <w:t xml:space="preserve">1.1</w:t>
            </w:r>
          </w:p>
        </w:tc>
        <w:tc>
          <w:tcPr/>
          <w:p>
            <w:pPr>
              <w:pStyle w:val="Compact"/>
              <w:jc w:val="right"/>
            </w:pPr>
            <w:r>
              <w:rPr>
                <w:sz w:val="18"/>
              </w:rPr>
              <w:t xml:space="preserve">12.5</w:t>
            </w:r>
          </w:p>
        </w:tc>
        <w:tc>
          <w:tcPr/>
          <w:p>
            <w:pPr>
              <w:pStyle w:val="Compact"/>
              <w:jc w:val="right"/>
            </w:pPr>
            <w:r>
              <w:rPr>
                <w:sz w:val="18"/>
              </w:rPr>
              <w:t xml:space="preserve">0</w:t>
            </w:r>
          </w:p>
        </w:tc>
      </w:tr>
      <w:tr>
        <w:tc>
          <w:tcPr/>
          <w:p>
            <w:pPr>
              <w:pStyle w:val="Compact"/>
            </w:pPr>
            <w:r>
              <w:rPr>
                <w:rFonts w:hint="eastAsia"/>
                <w:b/>
                <w:bCs/>
                <w:sz w:val="18"/>
              </w:rPr>
              <w:t xml:space="preserve">パネルB：</w:t>
            </w:r>
            <m:oMath>
              <m:r>
                <m:t>θ</m:t>
              </m:r>
              <m:r>
                <m:rPr>
                  <m:sty m:val="p"/>
                </m:rPr>
                <m:t>=</m:t>
              </m:r>
              <m:r>
                <m:t>1.22</m:t>
              </m:r>
            </m:oMath>
            <w:r>
              <w:rPr>
                <w:b/>
                <w:bCs/>
                <w:sz w:val="18"/>
              </w:rPr>
              <w:t xml:space="preserve"> </w:t>
            </w:r>
            <w:r>
              <w:rPr>
                <w:rFonts w:hint="eastAsia"/>
                <w:b/>
                <w:bCs/>
                <w:sz w:val="18"/>
              </w:rPr>
              <w:t xml:space="preserve">で加わる組合せ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1.22、2.3万、1.25万</w:t>
            </w:r>
          </w:p>
        </w:tc>
        <w:tc>
          <w:tcPr/>
          <w:p>
            <w:pPr>
              <w:pStyle w:val="Compact"/>
              <w:jc w:val="right"/>
            </w:pPr>
            <w:r>
              <w:rPr>
                <w:sz w:val="18"/>
              </w:rPr>
              <w:t xml:space="preserve">6.1</w:t>
            </w:r>
          </w:p>
        </w:tc>
        <w:tc>
          <w:tcPr/>
          <w:p>
            <w:pPr>
              <w:pStyle w:val="Compact"/>
              <w:jc w:val="right"/>
            </w:pPr>
            <w:r>
              <w:rPr>
                <w:sz w:val="18"/>
              </w:rPr>
              <w:t xml:space="preserve">0.9</w:t>
            </w:r>
          </w:p>
        </w:tc>
        <w:tc>
          <w:tcPr/>
          <w:p>
            <w:pPr>
              <w:pStyle w:val="Compact"/>
              <w:jc w:val="right"/>
            </w:pPr>
            <w:r>
              <w:rPr>
                <w:sz w:val="18"/>
              </w:rPr>
              <w:t xml:space="preserve">5.1</w:t>
            </w:r>
          </w:p>
        </w:tc>
        <w:tc>
          <w:tcPr/>
          <w:p>
            <w:pPr>
              <w:pStyle w:val="Compact"/>
              <w:jc w:val="right"/>
            </w:pPr>
            <w:r>
              <w:rPr>
                <w:sz w:val="18"/>
              </w:rPr>
              <w:t xml:space="preserve">0</w:t>
            </w:r>
          </w:p>
        </w:tc>
      </w:tr>
      <w:tr>
        <w:tc>
          <w:tcPr/>
          <w:p>
            <w:pPr>
              <w:pStyle w:val="Compact"/>
            </w:pPr>
            <w:r>
              <w:rPr>
                <w:rFonts w:hint="eastAsia"/>
                <w:sz w:val="18"/>
              </w:rPr>
              <w:t xml:space="preserve">1.22、6.0万、2.5万</w:t>
            </w:r>
          </w:p>
        </w:tc>
        <w:tc>
          <w:tcPr/>
          <w:p>
            <w:pPr>
              <w:pStyle w:val="Compact"/>
              <w:jc w:val="right"/>
            </w:pPr>
            <w:r>
              <w:rPr>
                <w:sz w:val="18"/>
              </w:rPr>
              <w:t xml:space="preserve">3.7</w:t>
            </w:r>
          </w:p>
        </w:tc>
        <w:tc>
          <w:tcPr/>
          <w:p>
            <w:pPr>
              <w:pStyle w:val="Compact"/>
              <w:jc w:val="right"/>
            </w:pPr>
            <w:r>
              <w:rPr>
                <w:sz w:val="18"/>
              </w:rPr>
              <w:t xml:space="preserve">0.3</w:t>
            </w:r>
          </w:p>
        </w:tc>
        <w:tc>
          <w:tcPr/>
          <w:p>
            <w:pPr>
              <w:pStyle w:val="Compact"/>
              <w:jc w:val="right"/>
            </w:pPr>
            <w:r>
              <w:rPr>
                <w:sz w:val="18"/>
              </w:rPr>
              <w:t xml:space="preserve">2.5</w:t>
            </w:r>
          </w:p>
        </w:tc>
        <w:tc>
          <w:tcPr/>
          <w:p>
            <w:pPr>
              <w:pStyle w:val="Compact"/>
              <w:jc w:val="right"/>
            </w:pPr>
            <w:r>
              <w:rPr>
                <w:sz w:val="18"/>
              </w:rPr>
              <w:t xml:space="preserve">0</w:t>
            </w:r>
          </w:p>
        </w:tc>
      </w:tr>
      <w:tr>
        <w:tc>
          <w:tcPr/>
          <w:p>
            <w:pPr>
              <w:pStyle w:val="Compact"/>
            </w:pPr>
            <w:r>
              <w:rPr>
                <w:rFonts w:hint="eastAsia"/>
                <w:b/>
                <w:bCs/>
                <w:sz w:val="18"/>
              </w:rPr>
              <w:t xml:space="preserve">パネルC：</w:t>
            </w:r>
            <m:oMath>
              <m:r>
                <m:t>θ</m:t>
              </m:r>
              <m:r>
                <m:rPr>
                  <m:sty m:val="p"/>
                </m:rPr>
                <m:t>=</m:t>
              </m:r>
              <m:r>
                <m:t>1.57</m:t>
              </m:r>
            </m:oMath>
            <w:r>
              <w:rPr>
                <w:b/>
                <w:bCs/>
                <w:sz w:val="18"/>
              </w:rPr>
              <w:t xml:space="preserve"> </w:t>
            </w:r>
            <w:r>
              <w:rPr>
                <w:rFonts w:hint="eastAsia"/>
                <w:b/>
                <w:bCs/>
                <w:sz w:val="18"/>
              </w:rPr>
              <w:t xml:space="preserve">の組合せ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1.57、2.3万、1.25万</w:t>
            </w:r>
          </w:p>
        </w:tc>
        <w:tc>
          <w:tcPr/>
          <w:p>
            <w:pPr>
              <w:pStyle w:val="Compact"/>
              <w:jc w:val="right"/>
            </w:pPr>
            <w:r>
              <w:rPr>
                <w:sz w:val="18"/>
              </w:rPr>
              <w:t xml:space="preserve">21.6</w:t>
            </w:r>
          </w:p>
        </w:tc>
        <w:tc>
          <w:tcPr/>
          <w:p>
            <w:pPr>
              <w:pStyle w:val="Compact"/>
              <w:jc w:val="right"/>
            </w:pPr>
            <w:r>
              <w:rPr>
                <w:sz w:val="18"/>
              </w:rPr>
              <w:t xml:space="preserve">3.9</w:t>
            </w:r>
          </w:p>
        </w:tc>
        <w:tc>
          <w:tcPr/>
          <w:p>
            <w:pPr>
              <w:pStyle w:val="Compact"/>
              <w:jc w:val="right"/>
            </w:pPr>
            <w:r>
              <w:rPr>
                <w:sz w:val="18"/>
              </w:rPr>
              <w:t xml:space="preserve">18.8</w:t>
            </w:r>
          </w:p>
        </w:tc>
        <w:tc>
          <w:tcPr/>
          <w:p>
            <w:pPr>
              <w:pStyle w:val="Compact"/>
              <w:jc w:val="right"/>
            </w:pPr>
            <w:r>
              <w:rPr>
                <w:sz w:val="18"/>
              </w:rPr>
              <w:t xml:space="preserve">0</w:t>
            </w:r>
          </w:p>
        </w:tc>
      </w:tr>
      <w:tr>
        <w:tc>
          <w:tcPr/>
          <w:p>
            <w:pPr>
              <w:pStyle w:val="Compact"/>
            </w:pPr>
            <w:r>
              <w:rPr>
                <w:rFonts w:hint="eastAsia"/>
                <w:sz w:val="18"/>
              </w:rPr>
              <w:t xml:space="preserve">1.57、2.3万、1.75万</w:t>
            </w:r>
          </w:p>
        </w:tc>
        <w:tc>
          <w:tcPr/>
          <w:p>
            <w:pPr>
              <w:pStyle w:val="Compact"/>
              <w:jc w:val="right"/>
            </w:pPr>
            <w:r>
              <w:rPr>
                <w:sz w:val="18"/>
              </w:rPr>
              <w:t xml:space="preserve">54.9</w:t>
            </w:r>
          </w:p>
        </w:tc>
        <w:tc>
          <w:tcPr/>
          <w:p>
            <w:pPr>
              <w:pStyle w:val="Compact"/>
              <w:jc w:val="right"/>
            </w:pPr>
            <w:r>
              <w:rPr>
                <w:sz w:val="18"/>
              </w:rPr>
              <w:t xml:space="preserve">9.1</w:t>
            </w:r>
          </w:p>
        </w:tc>
        <w:tc>
          <w:tcPr/>
          <w:p>
            <w:pPr>
              <w:pStyle w:val="Compact"/>
              <w:jc w:val="right"/>
            </w:pPr>
            <w:r>
              <w:rPr>
                <w:sz w:val="18"/>
              </w:rPr>
              <w:t xml:space="preserve">45.8</w:t>
            </w:r>
          </w:p>
        </w:tc>
        <w:tc>
          <w:tcPr/>
          <w:p>
            <w:pPr>
              <w:pStyle w:val="Compact"/>
              <w:jc w:val="right"/>
            </w:pPr>
            <w:r>
              <w:rPr>
                <w:sz w:val="18"/>
              </w:rPr>
              <w:t xml:space="preserve">25.8</w:t>
            </w:r>
          </w:p>
        </w:tc>
      </w:tr>
      <w:tr>
        <w:tc>
          <w:tcPr/>
          <w:p>
            <w:pPr>
              <w:pStyle w:val="Compact"/>
            </w:pPr>
            <w:r>
              <w:rPr>
                <w:rFonts w:hint="eastAsia"/>
                <w:sz w:val="18"/>
              </w:rPr>
              <w:t xml:space="preserve">1.57、2.3万、2.5万</w:t>
            </w:r>
          </w:p>
        </w:tc>
        <w:tc>
          <w:tcPr/>
          <w:p>
            <w:pPr>
              <w:pStyle w:val="Compact"/>
              <w:jc w:val="right"/>
            </w:pPr>
            <w:r>
              <w:rPr>
                <w:rFonts w:hint="eastAsia"/>
                <w:sz w:val="18"/>
              </w:rPr>
              <w:t xml:space="preserve">300超</w:t>
            </w:r>
          </w:p>
        </w:tc>
        <w:tc>
          <w:tcPr/>
          <w:p>
            <w:pPr>
              <w:pStyle w:val="Compact"/>
              <w:jc w:val="right"/>
            </w:pPr>
            <w:r>
              <w:rPr>
                <w:sz w:val="18"/>
              </w:rPr>
              <w:t xml:space="preserve">12.5</w:t>
            </w:r>
          </w:p>
        </w:tc>
        <w:tc>
          <w:tcPr/>
          <w:p>
            <w:pPr>
              <w:pStyle w:val="Compact"/>
              <w:jc w:val="right"/>
            </w:pPr>
            <w:r>
              <w:rPr>
                <w:sz w:val="18"/>
              </w:rPr>
              <w:t xml:space="preserve">83.0</w:t>
            </w:r>
          </w:p>
        </w:tc>
        <w:tc>
          <w:tcPr/>
          <w:p>
            <w:pPr>
              <w:pStyle w:val="Compact"/>
              <w:jc w:val="right"/>
            </w:pPr>
            <w:r>
              <w:rPr>
                <w:sz w:val="18"/>
              </w:rPr>
              <w:t xml:space="preserve">63.0</w:t>
            </w:r>
          </w:p>
        </w:tc>
      </w:tr>
      <w:tr>
        <w:tc>
          <w:tcPr/>
          <w:p>
            <w:pPr>
              <w:pStyle w:val="Compact"/>
            </w:pPr>
            <w:r>
              <w:rPr>
                <w:rFonts w:hint="eastAsia"/>
                <w:sz w:val="18"/>
              </w:rPr>
              <w:t xml:space="preserve">1.57、3.0万、1.25万</w:t>
            </w:r>
          </w:p>
        </w:tc>
        <w:tc>
          <w:tcPr/>
          <w:p>
            <w:pPr>
              <w:pStyle w:val="Compact"/>
              <w:jc w:val="right"/>
            </w:pPr>
            <w:r>
              <w:rPr>
                <w:sz w:val="18"/>
              </w:rPr>
              <w:t xml:space="preserve">7.5</w:t>
            </w:r>
          </w:p>
        </w:tc>
        <w:tc>
          <w:tcPr/>
          <w:p>
            <w:pPr>
              <w:pStyle w:val="Compact"/>
              <w:jc w:val="right"/>
            </w:pPr>
            <w:r>
              <w:rPr>
                <w:sz w:val="18"/>
              </w:rPr>
              <w:t xml:space="preserve">1.4</w:t>
            </w:r>
          </w:p>
        </w:tc>
        <w:tc>
          <w:tcPr/>
          <w:p>
            <w:pPr>
              <w:pStyle w:val="Compact"/>
              <w:jc w:val="right"/>
            </w:pPr>
            <w:r>
              <w:rPr>
                <w:sz w:val="18"/>
              </w:rPr>
              <w:t xml:space="preserve">6.5</w:t>
            </w:r>
          </w:p>
        </w:tc>
        <w:tc>
          <w:tcPr/>
          <w:p>
            <w:pPr>
              <w:pStyle w:val="Compact"/>
              <w:jc w:val="right"/>
            </w:pPr>
            <w:r>
              <w:rPr>
                <w:sz w:val="18"/>
              </w:rPr>
              <w:t xml:space="preserve">0</w:t>
            </w:r>
          </w:p>
        </w:tc>
      </w:tr>
      <w:tr>
        <w:tc>
          <w:tcPr/>
          <w:p>
            <w:pPr>
              <w:pStyle w:val="Compact"/>
            </w:pPr>
            <w:r>
              <w:rPr>
                <w:rFonts w:hint="eastAsia"/>
                <w:sz w:val="18"/>
              </w:rPr>
              <w:t xml:space="preserve">1.57、4.0万、1.75万</w:t>
            </w:r>
          </w:p>
        </w:tc>
        <w:tc>
          <w:tcPr/>
          <w:p>
            <w:pPr>
              <w:pStyle w:val="Compact"/>
              <w:jc w:val="right"/>
            </w:pPr>
            <w:r>
              <w:rPr>
                <w:sz w:val="18"/>
              </w:rPr>
              <w:t xml:space="preserve">16.0</w:t>
            </w:r>
          </w:p>
        </w:tc>
        <w:tc>
          <w:tcPr/>
          <w:p>
            <w:pPr>
              <w:pStyle w:val="Compact"/>
              <w:jc w:val="right"/>
            </w:pPr>
            <w:r>
              <w:rPr>
                <w:sz w:val="18"/>
              </w:rPr>
              <w:t xml:space="preserve">2.9</w:t>
            </w:r>
          </w:p>
        </w:tc>
        <w:tc>
          <w:tcPr/>
          <w:p>
            <w:pPr>
              <w:pStyle w:val="Compact"/>
              <w:jc w:val="right"/>
            </w:pPr>
            <w:r>
              <w:rPr>
                <w:sz w:val="18"/>
              </w:rPr>
              <w:t xml:space="preserve">14.0</w:t>
            </w:r>
          </w:p>
        </w:tc>
        <w:tc>
          <w:tcPr/>
          <w:p>
            <w:pPr>
              <w:pStyle w:val="Compact"/>
              <w:jc w:val="right"/>
            </w:pPr>
            <w:r>
              <w:rPr>
                <w:sz w:val="18"/>
              </w:rPr>
              <w:t xml:space="preserve">0</w:t>
            </w:r>
          </w:p>
        </w:tc>
      </w:tr>
      <w:tr>
        <w:tc>
          <w:tcPr/>
          <w:p>
            <w:pPr>
              <w:pStyle w:val="Compact"/>
            </w:pPr>
            <w:r>
              <w:rPr>
                <w:rFonts w:hint="eastAsia"/>
                <w:sz w:val="18"/>
              </w:rPr>
              <w:t xml:space="preserve">1.57、4.0万、2.5万</w:t>
            </w:r>
          </w:p>
        </w:tc>
        <w:tc>
          <w:tcPr/>
          <w:p>
            <w:pPr>
              <w:pStyle w:val="Compact"/>
              <w:jc w:val="right"/>
            </w:pPr>
            <w:r>
              <w:rPr>
                <w:sz w:val="18"/>
              </w:rPr>
              <w:t xml:space="preserve">70.7</w:t>
            </w:r>
          </w:p>
        </w:tc>
        <w:tc>
          <w:tcPr/>
          <w:p>
            <w:pPr>
              <w:pStyle w:val="Compact"/>
              <w:jc w:val="right"/>
            </w:pPr>
            <w:r>
              <w:rPr>
                <w:sz w:val="18"/>
              </w:rPr>
              <w:t xml:space="preserve">6.3</w:t>
            </w:r>
          </w:p>
        </w:tc>
        <w:tc>
          <w:tcPr/>
          <w:p>
            <w:pPr>
              <w:pStyle w:val="Compact"/>
              <w:jc w:val="right"/>
            </w:pPr>
            <w:r>
              <w:rPr>
                <w:sz w:val="18"/>
              </w:rPr>
              <w:t xml:space="preserve">46.5</w:t>
            </w:r>
          </w:p>
        </w:tc>
        <w:tc>
          <w:tcPr/>
          <w:p>
            <w:pPr>
              <w:pStyle w:val="Compact"/>
              <w:jc w:val="right"/>
            </w:pPr>
            <w:r>
              <w:rPr>
                <w:sz w:val="18"/>
              </w:rPr>
              <w:t xml:space="preserve">26.5</w:t>
            </w:r>
          </w:p>
        </w:tc>
      </w:tr>
      <w:tr>
        <w:tc>
          <w:tcPr/>
          <w:p>
            <w:pPr>
              <w:pStyle w:val="Compact"/>
            </w:pPr>
            <w:r>
              <w:rPr>
                <w:rFonts w:hint="eastAsia"/>
                <w:sz w:val="18"/>
              </w:rPr>
              <w:t xml:space="preserve">1.57、6.8万、2.5万</w:t>
            </w:r>
          </w:p>
        </w:tc>
        <w:tc>
          <w:tcPr/>
          <w:p>
            <w:pPr>
              <w:pStyle w:val="Compact"/>
              <w:jc w:val="right"/>
            </w:pPr>
            <w:r>
              <w:rPr>
                <w:sz w:val="18"/>
              </w:rPr>
              <w:t xml:space="preserve">3.6</w:t>
            </w:r>
          </w:p>
        </w:tc>
        <w:tc>
          <w:tcPr/>
          <w:p>
            <w:pPr>
              <w:pStyle w:val="Compact"/>
              <w:jc w:val="right"/>
            </w:pPr>
            <w:r>
              <w:rPr>
                <w:sz w:val="18"/>
              </w:rPr>
              <w:t xml:space="preserve">0.3</w:t>
            </w:r>
          </w:p>
        </w:tc>
        <w:tc>
          <w:tcPr/>
          <w:p>
            <w:pPr>
              <w:pStyle w:val="Compact"/>
              <w:jc w:val="right"/>
            </w:pPr>
            <w:r>
              <w:rPr>
                <w:sz w:val="18"/>
              </w:rPr>
              <w:t xml:space="preserve">2.7</w:t>
            </w:r>
          </w:p>
        </w:tc>
        <w:tc>
          <w:tcPr/>
          <w:p>
            <w:pPr>
              <w:pStyle w:val="Compact"/>
              <w:jc w:val="right"/>
            </w:pPr>
            <w:r>
              <w:rPr>
                <w:sz w:val="18"/>
              </w:rPr>
              <w:t xml:space="preserve">0</w:t>
            </w:r>
          </w:p>
        </w:tc>
      </w:tr>
      <w:tr>
        <w:tc>
          <w:tcPr/>
          <w:p>
            <w:pPr>
              <w:pStyle w:val="Compact"/>
            </w:pPr>
            <w:r>
              <w:rPr>
                <w:rFonts w:hint="eastAsia"/>
                <w:b/>
                <w:bCs/>
                <w:sz w:val="18"/>
              </w:rPr>
              <w:t xml:space="preserve">パネルD：</w:t>
            </w:r>
            <m:oMath>
              <m:r>
                <m:t>θ</m:t>
              </m:r>
              <m:r>
                <m:rPr>
                  <m:sty m:val="p"/>
                </m:rPr>
                <m:t>=</m:t>
              </m:r>
              <m:r>
                <m:t>1.72</m:t>
              </m:r>
            </m:oMath>
            <w:r>
              <w:rPr>
                <w:b/>
                <w:bCs/>
                <w:sz w:val="18"/>
              </w:rPr>
              <w:t xml:space="preserve"> </w:t>
            </w:r>
            <w:r>
              <w:rPr>
                <w:rFonts w:hint="eastAsia"/>
                <w:b/>
                <w:bCs/>
                <w:sz w:val="18"/>
              </w:rPr>
              <w:t xml:space="preserve">以上の組合せ</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1.72、4.0万、1.75万</w:t>
            </w:r>
          </w:p>
        </w:tc>
        <w:tc>
          <w:tcPr/>
          <w:p>
            <w:pPr>
              <w:pStyle w:val="Compact"/>
              <w:jc w:val="right"/>
            </w:pPr>
            <w:r>
              <w:rPr>
                <w:sz w:val="18"/>
              </w:rPr>
              <w:t xml:space="preserve">21.3</w:t>
            </w:r>
          </w:p>
        </w:tc>
        <w:tc>
          <w:tcPr/>
          <w:p>
            <w:pPr>
              <w:pStyle w:val="Compact"/>
              <w:jc w:val="right"/>
            </w:pPr>
            <w:r>
              <w:rPr>
                <w:sz w:val="18"/>
              </w:rPr>
              <w:t xml:space="preserve">4.1</w:t>
            </w:r>
          </w:p>
        </w:tc>
        <w:tc>
          <w:tcPr/>
          <w:p>
            <w:pPr>
              <w:pStyle w:val="Compact"/>
              <w:jc w:val="right"/>
            </w:pPr>
            <w:r>
              <w:rPr>
                <w:sz w:val="18"/>
              </w:rPr>
              <w:t xml:space="preserve">18.7</w:t>
            </w:r>
          </w:p>
        </w:tc>
        <w:tc>
          <w:tcPr/>
          <w:p>
            <w:pPr>
              <w:pStyle w:val="Compact"/>
              <w:jc w:val="right"/>
            </w:pPr>
            <w:r>
              <w:rPr>
                <w:sz w:val="18"/>
              </w:rPr>
              <w:t xml:space="preserve">0</w:t>
            </w:r>
          </w:p>
        </w:tc>
      </w:tr>
      <w:tr>
        <w:tc>
          <w:tcPr/>
          <w:p>
            <w:pPr>
              <w:pStyle w:val="Compact"/>
            </w:pPr>
            <w:r>
              <w:rPr>
                <w:rFonts w:hint="eastAsia"/>
                <w:sz w:val="18"/>
              </w:rPr>
              <w:t xml:space="preserve">1.72、5.0万、1.75万</w:t>
            </w:r>
          </w:p>
        </w:tc>
        <w:tc>
          <w:tcPr/>
          <w:p>
            <w:pPr>
              <w:pStyle w:val="Compact"/>
              <w:jc w:val="right"/>
            </w:pPr>
            <w:r>
              <w:rPr>
                <w:sz w:val="18"/>
              </w:rPr>
              <w:t xml:space="preserve">2.9</w:t>
            </w:r>
          </w:p>
        </w:tc>
        <w:tc>
          <w:tcPr/>
          <w:p>
            <w:pPr>
              <w:pStyle w:val="Compact"/>
              <w:jc w:val="right"/>
            </w:pPr>
            <w:r>
              <w:rPr>
                <w:sz w:val="18"/>
              </w:rPr>
              <w:t xml:space="preserve">0.6</w:t>
            </w:r>
          </w:p>
        </w:tc>
        <w:tc>
          <w:tcPr/>
          <w:p>
            <w:pPr>
              <w:pStyle w:val="Compact"/>
              <w:jc w:val="right"/>
            </w:pPr>
            <w:r>
              <w:rPr>
                <w:sz w:val="18"/>
              </w:rPr>
              <w:t xml:space="preserve">2.6</w:t>
            </w:r>
          </w:p>
        </w:tc>
        <w:tc>
          <w:tcPr/>
          <w:p>
            <w:pPr>
              <w:pStyle w:val="Compact"/>
              <w:jc w:val="right"/>
            </w:pPr>
            <w:r>
              <w:rPr>
                <w:sz w:val="18"/>
              </w:rPr>
              <w:t xml:space="preserve">0</w:t>
            </w:r>
          </w:p>
        </w:tc>
      </w:tr>
      <w:tr>
        <w:tc>
          <w:tcPr/>
          <w:p>
            <w:pPr>
              <w:pStyle w:val="Compact"/>
            </w:pPr>
            <w:r>
              <w:rPr>
                <w:rFonts w:hint="eastAsia"/>
                <w:sz w:val="18"/>
              </w:rPr>
              <w:t xml:space="preserve">2.50、4.0万、1.25万</w:t>
            </w:r>
          </w:p>
        </w:tc>
        <w:tc>
          <w:tcPr/>
          <w:p>
            <w:pPr>
              <w:pStyle w:val="Compact"/>
              <w:jc w:val="right"/>
            </w:pPr>
            <w:r>
              <w:rPr>
                <w:sz w:val="18"/>
              </w:rPr>
              <w:t xml:space="preserve">20.6</w:t>
            </w:r>
          </w:p>
        </w:tc>
        <w:tc>
          <w:tcPr/>
          <w:p>
            <w:pPr>
              <w:pStyle w:val="Compact"/>
              <w:jc w:val="right"/>
            </w:pPr>
            <w:r>
              <w:rPr>
                <w:sz w:val="18"/>
              </w:rPr>
              <w:t xml:space="preserve">5.3</w:t>
            </w:r>
          </w:p>
        </w:tc>
        <w:tc>
          <w:tcPr/>
          <w:p>
            <w:pPr>
              <w:pStyle w:val="Compact"/>
              <w:jc w:val="right"/>
            </w:pPr>
            <w:r>
              <w:rPr>
                <w:sz w:val="18"/>
              </w:rPr>
              <w:t xml:space="preserve">18.8</w:t>
            </w:r>
          </w:p>
        </w:tc>
        <w:tc>
          <w:tcPr/>
          <w:p>
            <w:pPr>
              <w:pStyle w:val="Compact"/>
              <w:jc w:val="right"/>
            </w:pPr>
            <w:r>
              <w:rPr>
                <w:sz w:val="18"/>
              </w:rPr>
              <w:t xml:space="preserve">0</w:t>
            </w:r>
          </w:p>
        </w:tc>
      </w:tr>
      <w:tr>
        <w:tc>
          <w:tcPr/>
          <w:p>
            <w:pPr>
              <w:pStyle w:val="Compact"/>
            </w:pPr>
            <w:r>
              <w:rPr>
                <w:rFonts w:hint="eastAsia"/>
                <w:sz w:val="18"/>
              </w:rPr>
              <w:t xml:space="preserve">3.00、6.8万、2.5万</w:t>
            </w:r>
          </w:p>
        </w:tc>
        <w:tc>
          <w:tcPr/>
          <w:p>
            <w:pPr>
              <w:pStyle w:val="Compact"/>
              <w:jc w:val="right"/>
            </w:pPr>
            <w:r>
              <w:rPr>
                <w:sz w:val="18"/>
              </w:rPr>
              <w:t xml:space="preserve">39.6</w:t>
            </w:r>
          </w:p>
        </w:tc>
        <w:tc>
          <w:tcPr/>
          <w:p>
            <w:pPr>
              <w:pStyle w:val="Compact"/>
              <w:jc w:val="right"/>
            </w:pPr>
            <w:r>
              <w:rPr>
                <w:sz w:val="18"/>
              </w:rPr>
              <w:t xml:space="preserve">7.5</w:t>
            </w:r>
          </w:p>
        </w:tc>
        <w:tc>
          <w:tcPr/>
          <w:p>
            <w:pPr>
              <w:pStyle w:val="Compact"/>
              <w:jc w:val="right"/>
            </w:pPr>
            <w:r>
              <w:rPr>
                <w:sz w:val="18"/>
              </w:rPr>
              <w:t xml:space="preserve">33.1</w:t>
            </w:r>
          </w:p>
        </w:tc>
        <w:tc>
          <w:tcPr/>
          <w:p>
            <w:pPr>
              <w:pStyle w:val="Compact"/>
              <w:jc w:val="right"/>
            </w:pPr>
            <w:r>
              <w:rPr>
                <w:sz w:val="18"/>
              </w:rPr>
              <w:t xml:space="preserve">13.1</w:t>
            </w:r>
          </w:p>
        </w:tc>
      </w:tr>
    </w:tbl>
    <w:p>
      <w:pPr>
        <w:pStyle w:val="TableNote"/>
      </w:pPr>
      <w:r>
        <w:rPr>
          <w:rFonts w:hint="eastAsia"/>
        </w:rPr>
        <w:t xml:space="preserve">注）総容量。割引率6%、水準係数付き価格過程・FY2023〜25</w:t>
      </w:r>
      <w:r>
        <w:t xml:space="preserve"> </w:t>
      </w:r>
      <w:r>
        <w:rPr>
          <w:rFonts w:hint="eastAsia"/>
        </w:rPr>
        <w:t xml:space="preserve">のパス、実績整合ケース、増分貪欲・刻み1万kW。容量価格は2029年度向けの数量と2030年度向けの価格の4点折れ線で、現在点を起点の実効容量収入に置き、接続済み容量とマーチャントだけを入れる（LTDA</w:t>
      </w:r>
      <w:r>
        <w:t xml:space="preserve"> </w:t>
      </w:r>
      <w:r>
        <w:rPr>
          <w:rFonts w:hint="eastAsia"/>
        </w:rPr>
        <w:t xml:space="preserve">電源は容量市場に参加しない）。右端の列は接続済み20万kW</w:t>
      </w:r>
      <w:r>
        <w:t xml:space="preserve"> </w:t>
      </w:r>
      <w:r>
        <w:rPr>
          <w:rFonts w:hint="eastAsia"/>
        </w:rPr>
        <w:t xml:space="preserve">を外生に置いたときのマーチャント分で、北海道ブロック按分ではすべて0。刻み1万kW</w:t>
      </w:r>
      <w:r>
        <w:t xml:space="preserve"> では K </w:t>
      </w:r>
      <w:r>
        <w:rPr>
          <w:rFonts w:hint="eastAsia"/>
        </w:rPr>
        <w:t xml:space="preserve">が70万kW</w:t>
      </w:r>
      <w:r>
        <w:t xml:space="preserve"> </w:t>
      </w:r>
      <w:r>
        <w:rPr>
          <w:rFonts w:hint="eastAsia"/>
        </w:rPr>
        <w:t xml:space="preserve">以上で</w:t>
      </w:r>
      <w:r>
        <w:t xml:space="preserve"> </w:t>
      </w:r>
      <m:oMath>
        <m:r>
          <m:t>π</m:t>
        </m:r>
        <m:r>
          <m:rPr>
            <m:sty m:val="p"/>
          </m:rPr>
          <m:t>(</m:t>
        </m:r>
        <m:r>
          <m:t>K</m:t>
        </m:r>
        <m:r>
          <m:rPr>
            <m:sty m:val="p"/>
          </m:rPr>
          <m:t>)</m:t>
        </m:r>
      </m:oMath>
      <w:r>
        <w:t xml:space="preserve"> </w:t>
      </w:r>
      <w:r>
        <w:rPr>
          <w:rFonts w:hint="eastAsia"/>
        </w:rPr>
        <w:t xml:space="preserve">が収束しきらず、70〜80万kW</w:t>
      </w:r>
      <w:r>
        <w:t xml:space="preserve"> </w:t>
      </w:r>
      <w:r>
        <w:rPr>
          <w:rFonts w:hint="eastAsia"/>
        </w:rPr>
        <w:t xml:space="preserve">台の</w:t>
      </w:r>
      <w:r>
        <w:t xml:space="preserve"> K* </w:t>
      </w:r>
      <w:r>
        <w:rPr>
          <w:rFonts w:hint="eastAsia"/>
        </w:rPr>
        <w:t xml:space="preserve">はやや小さい側にある。FY2022</w:t>
      </w:r>
      <w:r>
        <w:t xml:space="preserve"> </w:t>
      </w:r>
      <w:r>
        <w:rPr>
          <w:rFonts w:hint="eastAsia"/>
        </w:rPr>
        <w:t xml:space="preserve">の水準の資本費2.3万円・容量収入0.83万円の組合せ（</w:t>
      </w:r>
      <m:oMath>
        <m:sSup>
          <m:e>
            <m:r>
              <m:t>θ</m:t>
            </m:r>
          </m:e>
          <m:sup>
            <m:r>
              <m:rPr>
                <m:sty m:val="p"/>
              </m:rPr>
              <m:t>*</m:t>
            </m:r>
          </m:sup>
        </m:sSup>
        <m:r>
          <m:rPr>
            <m:sty m:val="p"/>
          </m:rPr>
          <m:t>=</m:t>
        </m:r>
        <m:r>
          <m:t>1.62</m:t>
        </m:r>
      </m:oMath>
      <w:r>
        <w:rPr>
          <w:rFonts w:hint="eastAsia"/>
        </w:rPr>
        <w:t xml:space="preserve">）は、容量収入の起点の格子にないので計算していない。</w:t>
      </w:r>
    </w:p>
    <w:p>
      <w:pPr>
        <w:pStyle w:val="TableNote"/>
      </w:pPr>
      <w:r>
        <w:rPr>
          <w:rFonts w:hint="eastAsia"/>
        </w:rPr>
        <w:t xml:space="preserve">出所）表C.39</w:t>
      </w:r>
      <w:r>
        <w:t xml:space="preserve"> </w:t>
      </w:r>
      <w:r>
        <w:rPr>
          <w:rFonts w:hint="eastAsia"/>
        </w:rPr>
        <w:t xml:space="preserve">と同じ。</w:t>
      </w:r>
    </w:p>
    <w:bookmarkEnd w:id="385"/>
    <w:bookmarkStart w:id="386" w:name="c.4.4-事業-irr-と調整現在価値の補足"/>
    <w:p>
      <w:pPr>
        <w:pStyle w:val="Heading3"/>
      </w:pPr>
      <w:r>
        <w:t xml:space="preserve">C.4.4　</w:t>
      </w:r>
      <w:r>
        <w:rPr>
          <w:rFonts w:hint="eastAsia"/>
        </w:rPr>
        <w:t xml:space="preserve">事業</w:t>
      </w:r>
      <w:r>
        <w:t xml:space="preserve"> IRR </w:t>
      </w:r>
      <w:r>
        <w:rPr>
          <w:rFonts w:hint="eastAsia"/>
        </w:rPr>
        <w:t xml:space="preserve">と調整現在価値の補足</w:t>
      </w:r>
    </w:p>
    <w:p>
      <w:pPr>
        <w:pStyle w:val="FirstParagraph"/>
      </w:pPr>
      <w:r>
        <w:rPr>
          <w:rFonts w:hint="eastAsia"/>
          <w:b/>
          <w:bCs/>
        </w:rPr>
        <w:t xml:space="preserve">マーチャントの事業</w:t>
      </w:r>
      <w:r>
        <w:rPr>
          <w:b/>
          <w:bCs/>
        </w:rPr>
        <w:t xml:space="preserve"> IRR</w:t>
      </w:r>
      <w:r>
        <w:t xml:space="preserve">　</w:t>
      </w:r>
      <w:r>
        <w:rPr>
          <w:rFonts w:hint="eastAsia"/>
        </w:rPr>
        <w:t xml:space="preserve">マーチャントの4時間蓄電池（資本費6.8万円/kWh×4＝27.2万円/kW）は、FY2023〜25</w:t>
      </w:r>
      <w:r>
        <w:t xml:space="preserve"> </w:t>
      </w:r>
      <w:r>
        <w:rPr>
          <w:rFonts w:hint="eastAsia"/>
        </w:rPr>
        <w:t xml:space="preserve">の価格水準（</w:t>
      </w:r>
      <m:oMath>
        <m:r>
          <m:t>π</m:t>
        </m:r>
        <m:r>
          <m:rPr>
            <m:sty m:val="p"/>
          </m:rPr>
          <m:t>(</m:t>
        </m:r>
        <m:r>
          <m:t>0</m:t>
        </m:r>
        <m:r>
          <m:rPr>
            <m:sty m:val="p"/>
          </m:rPr>
          <m:t>)</m:t>
        </m:r>
        <m:r>
          <m:rPr>
            <m:sty m:val="p"/>
          </m:rPr>
          <m:t>=</m:t>
        </m:r>
        <m:r>
          <m:t>6</m:t>
        </m:r>
        <m:r>
          <m:rPr>
            <m:sty m:val="p"/>
          </m:rPr>
          <m:t>,</m:t>
        </m:r>
        <m:r>
          <m:t>675</m:t>
        </m:r>
      </m:oMath>
      <w:r>
        <w:t xml:space="preserve"> </w:t>
      </w:r>
      <w:r>
        <w:rPr>
          <w:rFonts w:hint="eastAsia"/>
        </w:rPr>
        <w:t xml:space="preserve">円/kW-年）と実効容量収入1.25万円で、年間キャッシュフローが6,992円/kW</w:t>
      </w:r>
      <w:r>
        <w:t xml:space="preserve"> </w:t>
      </w:r>
      <w:r>
        <w:rPr>
          <w:rFonts w:hint="eastAsia"/>
        </w:rPr>
        <w:t xml:space="preserve">にとどまり、20年の累計でも投資額の51%しか回収できない。事業</w:t>
      </w:r>
      <w:r>
        <w:t xml:space="preserve"> IRR </w:t>
      </w:r>
      <w:r>
        <w:rPr>
          <w:rFonts w:hint="eastAsia"/>
        </w:rPr>
        <w:t xml:space="preserve">は−5.6%（モデル直値−6.6%。容量収入を12,500円に丸めると−5.7%）、FY2026上期の水準では−1.3%、FY2022</w:t>
      </w:r>
      <w:r>
        <w:t xml:space="preserve"> </w:t>
      </w:r>
      <w:r>
        <w:rPr>
          <w:rFonts w:hint="eastAsia"/>
        </w:rPr>
        <w:t xml:space="preserve">の水準（</w:t>
      </w:r>
      <m:oMath>
        <m:r>
          <m:t>θ</m:t>
        </m:r>
        <m:r>
          <m:rPr>
            <m:sty m:val="p"/>
          </m:rPr>
          <m:t>=</m:t>
        </m:r>
        <m:r>
          <m:t>1.72</m:t>
        </m:r>
      </m:oMath>
      <w:r>
        <w:rPr>
          <w:rFonts w:hint="eastAsia"/>
        </w:rPr>
        <w:t xml:space="preserve">）では−0.4%である。IRR</w:t>
      </w:r>
      <w:r>
        <w:t xml:space="preserve"> が0になる</w:t>
      </w:r>
      <w:r>
        <w:t xml:space="preserve"> </w:t>
      </w:r>
      <m:oMath>
        <m:r>
          <m:t>θ</m:t>
        </m:r>
      </m:oMath>
      <w:r>
        <w:t xml:space="preserve"> </w:t>
      </w:r>
      <w:r>
        <w:t xml:space="preserve">は1.78 </w:t>
      </w:r>
      <w:r>
        <w:rPr>
          <w:rFonts w:hint="eastAsia"/>
        </w:rPr>
        <w:t xml:space="preserve">である。容量収入が2026年度向けの0.73万円にとどまれば、IRR</w:t>
      </w:r>
      <w:r>
        <w:t xml:space="preserve"> </w:t>
      </w:r>
      <w:r>
        <w:rPr>
          <w:rFonts w:hint="eastAsia"/>
        </w:rPr>
        <w:t xml:space="preserve">は−14.5%に下がる。例外の第一は</w:t>
      </w:r>
      <w:r>
        <w:t xml:space="preserve"> FY2022 </w:t>
      </w:r>
      <w:r>
        <w:rPr>
          <w:rFonts w:hint="eastAsia"/>
        </w:rPr>
        <w:t xml:space="preserve">の実績価格そのもの（連系線増強前の分断構造）で、IRR</w:t>
      </w:r>
      <w:r>
        <w:t xml:space="preserve"> </w:t>
      </w:r>
      <w:r>
        <w:rPr>
          <w:rFonts w:hint="eastAsia"/>
        </w:rPr>
        <w:t xml:space="preserve">は3.75%（実績の戦略</w:t>
      </w:r>
      <w:r>
        <w:t xml:space="preserve"> </w:t>
      </w:r>
      <w:r>
        <w:rPr>
          <w:rFonts w:hint="eastAsia"/>
        </w:rPr>
        <w:t xml:space="preserve">c）・3.4%（完全予見粗利×実現率0.81。付録C.2.7）であり、判定は割引率に依存する（3%では</w:t>
      </w:r>
      <w:r>
        <w:t xml:space="preserve"> NPV </w:t>
      </w:r>
      <w:r>
        <w:rPr>
          <w:rFonts w:hint="eastAsia"/>
        </w:rPr>
        <w:t xml:space="preserve">が正、6%では負）。第二に、2030年度向けの</w:t>
      </w:r>
      <w:r>
        <w:t xml:space="preserve"> Net </w:t>
      </w:r>
      <w:r>
        <w:rPr>
          <w:rFonts w:hint="eastAsia"/>
        </w:rPr>
        <w:t xml:space="preserve">CONE（実効1.75万円）が</w:t>
      </w:r>
      <w:r>
        <w:t xml:space="preserve"> FY2030 </w:t>
      </w:r>
      <w:r>
        <w:rPr>
          <w:rFonts w:hint="eastAsia"/>
        </w:rPr>
        <w:t xml:space="preserve">以降続けば、IRR</w:t>
      </w:r>
      <w:r>
        <w:t xml:space="preserve"> が0になる</w:t>
      </w:r>
      <w:r>
        <w:t xml:space="preserve"> </w:t>
      </w:r>
      <m:oMath>
        <m:r>
          <m:t>θ</m:t>
        </m:r>
      </m:oMath>
      <w:r>
        <w:t xml:space="preserve"> </w:t>
      </w:r>
      <w:r>
        <w:t xml:space="preserve">は1.29 </w:t>
      </w:r>
      <w:r>
        <w:rPr>
          <w:rFonts w:hint="eastAsia"/>
        </w:rPr>
        <w:t xml:space="preserve">に下がり（FY2027</w:t>
      </w:r>
      <w:r>
        <w:t xml:space="preserve"> </w:t>
      </w:r>
      <w:r>
        <w:rPr>
          <w:rFonts w:hint="eastAsia"/>
        </w:rPr>
        <w:t xml:space="preserve">から1.75万円一定なら1.20）、IRR</w:t>
      </w:r>
      <w:r>
        <w:t xml:space="preserve"> は </w:t>
      </w:r>
      <w:r>
        <w:rPr>
          <w:rFonts w:hint="eastAsia"/>
        </w:rPr>
        <w:t xml:space="preserve">FY2026上期の水準で1.5%、FY2022</w:t>
      </w:r>
      <w:r>
        <w:t xml:space="preserve"> </w:t>
      </w:r>
      <w:r>
        <w:rPr>
          <w:rFonts w:hint="eastAsia"/>
        </w:rPr>
        <w:t xml:space="preserve">の水準で2.2%と正になる（FY2027〜29</w:t>
      </w:r>
      <w:r>
        <w:t xml:space="preserve"> </w:t>
      </w:r>
      <w:r>
        <w:rPr>
          <w:rFonts w:hint="eastAsia"/>
        </w:rPr>
        <w:t xml:space="preserve">は既約定）。上限価格（実効2.62万円）で約定し続ければ2.9〜5.9%、2.5万円一定なら3.7〜6.9%である。6%を超えるのは、2.5万円一定かつ</w:t>
      </w:r>
      <w:r>
        <w:t xml:space="preserve"> </w:t>
      </w:r>
      <w:r>
        <w:rPr>
          <w:rFonts w:hint="eastAsia"/>
        </w:rPr>
        <w:t xml:space="preserve">FY2026上期以上の水準と、FY2022</w:t>
      </w:r>
      <w:r>
        <w:t xml:space="preserve"> </w:t>
      </w:r>
      <w:r>
        <w:rPr>
          <w:rFonts w:hint="eastAsia"/>
        </w:rPr>
        <w:t xml:space="preserve">の実績価格に1.75万円一定・上限価格・2.5万円を重ねた場合だけである（FY2022</w:t>
      </w:r>
      <w:r>
        <w:t xml:space="preserve"> </w:t>
      </w:r>
      <w:r>
        <w:rPr>
          <w:rFonts w:hint="eastAsia"/>
        </w:rPr>
        <w:t xml:space="preserve">の実績価格でも、1.75万円の経路では5.5〜5.8%）。8%を超えるのは、FY2022</w:t>
      </w:r>
      <w:r>
        <w:t xml:space="preserve"> </w:t>
      </w:r>
      <w:r>
        <w:rPr>
          <w:rFonts w:hint="eastAsia"/>
        </w:rPr>
        <w:t xml:space="preserve">の実績価格に2.5万円または上限価格を重ねた場合だけである。</w:t>
      </w:r>
    </w:p>
    <w:p>
      <w:pPr>
        <w:pStyle w:val="TableCaption"/>
      </w:pPr>
      <w:r>
        <w:rPr>
          <w:rFonts w:hint="eastAsia"/>
        </w:rPr>
        <w:t xml:space="preserve">表C.41</w:t>
      </w:r>
      <w:r>
        <w:t xml:space="preserve">　</w:t>
      </w:r>
      <w:r>
        <w:rPr>
          <w:rFonts w:hint="eastAsia"/>
        </w:rPr>
        <w:t xml:space="preserve">マーチャント4時間蓄電池の事業</w:t>
      </w:r>
      <w:r>
        <w:t xml:space="preserve"> </w:t>
      </w:r>
      <w:r>
        <w:rPr>
          <w:rFonts w:hint="eastAsia"/>
        </w:rPr>
        <w:t xml:space="preserve">IRR（全ケース）</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1　マーチャント4時間蓄電池の事業 IRR（全ケース）"/>
      </w:tblPr>
      <w:tblGrid>
        <w:gridCol w:w="678"/>
        <w:gridCol w:w="905"/>
        <w:gridCol w:w="905"/>
        <w:gridCol w:w="905"/>
        <w:gridCol w:w="905"/>
        <w:gridCol w:w="905"/>
        <w:gridCol w:w="905"/>
        <w:gridCol w:w="905"/>
        <w:gridCol w:w="905"/>
      </w:tblGrid>
      <w:tr>
        <w:trPr>
          <w:tblHeader w:val="on"/>
        </w:trPr>
        <w:tc>
          <w:tcPr>
            <w:tcBorders>
              <w:bottom w:val="single" w:sz="6" w:color="000000"/>
            </w:tcBorders>
          </w:tcPr>
          <w:p>
            <w:pPr>
              <w:pStyle w:val="Compact"/>
            </w:pPr>
            <w:r>
              <w:rPr>
                <w:rFonts w:hint="eastAsia"/>
                <w:sz w:val="18"/>
              </w:rPr>
              <w:t xml:space="preserve">価格水準のケース</w:t>
            </w:r>
          </w:p>
        </w:tc>
        <w:tc>
          <w:tcPr>
            <w:tcBorders>
              <w:bottom w:val="single" w:sz="6" w:color="000000"/>
            </w:tcBorders>
          </w:tcPr>
          <w:p>
            <w:pPr>
              <w:pStyle w:val="Compact"/>
              <w:jc w:val="right"/>
            </w:pPr>
            <m:oMath>
              <m:r>
                <m:t>π</m:t>
              </m:r>
              <m:r>
                <m:rPr>
                  <m:sty m:val="p"/>
                </m:rPr>
                <m:t>(</m:t>
              </m:r>
              <m:r>
                <m:t>0</m:t>
              </m:r>
              <m:r>
                <m:rPr>
                  <m:sty m:val="p"/>
                </m:rPr>
                <m:t>)</m:t>
              </m:r>
            </m:oMath>
            <w:r>
              <w:rPr>
                <w:rFonts w:hint="eastAsia"/>
                <w:sz w:val="18"/>
              </w:rPr>
              <w:t xml:space="preserve">（円/kW-年）</w:t>
            </w:r>
          </w:p>
        </w:tc>
        <w:tc>
          <w:tcPr>
            <w:tcBorders>
              <w:bottom w:val="single" w:sz="6" w:color="000000"/>
            </w:tcBorders>
          </w:tcPr>
          <w:p>
            <w:pPr>
              <w:pStyle w:val="Compact"/>
              <w:jc w:val="right"/>
            </w:pPr>
            <w:r>
              <w:rPr>
                <w:rFonts w:hint="eastAsia"/>
                <w:sz w:val="18"/>
              </w:rPr>
              <w:t xml:space="preserve">1.25万円（回収倍率）</w:t>
            </w:r>
          </w:p>
        </w:tc>
        <w:tc>
          <w:tcPr>
            <w:tcBorders>
              <w:bottom w:val="single" w:sz="6" w:color="000000"/>
            </w:tcBorders>
          </w:tcPr>
          <w:p>
            <w:pPr>
              <w:pStyle w:val="Compact"/>
              <w:jc w:val="right"/>
            </w:pPr>
            <w:r>
              <w:rPr>
                <w:rFonts w:hint="eastAsia"/>
                <w:sz w:val="18"/>
              </w:rPr>
              <w:t xml:space="preserve">0.73万円</w:t>
            </w:r>
          </w:p>
        </w:tc>
        <w:tc>
          <w:tcPr>
            <w:tcBorders>
              <w:bottom w:val="single" w:sz="6" w:color="000000"/>
            </w:tcBorders>
          </w:tcPr>
          <w:p>
            <w:pPr>
              <w:pStyle w:val="Compact"/>
              <w:jc w:val="right"/>
            </w:pPr>
            <w:r>
              <w:rPr>
                <w:rFonts w:hint="eastAsia"/>
                <w:sz w:val="18"/>
              </w:rPr>
              <w:t xml:space="preserve">1.75万円一定</w:t>
            </w:r>
          </w:p>
        </w:tc>
        <w:tc>
          <w:tcPr>
            <w:tcBorders>
              <w:bottom w:val="single" w:sz="6" w:color="000000"/>
            </w:tcBorders>
          </w:tcPr>
          <w:p>
            <w:pPr>
              <w:pStyle w:val="Compact"/>
              <w:jc w:val="right"/>
            </w:pPr>
            <w:r>
              <w:rPr>
                <w:rFonts w:hint="eastAsia"/>
                <w:sz w:val="18"/>
              </w:rPr>
              <w:t xml:space="preserve">既約定→1.75万円</w:t>
            </w:r>
          </w:p>
        </w:tc>
        <w:tc>
          <w:tcPr>
            <w:tcBorders>
              <w:bottom w:val="single" w:sz="6" w:color="000000"/>
            </w:tcBorders>
          </w:tcPr>
          <w:p>
            <w:pPr>
              <w:pStyle w:val="Compact"/>
              <w:jc w:val="right"/>
            </w:pPr>
            <w:r>
              <w:rPr>
                <w:rFonts w:hint="eastAsia"/>
                <w:sz w:val="18"/>
              </w:rPr>
              <w:t xml:space="preserve">既約定→2.62万円</w:t>
            </w:r>
          </w:p>
        </w:tc>
        <w:tc>
          <w:tcPr>
            <w:tcBorders>
              <w:bottom w:val="single" w:sz="6" w:color="000000"/>
            </w:tcBorders>
          </w:tcPr>
          <w:p>
            <w:pPr>
              <w:pStyle w:val="Compact"/>
              <w:jc w:val="right"/>
            </w:pPr>
            <w:r>
              <w:rPr>
                <w:rFonts w:hint="eastAsia"/>
                <w:sz w:val="18"/>
              </w:rPr>
              <w:t xml:space="preserve">2.5万円一定</w:t>
            </w:r>
          </w:p>
        </w:tc>
        <w:tc>
          <w:tcPr>
            <w:tcBorders>
              <w:bottom w:val="single" w:sz="6" w:color="000000"/>
            </w:tcBorders>
          </w:tcPr>
          <w:p>
            <w:pPr>
              <w:pStyle w:val="Compact"/>
              <w:jc w:val="right"/>
            </w:pPr>
            <w:r>
              <w:rPr>
                <w:rFonts w:hint="eastAsia"/>
                <w:sz w:val="18"/>
              </w:rPr>
              <w:t xml:space="preserve">1/2補助・1.25万円</w:t>
            </w:r>
          </w:p>
        </w:tc>
      </w:tr>
      <w:tr>
        <w:tc>
          <w:tcPr/>
          <w:p>
            <w:pPr>
              <w:pStyle w:val="Compact"/>
            </w:pPr>
            <m:oMath>
              <m:r>
                <m:t>θ</m:t>
              </m:r>
              <m:r>
                <m:rPr>
                  <m:sty m:val="p"/>
                </m:rPr>
                <m:t>=</m:t>
              </m:r>
              <m:r>
                <m:t>1</m:t>
              </m:r>
            </m:oMath>
            <w:r>
              <w:rPr>
                <w:rFonts w:hint="eastAsia"/>
                <w:sz w:val="18"/>
              </w:rPr>
              <w:t xml:space="preserve">（FY2023〜25）・実績整合</w:t>
            </w:r>
          </w:p>
        </w:tc>
        <w:tc>
          <w:tcPr/>
          <w:p>
            <w:pPr>
              <w:pStyle w:val="Compact"/>
              <w:jc w:val="right"/>
            </w:pPr>
            <w:r>
              <w:rPr>
                <w:sz w:val="18"/>
              </w:rPr>
              <w:t xml:space="preserve">6,675</w:t>
            </w:r>
          </w:p>
        </w:tc>
        <w:tc>
          <w:tcPr/>
          <w:p>
            <w:pPr>
              <w:pStyle w:val="Compact"/>
              <w:jc w:val="right"/>
            </w:pPr>
            <w:r>
              <w:rPr>
                <w:rFonts w:hint="eastAsia"/>
                <w:sz w:val="18"/>
              </w:rPr>
              <w:t xml:space="preserve">−5.6%（0.51）</w:t>
            </w:r>
          </w:p>
        </w:tc>
        <w:tc>
          <w:tcPr/>
          <w:p>
            <w:pPr>
              <w:pStyle w:val="Compact"/>
              <w:jc w:val="right"/>
            </w:pPr>
            <w:r>
              <w:rPr>
                <w:sz w:val="18"/>
              </w:rPr>
              <w:t xml:space="preserve">−14.5%</w:t>
            </w:r>
          </w:p>
        </w:tc>
        <w:tc>
          <w:tcPr/>
          <w:p>
            <w:pPr>
              <w:pStyle w:val="Compact"/>
              <w:jc w:val="right"/>
            </w:pPr>
            <w:r>
              <w:rPr>
                <w:sz w:val="18"/>
              </w:rPr>
              <w:t xml:space="preserve">−1.2%</w:t>
            </w:r>
          </w:p>
        </w:tc>
        <w:tc>
          <w:tcPr/>
          <w:p>
            <w:pPr>
              <w:pStyle w:val="Compact"/>
              <w:jc w:val="right"/>
            </w:pPr>
            <w:r>
              <w:rPr>
                <w:sz w:val="18"/>
              </w:rPr>
              <w:t xml:space="preserve">−1.7%</w:t>
            </w:r>
          </w:p>
        </w:tc>
        <w:tc>
          <w:tcPr/>
          <w:p>
            <w:pPr>
              <w:pStyle w:val="Compact"/>
              <w:jc w:val="right"/>
            </w:pPr>
            <w:r>
              <w:rPr>
                <w:sz w:val="18"/>
              </w:rPr>
              <w:t xml:space="preserve">+2.9%</w:t>
            </w:r>
          </w:p>
        </w:tc>
        <w:tc>
          <w:tcPr/>
          <w:p>
            <w:pPr>
              <w:pStyle w:val="Compact"/>
              <w:jc w:val="right"/>
            </w:pPr>
            <w:r>
              <w:rPr>
                <w:sz w:val="18"/>
              </w:rPr>
              <w:t xml:space="preserve">+3.7%</w:t>
            </w:r>
          </w:p>
        </w:tc>
        <w:tc>
          <w:tcPr/>
          <w:p>
            <w:pPr>
              <w:pStyle w:val="Compact"/>
              <w:jc w:val="right"/>
            </w:pPr>
            <w:r>
              <w:rPr>
                <w:sz w:val="18"/>
              </w:rPr>
              <w:t xml:space="preserve">+0.3%</w:t>
            </w:r>
          </w:p>
        </w:tc>
      </w:tr>
      <w:tr>
        <w:tc>
          <w:tcPr/>
          <w:p>
            <w:pPr>
              <w:pStyle w:val="Compact"/>
            </w:pPr>
            <m:oMath>
              <m:r>
                <m:t>θ</m:t>
              </m:r>
              <m:r>
                <m:rPr>
                  <m:sty m:val="p"/>
                </m:rPr>
                <m:t>=</m:t>
              </m:r>
              <m:r>
                <m:t>1</m:t>
              </m:r>
            </m:oMath>
            <w:r>
              <w:rPr>
                <w:rFonts w:hint="eastAsia"/>
                <w:sz w:val="18"/>
              </w:rPr>
              <w:t xml:space="preserve">・モデル直値</w:t>
            </w:r>
          </w:p>
        </w:tc>
        <w:tc>
          <w:tcPr/>
          <w:p>
            <w:pPr>
              <w:pStyle w:val="Compact"/>
              <w:jc w:val="right"/>
            </w:pPr>
            <w:r>
              <w:rPr>
                <w:sz w:val="18"/>
              </w:rPr>
              <w:t xml:space="preserve">5,850</w:t>
            </w:r>
          </w:p>
        </w:tc>
        <w:tc>
          <w:tcPr/>
          <w:p>
            <w:pPr>
              <w:pStyle w:val="Compact"/>
              <w:jc w:val="right"/>
            </w:pPr>
            <w:r>
              <w:rPr>
                <w:rFonts w:hint="eastAsia"/>
                <w:sz w:val="18"/>
              </w:rPr>
              <w:t xml:space="preserve">−6.6%（0.45）</w:t>
            </w:r>
          </w:p>
        </w:tc>
        <w:tc>
          <w:tcPr/>
          <w:p>
            <w:pPr>
              <w:pStyle w:val="Compact"/>
              <w:jc w:val="right"/>
            </w:pPr>
            <w:r>
              <w:rPr>
                <w:sz w:val="18"/>
              </w:rPr>
              <w:t xml:space="preserve">−17.9%</w:t>
            </w:r>
          </w:p>
        </w:tc>
        <w:tc>
          <w:tcPr/>
          <w:p>
            <w:pPr>
              <w:pStyle w:val="Compact"/>
              <w:jc w:val="right"/>
            </w:pPr>
            <w:r>
              <w:rPr>
                <w:sz w:val="18"/>
              </w:rPr>
              <w:t xml:space="preserve">−1.8%</w:t>
            </w:r>
          </w:p>
        </w:tc>
        <w:tc>
          <w:tcPr/>
          <w:p>
            <w:pPr>
              <w:pStyle w:val="Compact"/>
              <w:jc w:val="right"/>
            </w:pPr>
            <w:r>
              <w:rPr>
                <w:sz w:val="18"/>
              </w:rPr>
              <w:t xml:space="preserve">−2.4%</w:t>
            </w:r>
          </w:p>
        </w:tc>
        <w:tc>
          <w:tcPr/>
          <w:p>
            <w:pPr>
              <w:pStyle w:val="Compact"/>
              <w:jc w:val="right"/>
            </w:pPr>
            <w:r>
              <w:rPr>
                <w:sz w:val="18"/>
              </w:rPr>
              <w:t xml:space="preserve">+2.4%</w:t>
            </w:r>
          </w:p>
        </w:tc>
        <w:tc>
          <w:tcPr/>
          <w:p>
            <w:pPr>
              <w:pStyle w:val="Compact"/>
              <w:jc w:val="right"/>
            </w:pPr>
            <w:r>
              <w:rPr>
                <w:sz w:val="18"/>
              </w:rPr>
              <w:t xml:space="preserve">+3.2%</w:t>
            </w:r>
          </w:p>
        </w:tc>
        <w:tc>
          <w:tcPr/>
          <w:p>
            <w:pPr>
              <w:pStyle w:val="Compact"/>
              <w:jc w:val="right"/>
            </w:pPr>
            <w:r>
              <w:rPr>
                <w:sz w:val="18"/>
              </w:rPr>
              <w:t xml:space="preserve">—</w:t>
            </w:r>
          </w:p>
        </w:tc>
      </w:tr>
      <w:tr>
        <w:tc>
          <w:tcPr/>
          <w:p>
            <w:pPr>
              <w:pStyle w:val="Compact"/>
            </w:pPr>
            <m:oMath>
              <m:r>
                <m:t>θ</m:t>
              </m:r>
              <m:r>
                <m:rPr>
                  <m:sty m:val="p"/>
                </m:rPr>
                <m:t>=</m:t>
              </m:r>
              <m:r>
                <m:t>1.22</m:t>
              </m:r>
            </m:oMath>
            <w:r>
              <w:rPr>
                <w:rFonts w:hint="eastAsia"/>
                <w:sz w:val="18"/>
              </w:rPr>
              <w:t xml:space="preserve">（恒久成分）</w:t>
            </w:r>
          </w:p>
        </w:tc>
        <w:tc>
          <w:tcPr/>
          <w:p>
            <w:pPr>
              <w:pStyle w:val="Compact"/>
              <w:jc w:val="right"/>
            </w:pPr>
            <w:r>
              <w:rPr>
                <w:sz w:val="18"/>
              </w:rPr>
              <w:t xml:space="preserve">8,529</w:t>
            </w:r>
          </w:p>
        </w:tc>
        <w:tc>
          <w:tcPr/>
          <w:p>
            <w:pPr>
              <w:pStyle w:val="Compact"/>
              <w:jc w:val="right"/>
            </w:pPr>
            <w:r>
              <w:rPr>
                <w:rFonts w:hint="eastAsia"/>
                <w:sz w:val="18"/>
              </w:rPr>
              <w:t xml:space="preserve">−3.8%（0.65）</w:t>
            </w:r>
          </w:p>
        </w:tc>
        <w:tc>
          <w:tcPr/>
          <w:p>
            <w:pPr>
              <w:pStyle w:val="Compact"/>
              <w:jc w:val="right"/>
            </w:pPr>
            <w:r>
              <w:rPr>
                <w:sz w:val="18"/>
              </w:rPr>
              <w:t xml:space="preserve">−10.2%</w:t>
            </w:r>
          </w:p>
        </w:tc>
        <w:tc>
          <w:tcPr/>
          <w:p>
            <w:pPr>
              <w:pStyle w:val="Compact"/>
              <w:jc w:val="right"/>
            </w:pPr>
            <w:r>
              <w:rPr>
                <w:sz w:val="18"/>
              </w:rPr>
              <w:t xml:space="preserve">+0.2%</w:t>
            </w:r>
          </w:p>
        </w:tc>
        <w:tc>
          <w:tcPr/>
          <w:p>
            <w:pPr>
              <w:pStyle w:val="Compact"/>
              <w:jc w:val="right"/>
            </w:pPr>
            <w:r>
              <w:rPr>
                <w:sz w:val="18"/>
              </w:rPr>
              <w:t xml:space="preserve">−0.4%</w:t>
            </w:r>
          </w:p>
        </w:tc>
        <w:tc>
          <w:tcPr/>
          <w:p>
            <w:pPr>
              <w:pStyle w:val="Compact"/>
              <w:jc w:val="right"/>
            </w:pPr>
            <w:r>
              <w:rPr>
                <w:sz w:val="18"/>
              </w:rPr>
              <w:t xml:space="preserve">+3.8%</w:t>
            </w:r>
          </w:p>
        </w:tc>
        <w:tc>
          <w:tcPr/>
          <w:p>
            <w:pPr>
              <w:pStyle w:val="Compact"/>
              <w:jc w:val="right"/>
            </w:pPr>
            <w:r>
              <w:rPr>
                <w:sz w:val="18"/>
              </w:rPr>
              <w:t xml:space="preserve">+4.7%</w:t>
            </w:r>
          </w:p>
        </w:tc>
        <w:tc>
          <w:tcPr/>
          <w:p>
            <w:pPr>
              <w:pStyle w:val="Compact"/>
              <w:jc w:val="right"/>
            </w:pPr>
            <w:r>
              <w:rPr>
                <w:sz w:val="18"/>
              </w:rPr>
              <w:t xml:space="preserve">+2.7%</w:t>
            </w:r>
          </w:p>
        </w:tc>
      </w:tr>
      <w:tr>
        <w:tc>
          <w:tcPr/>
          <w:p>
            <w:pPr>
              <w:pStyle w:val="Compact"/>
            </w:pPr>
            <m:oMath>
              <m:r>
                <m:t>θ</m:t>
              </m:r>
              <m:r>
                <m:rPr>
                  <m:sty m:val="p"/>
                </m:rPr>
                <m:t>=</m:t>
              </m:r>
              <m:r>
                <m:t>1.567</m:t>
              </m:r>
            </m:oMath>
            <w:r>
              <w:rPr>
                <w:rFonts w:hint="eastAsia"/>
                <w:sz w:val="18"/>
              </w:rPr>
              <w:t xml:space="preserve">（FY2026上期）</w:t>
            </w:r>
          </w:p>
        </w:tc>
        <w:tc>
          <w:tcPr/>
          <w:p>
            <w:pPr>
              <w:pStyle w:val="Compact"/>
              <w:jc w:val="right"/>
            </w:pPr>
            <w:r>
              <w:rPr>
                <w:sz w:val="18"/>
              </w:rPr>
              <w:t xml:space="preserve">11,452</w:t>
            </w:r>
          </w:p>
        </w:tc>
        <w:tc>
          <w:tcPr/>
          <w:p>
            <w:pPr>
              <w:pStyle w:val="Compact"/>
              <w:jc w:val="right"/>
            </w:pPr>
            <w:r>
              <w:rPr>
                <w:rFonts w:hint="eastAsia"/>
                <w:sz w:val="18"/>
              </w:rPr>
              <w:t xml:space="preserve">−1.3%（0.87）</w:t>
            </w:r>
          </w:p>
        </w:tc>
        <w:tc>
          <w:tcPr/>
          <w:p>
            <w:pPr>
              <w:pStyle w:val="Compact"/>
              <w:jc w:val="right"/>
            </w:pPr>
            <w:r>
              <w:rPr>
                <w:sz w:val="18"/>
              </w:rPr>
              <w:t xml:space="preserve">−6.1%</w:t>
            </w:r>
          </w:p>
        </w:tc>
        <w:tc>
          <w:tcPr/>
          <w:p>
            <w:pPr>
              <w:pStyle w:val="Compact"/>
              <w:jc w:val="right"/>
            </w:pPr>
            <w:r>
              <w:rPr>
                <w:sz w:val="18"/>
              </w:rPr>
              <w:t xml:space="preserve">+2.1%</w:t>
            </w:r>
          </w:p>
        </w:tc>
        <w:tc>
          <w:tcPr/>
          <w:p>
            <w:pPr>
              <w:pStyle w:val="Compact"/>
              <w:jc w:val="right"/>
            </w:pPr>
            <w:r>
              <w:rPr>
                <w:sz w:val="18"/>
              </w:rPr>
              <w:t xml:space="preserve">+1.5%</w:t>
            </w:r>
          </w:p>
        </w:tc>
        <w:tc>
          <w:tcPr/>
          <w:p>
            <w:pPr>
              <w:pStyle w:val="Compact"/>
              <w:jc w:val="right"/>
            </w:pPr>
            <w:r>
              <w:rPr>
                <w:sz w:val="18"/>
              </w:rPr>
              <w:t xml:space="preserve">+5.3%</w:t>
            </w:r>
          </w:p>
        </w:tc>
        <w:tc>
          <w:tcPr/>
          <w:p>
            <w:pPr>
              <w:pStyle w:val="Compact"/>
              <w:jc w:val="right"/>
            </w:pPr>
            <w:r>
              <w:rPr>
                <w:sz w:val="18"/>
              </w:rPr>
              <w:t xml:space="preserve">+6.3%</w:t>
            </w:r>
          </w:p>
        </w:tc>
        <w:tc>
          <w:tcPr/>
          <w:p>
            <w:pPr>
              <w:pStyle w:val="Compact"/>
              <w:jc w:val="right"/>
            </w:pPr>
            <w:r>
              <w:rPr>
                <w:sz w:val="18"/>
              </w:rPr>
              <w:t xml:space="preserve">+5.9%</w:t>
            </w:r>
          </w:p>
        </w:tc>
      </w:tr>
      <w:tr>
        <w:tc>
          <w:tcPr/>
          <w:p>
            <w:pPr>
              <w:pStyle w:val="Compact"/>
            </w:pPr>
            <m:oMath>
              <m:r>
                <m:t>θ</m:t>
              </m:r>
              <m:r>
                <m:rPr>
                  <m:sty m:val="p"/>
                </m:rPr>
                <m:t>=</m:t>
              </m:r>
              <m:r>
                <m:t>1.715</m:t>
              </m:r>
            </m:oMath>
            <w:r>
              <w:rPr>
                <w:rFonts w:hint="eastAsia"/>
                <w:sz w:val="18"/>
              </w:rPr>
              <w:t xml:space="preserve">（FY2022）</w:t>
            </w:r>
          </w:p>
        </w:tc>
        <w:tc>
          <w:tcPr/>
          <w:p>
            <w:pPr>
              <w:pStyle w:val="Compact"/>
              <w:jc w:val="right"/>
            </w:pPr>
            <w:r>
              <w:rPr>
                <w:sz w:val="18"/>
              </w:rPr>
              <w:t xml:space="preserve">12,705</w:t>
            </w:r>
          </w:p>
        </w:tc>
        <w:tc>
          <w:tcPr/>
          <w:p>
            <w:pPr>
              <w:pStyle w:val="Compact"/>
              <w:jc w:val="right"/>
            </w:pPr>
            <w:r>
              <w:rPr>
                <w:rFonts w:hint="eastAsia"/>
                <w:sz w:val="18"/>
              </w:rPr>
              <w:t xml:space="preserve">−0.4%（0.96）</w:t>
            </w:r>
          </w:p>
        </w:tc>
        <w:tc>
          <w:tcPr/>
          <w:p>
            <w:pPr>
              <w:pStyle w:val="Compact"/>
              <w:jc w:val="right"/>
            </w:pPr>
            <w:r>
              <w:rPr>
                <w:sz w:val="18"/>
              </w:rPr>
              <w:t xml:space="preserve">−4.8%</w:t>
            </w:r>
          </w:p>
        </w:tc>
        <w:tc>
          <w:tcPr/>
          <w:p>
            <w:pPr>
              <w:pStyle w:val="Compact"/>
              <w:jc w:val="right"/>
            </w:pPr>
            <w:r>
              <w:rPr>
                <w:sz w:val="18"/>
              </w:rPr>
              <w:t xml:space="preserve">+2.8%</w:t>
            </w:r>
          </w:p>
        </w:tc>
        <w:tc>
          <w:tcPr/>
          <w:p>
            <w:pPr>
              <w:pStyle w:val="Compact"/>
              <w:jc w:val="right"/>
            </w:pPr>
            <w:r>
              <w:rPr>
                <w:sz w:val="18"/>
              </w:rPr>
              <w:t xml:space="preserve">+2.2%</w:t>
            </w:r>
          </w:p>
        </w:tc>
        <w:tc>
          <w:tcPr/>
          <w:p>
            <w:pPr>
              <w:pStyle w:val="Compact"/>
              <w:jc w:val="right"/>
            </w:pPr>
            <w:r>
              <w:rPr>
                <w:sz w:val="18"/>
              </w:rPr>
              <w:t xml:space="preserve">+5.9%</w:t>
            </w:r>
          </w:p>
        </w:tc>
        <w:tc>
          <w:tcPr/>
          <w:p>
            <w:pPr>
              <w:pStyle w:val="Compact"/>
              <w:jc w:val="right"/>
            </w:pPr>
            <w:r>
              <w:rPr>
                <w:sz w:val="18"/>
              </w:rPr>
              <w:t xml:space="preserve">+6.9%</w:t>
            </w:r>
          </w:p>
        </w:tc>
        <w:tc>
          <w:tcPr/>
          <w:p>
            <w:pPr>
              <w:pStyle w:val="Compact"/>
              <w:jc w:val="right"/>
            </w:pPr>
            <w:r>
              <w:rPr>
                <w:sz w:val="18"/>
              </w:rPr>
              <w:t xml:space="preserve">+7.2%</w:t>
            </w:r>
          </w:p>
        </w:tc>
      </w:tr>
      <w:tr>
        <w:tc>
          <w:tcPr/>
          <w:p>
            <w:pPr>
              <w:pStyle w:val="Compact"/>
            </w:pPr>
            <w:r>
              <w:rPr>
                <w:sz w:val="18"/>
              </w:rPr>
              <w:t xml:space="preserve">FY2022 </w:t>
            </w:r>
            <w:r>
              <w:rPr>
                <w:rFonts w:hint="eastAsia"/>
                <w:sz w:val="18"/>
              </w:rPr>
              <w:t xml:space="preserve">の実績価格・戦略</w:t>
            </w:r>
            <w:r>
              <w:rPr>
                <w:sz w:val="18"/>
              </w:rPr>
              <w:t xml:space="preserve"> c</w:t>
            </w:r>
          </w:p>
        </w:tc>
        <w:tc>
          <w:tcPr/>
          <w:p>
            <w:pPr>
              <w:pStyle w:val="Compact"/>
              <w:jc w:val="right"/>
            </w:pPr>
            <w:r>
              <w:rPr>
                <w:sz w:val="18"/>
              </w:rPr>
              <w:t xml:space="preserve">19,265</w:t>
            </w:r>
          </w:p>
        </w:tc>
        <w:tc>
          <w:tcPr/>
          <w:p>
            <w:pPr>
              <w:pStyle w:val="Compact"/>
              <w:jc w:val="right"/>
            </w:pPr>
            <w:r>
              <w:rPr>
                <w:rFonts w:hint="eastAsia"/>
                <w:sz w:val="18"/>
              </w:rPr>
              <w:t xml:space="preserve">+3.75%（1.44）</w:t>
            </w:r>
          </w:p>
        </w:tc>
        <w:tc>
          <w:tcPr/>
          <w:p>
            <w:pPr>
              <w:pStyle w:val="Compact"/>
              <w:jc w:val="right"/>
            </w:pPr>
            <w:r>
              <w:rPr>
                <w:sz w:val="18"/>
              </w:rPr>
              <w:t xml:space="preserve">+0.5%</w:t>
            </w:r>
          </w:p>
        </w:tc>
        <w:tc>
          <w:tcPr/>
          <w:p>
            <w:pPr>
              <w:pStyle w:val="Compact"/>
              <w:jc w:val="right"/>
            </w:pPr>
            <w:r>
              <w:rPr>
                <w:sz w:val="18"/>
              </w:rPr>
              <w:t xml:space="preserve">+6.4%</w:t>
            </w:r>
          </w:p>
        </w:tc>
        <w:tc>
          <w:tcPr/>
          <w:p>
            <w:pPr>
              <w:pStyle w:val="Compact"/>
              <w:jc w:val="right"/>
            </w:pPr>
            <w:r>
              <w:rPr>
                <w:sz w:val="18"/>
              </w:rPr>
              <w:t xml:space="preserve">+5.8%</w:t>
            </w:r>
          </w:p>
        </w:tc>
        <w:tc>
          <w:tcPr/>
          <w:p>
            <w:pPr>
              <w:pStyle w:val="Compact"/>
              <w:jc w:val="right"/>
            </w:pPr>
            <w:r>
              <w:rPr>
                <w:sz w:val="18"/>
              </w:rPr>
              <w:t xml:space="preserve">+8.8%</w:t>
            </w:r>
          </w:p>
        </w:tc>
        <w:tc>
          <w:tcPr/>
          <w:p>
            <w:pPr>
              <w:pStyle w:val="Compact"/>
              <w:jc w:val="right"/>
            </w:pPr>
            <w:r>
              <w:rPr>
                <w:sz w:val="18"/>
              </w:rPr>
              <w:t xml:space="preserve">+10.0%</w:t>
            </w:r>
          </w:p>
        </w:tc>
        <w:tc>
          <w:tcPr/>
          <w:p>
            <w:pPr>
              <w:pStyle w:val="Compact"/>
              <w:jc w:val="right"/>
            </w:pPr>
            <w:r>
              <w:rPr>
                <w:sz w:val="18"/>
              </w:rPr>
              <w:t xml:space="preserve">—</w:t>
            </w:r>
          </w:p>
        </w:tc>
      </w:tr>
      <w:tr>
        <w:tc>
          <w:tcPr/>
          <w:p>
            <w:pPr>
              <w:pStyle w:val="Compact"/>
            </w:pPr>
            <w:r>
              <w:rPr>
                <w:sz w:val="18"/>
              </w:rPr>
              <w:t xml:space="preserve">FY2022 </w:t>
            </w:r>
            <w:r>
              <w:rPr>
                <w:rFonts w:hint="eastAsia"/>
                <w:sz w:val="18"/>
              </w:rPr>
              <w:t xml:space="preserve">の実績価格・完全予見粗利×実現率0.81</w:t>
            </w:r>
          </w:p>
        </w:tc>
        <w:tc>
          <w:tcPr/>
          <w:p>
            <w:pPr>
              <w:pStyle w:val="Compact"/>
              <w:jc w:val="right"/>
            </w:pPr>
            <w:r>
              <w:rPr>
                <w:sz w:val="18"/>
              </w:rPr>
              <w:t xml:space="preserve">18,628</w:t>
            </w:r>
          </w:p>
        </w:tc>
        <w:tc>
          <w:tcPr/>
          <w:p>
            <w:pPr>
              <w:pStyle w:val="Compact"/>
              <w:jc w:val="right"/>
            </w:pPr>
            <w:r>
              <w:rPr>
                <w:rFonts w:hint="eastAsia"/>
                <w:sz w:val="18"/>
              </w:rPr>
              <w:t xml:space="preserve">+3.4%（1.39）</w:t>
            </w:r>
          </w:p>
        </w:tc>
        <w:tc>
          <w:tcPr/>
          <w:p>
            <w:pPr>
              <w:pStyle w:val="Compact"/>
              <w:jc w:val="right"/>
            </w:pPr>
            <w:r>
              <w:rPr>
                <w:sz w:val="18"/>
              </w:rPr>
              <w:t xml:space="preserve">+0.1%</w:t>
            </w:r>
          </w:p>
        </w:tc>
        <w:tc>
          <w:tcPr/>
          <w:p>
            <w:pPr>
              <w:pStyle w:val="Compact"/>
              <w:jc w:val="right"/>
            </w:pPr>
            <w:r>
              <w:rPr>
                <w:sz w:val="18"/>
              </w:rPr>
              <w:t xml:space="preserve">+6.1%</w:t>
            </w:r>
          </w:p>
        </w:tc>
        <w:tc>
          <w:tcPr/>
          <w:p>
            <w:pPr>
              <w:pStyle w:val="Compact"/>
              <w:jc w:val="right"/>
            </w:pPr>
            <w:r>
              <w:rPr>
                <w:sz w:val="18"/>
              </w:rPr>
              <w:t xml:space="preserve">+5.5%</w:t>
            </w:r>
          </w:p>
        </w:tc>
        <w:tc>
          <w:tcPr/>
          <w:p>
            <w:pPr>
              <w:pStyle w:val="Compact"/>
              <w:jc w:val="right"/>
            </w:pPr>
            <w:r>
              <w:rPr>
                <w:sz w:val="18"/>
              </w:rPr>
              <w:t xml:space="preserve">+8.5%</w:t>
            </w:r>
          </w:p>
        </w:tc>
        <w:tc>
          <w:tcPr/>
          <w:p>
            <w:pPr>
              <w:pStyle w:val="Compact"/>
              <w:jc w:val="right"/>
            </w:pPr>
            <w:r>
              <w:rPr>
                <w:sz w:val="18"/>
              </w:rPr>
              <w:t xml:space="preserve">+9.8%</w:t>
            </w:r>
          </w:p>
        </w:tc>
        <w:tc>
          <w:tcPr/>
          <w:p>
            <w:pPr>
              <w:pStyle w:val="Compact"/>
              <w:jc w:val="right"/>
            </w:pPr>
            <w:r>
              <w:rPr>
                <w:sz w:val="18"/>
              </w:rPr>
              <w:t xml:space="preserve">—</w:t>
            </w:r>
          </w:p>
        </w:tc>
      </w:tr>
    </w:tbl>
    <w:p>
      <w:pPr>
        <w:pStyle w:val="TableNote"/>
      </w:pPr>
      <w:r>
        <w:rPr>
          <w:rFonts w:hint="eastAsia"/>
        </w:rPr>
        <w:t xml:space="preserve">注）無レバレッジ・税前・実質・20年、資本費6.8万円/kWh、</w:t>
      </w:r>
      <m:oMath>
        <m:r>
          <m:t>K</m:t>
        </m:r>
        <m:r>
          <m:rPr>
            <m:sty m:val="p"/>
          </m:rPr>
          <m:t>=</m:t>
        </m:r>
        <m:r>
          <m:t>0</m:t>
        </m:r>
      </m:oMath>
      <w:r>
        <w:t xml:space="preserve">。</w:t>
      </w:r>
      <m:oMath>
        <m:r>
          <m:t>π</m:t>
        </m:r>
        <m:r>
          <m:rPr>
            <m:sty m:val="p"/>
          </m:rPr>
          <m:t>(</m:t>
        </m:r>
        <m:r>
          <m:t>0</m:t>
        </m:r>
        <m:r>
          <m:rPr>
            <m:sty m:val="p"/>
          </m:rPr>
          <m:t>)</m:t>
        </m:r>
      </m:oMath>
      <w:r>
        <w:t xml:space="preserve"> </w:t>
      </w:r>
      <w:r>
        <w:rPr>
          <w:rFonts w:hint="eastAsia"/>
        </w:rPr>
        <w:t xml:space="preserve">は実績整合ケースの</w:t>
      </w:r>
      <w:r>
        <w:t xml:space="preserve"> </w:t>
      </w:r>
      <m:oMath>
        <m:r>
          <m:t>π</m:t>
        </m:r>
        <m:r>
          <m:rPr>
            <m:sty m:val="p"/>
          </m:rPr>
          <m:t>(</m:t>
        </m:r>
        <m:r>
          <m:t>K</m:t>
        </m:r>
        <m:r>
          <m:rPr>
            <m:sty m:val="p"/>
          </m:rPr>
          <m:t>)</m:t>
        </m:r>
      </m:oMath>
      <w:r>
        <w:rPr>
          <w:rFonts w:hint="eastAsia"/>
        </w:rPr>
        <w:t xml:space="preserve">（</w:t>
      </w:r>
      <m:oMath>
        <m:r>
          <m:t>K</m:t>
        </m:r>
        <m:r>
          <m:rPr>
            <m:sty m:val="p"/>
          </m:rPr>
          <m:t>=</m:t>
        </m:r>
        <m:r>
          <m:t>0</m:t>
        </m:r>
      </m:oMath>
      <w:r>
        <w:rPr>
          <w:rFonts w:hint="eastAsia"/>
        </w:rPr>
        <w:t xml:space="preserve">）の値で、充電従量負担を控除した後の額。</w:t>
      </w:r>
      <m:oMath>
        <m:r>
          <m:t>θ</m:t>
        </m:r>
        <m:r>
          <m:rPr>
            <m:sty m:val="p"/>
          </m:rPr>
          <m:t>=</m:t>
        </m:r>
        <m:r>
          <m:t>1.22</m:t>
        </m:r>
      </m:oMath>
      <w:r>
        <w:t xml:space="preserve"> </w:t>
      </w:r>
      <w:r>
        <w:rPr>
          <w:rFonts w:hint="eastAsia"/>
        </w:rPr>
        <w:t xml:space="preserve">以上の行は実績整合ケースを</w:t>
      </w:r>
      <w:r>
        <w:t xml:space="preserve"> </w:t>
      </w:r>
      <m:oMath>
        <m:r>
          <m:t>θ</m:t>
        </m:r>
      </m:oMath>
      <w:r>
        <w:t xml:space="preserve"> </w:t>
      </w:r>
      <w:r>
        <w:rPr>
          <w:rFonts w:hint="eastAsia"/>
        </w:rPr>
        <w:t xml:space="preserve">に比例させた値。括弧内は20年累計キャッシュフローを投資額で割った回収倍率。容量収入は1.25万円＝12,517円（2029年度向け）、0.73万円（2026年度向け）、1.75万円（2030年度向け</w:t>
      </w:r>
      <w:r>
        <w:t xml:space="preserve"> Net CONE </w:t>
      </w:r>
      <w:r>
        <w:rPr>
          <w:rFonts w:hint="eastAsia"/>
        </w:rPr>
        <w:t xml:space="preserve">の実効値）、2.5万円（上限近傍）。経路の列は</w:t>
      </w:r>
      <w:r>
        <w:t xml:space="preserve"> FY2027〜29 </w:t>
      </w:r>
      <w:r>
        <w:rPr>
          <w:rFonts w:hint="eastAsia"/>
        </w:rPr>
        <w:t xml:space="preserve">を既約定（0.836×13,287・14,812・14,972円）、FY2030</w:t>
      </w:r>
      <w:r>
        <w:t xml:space="preserve"> </w:t>
      </w:r>
      <w:r>
        <w:rPr>
          <w:rFonts w:hint="eastAsia"/>
        </w:rPr>
        <w:t xml:space="preserve">以降を各値とした年度別キャッシュフローの</w:t>
      </w:r>
      <w:r>
        <w:t xml:space="preserve"> IRR </w:t>
      </w:r>
      <w:r>
        <w:rPr>
          <w:rFonts w:hint="eastAsia"/>
        </w:rPr>
        <w:t xml:space="preserve">で、2.62万円は上限価格（1.5×Net</w:t>
      </w:r>
      <w:r>
        <w:t xml:space="preserve"> </w:t>
      </w:r>
      <w:r>
        <w:rPr>
          <w:rFonts w:hint="eastAsia"/>
        </w:rPr>
        <w:t xml:space="preserve">CONE）の実効値。1/2補助の列は補助後の投資額13.6万円/kW</w:t>
      </w:r>
      <w:r>
        <w:t xml:space="preserve"> </w:t>
      </w:r>
      <w:r>
        <w:rPr>
          <w:rFonts w:hint="eastAsia"/>
        </w:rPr>
        <w:t xml:space="preserve">に対する</w:t>
      </w:r>
      <w:r>
        <w:t xml:space="preserve"> IRR。</w:t>
      </w:r>
    </w:p>
    <w:p>
      <w:pPr>
        <w:pStyle w:val="TableNote"/>
      </w:pPr>
      <w:r>
        <w:rPr>
          <w:rFonts w:hint="eastAsia"/>
        </w:rPr>
        <w:t xml:space="preserve">出所）本文の表8.2</w:t>
      </w:r>
      <w:r>
        <w:t xml:space="preserve"> </w:t>
      </w:r>
      <w:r>
        <w:rPr>
          <w:rFonts w:hint="eastAsia"/>
        </w:rPr>
        <w:t xml:space="preserve">と同じ。</w:t>
      </w:r>
    </w:p>
    <w:p>
      <w:pPr>
        <w:pStyle w:val="BodyText"/>
      </w:pPr>
      <w:r>
        <w:rPr>
          <w:b/>
          <w:bCs/>
        </w:rPr>
        <w:t xml:space="preserve">LTDA </w:t>
      </w:r>
      <w:r>
        <w:rPr>
          <w:rFonts w:hint="eastAsia"/>
          <w:b/>
          <w:bCs/>
        </w:rPr>
        <w:t xml:space="preserve">の事業</w:t>
      </w:r>
      <w:r>
        <w:rPr>
          <w:b/>
          <w:bCs/>
        </w:rPr>
        <w:t xml:space="preserve"> IRR</w:t>
      </w:r>
      <w:r>
        <w:t xml:space="preserve">　LTDA </w:t>
      </w:r>
      <w:r>
        <w:rPr>
          <w:rFonts w:hint="eastAsia"/>
        </w:rPr>
        <w:t xml:space="preserve">の6時間蓄電池（資本費40.8万円/kW）は、北海道の上限価格で落札すると事業</w:t>
      </w:r>
      <w:r>
        <w:t xml:space="preserve"> IRR </w:t>
      </w:r>
      <w:r>
        <w:rPr>
          <w:rFonts w:hint="eastAsia"/>
        </w:rPr>
        <w:t xml:space="preserve">が12.2〜15.1%になる。幅は、上限価格（応札年度2026の71,768円と第3回の77,033円）と契約容量の定義の違いによる。契約容量の上限は期待容量なので、上限いっぱいで応札したとして調整係数0.932を当てると、設備1kWあたりの固定収入は上限価格の93.2%で、IRR</w:t>
      </w:r>
      <w:r>
        <w:t xml:space="preserve"> </w:t>
      </w:r>
      <w:r>
        <w:rPr>
          <w:rFonts w:hint="eastAsia"/>
        </w:rPr>
        <w:t xml:space="preserve">は12.2%（71,768円）〜13.6%（77,033円）になる。契約容量を設備容量とみなした場合の13.6〜15.1%は、その上限にあたる。資本費が6.0万円/kWh</w:t>
      </w:r>
      <w:r>
        <w:t xml:space="preserve"> </w:t>
      </w:r>
      <w:r>
        <w:rPr>
          <w:rFonts w:hint="eastAsia"/>
        </w:rPr>
        <w:t xml:space="preserve">なら、期待容量ベースの</w:t>
      </w:r>
      <w:r>
        <w:t xml:space="preserve"> IRR </w:t>
      </w:r>
      <w:r>
        <w:rPr>
          <w:rFonts w:hint="eastAsia"/>
        </w:rPr>
        <w:t xml:space="preserve">は14.3〜15.9%に上がる。一方、費用を事業報酬率4〜6%で積み上げた応札価格（契約容量1kWあたり4.5万〜5.1万円/年）で落札した場合、IRR</w:t>
      </w:r>
      <w:r>
        <w:t xml:space="preserve"> </w:t>
      </w:r>
      <w:r>
        <w:rPr>
          <w:rFonts w:hint="eastAsia"/>
        </w:rPr>
        <w:t xml:space="preserve">は4.3〜6.3%で、事業報酬率に、手元に残る他市場収益1割の分0.3ポイントが上乗せされるだけである。LTDA</w:t>
      </w:r>
      <w:r>
        <w:t xml:space="preserve"> は pay-as-bid </w:t>
      </w:r>
      <w:r>
        <w:rPr>
          <w:rFonts w:hint="eastAsia"/>
        </w:rPr>
        <w:t xml:space="preserve">なので、落札者の実際の</w:t>
      </w:r>
      <w:r>
        <w:t xml:space="preserve"> IRR </w:t>
      </w:r>
      <w:r>
        <w:rPr>
          <w:rFonts w:hint="eastAsia"/>
        </w:rPr>
        <w:t xml:space="preserve">は、応札価格に応じておおむねこの二つの間にあると考えられる（蓄電池の約定価格は公表されていない）。法人税（実効税率30.64%、定額法20年）を引いた税引後の</w:t>
      </w:r>
      <w:r>
        <w:t xml:space="preserve"> IRR </w:t>
      </w:r>
      <w:r>
        <w:rPr>
          <w:rFonts w:hint="eastAsia"/>
        </w:rPr>
        <w:t xml:space="preserve">は、上限価格で9.0〜11.1%である。同じ6.8万円/kWh</w:t>
      </w:r>
      <w:r>
        <w:t xml:space="preserve"> </w:t>
      </w:r>
      <w:r>
        <w:rPr>
          <w:rFonts w:hint="eastAsia"/>
        </w:rPr>
        <w:t xml:space="preserve">の6時間蓄電池をマーチャントで持つと、容量収入1.40万円を得ても</w:t>
      </w:r>
      <w:r>
        <w:t xml:space="preserve"> IRR </w:t>
      </w:r>
      <w:r>
        <w:rPr>
          <w:rFonts w:hint="eastAsia"/>
        </w:rPr>
        <w:t xml:space="preserve">は−6.5%（実績整合ケース）である。</w:t>
      </w:r>
    </w:p>
    <w:p>
      <w:pPr>
        <w:pStyle w:val="TableCaption"/>
      </w:pPr>
      <w:r>
        <w:rPr>
          <w:rFonts w:hint="eastAsia"/>
        </w:rPr>
        <w:t xml:space="preserve">表C.42</w:t>
      </w:r>
      <w:r>
        <w:t xml:space="preserve">　LTDA </w:t>
      </w:r>
      <w:r>
        <w:rPr>
          <w:rFonts w:hint="eastAsia"/>
        </w:rPr>
        <w:t xml:space="preserve">6時間蓄電池の事業</w:t>
      </w:r>
      <w:r>
        <w:t xml:space="preserve"> IRR</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2　LTDA 6時間蓄電池の事業 IRR"/>
      </w:tblPr>
      <w:tblGrid>
        <w:gridCol w:w="2160"/>
        <w:gridCol w:w="2880"/>
        <w:gridCol w:w="2880"/>
      </w:tblGrid>
      <w:tr>
        <w:trPr>
          <w:tblHeader w:val="on"/>
        </w:trPr>
        <w:tc>
          <w:tcPr>
            <w:tcBorders>
              <w:bottom w:val="single" w:sz="6" w:color="000000"/>
            </w:tcBorders>
          </w:tcPr>
          <w:p>
            <w:pPr>
              <w:pStyle w:val="Compact"/>
            </w:pPr>
            <w:r>
              <w:rPr>
                <w:rFonts w:hint="eastAsia"/>
                <w:sz w:val="18"/>
              </w:rPr>
              <w:t xml:space="preserve">応札価格（円/契約kW-年）</w:t>
            </w:r>
          </w:p>
        </w:tc>
        <w:tc>
          <w:tcPr>
            <w:tcBorders>
              <w:bottom w:val="single" w:sz="6" w:color="000000"/>
            </w:tcBorders>
          </w:tcPr>
          <w:p>
            <w:pPr>
              <w:pStyle w:val="Compact"/>
              <w:jc w:val="right"/>
            </w:pPr>
            <w:r>
              <w:rPr>
                <w:rFonts w:hint="eastAsia"/>
                <w:sz w:val="18"/>
              </w:rPr>
              <w:t xml:space="preserve">契約容量＝期待容量（κ=0.932）</w:t>
            </w:r>
          </w:p>
        </w:tc>
        <w:tc>
          <w:tcPr>
            <w:tcBorders>
              <w:bottom w:val="single" w:sz="6" w:color="000000"/>
            </w:tcBorders>
          </w:tcPr>
          <w:p>
            <w:pPr>
              <w:pStyle w:val="Compact"/>
              <w:jc w:val="right"/>
            </w:pPr>
            <w:r>
              <w:rPr>
                <w:rFonts w:hint="eastAsia"/>
                <w:sz w:val="18"/>
              </w:rPr>
              <w:t xml:space="preserve">契約容量＝設備容量</w:t>
            </w:r>
          </w:p>
        </w:tc>
      </w:tr>
      <w:tr>
        <w:tc>
          <w:tcPr/>
          <w:p>
            <w:pPr>
              <w:pStyle w:val="Compact"/>
            </w:pPr>
            <w:r>
              <w:rPr>
                <w:rFonts w:hint="eastAsia"/>
                <w:sz w:val="18"/>
              </w:rPr>
              <w:t xml:space="preserve">上限</w:t>
            </w:r>
            <w:r>
              <w:rPr>
                <w:sz w:val="18"/>
              </w:rPr>
              <w:t xml:space="preserve"> </w:t>
            </w:r>
            <w:r>
              <w:rPr>
                <w:rFonts w:hint="eastAsia"/>
                <w:sz w:val="18"/>
              </w:rPr>
              <w:t xml:space="preserve">77,033（第3回・北海道）</w:t>
            </w:r>
          </w:p>
        </w:tc>
        <w:tc>
          <w:tcPr/>
          <w:p>
            <w:pPr>
              <w:pStyle w:val="Compact"/>
              <w:jc w:val="right"/>
            </w:pPr>
            <w:r>
              <w:rPr>
                <w:rFonts w:hint="eastAsia"/>
                <w:sz w:val="18"/>
              </w:rPr>
              <w:t xml:space="preserve">13.6%（10.0%）</w:t>
            </w:r>
          </w:p>
        </w:tc>
        <w:tc>
          <w:tcPr/>
          <w:p>
            <w:pPr>
              <w:pStyle w:val="Compact"/>
              <w:jc w:val="right"/>
            </w:pPr>
            <w:r>
              <w:rPr>
                <w:rFonts w:hint="eastAsia"/>
                <w:sz w:val="18"/>
              </w:rPr>
              <w:t xml:space="preserve">15.1%（11.1%）</w:t>
            </w:r>
          </w:p>
        </w:tc>
      </w:tr>
      <w:tr>
        <w:tc>
          <w:tcPr/>
          <w:p>
            <w:pPr>
              <w:pStyle w:val="Compact"/>
            </w:pPr>
            <w:r>
              <w:rPr>
                <w:rFonts w:hint="eastAsia"/>
                <w:sz w:val="18"/>
              </w:rPr>
              <w:t xml:space="preserve">上限</w:t>
            </w:r>
            <w:r>
              <w:rPr>
                <w:sz w:val="18"/>
              </w:rPr>
              <w:t xml:space="preserve"> </w:t>
            </w:r>
            <w:r>
              <w:rPr>
                <w:rFonts w:hint="eastAsia"/>
                <w:sz w:val="18"/>
              </w:rPr>
              <w:t xml:space="preserve">71,768（応札年度2026・北海道）</w:t>
            </w:r>
          </w:p>
        </w:tc>
        <w:tc>
          <w:tcPr/>
          <w:p>
            <w:pPr>
              <w:pStyle w:val="Compact"/>
              <w:jc w:val="right"/>
            </w:pPr>
            <w:r>
              <w:rPr>
                <w:rFonts w:hint="eastAsia"/>
                <w:sz w:val="18"/>
              </w:rPr>
              <w:t xml:space="preserve">12.2%（9.0%）</w:t>
            </w:r>
          </w:p>
        </w:tc>
        <w:tc>
          <w:tcPr/>
          <w:p>
            <w:pPr>
              <w:pStyle w:val="Compact"/>
              <w:jc w:val="right"/>
            </w:pPr>
            <w:r>
              <w:rPr>
                <w:rFonts w:hint="eastAsia"/>
                <w:sz w:val="18"/>
              </w:rPr>
              <w:t xml:space="preserve">13.6%（10.0%）</w:t>
            </w:r>
          </w:p>
        </w:tc>
      </w:tr>
      <w:tr>
        <w:tc>
          <w:tcPr/>
          <w:p>
            <w:pPr>
              <w:pStyle w:val="Compact"/>
            </w:pPr>
            <w:r>
              <w:rPr>
                <w:rFonts w:hint="eastAsia"/>
                <w:sz w:val="18"/>
              </w:rPr>
              <w:t xml:space="preserve">積み上げ・事業報酬率6%（51,418／47,921）</w:t>
            </w:r>
          </w:p>
        </w:tc>
        <w:tc>
          <w:tcPr/>
          <w:p>
            <w:pPr>
              <w:pStyle w:val="Compact"/>
              <w:jc w:val="right"/>
            </w:pPr>
            <w:r>
              <w:rPr>
                <w:sz w:val="18"/>
              </w:rPr>
              <w:t xml:space="preserve">6.3%</w:t>
            </w:r>
          </w:p>
        </w:tc>
        <w:tc>
          <w:tcPr/>
          <w:p>
            <w:pPr>
              <w:pStyle w:val="Compact"/>
              <w:jc w:val="right"/>
            </w:pPr>
            <w:r>
              <w:rPr>
                <w:sz w:val="18"/>
              </w:rPr>
              <w:t xml:space="preserve">6.3%</w:t>
            </w:r>
          </w:p>
        </w:tc>
      </w:tr>
      <w:tr>
        <w:tc>
          <w:tcPr/>
          <w:p>
            <w:pPr>
              <w:pStyle w:val="Compact"/>
            </w:pPr>
            <w:r>
              <w:rPr>
                <w:rFonts w:hint="eastAsia"/>
                <w:sz w:val="18"/>
              </w:rPr>
              <w:t xml:space="preserve">積み上げ・事業報酬率5%（48,379／45,089）</w:t>
            </w:r>
          </w:p>
        </w:tc>
        <w:tc>
          <w:tcPr/>
          <w:p>
            <w:pPr>
              <w:pStyle w:val="Compact"/>
              <w:jc w:val="right"/>
            </w:pPr>
            <w:r>
              <w:rPr>
                <w:sz w:val="18"/>
              </w:rPr>
              <w:t xml:space="preserve">5.3%</w:t>
            </w:r>
          </w:p>
        </w:tc>
        <w:tc>
          <w:tcPr/>
          <w:p>
            <w:pPr>
              <w:pStyle w:val="Compact"/>
              <w:jc w:val="right"/>
            </w:pPr>
            <w:r>
              <w:rPr>
                <w:sz w:val="18"/>
              </w:rPr>
              <w:t xml:space="preserve">5.3%</w:t>
            </w:r>
          </w:p>
        </w:tc>
      </w:tr>
      <w:tr>
        <w:tc>
          <w:tcPr/>
          <w:p>
            <w:pPr>
              <w:pStyle w:val="Compact"/>
            </w:pPr>
            <w:r>
              <w:rPr>
                <w:rFonts w:hint="eastAsia"/>
                <w:sz w:val="18"/>
              </w:rPr>
              <w:t xml:space="preserve">積み上げ・事業報酬率4%（45,463／42,371）</w:t>
            </w:r>
          </w:p>
        </w:tc>
        <w:tc>
          <w:tcPr/>
          <w:p>
            <w:pPr>
              <w:pStyle w:val="Compact"/>
              <w:jc w:val="right"/>
            </w:pPr>
            <w:r>
              <w:rPr>
                <w:sz w:val="18"/>
              </w:rPr>
              <w:t xml:space="preserve">4.3%</w:t>
            </w:r>
          </w:p>
        </w:tc>
        <w:tc>
          <w:tcPr/>
          <w:p>
            <w:pPr>
              <w:pStyle w:val="Compact"/>
              <w:jc w:val="right"/>
            </w:pPr>
            <w:r>
              <w:rPr>
                <w:sz w:val="18"/>
              </w:rPr>
              <w:t xml:space="preserve">4.3%</w:t>
            </w:r>
          </w:p>
        </w:tc>
      </w:tr>
    </w:tbl>
    <w:p>
      <w:pPr>
        <w:pStyle w:val="TableNote"/>
      </w:pPr>
      <w:r>
        <w:rPr>
          <w:rFonts w:hint="eastAsia"/>
        </w:rPr>
        <w:t xml:space="preserve">注）無レバレッジ・税前・実質・20年、資本費6.8万円/kWh。他市場収益の1割を保持し、容量市場の収入はない。積み上げ価格は資本費年額＋運転維持・廃止＋託送等固定を契約容量で割った値で、括弧内は契約容量＝期待容量／設備容量の場合の価格。6時間のスポット純収入は実績価格の戦略</w:t>
      </w:r>
      <w:r>
        <w:t xml:space="preserve"> </w:t>
      </w:r>
      <w:r>
        <w:rPr>
          <w:rFonts w:hint="eastAsia"/>
        </w:rPr>
        <w:t xml:space="preserve">c（6時間）による7,738円/kW-年で、モデル値（5,848円）を使っても</w:t>
      </w:r>
      <w:r>
        <w:t xml:space="preserve"> IRR </w:t>
      </w:r>
      <w:r>
        <w:rPr>
          <w:rFonts w:hint="eastAsia"/>
        </w:rPr>
        <w:t xml:space="preserve">の差は0.1ポイント未満。上限価格の行の括弧内は税引後（τ=30.64%、定額法20年、借入なし）の参考値。</w:t>
      </w:r>
    </w:p>
    <w:p>
      <w:pPr>
        <w:pStyle w:val="TableNote"/>
      </w:pPr>
      <w:r>
        <w:rPr>
          <w:rFonts w:hint="eastAsia"/>
        </w:rPr>
        <w:t xml:space="preserve">出所）電力広域的運営推進機関『長期脱炭素電源オークション募集要綱』（応札年度2025・2026）、日本卸電力取引所『スポット市場取引結果』より筆者作成。</w:t>
      </w:r>
    </w:p>
    <w:p>
      <w:pPr>
        <w:pStyle w:val="BodyText"/>
      </w:pPr>
      <w:r>
        <w:rPr>
          <w:rFonts w:hint="eastAsia"/>
          <w:b/>
          <w:bCs/>
        </w:rPr>
        <w:t xml:space="preserve">資産の資本コスト別の損益分岐</w:t>
      </w:r>
      <w:r>
        <w:t xml:space="preserve">　Modigliani and </w:t>
      </w:r>
      <w:r>
        <w:rPr>
          <w:rFonts w:hint="eastAsia"/>
        </w:rPr>
        <w:t xml:space="preserve">Miller（1958）の命題により、</w:t>
      </w:r>
      <m:oMath>
        <m:sSup>
          <m:e>
            <m:r>
              <m:t>θ</m:t>
            </m:r>
          </m:e>
          <m:sup>
            <m:r>
              <m:rPr>
                <m:sty m:val="p"/>
              </m:rPr>
              <m:t>*</m:t>
            </m:r>
          </m:sup>
        </m:sSup>
      </m:oMath>
      <w:r>
        <w:t xml:space="preserve"> </w:t>
      </w:r>
      <w:r>
        <w:rPr>
          <w:rFonts w:hint="eastAsia"/>
        </w:rPr>
        <w:t xml:space="preserve">は資産の資本コストだけで決まる。6%の2.98</w:t>
      </w:r>
      <w:r>
        <w:t xml:space="preserve"> </w:t>
      </w:r>
      <w:r>
        <w:rPr>
          <w:rFonts w:hint="eastAsia"/>
        </w:rPr>
        <w:t xml:space="preserve">に対し、8%で3.46、9%で3.71</w:t>
      </w:r>
      <w:r>
        <w:t xml:space="preserve"> </w:t>
      </w:r>
      <w:r>
        <w:rPr>
          <w:rFonts w:hint="eastAsia"/>
        </w:rPr>
        <w:t xml:space="preserve">である。マーチャントを8〜9%で評価すると、参入に必要な価格水準は</w:t>
      </w:r>
      <w:r>
        <w:t xml:space="preserve"> FY2023〜25 </w:t>
      </w:r>
      <w:r>
        <w:rPr>
          <w:rFonts w:hint="eastAsia"/>
        </w:rPr>
        <w:t xml:space="preserve">の3.5〜3.7倍、FY2026上期の2.2〜2.4倍になる。</w:t>
      </w:r>
    </w:p>
    <w:p>
      <w:pPr>
        <w:pStyle w:val="TableCaption"/>
      </w:pPr>
      <w:r>
        <w:rPr>
          <w:rFonts w:hint="eastAsia"/>
        </w:rPr>
        <w:t xml:space="preserve">表C.43</w:t>
      </w:r>
      <w:r>
        <w:t xml:space="preserve">　</w:t>
      </w:r>
      <w:r>
        <w:rPr>
          <w:rFonts w:hint="eastAsia"/>
        </w:rPr>
        <w:t xml:space="preserve">資産の資本コスト別の損益分岐の水準係数</w:t>
      </w:r>
      <w:r>
        <w:t xml:space="preserve"> </w:t>
      </w:r>
      <m:oMath>
        <m:sSup>
          <m:e>
            <m:r>
              <m:t>θ</m:t>
            </m:r>
          </m:e>
          <m:sup>
            <m:r>
              <m:rPr>
                <m:sty m:val="p"/>
              </m:rPr>
              <m:t>*</m:t>
            </m:r>
          </m:sup>
        </m:sSup>
      </m:oMath>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3　資産の資本コスト別の損益分岐の水準係数 \theta^*"/>
      </w:tblPr>
      <w:tblGrid>
        <w:gridCol w:w="1320"/>
        <w:gridCol w:w="1320"/>
        <w:gridCol w:w="1320"/>
        <w:gridCol w:w="1320"/>
        <w:gridCol w:w="1320"/>
        <w:gridCol w:w="1320"/>
      </w:tblGrid>
      <w:tr>
        <w:trPr>
          <w:tblHeader w:val="on"/>
        </w:trPr>
        <w:tc>
          <w:tcPr>
            <w:tcBorders>
              <w:bottom w:val="single" w:sz="6" w:color="000000"/>
            </w:tcBorders>
          </w:tcPr>
          <w:p>
            <w:pPr>
              <w:pStyle w:val="Compact"/>
              <w:jc w:val="right"/>
            </w:pPr>
            <m:oMath>
              <m:sSub>
                <m:e>
                  <m:r>
                    <m:t>r</m:t>
                  </m:r>
                </m:e>
                <m:sub>
                  <m:r>
                    <m:t>A</m:t>
                  </m:r>
                </m:sub>
              </m:sSub>
            </m:oMath>
          </w:p>
        </w:tc>
        <w:tc>
          <w:tcPr>
            <w:tcBorders>
              <w:bottom w:val="single" w:sz="6" w:color="000000"/>
            </w:tcBorders>
          </w:tcPr>
          <w:p>
            <w:pPr>
              <w:pStyle w:val="Compact"/>
              <w:jc w:val="right"/>
            </w:pPr>
            <m:oMath>
              <m:sSub>
                <m:e>
                  <m:r>
                    <m:t>c</m:t>
                  </m:r>
                </m:e>
                <m:sub>
                  <m:r>
                    <m:rPr>
                      <m:sty m:val="p"/>
                    </m:rPr>
                    <m:t>r</m:t>
                  </m:r>
                  <m:r>
                    <m:rPr>
                      <m:sty m:val="p"/>
                    </m:rPr>
                    <m:t>e</m:t>
                  </m:r>
                  <m:r>
                    <m:rPr>
                      <m:sty m:val="p"/>
                    </m:rPr>
                    <m:t>q</m:t>
                  </m:r>
                </m:sub>
              </m:sSub>
            </m:oMath>
            <w:r>
              <w:rPr>
                <w:rFonts w:hint="eastAsia"/>
                <w:sz w:val="18"/>
              </w:rPr>
              <w:t xml:space="preserve">（円/kW-年）</w:t>
            </w:r>
          </w:p>
        </w:tc>
        <w:tc>
          <w:tcPr>
            <w:tcBorders>
              <w:bottom w:val="single" w:sz="6" w:color="000000"/>
            </w:tcBorders>
          </w:tcPr>
          <w:p>
            <w:pPr>
              <w:pStyle w:val="Compact"/>
              <w:jc w:val="right"/>
            </w:pPr>
            <w:r>
              <w:rPr>
                <w:rFonts w:hint="eastAsia"/>
                <w:sz w:val="18"/>
              </w:rPr>
              <w:t xml:space="preserve">θ*（実績整合・容量1.25万円）</w:t>
            </w:r>
          </w:p>
        </w:tc>
        <w:tc>
          <w:tcPr>
            <w:tcBorders>
              <w:bottom w:val="single" w:sz="6" w:color="000000"/>
            </w:tcBorders>
          </w:tcPr>
          <w:p>
            <w:pPr>
              <w:pStyle w:val="Compact"/>
              <w:jc w:val="right"/>
            </w:pPr>
            <w:r>
              <w:rPr>
                <w:rFonts w:hint="eastAsia"/>
                <w:sz w:val="18"/>
              </w:rPr>
              <w:t xml:space="preserve">θ*（モデル直値）</w:t>
            </w:r>
          </w:p>
        </w:tc>
        <w:tc>
          <w:tcPr>
            <w:tcBorders>
              <w:bottom w:val="single" w:sz="6" w:color="000000"/>
            </w:tcBorders>
          </w:tcPr>
          <w:p>
            <w:pPr>
              <w:pStyle w:val="Compact"/>
              <w:jc w:val="right"/>
            </w:pPr>
            <w:r>
              <w:rPr>
                <w:rFonts w:hint="eastAsia"/>
                <w:sz w:val="18"/>
              </w:rPr>
              <w:t xml:space="preserve">θ*（容量0.73万円）</w:t>
            </w:r>
          </w:p>
        </w:tc>
        <w:tc>
          <w:tcPr>
            <w:tcBorders>
              <w:bottom w:val="single" w:sz="6" w:color="000000"/>
            </w:tcBorders>
          </w:tcPr>
          <w:p>
            <w:pPr>
              <w:pStyle w:val="Compact"/>
              <w:jc w:val="right"/>
            </w:pPr>
            <w:r>
              <w:rPr>
                <w:rFonts w:hint="eastAsia"/>
                <w:sz w:val="18"/>
              </w:rPr>
              <w:t xml:space="preserve">θ*（1/2補助・容量1.25万円）</w:t>
            </w:r>
          </w:p>
        </w:tc>
      </w:tr>
      <w:tr>
        <w:tc>
          <w:tcPr/>
          <w:p>
            <w:pPr>
              <w:pStyle w:val="Compact"/>
              <w:jc w:val="right"/>
            </w:pPr>
            <w:r>
              <w:rPr>
                <w:sz w:val="18"/>
              </w:rPr>
              <w:t xml:space="preserve">4%</w:t>
            </w:r>
          </w:p>
        </w:tc>
        <w:tc>
          <w:tcPr/>
          <w:p>
            <w:pPr>
              <w:pStyle w:val="Compact"/>
              <w:jc w:val="right"/>
            </w:pPr>
            <w:r>
              <w:rPr>
                <w:sz w:val="18"/>
              </w:rPr>
              <w:t xml:space="preserve">32,214</w:t>
            </w:r>
          </w:p>
        </w:tc>
        <w:tc>
          <w:tcPr/>
          <w:p>
            <w:pPr>
              <w:pStyle w:val="Compact"/>
              <w:jc w:val="right"/>
            </w:pPr>
            <w:r>
              <w:rPr>
                <w:sz w:val="18"/>
              </w:rPr>
              <w:t xml:space="preserve">2.55</w:t>
            </w:r>
          </w:p>
        </w:tc>
        <w:tc>
          <w:tcPr/>
          <w:p>
            <w:pPr>
              <w:pStyle w:val="Compact"/>
              <w:jc w:val="right"/>
            </w:pPr>
            <w:r>
              <w:rPr>
                <w:sz w:val="18"/>
              </w:rPr>
              <w:t xml:space="preserve">2.82</w:t>
            </w:r>
          </w:p>
        </w:tc>
        <w:tc>
          <w:tcPr/>
          <w:p>
            <w:pPr>
              <w:pStyle w:val="Compact"/>
              <w:jc w:val="right"/>
            </w:pPr>
            <w:r>
              <w:rPr>
                <w:sz w:val="18"/>
              </w:rPr>
              <w:t xml:space="preserve">3.16</w:t>
            </w:r>
          </w:p>
        </w:tc>
        <w:tc>
          <w:tcPr/>
          <w:p>
            <w:pPr>
              <w:pStyle w:val="Compact"/>
              <w:jc w:val="right"/>
            </w:pPr>
            <w:r>
              <w:rPr>
                <w:sz w:val="18"/>
              </w:rPr>
              <w:t xml:space="preserve">1.36</w:t>
            </w:r>
          </w:p>
        </w:tc>
      </w:tr>
      <w:tr>
        <w:tc>
          <w:tcPr/>
          <w:p>
            <w:pPr>
              <w:pStyle w:val="Compact"/>
              <w:jc w:val="right"/>
            </w:pPr>
            <w:r>
              <w:rPr>
                <w:sz w:val="18"/>
              </w:rPr>
              <w:t xml:space="preserve">5%</w:t>
            </w:r>
          </w:p>
        </w:tc>
        <w:tc>
          <w:tcPr/>
          <w:p>
            <w:pPr>
              <w:pStyle w:val="Compact"/>
              <w:jc w:val="right"/>
            </w:pPr>
            <w:r>
              <w:rPr>
                <w:sz w:val="18"/>
              </w:rPr>
              <w:t xml:space="preserve">34,026</w:t>
            </w:r>
          </w:p>
        </w:tc>
        <w:tc>
          <w:tcPr/>
          <w:p>
            <w:pPr>
              <w:pStyle w:val="Compact"/>
              <w:jc w:val="right"/>
            </w:pPr>
            <w:r>
              <w:rPr>
                <w:sz w:val="18"/>
              </w:rPr>
              <w:t xml:space="preserve">2.76</w:t>
            </w:r>
          </w:p>
        </w:tc>
        <w:tc>
          <w:tcPr/>
          <w:p>
            <w:pPr>
              <w:pStyle w:val="Compact"/>
              <w:jc w:val="right"/>
            </w:pPr>
            <w:r>
              <w:rPr>
                <w:sz w:val="18"/>
              </w:rPr>
              <w:t xml:space="preserve">3.06</w:t>
            </w:r>
          </w:p>
        </w:tc>
        <w:tc>
          <w:tcPr/>
          <w:p>
            <w:pPr>
              <w:pStyle w:val="Compact"/>
              <w:jc w:val="right"/>
            </w:pPr>
            <w:r>
              <w:rPr>
                <w:sz w:val="18"/>
              </w:rPr>
              <w:t xml:space="preserve">3.38</w:t>
            </w:r>
          </w:p>
        </w:tc>
        <w:tc>
          <w:tcPr/>
          <w:p>
            <w:pPr>
              <w:pStyle w:val="Compact"/>
              <w:jc w:val="right"/>
            </w:pPr>
            <w:r>
              <w:rPr>
                <w:sz w:val="18"/>
              </w:rPr>
              <w:t xml:space="preserve">1.47</w:t>
            </w:r>
          </w:p>
        </w:tc>
      </w:tr>
      <w:tr>
        <w:tc>
          <w:tcPr/>
          <w:p>
            <w:pPr>
              <w:pStyle w:val="Compact"/>
              <w:jc w:val="right"/>
            </w:pPr>
            <w:r>
              <w:rPr>
                <w:sz w:val="18"/>
              </w:rPr>
              <w:t xml:space="preserve">6%</w:t>
            </w:r>
          </w:p>
        </w:tc>
        <w:tc>
          <w:tcPr/>
          <w:p>
            <w:pPr>
              <w:pStyle w:val="Compact"/>
              <w:jc w:val="right"/>
            </w:pPr>
            <w:r>
              <w:rPr>
                <w:sz w:val="18"/>
              </w:rPr>
              <w:t xml:space="preserve">35,914</w:t>
            </w:r>
          </w:p>
        </w:tc>
        <w:tc>
          <w:tcPr/>
          <w:p>
            <w:pPr>
              <w:pStyle w:val="Compact"/>
              <w:jc w:val="right"/>
            </w:pPr>
            <w:r>
              <w:rPr>
                <w:sz w:val="18"/>
              </w:rPr>
              <w:t xml:space="preserve">2.98</w:t>
            </w:r>
          </w:p>
        </w:tc>
        <w:tc>
          <w:tcPr/>
          <w:p>
            <w:pPr>
              <w:pStyle w:val="Compact"/>
              <w:jc w:val="right"/>
            </w:pPr>
            <w:r>
              <w:rPr>
                <w:sz w:val="18"/>
              </w:rPr>
              <w:t xml:space="preserve">3.31</w:t>
            </w:r>
          </w:p>
        </w:tc>
        <w:tc>
          <w:tcPr/>
          <w:p>
            <w:pPr>
              <w:pStyle w:val="Compact"/>
              <w:jc w:val="right"/>
            </w:pPr>
            <w:r>
              <w:rPr>
                <w:sz w:val="18"/>
              </w:rPr>
              <w:t xml:space="preserve">3.60</w:t>
            </w:r>
          </w:p>
        </w:tc>
        <w:tc>
          <w:tcPr/>
          <w:p>
            <w:pPr>
              <w:pStyle w:val="Compact"/>
              <w:jc w:val="right"/>
            </w:pPr>
            <w:r>
              <w:rPr>
                <w:sz w:val="18"/>
              </w:rPr>
              <w:t xml:space="preserve">1.58</w:t>
            </w:r>
          </w:p>
        </w:tc>
      </w:tr>
      <w:tr>
        <w:tc>
          <w:tcPr/>
          <w:p>
            <w:pPr>
              <w:pStyle w:val="Compact"/>
              <w:jc w:val="right"/>
            </w:pPr>
            <w:r>
              <w:rPr>
                <w:sz w:val="18"/>
              </w:rPr>
              <w:t xml:space="preserve">7%</w:t>
            </w:r>
          </w:p>
        </w:tc>
        <w:tc>
          <w:tcPr/>
          <w:p>
            <w:pPr>
              <w:pStyle w:val="Compact"/>
              <w:jc w:val="right"/>
            </w:pPr>
            <w:r>
              <w:rPr>
                <w:sz w:val="18"/>
              </w:rPr>
              <w:t xml:space="preserve">37,875</w:t>
            </w:r>
          </w:p>
        </w:tc>
        <w:tc>
          <w:tcPr/>
          <w:p>
            <w:pPr>
              <w:pStyle w:val="Compact"/>
              <w:jc w:val="right"/>
            </w:pPr>
            <w:r>
              <w:rPr>
                <w:sz w:val="18"/>
              </w:rPr>
              <w:t xml:space="preserve">3.22</w:t>
            </w:r>
          </w:p>
        </w:tc>
        <w:tc>
          <w:tcPr/>
          <w:p>
            <w:pPr>
              <w:pStyle w:val="Compact"/>
              <w:jc w:val="right"/>
            </w:pPr>
            <w:r>
              <w:rPr>
                <w:sz w:val="18"/>
              </w:rPr>
              <w:t xml:space="preserve">3.57</w:t>
            </w:r>
          </w:p>
        </w:tc>
        <w:tc>
          <w:tcPr/>
          <w:p>
            <w:pPr>
              <w:pStyle w:val="Compact"/>
              <w:jc w:val="right"/>
            </w:pPr>
            <w:r>
              <w:rPr>
                <w:sz w:val="18"/>
              </w:rPr>
              <w:t xml:space="preserve">3.83</w:t>
            </w:r>
          </w:p>
        </w:tc>
        <w:tc>
          <w:tcPr/>
          <w:p>
            <w:pPr>
              <w:pStyle w:val="Compact"/>
              <w:jc w:val="right"/>
            </w:pPr>
            <w:r>
              <w:rPr>
                <w:sz w:val="18"/>
              </w:rPr>
              <w:t xml:space="preserve">1.69</w:t>
            </w:r>
          </w:p>
        </w:tc>
      </w:tr>
      <w:tr>
        <w:tc>
          <w:tcPr/>
          <w:p>
            <w:pPr>
              <w:pStyle w:val="Compact"/>
              <w:jc w:val="right"/>
            </w:pPr>
            <w:r>
              <w:rPr>
                <w:sz w:val="18"/>
              </w:rPr>
              <w:t xml:space="preserve">8%</w:t>
            </w:r>
          </w:p>
        </w:tc>
        <w:tc>
          <w:tcPr/>
          <w:p>
            <w:pPr>
              <w:pStyle w:val="Compact"/>
              <w:jc w:val="right"/>
            </w:pPr>
            <w:r>
              <w:rPr>
                <w:sz w:val="18"/>
              </w:rPr>
              <w:t xml:space="preserve">39,904</w:t>
            </w:r>
          </w:p>
        </w:tc>
        <w:tc>
          <w:tcPr/>
          <w:p>
            <w:pPr>
              <w:pStyle w:val="Compact"/>
              <w:jc w:val="right"/>
            </w:pPr>
            <w:r>
              <w:rPr>
                <w:sz w:val="18"/>
              </w:rPr>
              <w:t xml:space="preserve">3.46</w:t>
            </w:r>
          </w:p>
        </w:tc>
        <w:tc>
          <w:tcPr/>
          <w:p>
            <w:pPr>
              <w:pStyle w:val="Compact"/>
              <w:jc w:val="right"/>
            </w:pPr>
            <w:r>
              <w:rPr>
                <w:sz w:val="18"/>
              </w:rPr>
              <w:t xml:space="preserve">3.83</w:t>
            </w:r>
          </w:p>
        </w:tc>
        <w:tc>
          <w:tcPr/>
          <w:p>
            <w:pPr>
              <w:pStyle w:val="Compact"/>
              <w:jc w:val="right"/>
            </w:pPr>
            <w:r>
              <w:rPr>
                <w:sz w:val="18"/>
              </w:rPr>
              <w:t xml:space="preserve">4.08</w:t>
            </w:r>
          </w:p>
        </w:tc>
        <w:tc>
          <w:tcPr/>
          <w:p>
            <w:pPr>
              <w:pStyle w:val="Compact"/>
              <w:jc w:val="right"/>
            </w:pPr>
            <w:r>
              <w:rPr>
                <w:sz w:val="18"/>
              </w:rPr>
              <w:t xml:space="preserve">1.81</w:t>
            </w:r>
          </w:p>
        </w:tc>
      </w:tr>
      <w:tr>
        <w:tc>
          <w:tcPr/>
          <w:p>
            <w:pPr>
              <w:pStyle w:val="Compact"/>
              <w:jc w:val="right"/>
            </w:pPr>
            <w:r>
              <w:rPr>
                <w:sz w:val="18"/>
              </w:rPr>
              <w:t xml:space="preserve">9%</w:t>
            </w:r>
          </w:p>
        </w:tc>
        <w:tc>
          <w:tcPr/>
          <w:p>
            <w:pPr>
              <w:pStyle w:val="Compact"/>
              <w:jc w:val="right"/>
            </w:pPr>
            <w:r>
              <w:rPr>
                <w:sz w:val="18"/>
              </w:rPr>
              <w:t xml:space="preserve">41,997</w:t>
            </w:r>
          </w:p>
        </w:tc>
        <w:tc>
          <w:tcPr/>
          <w:p>
            <w:pPr>
              <w:pStyle w:val="Compact"/>
              <w:jc w:val="right"/>
            </w:pPr>
            <w:r>
              <w:rPr>
                <w:sz w:val="18"/>
              </w:rPr>
              <w:t xml:space="preserve">3.71</w:t>
            </w:r>
          </w:p>
        </w:tc>
        <w:tc>
          <w:tcPr/>
          <w:p>
            <w:pPr>
              <w:pStyle w:val="Compact"/>
              <w:jc w:val="right"/>
            </w:pPr>
            <w:r>
              <w:rPr>
                <w:sz w:val="18"/>
              </w:rPr>
              <w:t xml:space="preserve">4.11</w:t>
            </w:r>
          </w:p>
        </w:tc>
        <w:tc>
          <w:tcPr/>
          <w:p>
            <w:pPr>
              <w:pStyle w:val="Compact"/>
              <w:jc w:val="right"/>
            </w:pPr>
            <w:r>
              <w:rPr>
                <w:sz w:val="18"/>
              </w:rPr>
              <w:t xml:space="preserve">4.32</w:t>
            </w:r>
          </w:p>
        </w:tc>
        <w:tc>
          <w:tcPr/>
          <w:p>
            <w:pPr>
              <w:pStyle w:val="Compact"/>
              <w:jc w:val="right"/>
            </w:pPr>
            <w:r>
              <w:rPr>
                <w:sz w:val="18"/>
              </w:rPr>
              <w:t xml:space="preserve">1.94</w:t>
            </w:r>
          </w:p>
        </w:tc>
      </w:tr>
      <w:tr>
        <w:tc>
          <w:tcPr/>
          <w:p>
            <w:pPr>
              <w:pStyle w:val="Compact"/>
              <w:jc w:val="right"/>
            </w:pPr>
            <w:r>
              <w:rPr>
                <w:sz w:val="18"/>
              </w:rPr>
              <w:t xml:space="preserve">10%</w:t>
            </w:r>
          </w:p>
        </w:tc>
        <w:tc>
          <w:tcPr/>
          <w:p>
            <w:pPr>
              <w:pStyle w:val="Compact"/>
              <w:jc w:val="right"/>
            </w:pPr>
            <w:r>
              <w:rPr>
                <w:sz w:val="18"/>
              </w:rPr>
              <w:t xml:space="preserve">44,149</w:t>
            </w:r>
          </w:p>
        </w:tc>
        <w:tc>
          <w:tcPr/>
          <w:p>
            <w:pPr>
              <w:pStyle w:val="Compact"/>
              <w:jc w:val="right"/>
            </w:pPr>
            <w:r>
              <w:rPr>
                <w:sz w:val="18"/>
              </w:rPr>
              <w:t xml:space="preserve">3.96</w:t>
            </w:r>
          </w:p>
        </w:tc>
        <w:tc>
          <w:tcPr/>
          <w:p>
            <w:pPr>
              <w:pStyle w:val="Compact"/>
              <w:jc w:val="right"/>
            </w:pPr>
            <w:r>
              <w:rPr>
                <w:sz w:val="18"/>
              </w:rPr>
              <w:t xml:space="preserve">4.39</w:t>
            </w:r>
          </w:p>
        </w:tc>
        <w:tc>
          <w:tcPr/>
          <w:p>
            <w:pPr>
              <w:pStyle w:val="Compact"/>
              <w:jc w:val="right"/>
            </w:pPr>
            <w:r>
              <w:rPr>
                <w:sz w:val="18"/>
              </w:rPr>
              <w:t xml:space="preserve">4.58</w:t>
            </w:r>
          </w:p>
        </w:tc>
        <w:tc>
          <w:tcPr/>
          <w:p>
            <w:pPr>
              <w:pStyle w:val="Compact"/>
              <w:jc w:val="right"/>
            </w:pPr>
            <w:r>
              <w:rPr>
                <w:sz w:val="18"/>
              </w:rPr>
              <w:t xml:space="preserve">2.07</w:t>
            </w:r>
          </w:p>
        </w:tc>
      </w:tr>
    </w:tbl>
    <w:p>
      <w:pPr>
        <w:pStyle w:val="TableNote"/>
      </w:pPr>
      <w:r>
        <w:rPr>
          <w:rFonts w:hint="eastAsia"/>
        </w:rPr>
        <w:t xml:space="preserve">注）資本費6.8万円/kWh、</w:t>
      </w:r>
      <m:oMath>
        <m:r>
          <m:t>K</m:t>
        </m:r>
        <m:r>
          <m:rPr>
            <m:sty m:val="p"/>
          </m:rPr>
          <m:t>=</m:t>
        </m:r>
        <m:r>
          <m:t>0</m:t>
        </m:r>
      </m:oMath>
      <w:r>
        <w:t xml:space="preserve">、</w:t>
      </w:r>
      <m:oMath>
        <m:r>
          <m:t>a</m:t>
        </m:r>
        <m:r>
          <m:rPr>
            <m:sty m:val="p"/>
          </m:rPr>
          <m:t>(</m:t>
        </m:r>
        <m:r>
          <m:t>0</m:t>
        </m:r>
        <m:r>
          <m:rPr>
            <m:sty m:val="p"/>
          </m:rPr>
          <m:t>)</m:t>
        </m:r>
        <m:r>
          <m:rPr>
            <m:sty m:val="p"/>
          </m:rPr>
          <m:t>=</m:t>
        </m:r>
        <m:r>
          <m:t>8</m:t>
        </m:r>
        <m:r>
          <m:rPr>
            <m:sty m:val="p"/>
          </m:rPr>
          <m:t>,</m:t>
        </m:r>
        <m:r>
          <m:t>427</m:t>
        </m:r>
      </m:oMath>
      <w:r>
        <w:t xml:space="preserve"> </w:t>
      </w:r>
      <w:r>
        <w:rPr>
          <w:rFonts w:hint="eastAsia"/>
        </w:rPr>
        <w:t xml:space="preserve">円（実績整合ケース）、容量収入12,517円、充電従量負担1,752円。</w:t>
      </w:r>
      <m:oMath>
        <m:sSub>
          <m:e>
            <m:r>
              <m:t>c</m:t>
            </m:r>
          </m:e>
          <m:sub>
            <m:r>
              <m:rPr>
                <m:sty m:val="p"/>
              </m:rPr>
              <m:t>r</m:t>
            </m:r>
            <m:r>
              <m:rPr>
                <m:sty m:val="p"/>
              </m:rPr>
              <m:t>e</m:t>
            </m:r>
            <m:r>
              <m:rPr>
                <m:sty m:val="p"/>
              </m:rPr>
              <m:t>q</m:t>
            </m:r>
          </m:sub>
        </m:sSub>
      </m:oMath>
      <w:r>
        <w:t xml:space="preserve"> </w:t>
      </w:r>
      <w:r>
        <w:rPr>
          <w:rFonts w:hint="eastAsia"/>
        </w:rPr>
        <w:t xml:space="preserve">は式(4.6)で、4時間分の資本費×</w:t>
      </w:r>
      <m:oMath>
        <m:r>
          <m:rPr>
            <m:sty m:val="p"/>
          </m:rPr>
          <m:t>C</m:t>
        </m:r>
        <m:r>
          <m:rPr>
            <m:sty m:val="p"/>
          </m:rPr>
          <m:t>R</m:t>
        </m:r>
        <m:r>
          <m:rPr>
            <m:sty m:val="p"/>
          </m:rPr>
          <m:t>F</m:t>
        </m:r>
        <m:r>
          <m:rPr>
            <m:sty m:val="p"/>
          </m:rPr>
          <m:t>(</m:t>
        </m:r>
        <m:sSub>
          <m:e>
            <m:r>
              <m:t>r</m:t>
            </m:r>
          </m:e>
          <m:sub>
            <m:r>
              <m:t>A</m:t>
            </m:r>
          </m:sub>
        </m:sSub>
        <m:r>
          <m:rPr>
            <m:sty m:val="p"/>
          </m:rPr>
          <m:t>,</m:t>
        </m:r>
        <m:r>
          <m:t>20</m:t>
        </m:r>
        <m:r>
          <m:rPr>
            <m:sty m:val="p"/>
          </m:rPr>
          <m:t>)</m:t>
        </m:r>
      </m:oMath>
      <w:r>
        <w:rPr>
          <w:rFonts w:hint="eastAsia"/>
        </w:rPr>
        <w:t xml:space="preserve">＋0.53万＋0.69万円。表C.39</w:t>
      </w:r>
      <w:r>
        <w:t xml:space="preserve"> </w:t>
      </w:r>
      <w:r>
        <w:rPr>
          <w:rFonts w:hint="eastAsia"/>
        </w:rPr>
        <w:t xml:space="preserve">と第7章は容量収入を12,500円に丸めて6%で2.99</w:t>
      </w:r>
      <w:r>
        <w:t xml:space="preserve"> </w:t>
      </w:r>
      <w:r>
        <w:rPr>
          <w:rFonts w:hint="eastAsia"/>
        </w:rPr>
        <w:t xml:space="preserve">とする。廃止費を20年目の支出として置くと、6%で2.99、9%で3.70。</w:t>
      </w:r>
    </w:p>
    <w:p>
      <w:pPr>
        <w:pStyle w:val="TableNote"/>
      </w:pPr>
      <w:r>
        <w:rPr>
          <w:rFonts w:hint="eastAsia"/>
        </w:rPr>
        <w:t xml:space="preserve">出所）表C.39</w:t>
      </w:r>
      <w:r>
        <w:t xml:space="preserve"> </w:t>
      </w:r>
      <w:r>
        <w:rPr>
          <w:rFonts w:hint="eastAsia"/>
        </w:rPr>
        <w:t xml:space="preserve">と同じ。</w:t>
      </w:r>
    </w:p>
    <w:p>
      <w:pPr>
        <w:pStyle w:val="BodyText"/>
      </w:pPr>
      <w:r>
        <w:rPr>
          <w:rFonts w:hint="eastAsia"/>
        </w:rPr>
        <w:t xml:space="preserve">表C.44</w:t>
      </w:r>
      <w:r>
        <w:t xml:space="preserve"> </w:t>
      </w:r>
      <w:r>
        <w:rPr>
          <w:rFonts w:hint="eastAsia"/>
        </w:rPr>
        <w:t xml:space="preserve">は、本文8.7.3項の調整現在価値による乖離の分解を、価格水準と落札価格の置き方ごとに示したものである。(1)</w:t>
      </w:r>
      <w:r>
        <w:t xml:space="preserve"> </w:t>
      </w:r>
      <w:r>
        <w:rPr>
          <w:rFonts w:hint="eastAsia"/>
        </w:rPr>
        <w:t xml:space="preserve">の列は本文の図8.4</w:t>
      </w:r>
      <w:r>
        <w:t xml:space="preserve"> </w:t>
      </w:r>
      <w:r>
        <w:rPr>
          <w:rFonts w:hint="eastAsia"/>
        </w:rPr>
        <w:t xml:space="preserve">に示す。</w:t>
      </w:r>
    </w:p>
    <w:p>
      <w:pPr>
        <w:pStyle w:val="TableCaption"/>
      </w:pPr>
      <w:r>
        <w:rPr>
          <w:rFonts w:hint="eastAsia"/>
        </w:rPr>
        <w:t xml:space="preserve">表C.44</w:t>
      </w:r>
      <w:r>
        <w:t xml:space="preserve">　</w:t>
      </w:r>
      <w:r>
        <w:rPr>
          <w:rFonts w:hint="eastAsia"/>
        </w:rPr>
        <w:t xml:space="preserve">調整現在価値による乖離の分解（円/kW）</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4　調整現在価値による乖離の分解（円/kW）"/>
      </w:tblPr>
      <w:tblGrid>
        <w:gridCol w:w="1584"/>
        <w:gridCol w:w="2112"/>
        <w:gridCol w:w="2112"/>
        <w:gridCol w:w="2112"/>
      </w:tblGrid>
      <w:tr>
        <w:trPr>
          <w:tblHeader w:val="on"/>
        </w:trPr>
        <w:tc>
          <w:tcPr>
            <w:tcBorders>
              <w:bottom w:val="single" w:sz="6" w:color="000000"/>
            </w:tcBorders>
          </w:tcPr>
          <w:p>
            <w:pPr>
              <w:pStyle w:val="Compact"/>
            </w:pPr>
            <w:r>
              <w:rPr>
                <w:rFonts w:hint="eastAsia"/>
                <w:sz w:val="18"/>
              </w:rPr>
              <w:t xml:space="preserve">成分</w:t>
            </w:r>
          </w:p>
        </w:tc>
        <w:tc>
          <w:tcPr>
            <w:tcBorders>
              <w:bottom w:val="single" w:sz="6" w:color="000000"/>
            </w:tcBorders>
          </w:tcPr>
          <w:p>
            <w:pPr>
              <w:pStyle w:val="Compact"/>
              <w:jc w:val="right"/>
            </w:pPr>
            <w:r>
              <w:rPr>
                <w:sz w:val="18"/>
              </w:rPr>
              <w:t xml:space="preserve">(1)</w:t>
            </w:r>
          </w:p>
        </w:tc>
        <w:tc>
          <w:tcPr>
            <w:tcBorders>
              <w:bottom w:val="single" w:sz="6" w:color="000000"/>
            </w:tcBorders>
          </w:tcPr>
          <w:p>
            <w:pPr>
              <w:pStyle w:val="Compact"/>
              <w:jc w:val="right"/>
            </w:pPr>
            <w:r>
              <w:rPr>
                <w:sz w:val="18"/>
              </w:rPr>
              <w:t xml:space="preserve">(2)</w:t>
            </w:r>
          </w:p>
        </w:tc>
        <w:tc>
          <w:tcPr>
            <w:tcBorders>
              <w:bottom w:val="single" w:sz="6" w:color="000000"/>
            </w:tcBorders>
          </w:tcPr>
          <w:p>
            <w:pPr>
              <w:pStyle w:val="Compact"/>
              <w:jc w:val="right"/>
            </w:pPr>
            <w:r>
              <w:rPr>
                <w:sz w:val="18"/>
              </w:rPr>
              <w:t xml:space="preserve">(3)</w:t>
            </w:r>
          </w:p>
        </w:tc>
      </w:tr>
      <w:tr>
        <w:tc>
          <w:tcPr/>
          <w:p>
            <w:pPr>
              <w:pStyle w:val="Compact"/>
            </w:pPr>
            <w:r>
              <w:rPr>
                <w:rFonts w:hint="eastAsia"/>
                <w:b/>
                <w:bCs/>
                <w:sz w:val="18"/>
              </w:rPr>
              <w:t xml:space="preserve">パネルA：マーチャント4時間（(1)</w:t>
            </w:r>
            <w:r>
              <w:rPr>
                <w:b/>
                <w:bCs/>
                <w:sz w:val="18"/>
              </w:rPr>
              <w:t xml:space="preserve"> </w:t>
            </w:r>
            <m:oMath>
              <m:r>
                <m:t>θ</m:t>
              </m:r>
              <m:r>
                <m:rPr>
                  <m:sty m:val="p"/>
                </m:rPr>
                <m:t>=</m:t>
              </m:r>
              <m:r>
                <m:t>1</m:t>
              </m:r>
            </m:oMath>
            <w:r>
              <w:rPr>
                <w:b/>
                <w:bCs/>
                <w:sz w:val="18"/>
              </w:rPr>
              <w:t xml:space="preserve">、(2)</w:t>
            </w:r>
            <w:r>
              <w:rPr>
                <w:b/>
                <w:bCs/>
                <w:sz w:val="18"/>
              </w:rPr>
              <w:t xml:space="preserve"> </w:t>
            </w:r>
            <m:oMath>
              <m:r>
                <m:t>θ</m:t>
              </m:r>
              <m:r>
                <m:rPr>
                  <m:sty m:val="p"/>
                </m:rPr>
                <m:t>=</m:t>
              </m:r>
              <m:r>
                <m:t>1.567</m:t>
              </m:r>
            </m:oMath>
            <w:r>
              <w:rPr>
                <w:b/>
                <w:bCs/>
                <w:sz w:val="18"/>
              </w:rPr>
              <w:t xml:space="preserve">、(3)</w:t>
            </w:r>
            <w:r>
              <w:rPr>
                <w:b/>
                <w:bCs/>
                <w:sz w:val="18"/>
              </w:rPr>
              <w:t xml:space="preserve"> </w:t>
            </w:r>
            <m:oMath>
              <m:r>
                <m:t>θ</m:t>
              </m:r>
              <m:r>
                <m:rPr>
                  <m:sty m:val="p"/>
                </m:rPr>
                <m:t>=</m:t>
              </m:r>
              <m:r>
                <m:t>1.715</m:t>
              </m:r>
            </m:oMath>
            <w:r>
              <w:rPr>
                <w:rFonts w:hint="eastAsia"/>
                <w:b/>
                <w:bCs/>
                <w:sz w:val="18"/>
              </w:rPr>
              <w:t xml:space="preserve">）</w:t>
            </w:r>
          </w:p>
        </w:tc>
        <w:tc>
          <w:tcPr/>
          <w:p>
            <w:pPr>
              <w:pStyle w:val="Compact"/>
            </w:pPr>
          </w:p>
        </w:tc>
        <w:tc>
          <w:tcPr/>
          <w:p>
            <w:pPr>
              <w:pStyle w:val="Compact"/>
            </w:pPr>
          </w:p>
        </w:tc>
        <w:tc>
          <w:tcPr/>
          <w:p>
            <w:pPr>
              <w:pStyle w:val="Compact"/>
            </w:pPr>
          </w:p>
        </w:tc>
      </w:tr>
      <w:tr>
        <w:tc>
          <w:tcPr/>
          <w:p>
            <w:pPr>
              <w:pStyle w:val="Compact"/>
            </w:pPr>
            <w:r>
              <w:rPr>
                <w:rFonts w:hint="eastAsia"/>
                <w:sz w:val="18"/>
              </w:rPr>
              <w:t xml:space="preserve">基礎</w:t>
            </w:r>
            <w:r>
              <w:rPr>
                <w:sz w:val="18"/>
              </w:rPr>
              <w:t xml:space="preserve"> </w:t>
            </w:r>
            <w:r>
              <w:rPr>
                <w:rFonts w:hint="eastAsia"/>
                <w:sz w:val="18"/>
              </w:rPr>
              <w:t xml:space="preserve">NPV（スポットのみ）</w:t>
            </w:r>
          </w:p>
        </w:tc>
        <w:tc>
          <w:tcPr/>
          <w:p>
            <w:pPr>
              <w:pStyle w:val="Compact"/>
              <w:jc w:val="right"/>
            </w:pPr>
            <w:r>
              <w:rPr>
                <w:sz w:val="18"/>
              </w:rPr>
              <w:t xml:space="preserve">−322,433</w:t>
            </w:r>
          </w:p>
        </w:tc>
        <w:tc>
          <w:tcPr/>
          <w:p>
            <w:pPr>
              <w:pStyle w:val="Compact"/>
              <w:jc w:val="right"/>
            </w:pPr>
            <w:r>
              <w:rPr>
                <w:sz w:val="18"/>
              </w:rPr>
              <w:t xml:space="preserve">−278,825</w:t>
            </w:r>
          </w:p>
        </w:tc>
        <w:tc>
          <w:tcPr/>
          <w:p>
            <w:pPr>
              <w:pStyle w:val="Compact"/>
              <w:jc w:val="right"/>
            </w:pPr>
            <w:r>
              <w:rPr>
                <w:sz w:val="18"/>
              </w:rPr>
              <w:t xml:space="preserve">−267,393</w:t>
            </w:r>
          </w:p>
        </w:tc>
      </w:tr>
      <w:tr>
        <w:tc>
          <w:tcPr/>
          <w:p>
            <w:pPr>
              <w:pStyle w:val="Compact"/>
            </w:pPr>
            <w:r>
              <w:rPr>
                <w:rFonts w:hint="eastAsia"/>
                <w:sz w:val="18"/>
              </w:rPr>
              <w:t xml:space="preserve">容量市場（1.25万円/kW-年）</w:t>
            </w:r>
          </w:p>
        </w:tc>
        <w:tc>
          <w:tcPr/>
          <w:p>
            <w:pPr>
              <w:pStyle w:val="Compact"/>
              <w:jc w:val="right"/>
            </w:pPr>
            <w:r>
              <w:rPr>
                <w:sz w:val="18"/>
              </w:rPr>
              <w:t xml:space="preserve">+114,258</w:t>
            </w:r>
          </w:p>
        </w:tc>
        <w:tc>
          <w:tcPr/>
          <w:p>
            <w:pPr>
              <w:pStyle w:val="Compact"/>
              <w:jc w:val="right"/>
            </w:pPr>
            <w:r>
              <w:rPr>
                <w:sz w:val="18"/>
              </w:rPr>
              <w:t xml:space="preserve">+114,258</w:t>
            </w:r>
          </w:p>
        </w:tc>
        <w:tc>
          <w:tcPr/>
          <w:p>
            <w:pPr>
              <w:pStyle w:val="Compact"/>
              <w:jc w:val="right"/>
            </w:pPr>
            <w:r>
              <w:rPr>
                <w:sz w:val="18"/>
              </w:rPr>
              <w:t xml:space="preserve">+114,258</w:t>
            </w:r>
          </w:p>
        </w:tc>
      </w:tr>
      <w:tr>
        <w:tc>
          <w:tcPr/>
          <w:p>
            <w:pPr>
              <w:pStyle w:val="Compact"/>
            </w:pPr>
            <w:r>
              <w:rPr>
                <w:rFonts w:hint="eastAsia"/>
                <w:sz w:val="18"/>
              </w:rPr>
              <w:t xml:space="preserve">補助金1/2（上限なし）</w:t>
            </w:r>
          </w:p>
        </w:tc>
        <w:tc>
          <w:tcPr/>
          <w:p>
            <w:pPr>
              <w:pStyle w:val="Compact"/>
              <w:jc w:val="right"/>
            </w:pPr>
            <w:r>
              <w:rPr>
                <w:sz w:val="18"/>
              </w:rPr>
              <w:t xml:space="preserve">+136,000</w:t>
            </w:r>
          </w:p>
        </w:tc>
        <w:tc>
          <w:tcPr/>
          <w:p>
            <w:pPr>
              <w:pStyle w:val="Compact"/>
              <w:jc w:val="right"/>
            </w:pPr>
            <w:r>
              <w:rPr>
                <w:sz w:val="18"/>
              </w:rPr>
              <w:t xml:space="preserve">+136,000</w:t>
            </w:r>
          </w:p>
        </w:tc>
        <w:tc>
          <w:tcPr/>
          <w:p>
            <w:pPr>
              <w:pStyle w:val="Compact"/>
              <w:jc w:val="right"/>
            </w:pPr>
            <w:r>
              <w:rPr>
                <w:sz w:val="18"/>
              </w:rPr>
              <w:t xml:space="preserve">+136,000</w:t>
            </w:r>
          </w:p>
        </w:tc>
      </w:tr>
      <w:tr>
        <w:tc>
          <w:tcPr/>
          <w:p>
            <w:pPr>
              <w:pStyle w:val="Compact"/>
            </w:pPr>
            <w:r>
              <w:rPr>
                <w:sz w:val="18"/>
              </w:rPr>
              <w:t xml:space="preserve">APV</w:t>
            </w:r>
          </w:p>
        </w:tc>
        <w:tc>
          <w:tcPr/>
          <w:p>
            <w:pPr>
              <w:pStyle w:val="Compact"/>
              <w:jc w:val="right"/>
            </w:pPr>
            <w:r>
              <w:rPr>
                <w:sz w:val="18"/>
              </w:rPr>
              <w:t xml:space="preserve">−72,175</w:t>
            </w:r>
          </w:p>
        </w:tc>
        <w:tc>
          <w:tcPr/>
          <w:p>
            <w:pPr>
              <w:pStyle w:val="Compact"/>
              <w:jc w:val="right"/>
            </w:pPr>
            <w:r>
              <w:rPr>
                <w:sz w:val="18"/>
              </w:rPr>
              <w:t xml:space="preserve">−28,566</w:t>
            </w:r>
          </w:p>
        </w:tc>
        <w:tc>
          <w:tcPr/>
          <w:p>
            <w:pPr>
              <w:pStyle w:val="Compact"/>
              <w:jc w:val="right"/>
            </w:pPr>
            <w:r>
              <w:rPr>
                <w:sz w:val="18"/>
              </w:rPr>
              <w:t xml:space="preserve">−17,135</w:t>
            </w:r>
          </w:p>
        </w:tc>
      </w:tr>
      <w:tr>
        <w:tc>
          <w:tcPr/>
          <w:p>
            <w:pPr>
              <w:pStyle w:val="Compact"/>
            </w:pPr>
            <w:r>
              <w:rPr>
                <w:rFonts w:hint="eastAsia"/>
                <w:b/>
                <w:bCs/>
                <w:sz w:val="18"/>
              </w:rPr>
              <w:t xml:space="preserve">パネルB：LTDA</w:t>
            </w:r>
            <w:r>
              <w:rPr>
                <w:b/>
                <w:bCs/>
                <w:sz w:val="18"/>
              </w:rPr>
              <w:t xml:space="preserve"> </w:t>
            </w:r>
            <w:r>
              <w:rPr>
                <w:rFonts w:hint="eastAsia"/>
                <w:b/>
                <w:bCs/>
                <w:sz w:val="18"/>
              </w:rPr>
              <w:t xml:space="preserve">6時間（(1)</w:t>
            </w:r>
            <w:r>
              <w:rPr>
                <w:b/>
                <w:bCs/>
                <w:sz w:val="18"/>
              </w:rPr>
              <w:t xml:space="preserve"> </w:t>
            </w:r>
            <w:r>
              <w:rPr>
                <w:rFonts w:hint="eastAsia"/>
                <w:b/>
                <w:bCs/>
                <w:sz w:val="18"/>
              </w:rPr>
              <w:t xml:space="preserve">上限7.2万円・期待容量、(2)</w:t>
            </w:r>
            <w:r>
              <w:rPr>
                <w:b/>
                <w:bCs/>
                <w:sz w:val="18"/>
              </w:rPr>
              <w:t xml:space="preserve"> </w:t>
            </w:r>
            <w:r>
              <w:rPr>
                <w:rFonts w:hint="eastAsia"/>
                <w:b/>
                <w:bCs/>
                <w:sz w:val="18"/>
              </w:rPr>
              <w:t xml:space="preserve">上限7.7万円・設備容量、(3)</w:t>
            </w:r>
            <w:r>
              <w:rPr>
                <w:b/>
                <w:bCs/>
                <w:sz w:val="18"/>
              </w:rPr>
              <w:t xml:space="preserve"> </w:t>
            </w:r>
            <w:r>
              <w:rPr>
                <w:rFonts w:hint="eastAsia"/>
                <w:b/>
                <w:bCs/>
                <w:sz w:val="18"/>
              </w:rPr>
              <w:t xml:space="preserve">積み上げ価格）</w:t>
            </w:r>
          </w:p>
        </w:tc>
        <w:tc>
          <w:tcPr/>
          <w:p>
            <w:pPr>
              <w:pStyle w:val="Compact"/>
            </w:pPr>
          </w:p>
        </w:tc>
        <w:tc>
          <w:tcPr/>
          <w:p>
            <w:pPr>
              <w:pStyle w:val="Compact"/>
            </w:pPr>
          </w:p>
        </w:tc>
        <w:tc>
          <w:tcPr/>
          <w:p>
            <w:pPr>
              <w:pStyle w:val="Compact"/>
            </w:pPr>
          </w:p>
        </w:tc>
      </w:tr>
      <w:tr>
        <w:tc>
          <w:tcPr/>
          <w:p>
            <w:pPr>
              <w:pStyle w:val="Compact"/>
            </w:pPr>
            <w:r>
              <w:rPr>
                <w:rFonts w:hint="eastAsia"/>
                <w:sz w:val="18"/>
              </w:rPr>
              <w:t xml:space="preserve">基礎</w:t>
            </w:r>
            <w:r>
              <w:rPr>
                <w:sz w:val="18"/>
              </w:rPr>
              <w:t xml:space="preserve"> </w:t>
            </w:r>
            <w:r>
              <w:rPr>
                <w:rFonts w:hint="eastAsia"/>
                <w:sz w:val="18"/>
              </w:rPr>
              <w:t xml:space="preserve">NPV（スポットのみ）</w:t>
            </w:r>
          </w:p>
        </w:tc>
        <w:tc>
          <w:tcPr/>
          <w:p>
            <w:pPr>
              <w:pStyle w:val="Compact"/>
              <w:jc w:val="right"/>
            </w:pPr>
            <w:r>
              <w:rPr>
                <w:sz w:val="18"/>
              </w:rPr>
              <w:t xml:space="preserve">−450,102</w:t>
            </w:r>
          </w:p>
        </w:tc>
        <w:tc>
          <w:tcPr/>
          <w:p>
            <w:pPr>
              <w:pStyle w:val="Compact"/>
              <w:jc w:val="right"/>
            </w:pPr>
            <w:r>
              <w:rPr>
                <w:sz w:val="18"/>
              </w:rPr>
              <w:t xml:space="preserve">−450,102</w:t>
            </w:r>
          </w:p>
        </w:tc>
        <w:tc>
          <w:tcPr/>
          <w:p>
            <w:pPr>
              <w:pStyle w:val="Compact"/>
              <w:jc w:val="right"/>
            </w:pPr>
            <w:r>
              <w:rPr>
                <w:sz w:val="18"/>
              </w:rPr>
              <w:t xml:space="preserve">−450,102</w:t>
            </w:r>
          </w:p>
        </w:tc>
      </w:tr>
      <w:tr>
        <w:tc>
          <w:tcPr/>
          <w:p>
            <w:pPr>
              <w:pStyle w:val="Compact"/>
            </w:pPr>
            <w:r>
              <w:rPr>
                <w:rFonts w:hint="eastAsia"/>
                <w:sz w:val="18"/>
              </w:rPr>
              <w:t xml:space="preserve">容量市場（マーチャントの場合）</w:t>
            </w:r>
          </w:p>
        </w:tc>
        <w:tc>
          <w:tcPr/>
          <w:p>
            <w:pPr>
              <w:pStyle w:val="Compact"/>
              <w:jc w:val="right"/>
            </w:pPr>
            <w:r>
              <w:rPr>
                <w:sz w:val="18"/>
              </w:rPr>
              <w:t xml:space="preserve">+127,379</w:t>
            </w:r>
          </w:p>
        </w:tc>
        <w:tc>
          <w:tcPr/>
          <w:p>
            <w:pPr>
              <w:pStyle w:val="Compact"/>
              <w:jc w:val="right"/>
            </w:pPr>
            <w:r>
              <w:rPr>
                <w:sz w:val="18"/>
              </w:rPr>
              <w:t xml:space="preserve">+127,379</w:t>
            </w:r>
          </w:p>
        </w:tc>
        <w:tc>
          <w:tcPr/>
          <w:p>
            <w:pPr>
              <w:pStyle w:val="Compact"/>
              <w:jc w:val="right"/>
            </w:pPr>
            <w:r>
              <w:rPr>
                <w:sz w:val="18"/>
              </w:rPr>
              <w:t xml:space="preserve">+127,379</w:t>
            </w:r>
          </w:p>
        </w:tc>
      </w:tr>
      <w:tr>
        <w:tc>
          <w:tcPr/>
          <w:p>
            <w:pPr>
              <w:pStyle w:val="Compact"/>
            </w:pPr>
            <w:r>
              <w:rPr>
                <w:rFonts w:hint="eastAsia"/>
                <w:sz w:val="18"/>
              </w:rPr>
              <w:t xml:space="preserve">期待値の移転</w:t>
            </w:r>
          </w:p>
        </w:tc>
        <w:tc>
          <w:tcPr/>
          <w:p>
            <w:pPr>
              <w:pStyle w:val="Compact"/>
              <w:jc w:val="right"/>
            </w:pPr>
            <w:r>
              <w:rPr>
                <w:sz w:val="18"/>
              </w:rPr>
              <w:t xml:space="preserve">+572,885</w:t>
            </w:r>
          </w:p>
        </w:tc>
        <w:tc>
          <w:tcPr/>
          <w:p>
            <w:pPr>
              <w:pStyle w:val="Compact"/>
              <w:jc w:val="right"/>
            </w:pPr>
            <w:r>
              <w:rPr>
                <w:sz w:val="18"/>
              </w:rPr>
              <w:t xml:space="preserve">+699,317</w:t>
            </w:r>
          </w:p>
        </w:tc>
        <w:tc>
          <w:tcPr/>
          <w:p>
            <w:pPr>
              <w:pStyle w:val="Compact"/>
              <w:jc w:val="right"/>
            </w:pPr>
            <w:r>
              <w:rPr>
                <w:sz w:val="18"/>
              </w:rPr>
              <w:t xml:space="preserve">+301,224</w:t>
            </w:r>
          </w:p>
        </w:tc>
      </w:tr>
      <w:tr>
        <w:tc>
          <w:tcPr/>
          <w:p>
            <w:pPr>
              <w:pStyle w:val="Compact"/>
            </w:pPr>
            <w:r>
              <w:rPr>
                <w:rFonts w:hint="eastAsia"/>
                <w:sz w:val="18"/>
              </w:rPr>
              <w:t xml:space="preserve">リスク移転</w:t>
            </w:r>
          </w:p>
        </w:tc>
        <w:tc>
          <w:tcPr/>
          <w:p>
            <w:pPr>
              <w:pStyle w:val="Compact"/>
              <w:jc w:val="right"/>
            </w:pPr>
            <w:r>
              <w:rPr>
                <w:sz w:val="18"/>
              </w:rPr>
              <w:t xml:space="preserve">+69,734</w:t>
            </w:r>
          </w:p>
        </w:tc>
        <w:tc>
          <w:tcPr/>
          <w:p>
            <w:pPr>
              <w:pStyle w:val="Compact"/>
              <w:jc w:val="right"/>
            </w:pPr>
            <w:r>
              <w:rPr>
                <w:sz w:val="18"/>
              </w:rPr>
              <w:t xml:space="preserve">+69,734</w:t>
            </w:r>
          </w:p>
        </w:tc>
        <w:tc>
          <w:tcPr/>
          <w:p>
            <w:pPr>
              <w:pStyle w:val="Compact"/>
              <w:jc w:val="right"/>
            </w:pPr>
            <w:r>
              <w:rPr>
                <w:sz w:val="18"/>
              </w:rPr>
              <w:t xml:space="preserve">+69,734</w:t>
            </w:r>
          </w:p>
        </w:tc>
      </w:tr>
      <w:tr>
        <w:tc>
          <w:tcPr/>
          <w:p>
            <w:pPr>
              <w:pStyle w:val="Compact"/>
            </w:pPr>
            <w:r>
              <w:rPr>
                <w:sz w:val="18"/>
              </w:rPr>
              <w:t xml:space="preserve">APV</w:t>
            </w:r>
          </w:p>
        </w:tc>
        <w:tc>
          <w:tcPr/>
          <w:p>
            <w:pPr>
              <w:pStyle w:val="Compact"/>
              <w:jc w:val="right"/>
            </w:pPr>
            <w:r>
              <w:rPr>
                <w:sz w:val="18"/>
              </w:rPr>
              <w:t xml:space="preserve">+319,896</w:t>
            </w:r>
          </w:p>
        </w:tc>
        <w:tc>
          <w:tcPr/>
          <w:p>
            <w:pPr>
              <w:pStyle w:val="Compact"/>
              <w:jc w:val="right"/>
            </w:pPr>
            <w:r>
              <w:rPr>
                <w:sz w:val="18"/>
              </w:rPr>
              <w:t xml:space="preserve">+446,327</w:t>
            </w:r>
          </w:p>
        </w:tc>
        <w:tc>
          <w:tcPr/>
          <w:p>
            <w:pPr>
              <w:pStyle w:val="Compact"/>
              <w:jc w:val="right"/>
            </w:pPr>
            <w:r>
              <w:rPr>
                <w:sz w:val="18"/>
              </w:rPr>
              <w:t xml:space="preserve">+48,234</w:t>
            </w:r>
          </w:p>
        </w:tc>
      </w:tr>
      <w:tr>
        <w:tc>
          <w:tcPr/>
          <w:p>
            <w:pPr>
              <w:pStyle w:val="Compact"/>
            </w:pPr>
            <w:r>
              <w:rPr>
                <w:rFonts w:hint="eastAsia"/>
                <w:sz w:val="18"/>
              </w:rPr>
              <w:t xml:space="preserve">リスク移転÷スワップの価値</w:t>
            </w:r>
          </w:p>
        </w:tc>
        <w:tc>
          <w:tcPr/>
          <w:p>
            <w:pPr>
              <w:pStyle w:val="Compact"/>
              <w:jc w:val="right"/>
            </w:pPr>
            <w:r>
              <w:rPr>
                <w:sz w:val="18"/>
              </w:rPr>
              <w:t xml:space="preserve">10.9%</w:t>
            </w:r>
          </w:p>
        </w:tc>
        <w:tc>
          <w:tcPr/>
          <w:p>
            <w:pPr>
              <w:pStyle w:val="Compact"/>
              <w:jc w:val="right"/>
            </w:pPr>
            <w:r>
              <w:rPr>
                <w:sz w:val="18"/>
              </w:rPr>
              <w:t xml:space="preserve">9.1%</w:t>
            </w:r>
          </w:p>
        </w:tc>
        <w:tc>
          <w:tcPr/>
          <w:p>
            <w:pPr>
              <w:pStyle w:val="Compact"/>
              <w:jc w:val="right"/>
            </w:pPr>
            <w:r>
              <w:rPr>
                <w:sz w:val="18"/>
              </w:rPr>
              <w:t xml:space="preserve">18.8%</w:t>
            </w:r>
          </w:p>
        </w:tc>
      </w:tr>
    </w:tbl>
    <w:p>
      <w:pPr>
        <w:pStyle w:val="TableNote"/>
      </w:pPr>
      <w:r>
        <w:rPr>
          <w:rFonts w:hint="eastAsia"/>
        </w:rPr>
        <w:t xml:space="preserve">注）</w:t>
      </w:r>
      <m:oMath>
        <m:sSubSup>
          <m:e>
            <m:r>
              <m:t>r</m:t>
            </m:r>
          </m:e>
          <m:sub>
            <m:r>
              <m:t>A</m:t>
            </m:r>
          </m:sub>
          <m:sup>
            <m:r>
              <m:t>M</m:t>
            </m:r>
          </m:sup>
        </m:sSubSup>
        <m:r>
          <m:rPr>
            <m:sty m:val="p"/>
          </m:rPr>
          <m:t>=</m:t>
        </m:r>
        <m:r>
          <m:t>9</m:t>
        </m:r>
        <m:r>
          <m:rPr>
            <m:sty m:val="p"/>
          </m:rPr>
          <m:t>%</m:t>
        </m:r>
      </m:oMath>
      <w:r>
        <w:t xml:space="preserve">、</w:t>
      </w:r>
      <m:oMath>
        <m:sSub>
          <m:e>
            <m:r>
              <m:t>r</m:t>
            </m:r>
          </m:e>
          <m:sub>
            <m:r>
              <m:t>C</m:t>
            </m:r>
          </m:sub>
        </m:sSub>
        <m:r>
          <m:rPr>
            <m:sty m:val="p"/>
          </m:rPr>
          <m:t>=</m:t>
        </m:r>
        <m:r>
          <m:t>5</m:t>
        </m:r>
        <m:r>
          <m:rPr>
            <m:sty m:val="p"/>
          </m:rPr>
          <m:t>%</m:t>
        </m:r>
      </m:oMath>
      <w:r>
        <w:rPr>
          <w:rFonts w:hint="eastAsia"/>
        </w:rPr>
        <w:t xml:space="preserve">、資本費6.8万円/kWh、20年、税前、借入なし。パネルAは実績整合ケース、パネルBのスポットは実績価格の戦略</w:t>
      </w:r>
      <w:r>
        <w:t xml:space="preserve"> </w:t>
      </w:r>
      <w:r>
        <w:rPr>
          <w:rFonts w:hint="eastAsia"/>
        </w:rPr>
        <w:t xml:space="preserve">c、積み上げ価格は事業報酬率5%。補助金は割り引かない。節税効果は含めない。参考値は本項の後段に、(1)</w:t>
      </w:r>
      <w:r>
        <w:t xml:space="preserve"> </w:t>
      </w:r>
      <w:r>
        <w:rPr>
          <w:rFonts w:hint="eastAsia"/>
        </w:rPr>
        <w:t xml:space="preserve">の列の図示は本文の図8.4</w:t>
      </w:r>
      <w:r>
        <w:t xml:space="preserve"> </w:t>
      </w:r>
      <w:r>
        <w:rPr>
          <w:rFonts w:hint="eastAsia"/>
        </w:rPr>
        <w:t xml:space="preserve">に示す。</w:t>
      </w:r>
    </w:p>
    <w:p>
      <w:pPr>
        <w:pStyle w:val="TableNote"/>
      </w:pPr>
      <w:r>
        <w:rPr>
          <w:rFonts w:hint="eastAsia"/>
        </w:rPr>
        <w:t xml:space="preserve">出所）本文の表8.2（事業</w:t>
      </w:r>
      <w:r>
        <w:t xml:space="preserve"> </w:t>
      </w:r>
      <w:r>
        <w:rPr>
          <w:rFonts w:hint="eastAsia"/>
        </w:rPr>
        <w:t xml:space="preserve">IRR）と同じ資料、および電力広域的運営推進機関『長期脱炭素電源オークション募集要綱』より筆者推計。</w:t>
      </w:r>
    </w:p>
    <w:p>
      <w:pPr>
        <w:pStyle w:val="BodyText"/>
      </w:pPr>
      <w:r>
        <w:rPr>
          <w:rFonts w:hint="eastAsia"/>
          <w:b/>
          <w:bCs/>
        </w:rPr>
        <w:t xml:space="preserve">調整現在価値の参考値</w:t>
      </w:r>
      <w:r>
        <w:t xml:space="preserve">　</w:t>
      </w:r>
      <w:r>
        <w:rPr>
          <w:rFonts w:hint="eastAsia"/>
        </w:rPr>
        <w:t xml:space="preserve">マーチャント4時間蓄電池では、補助金の1/3（上限なし）は+90,667円、上限40億円が効く5万kW</w:t>
      </w:r>
      <w:r>
        <w:t xml:space="preserve"> </w:t>
      </w:r>
      <w:r>
        <w:rPr>
          <w:rFonts w:hint="eastAsia"/>
        </w:rPr>
        <w:t xml:space="preserve">の1/2（実効29%）は+80,000円である。APV</w:t>
      </w:r>
      <w:r>
        <w:t xml:space="preserve"> は </w:t>
      </w:r>
      <w:r>
        <w:rPr>
          <w:rFonts w:hint="eastAsia"/>
        </w:rPr>
        <w:t xml:space="preserve">FY2026上期の水準で−2.9万円、FY2022</w:t>
      </w:r>
      <w:r>
        <w:t xml:space="preserve"> </w:t>
      </w:r>
      <w:r>
        <w:rPr>
          <w:rFonts w:hint="eastAsia"/>
        </w:rPr>
        <w:t xml:space="preserve">の水準で−1.7万円である。容量収入と上限のない1/2補助を重ねたときに</w:t>
      </w:r>
      <w:r>
        <w:t xml:space="preserve"> APV </w:t>
      </w:r>
      <w:r>
        <w:rPr>
          <w:rFonts w:hint="eastAsia"/>
        </w:rPr>
        <w:t xml:space="preserve">が0になる水準係数は1.94（</w:t>
      </w:r>
      <m:oMath>
        <m:sSubSup>
          <m:e>
            <m:r>
              <m:t>r</m:t>
            </m:r>
          </m:e>
          <m:sub>
            <m:r>
              <m:t>A</m:t>
            </m:r>
          </m:sub>
          <m:sup>
            <m:r>
              <m:t>M</m:t>
            </m:r>
          </m:sup>
        </m:sSubSup>
        <m:r>
          <m:rPr>
            <m:sty m:val="p"/>
          </m:rPr>
          <m:t>=</m:t>
        </m:r>
        <m:r>
          <m:t>8</m:t>
        </m:r>
        <m:r>
          <m:rPr>
            <m:sty m:val="p"/>
          </m:rPr>
          <m:t>%</m:t>
        </m:r>
      </m:oMath>
      <w:r>
        <w:t xml:space="preserve"> </w:t>
      </w:r>
      <w:r>
        <w:rPr>
          <w:rFonts w:hint="eastAsia"/>
        </w:rPr>
        <w:t xml:space="preserve">で1.81）、補助がなければ3.71（8%で3.46）である。節税効果の上限（負債＝補助後の投資額の60%）+4,598円を加えると、APV</w:t>
      </w:r>
      <w:r>
        <w:t xml:space="preserve"> </w:t>
      </w:r>
      <w:r>
        <w:rPr>
          <w:rFonts w:hint="eastAsia"/>
        </w:rPr>
        <w:t xml:space="preserve">が0になる水準係数は1.88（8%で1.76）である。LTDA</w:t>
      </w:r>
      <w:r>
        <w:t xml:space="preserve"> </w:t>
      </w:r>
      <w:r>
        <w:rPr>
          <w:rFonts w:hint="eastAsia"/>
        </w:rPr>
        <w:t xml:space="preserve">6時間蓄電池では、マーチャントとしての</w:t>
      </w:r>
      <w:r>
        <w:t xml:space="preserve"> NPV </w:t>
      </w:r>
      <w:r>
        <w:rPr>
          <w:rFonts w:hint="eastAsia"/>
        </w:rPr>
        <w:t xml:space="preserve">は−32.3万円/kW、上限価格7.2万円・期待容量でスワップの価値は+64.3万円/kW、APV</w:t>
      </w:r>
      <w:r>
        <w:t xml:space="preserve"> </w:t>
      </w:r>
      <w:r>
        <w:rPr>
          <w:rFonts w:hint="eastAsia"/>
        </w:rPr>
        <w:t xml:space="preserve">は+32.0万円/kW</w:t>
      </w:r>
      <w:r>
        <w:t xml:space="preserve"> である。</w:t>
      </w:r>
      <m:oMath>
        <m:sSubSup>
          <m:e>
            <m:r>
              <m:t>r</m:t>
            </m:r>
          </m:e>
          <m:sub>
            <m:r>
              <m:t>A</m:t>
            </m:r>
          </m:sub>
          <m:sup>
            <m:r>
              <m:t>M</m:t>
            </m:r>
          </m:sup>
        </m:sSubSup>
        <m:r>
          <m:rPr>
            <m:sty m:val="p"/>
          </m:rPr>
          <m:t>=</m:t>
        </m:r>
        <m:r>
          <m:t>8</m:t>
        </m:r>
        <m:r>
          <m:rPr>
            <m:sty m:val="p"/>
          </m:rPr>
          <m:t>%</m:t>
        </m:r>
      </m:oMath>
      <w:r>
        <w:t xml:space="preserve"> </w:t>
      </w:r>
      <w:r>
        <w:rPr>
          <w:rFonts w:hint="eastAsia"/>
        </w:rPr>
        <w:t xml:space="preserve">では、スワップの価値+62.8万円、APV+31.2万円、リスク移転+5.5万円（8.8%）である。リスク移転の比率は、</w:t>
      </w:r>
      <m:oMath>
        <m:sSub>
          <m:e>
            <m:r>
              <m:t>r</m:t>
            </m:r>
          </m:e>
          <m:sub>
            <m:r>
              <m:t>C</m:t>
            </m:r>
          </m:sub>
        </m:sSub>
        <m:r>
          <m:rPr>
            <m:sty m:val="p"/>
          </m:rPr>
          <m:t>=</m:t>
        </m:r>
        <m:r>
          <m:t>5</m:t>
        </m:r>
        <m:r>
          <m:rPr>
            <m:sty m:val="p"/>
          </m:rPr>
          <m:t>%</m:t>
        </m:r>
      </m:oMath>
      <w:r>
        <w:t xml:space="preserve">・</w:t>
      </w:r>
      <m:oMath>
        <m:sSubSup>
          <m:e>
            <m:r>
              <m:t>r</m:t>
            </m:r>
          </m:e>
          <m:sub>
            <m:r>
              <m:t>A</m:t>
            </m:r>
          </m:sub>
          <m:sup>
            <m:r>
              <m:t>M</m:t>
            </m:r>
          </m:sup>
        </m:sSubSup>
      </m:oMath>
      <w:r>
        <w:rPr>
          <w:rFonts w:hint="eastAsia"/>
        </w:rPr>
        <w:t xml:space="preserve">=9〜10%で9〜13%、文献の上乗せと整合する組合せ（</w:t>
      </w:r>
      <m:oMath>
        <m:sSub>
          <m:e>
            <m:r>
              <m:t>r</m:t>
            </m:r>
          </m:e>
          <m:sub>
            <m:r>
              <m:t>C</m:t>
            </m:r>
          </m:sub>
        </m:sSub>
      </m:oMath>
      <w:r>
        <w:t xml:space="preserve"> </w:t>
      </w:r>
      <w:r>
        <w:rPr>
          <w:rFonts w:hint="eastAsia"/>
        </w:rPr>
        <w:t xml:space="preserve">4〜6%、上乗せ4.0〜5.1ポイント）でも9〜13%、固定側を20年国債程度の2.5%で割り引く場合を含めると（</w:t>
      </w:r>
      <m:oMath>
        <m:sSub>
          <m:e>
            <m:r>
              <m:t>r</m:t>
            </m:r>
          </m:e>
          <m:sub>
            <m:r>
              <m:t>C</m:t>
            </m:r>
          </m:sub>
        </m:sSub>
      </m:oMath>
      <w:r>
        <w:t xml:space="preserve"> </w:t>
      </w:r>
      <w:r>
        <w:t xml:space="preserve">2.5〜6%、</w:t>
      </w:r>
      <m:oMath>
        <m:sSubSup>
          <m:e>
            <m:r>
              <m:t>r</m:t>
            </m:r>
          </m:e>
          <m:sub>
            <m:r>
              <m:t>A</m:t>
            </m:r>
          </m:sub>
          <m:sup>
            <m:r>
              <m:t>M</m:t>
            </m:r>
          </m:sup>
        </m:sSubSup>
      </m:oMath>
      <w:r>
        <w:t xml:space="preserve"> </w:t>
      </w:r>
      <w:r>
        <w:rPr>
          <w:rFonts w:hint="eastAsia"/>
        </w:rPr>
        <w:t xml:space="preserve">8〜11%）5〜18%、事業報酬率5%の積み上げ価格で落札した場合は11〜30%である。節税効果の上限（負債比率80%）+21,557円を加えても比較は変わらない。全体を</w:t>
      </w:r>
      <w:r>
        <w:t xml:space="preserve"> </w:t>
      </w:r>
      <m:oMath>
        <m:sSub>
          <m:e>
            <m:r>
              <m:t>r</m:t>
            </m:r>
          </m:e>
          <m:sub>
            <m:r>
              <m:t>C</m:t>
            </m:r>
          </m:sub>
        </m:sSub>
      </m:oMath>
      <w:r>
        <w:t xml:space="preserve"> </w:t>
      </w:r>
      <w:r>
        <w:rPr>
          <w:rFonts w:hint="eastAsia"/>
        </w:rPr>
        <w:t xml:space="preserve">で割り引いた</w:t>
      </w:r>
      <w:r>
        <w:t xml:space="preserve"> NPV </w:t>
      </w:r>
      <w:r>
        <w:rPr>
          <w:rFonts w:hint="eastAsia"/>
        </w:rPr>
        <w:t xml:space="preserve">は、表C.44</w:t>
      </w:r>
      <w:r>
        <w:t xml:space="preserve"> のパネルBの (1)〜(3) </w:t>
      </w:r>
      <w:r>
        <w:rPr>
          <w:rFonts w:hint="eastAsia"/>
        </w:rPr>
        <w:t xml:space="preserve">の順に+281,304円、+407,736円、+9,643円である。</w:t>
      </w:r>
    </w:p>
    <w:p>
      <w:pPr>
        <w:pStyle w:val="BodyText"/>
      </w:pPr>
      <w:r>
        <w:rPr>
          <w:rFonts w:hint="eastAsia"/>
          <w:b/>
          <w:bCs/>
        </w:rPr>
        <w:t xml:space="preserve">公正な固定価格</w:t>
      </w:r>
      <w:r>
        <w:t xml:space="preserve">　</w:t>
      </w:r>
      <w:r>
        <w:rPr>
          <w:rFonts w:hint="eastAsia"/>
        </w:rPr>
        <w:t xml:space="preserve">手放す側の年2.09万円/kW</w:t>
      </w:r>
      <w:r>
        <w:t xml:space="preserve"> を</w:t>
      </w:r>
      <w:r>
        <w:t xml:space="preserve"> </w:t>
      </w:r>
      <m:oMath>
        <m:sSubSup>
          <m:e>
            <m:r>
              <m:t>r</m:t>
            </m:r>
          </m:e>
          <m:sub>
            <m:r>
              <m:t>A</m:t>
            </m:r>
          </m:sub>
          <m:sup>
            <m:r>
              <m:t>M</m:t>
            </m:r>
          </m:sup>
        </m:sSubSup>
        <m:r>
          <m:rPr>
            <m:sty m:val="p"/>
          </m:rPr>
          <m:t>=</m:t>
        </m:r>
        <m:r>
          <m:t>9</m:t>
        </m:r>
        <m:r>
          <m:rPr>
            <m:sty m:val="p"/>
          </m:rPr>
          <m:t>%</m:t>
        </m:r>
      </m:oMath>
      <w:r>
        <w:t xml:space="preserve"> </w:t>
      </w:r>
      <w:r>
        <w:rPr>
          <w:rFonts w:hint="eastAsia"/>
        </w:rPr>
        <w:t xml:space="preserve">で割り引くと19.1万円/kW（8%では20.5万円）になる。これと等価な公正な固定価格は、</w:t>
      </w:r>
      <m:oMath>
        <m:sSub>
          <m:e>
            <m:r>
              <m:t>r</m:t>
            </m:r>
          </m:e>
          <m:sub>
            <m:r>
              <m:t>C</m:t>
            </m:r>
          </m:sub>
        </m:sSub>
        <m:r>
          <m:rPr>
            <m:sty m:val="p"/>
          </m:rPr>
          <m:t>=</m:t>
        </m:r>
        <m:r>
          <m:t>5</m:t>
        </m:r>
        <m:r>
          <m:rPr>
            <m:sty m:val="p"/>
          </m:rPr>
          <m:t>%</m:t>
        </m:r>
      </m:oMath>
      <w:r>
        <w:t xml:space="preserve"> </w:t>
      </w:r>
      <w:r>
        <w:rPr>
          <w:rFonts w:hint="eastAsia"/>
        </w:rPr>
        <w:t xml:space="preserve">で契約容量1kWあたり年1.5万〜1.6万円（手放す側を8%で割り引けば1.6万〜1.8万円）である。上限価格7.2万〜7.7万円はその4.4〜5.0倍である（8%では4.1〜4.7倍、</w:t>
      </w:r>
      <m:oMath>
        <m:sSub>
          <m:e>
            <m:r>
              <m:t>r</m:t>
            </m:r>
          </m:e>
          <m:sub>
            <m:r>
              <m:t>C</m:t>
            </m:r>
          </m:sub>
        </m:sSub>
      </m:oMath>
      <w:r>
        <w:t xml:space="preserve"> </w:t>
      </w:r>
      <w:r>
        <w:t xml:space="preserve">4〜6%・</w:t>
      </w:r>
      <m:oMath>
        <m:sSubSup>
          <m:e>
            <m:r>
              <m:t>r</m:t>
            </m:r>
          </m:e>
          <m:sub>
            <m:r>
              <m:t>A</m:t>
            </m:r>
          </m:sub>
          <m:sup>
            <m:r>
              <m:t>M</m:t>
            </m:r>
          </m:sup>
        </m:sSubSup>
      </m:oMath>
      <w:r>
        <w:t xml:space="preserve"> </w:t>
      </w:r>
      <w:r>
        <w:rPr>
          <w:rFonts w:hint="eastAsia"/>
        </w:rPr>
        <w:t xml:space="preserve">8〜9%の範囲で3.7〜5.5倍、固定側を2.5%で割り引くと</w:t>
      </w:r>
      <w:r>
        <w:t xml:space="preserve"> </w:t>
      </w:r>
      <m:oMath>
        <m:sSubSup>
          <m:e>
            <m:r>
              <m:t>r</m:t>
            </m:r>
          </m:e>
          <m:sub>
            <m:r>
              <m:t>A</m:t>
            </m:r>
          </m:sub>
          <m:sup>
            <m:r>
              <m:t>M</m:t>
            </m:r>
          </m:sup>
        </m:sSubSup>
      </m:oMath>
      <w:r>
        <w:t xml:space="preserve"> </w:t>
      </w:r>
      <w:r>
        <w:rPr>
          <w:rFonts w:hint="eastAsia"/>
        </w:rPr>
        <w:t xml:space="preserve">8〜11%で5.1〜7.2倍）。固定収入の価値のうち、容量拠出金を通じた需要家からの移転にあたる部分は77〜80%（8%では75〜79%、</w:t>
      </w:r>
      <m:oMath>
        <m:sSub>
          <m:e>
            <m:r>
              <m:t>r</m:t>
            </m:r>
          </m:e>
          <m:sub>
            <m:r>
              <m:t>C</m:t>
            </m:r>
          </m:sub>
        </m:sSub>
      </m:oMath>
      <w:r>
        <w:t xml:space="preserve"> </w:t>
      </w:r>
      <w:r>
        <w:rPr>
          <w:rFonts w:hint="eastAsia"/>
        </w:rPr>
        <w:t xml:space="preserve">2.5〜6%の範囲で73〜86%）である。事業報酬率5%で積み上げた価格で落札した場合でも公正な固定価格の2.7〜2.9倍で、約3分の2が移転である。</w:t>
      </w:r>
    </w:p>
    <w:p>
      <w:pPr>
        <w:pStyle w:val="BodyText"/>
      </w:pPr>
      <w:r>
        <w:rPr>
          <w:rFonts w:hint="eastAsia"/>
          <w:b/>
          <w:bCs/>
        </w:rPr>
        <w:t xml:space="preserve">勘定に必要な割引率</w:t>
      </w:r>
      <w:r>
        <w:t xml:space="preserve">　</w:t>
      </w:r>
      <w:r>
        <w:rPr>
          <w:rFonts w:hint="eastAsia"/>
        </w:rPr>
        <w:t xml:space="preserve">補助を受けた案件（4時間、</w:t>
      </w:r>
      <m:oMath>
        <m:r>
          <m:t>K</m:t>
        </m:r>
        <m:r>
          <m:rPr>
            <m:sty m:val="p"/>
          </m:rPr>
          <m:t>=</m:t>
        </m:r>
        <m:r>
          <m:t>0</m:t>
        </m:r>
      </m:oMath>
      <w:r>
        <w:rPr>
          <w:rFonts w:hint="eastAsia"/>
        </w:rPr>
        <w:t xml:space="preserve">、容量収入1.25万円が20年続くとする）の</w:t>
      </w:r>
      <w:r>
        <w:t xml:space="preserve"> APV </w:t>
      </w:r>
      <w:r>
        <w:rPr>
          <w:rFonts w:hint="eastAsia"/>
        </w:rPr>
        <w:t xml:space="preserve">が0になる割引率は、上限のない1/2補助で</w:t>
      </w:r>
      <w:r>
        <w:t xml:space="preserve"> </w:t>
      </w:r>
      <w:r>
        <w:rPr>
          <w:rFonts w:hint="eastAsia"/>
        </w:rPr>
        <w:t xml:space="preserve">FY2026上期の価格水準（</w:t>
      </w:r>
      <m:oMath>
        <m:r>
          <m:t>θ</m:t>
        </m:r>
        <m:r>
          <m:rPr>
            <m:sty m:val="p"/>
          </m:rPr>
          <m:t>=</m:t>
        </m:r>
        <m:r>
          <m:t>1.567</m:t>
        </m:r>
      </m:oMath>
      <w:r>
        <w:rPr>
          <w:rFonts w:hint="eastAsia"/>
        </w:rPr>
        <w:t xml:space="preserve">）が続くと置けば5.9%、FY2023〜25</w:t>
      </w:r>
      <w:r>
        <w:t xml:space="preserve"> </w:t>
      </w:r>
      <w:r>
        <w:rPr>
          <w:rFonts w:hint="eastAsia"/>
        </w:rPr>
        <w:t xml:space="preserve">の水準（</w:t>
      </w:r>
      <m:oMath>
        <m:r>
          <m:t>θ</m:t>
        </m:r>
        <m:r>
          <m:rPr>
            <m:sty m:val="p"/>
          </m:rPr>
          <m:t>=</m:t>
        </m:r>
        <m:r>
          <m:t>1</m:t>
        </m:r>
      </m:oMath>
      <w:r>
        <w:rPr>
          <w:rFonts w:hint="eastAsia"/>
        </w:rPr>
        <w:t xml:space="preserve">）では0.3%、上限40億円が効く実効29%・</w:t>
      </w:r>
      <m:oMath>
        <m:r>
          <m:t>θ</m:t>
        </m:r>
        <m:r>
          <m:rPr>
            <m:sty m:val="p"/>
          </m:rPr>
          <m:t>=</m:t>
        </m:r>
        <m:r>
          <m:t>1.567</m:t>
        </m:r>
      </m:oMath>
      <w:r>
        <w:t xml:space="preserve"> </w:t>
      </w:r>
      <w:r>
        <w:rPr>
          <w:rFonts w:hint="eastAsia"/>
        </w:rPr>
        <w:t xml:space="preserve">では2.0%、1/3補助・</w:t>
      </w:r>
      <m:oMath>
        <m:r>
          <m:t>θ</m:t>
        </m:r>
        <m:r>
          <m:rPr>
            <m:sty m:val="p"/>
          </m:rPr>
          <m:t>=</m:t>
        </m:r>
        <m:r>
          <m:t>1.567</m:t>
        </m:r>
      </m:oMath>
      <w:r>
        <w:t xml:space="preserve"> </w:t>
      </w:r>
      <w:r>
        <w:rPr>
          <w:rFonts w:hint="eastAsia"/>
        </w:rPr>
        <w:t xml:space="preserve">では2.6%である（実効29%と1/3補助は、</w:t>
      </w:r>
      <m:oMath>
        <m:r>
          <m:t>θ</m:t>
        </m:r>
        <m:r>
          <m:rPr>
            <m:sty m:val="p"/>
          </m:rPr>
          <m:t>=</m:t>
        </m:r>
        <m:r>
          <m:t>1</m:t>
        </m:r>
      </m:oMath>
      <w:r>
        <w:t xml:space="preserve"> </w:t>
      </w:r>
      <w:r>
        <w:t xml:space="preserve">では IRR </w:t>
      </w:r>
      <w:r>
        <w:rPr>
          <w:rFonts w:hint="eastAsia"/>
        </w:rPr>
        <w:t xml:space="preserve">が負）。補助のないマーチャントは</w:t>
      </w:r>
      <w:r>
        <w:t xml:space="preserve"> </w:t>
      </w:r>
      <m:oMath>
        <m:r>
          <m:t>θ</m:t>
        </m:r>
        <m:r>
          <m:rPr>
            <m:sty m:val="p"/>
          </m:rPr>
          <m:t>=</m:t>
        </m:r>
        <m:r>
          <m:t>1.567</m:t>
        </m:r>
      </m:oMath>
      <w:r>
        <w:t xml:space="preserve"> </w:t>
      </w:r>
      <w:r>
        <w:rPr>
          <w:rFonts w:hint="eastAsia"/>
        </w:rPr>
        <w:t xml:space="preserve">でも事業</w:t>
      </w:r>
      <w:r>
        <w:t xml:space="preserve"> IRR </w:t>
      </w:r>
      <w:r>
        <w:rPr>
          <w:rFonts w:hint="eastAsia"/>
        </w:rPr>
        <w:t xml:space="preserve">が負で、どの割引率でも説明できない。</w:t>
      </w:r>
    </w:p>
    <w:p>
      <w:pPr>
        <w:pStyle w:val="BodyText"/>
      </w:pPr>
      <w:r>
        <w:rPr>
          <w:rFonts w:hint="eastAsia"/>
          <w:b/>
          <w:bCs/>
        </w:rPr>
        <w:t xml:space="preserve">接続枠の待機価値</w:t>
      </w:r>
      <w:r>
        <w:t xml:space="preserve">　</w:t>
      </w:r>
      <w:r>
        <w:rPr>
          <w:rFonts w:hint="eastAsia"/>
        </w:rPr>
        <w:t xml:space="preserve">マーチャント収入（実績整合ケースのスポット裁定と容量収入1.25万円）だけで評価した接続枠の待機価値</w:t>
      </w:r>
      <w:r>
        <w:t xml:space="preserve"> </w:t>
      </w:r>
      <m:oMath>
        <m:sSub>
          <m:e>
            <m:r>
              <m:t>W</m:t>
            </m:r>
          </m:e>
          <m:sub>
            <m:r>
              <m:t>0</m:t>
            </m:r>
          </m:sub>
        </m:sSub>
      </m:oMath>
      <w:r>
        <w:t xml:space="preserve"> </w:t>
      </w:r>
      <w:r>
        <w:rPr>
          <w:rFonts w:hint="eastAsia"/>
        </w:rPr>
        <w:t xml:space="preserve">は、恒久成分の推定値1.22を出発点とすると、期限5年で</w:t>
      </w:r>
      <w:r>
        <w:t xml:space="preserve"> </w:t>
      </w:r>
      <m:oMath>
        <m:r>
          <m:t>σ</m:t>
        </m:r>
      </m:oMath>
      <w:r>
        <w:t xml:space="preserve">=0.15〜0.30 </w:t>
      </w:r>
      <w:r>
        <w:rPr>
          <w:rFonts w:hint="eastAsia"/>
        </w:rPr>
        <w:t xml:space="preserve">のとき53〜3,832円/kW（資本費一定）、385〜6,899円/kW（資本費が年5%低下）であり、期限を設けなければ3,556〜18,121円/kW、12,834〜27,313円/kW（資本費の1.3〜10%）になる。保証金（工事費負担金の5%）が</w:t>
      </w:r>
      <w:r>
        <w:t xml:space="preserve"> </w:t>
      </w:r>
      <m:oMath>
        <m:sSub>
          <m:e>
            <m:r>
              <m:t>W</m:t>
            </m:r>
          </m:e>
          <m:sub>
            <m:r>
              <m:t>0</m:t>
            </m:r>
          </m:sub>
        </m:sSub>
      </m:oMath>
      <w:r>
        <w:t xml:space="preserve"> </w:t>
      </w:r>
      <w:r>
        <w:rPr>
          <w:rFonts w:hint="eastAsia"/>
        </w:rPr>
        <w:t xml:space="preserve">を下回る工事費負担金の上限は、期限5年・</w:t>
      </w:r>
      <m:oMath>
        <m:r>
          <m:t>σ</m:t>
        </m:r>
        <m:r>
          <m:rPr>
            <m:sty m:val="p"/>
          </m:rPr>
          <m:t>=</m:t>
        </m:r>
        <m:r>
          <m:t>0.30</m:t>
        </m:r>
      </m:oMath>
      <w:r>
        <w:t xml:space="preserve"> </w:t>
      </w:r>
      <w:r>
        <w:rPr>
          <w:rFonts w:hint="eastAsia"/>
        </w:rPr>
        <w:t xml:space="preserve">で7.7万円/kW（資本費一定）・13.8万円/kW（資本費低下）、</w:t>
      </w:r>
      <m:oMath>
        <m:r>
          <m:t>σ</m:t>
        </m:r>
        <m:r>
          <m:rPr>
            <m:sty m:val="p"/>
          </m:rPr>
          <m:t>=</m:t>
        </m:r>
        <m:r>
          <m:t>0.15</m:t>
        </m:r>
      </m:oMath>
      <w:r>
        <w:t xml:space="preserve"> </w:t>
      </w:r>
      <w:r>
        <w:rPr>
          <w:rFonts w:hint="eastAsia"/>
        </w:rPr>
        <w:t xml:space="preserve">では1,063円・7,695円/kW</w:t>
      </w:r>
      <w:r>
        <w:t xml:space="preserve"> </w:t>
      </w:r>
      <w:r>
        <w:rPr>
          <w:rFonts w:hint="eastAsia"/>
        </w:rPr>
        <w:t xml:space="preserve">である。保証金が10%になれば、これらの上限は半分になる（</w:t>
      </w:r>
      <m:oMath>
        <m:r>
          <m:t>σ</m:t>
        </m:r>
        <m:r>
          <m:rPr>
            <m:sty m:val="p"/>
          </m:rPr>
          <m:t>=</m:t>
        </m:r>
        <m:r>
          <m:t>0.30</m:t>
        </m:r>
      </m:oMath>
      <w:r>
        <w:rPr>
          <w:rFonts w:hint="eastAsia"/>
        </w:rPr>
        <w:t xml:space="preserve">・期限5年で3.8万・6.9万円/kW）。2026年4月以降に契約申込を受け付けた案件から適用されるとする資料もあるが、適用開始の時期は一次資料の本文では確認できない。</w:t>
      </w:r>
    </w:p>
    <w:p>
      <w:pPr>
        <w:pStyle w:val="BodyText"/>
      </w:pPr>
      <w:r>
        <w:rPr>
          <w:b/>
          <w:bCs/>
        </w:rPr>
        <w:t xml:space="preserve">Helios </w:t>
      </w:r>
      <w:r>
        <w:rPr>
          <w:rFonts w:hint="eastAsia"/>
          <w:b/>
          <w:bCs/>
        </w:rPr>
        <w:t xml:space="preserve">型</w:t>
      </w:r>
      <w:r>
        <w:t xml:space="preserve">　</w:t>
      </w:r>
      <w:r>
        <w:rPr>
          <w:rFonts w:hint="eastAsia"/>
        </w:rPr>
        <w:t xml:space="preserve">スポット裁定だけで評価した</w:t>
      </w:r>
      <w:r>
        <w:t xml:space="preserve"> Helios </w:t>
      </w:r>
      <w:r>
        <w:rPr>
          <w:rFonts w:hint="eastAsia"/>
        </w:rPr>
        <w:t xml:space="preserve">型（2時間・容量収入0・補助なし）の</w:t>
      </w:r>
      <w:r>
        <w:t xml:space="preserve"> APV は、</w:t>
      </w:r>
      <m:oMath>
        <m:sSubSup>
          <m:e>
            <m:r>
              <m:t>r</m:t>
            </m:r>
          </m:e>
          <m:sub>
            <m:r>
              <m:t>A</m:t>
            </m:r>
          </m:sub>
          <m:sup>
            <m:r>
              <m:t>M</m:t>
            </m:r>
          </m:sup>
        </m:sSubSup>
        <m:r>
          <m:rPr>
            <m:sty m:val="p"/>
          </m:rPr>
          <m:t>=</m:t>
        </m:r>
        <m:r>
          <m:t>9</m:t>
        </m:r>
        <m:r>
          <m:rPr>
            <m:sty m:val="p"/>
          </m:rPr>
          <m:t>%</m:t>
        </m:r>
      </m:oMath>
      <w:r>
        <w:t xml:space="preserve"> </w:t>
      </w:r>
      <w:r>
        <w:rPr>
          <w:rFonts w:hint="eastAsia"/>
        </w:rPr>
        <w:t xml:space="preserve">で−20.9万円/kW（実績の戦略</w:t>
      </w:r>
      <w:r>
        <w:t xml:space="preserve"> c、</w:t>
      </w:r>
      <m:oMath>
        <m:r>
          <m:t>θ</m:t>
        </m:r>
        <m:r>
          <m:rPr>
            <m:sty m:val="p"/>
          </m:rPr>
          <m:t>=</m:t>
        </m:r>
        <m:r>
          <m:t>1</m:t>
        </m:r>
      </m:oMath>
      <w:r>
        <w:rPr>
          <w:rFonts w:hint="eastAsia"/>
        </w:rPr>
        <w:t xml:space="preserve">）、FY2026上期の水準でも−18.3万円/kW</w:t>
      </w:r>
      <w:r>
        <w:t xml:space="preserve"> で、IRR </w:t>
      </w:r>
      <w:r>
        <w:rPr>
          <w:rFonts w:hint="eastAsia"/>
        </w:rPr>
        <w:t xml:space="preserve">は負である（どの割引率でも</w:t>
      </w:r>
      <w:r>
        <w:t xml:space="preserve"> APV </w:t>
      </w:r>
      <w:r>
        <w:rPr>
          <w:rFonts w:hint="eastAsia"/>
        </w:rPr>
        <w:t xml:space="preserve">は負）。</w:t>
      </w:r>
      <m:oMath>
        <m:sSubSup>
          <m:e>
            <m:r>
              <m:t>r</m:t>
            </m:r>
          </m:e>
          <m:sub>
            <m:r>
              <m:t>A</m:t>
            </m:r>
          </m:sub>
          <m:sup>
            <m:r>
              <m:t>M</m:t>
            </m:r>
          </m:sup>
        </m:sSubSup>
        <m:r>
          <m:rPr>
            <m:sty m:val="p"/>
          </m:rPr>
          <m:t>=</m:t>
        </m:r>
        <m:r>
          <m:t>8</m:t>
        </m:r>
        <m:r>
          <m:rPr>
            <m:sty m:val="p"/>
          </m:rPr>
          <m:t>%</m:t>
        </m:r>
      </m:oMath>
      <w:r>
        <w:t xml:space="preserve"> </w:t>
      </w:r>
      <w:r>
        <w:rPr>
          <w:rFonts w:hint="eastAsia"/>
        </w:rPr>
        <w:t xml:space="preserve">では−21.4万円/kW</w:t>
      </w:r>
      <w:r>
        <w:t xml:space="preserve"> </w:t>
      </w:r>
      <w:r>
        <w:rPr>
          <w:rFonts w:hint="eastAsia"/>
        </w:rPr>
        <w:t xml:space="preserve">である。容量収入を0とした静学の損益分岐</w:t>
      </w:r>
      <w:r>
        <w:t xml:space="preserve"> </w:t>
      </w:r>
      <m:oMath>
        <m:sSup>
          <m:e>
            <m:r>
              <m:t>θ</m:t>
            </m:r>
          </m:e>
          <m:sup>
            <m:r>
              <m:rPr>
                <m:sty m:val="p"/>
              </m:rPr>
              <m:t>*</m:t>
            </m:r>
          </m:sup>
        </m:sSup>
      </m:oMath>
      <w:r>
        <w:t xml:space="preserve"> </w:t>
      </w:r>
      <w:r>
        <w:rPr>
          <w:rFonts w:hint="eastAsia"/>
        </w:rPr>
        <w:t xml:space="preserve">は資本費6.8万円/kWh</w:t>
      </w:r>
      <w:r>
        <w:t xml:space="preserve"> </w:t>
      </w:r>
      <w:r>
        <w:rPr>
          <w:rFonts w:hint="eastAsia"/>
        </w:rPr>
        <w:t xml:space="preserve">で5.0（資本費を全額</w:t>
      </w:r>
      <w:r>
        <w:t xml:space="preserve"> kWh </w:t>
      </w:r>
      <w:r>
        <w:rPr>
          <w:rFonts w:hint="eastAsia"/>
        </w:rPr>
        <w:t xml:space="preserve">比例とした値。kW</w:t>
      </w:r>
      <w:r>
        <w:t xml:space="preserve"> </w:t>
      </w:r>
      <w:r>
        <w:rPr>
          <w:rFonts w:hint="eastAsia"/>
        </w:rPr>
        <w:t xml:space="preserve">比例の部分を40%とすると6.0）で、同じ条件の4時間仕様の4.5より高い。事業者の見込み（約4万円/kW-年）が粗利であれば、APV</w:t>
      </w:r>
      <w:r>
        <w:t xml:space="preserve"> </w:t>
      </w:r>
      <w:r>
        <w:rPr>
          <w:rFonts w:hint="eastAsia"/>
        </w:rPr>
        <w:t xml:space="preserve">は+11.9万円/kW（IRR</w:t>
      </w:r>
      <w:r>
        <w:t xml:space="preserve"> </w:t>
      </w:r>
      <w:r>
        <w:rPr>
          <w:rFonts w:hint="eastAsia"/>
        </w:rPr>
        <w:t xml:space="preserve">20%）に転じる。モデルによる2時間仕様のスポット実現収益（恒久成分の水準1.22、実績整合ケース、充電従量負担を控除）は約5,200円/kW-年で、20億円が粗利であれば見込みの約13%にとどまる。事業者は2026年第2四半期に需給調整市場、2028年までに容量市場へ参加する計画である（HD</w:t>
      </w:r>
      <w:r>
        <w:t xml:space="preserve"> Renewable Energy, </w:t>
      </w:r>
      <w:r>
        <w:rPr>
          <w:rFonts w:hint="eastAsia"/>
        </w:rPr>
        <w:t xml:space="preserve">2025）。</w:t>
      </w:r>
    </w:p>
    <w:bookmarkEnd w:id="386"/>
    <w:bookmarkStart w:id="387" w:name="c.4.5-確実性等価の結果の詳細"/>
    <w:p>
      <w:pPr>
        <w:pStyle w:val="Heading3"/>
      </w:pPr>
      <w:r>
        <w:t xml:space="preserve">C.4.5　</w:t>
      </w:r>
      <w:r>
        <w:rPr>
          <w:rFonts w:hint="eastAsia"/>
        </w:rPr>
        <w:t xml:space="preserve">確実性等価の結果の詳細</w:t>
      </w:r>
    </w:p>
    <w:p>
      <w:pPr>
        <w:pStyle w:val="FirstParagraph"/>
      </w:pPr>
      <w:r>
        <w:rPr>
          <w:rFonts w:hint="eastAsia"/>
        </w:rPr>
        <w:t xml:space="preserve">表C.45</w:t>
      </w:r>
      <w:r>
        <w:t xml:space="preserve"> </w:t>
      </w:r>
      <w:r>
        <w:rPr>
          <w:rFonts w:hint="eastAsia"/>
        </w:rPr>
        <w:t xml:space="preserve">は、確実性等価によるリスク調整（付録B.5.4）の全結果である。</w:t>
      </w:r>
    </w:p>
    <w:p>
      <w:pPr>
        <w:pStyle w:val="TableCaption"/>
      </w:pPr>
      <w:r>
        <w:rPr>
          <w:rFonts w:hint="eastAsia"/>
        </w:rPr>
        <w:t xml:space="preserve">表C.45</w:t>
      </w:r>
      <w:r>
        <w:t xml:space="preserve">　</w:t>
      </w:r>
      <w:r>
        <w:rPr>
          <w:rFonts w:hint="eastAsia"/>
        </w:rPr>
        <w:t xml:space="preserve">期ごとの確実性等価によるスポット収入のリスク調整</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5　期ごとの確実性等価によるスポット収入のリスク調整"/>
      </w:tblPr>
      <w:tblGrid>
        <w:gridCol w:w="1584"/>
        <w:gridCol w:w="1584"/>
        <w:gridCol w:w="1584"/>
        <w:gridCol w:w="1584"/>
        <w:gridCol w:w="1584"/>
      </w:tblGrid>
      <w:tr>
        <w:trPr>
          <w:tblHeader w:val="on"/>
        </w:trPr>
        <w:tc>
          <w:tcPr>
            <w:tcBorders>
              <w:bottom w:val="single" w:sz="6" w:color="000000"/>
            </w:tcBorders>
          </w:tcPr>
          <w:p>
            <w:pPr>
              <w:pStyle w:val="Compact"/>
            </w:pPr>
            <m:oMath>
              <m:r>
                <m:t>θ</m:t>
              </m:r>
            </m:oMath>
            <w:r>
              <w:rPr>
                <w:sz w:val="18"/>
              </w:rPr>
              <w:t xml:space="preserve"> </w:t>
            </w:r>
            <w:r>
              <w:rPr>
                <w:rFonts w:hint="eastAsia"/>
                <w:sz w:val="18"/>
              </w:rPr>
              <w:t xml:space="preserve">の過程と年次標準偏差（対数）</w:t>
            </w:r>
          </w:p>
        </w:tc>
        <w:tc>
          <w:tcPr>
            <w:tcBorders>
              <w:bottom w:val="single" w:sz="6" w:color="000000"/>
            </w:tcBorders>
          </w:tcPr>
          <w:p>
            <w:pPr>
              <w:pStyle w:val="Compact"/>
            </w:pPr>
            <w:r>
              <w:rPr>
                <w:rFonts w:hint="eastAsia"/>
                <w:sz w:val="18"/>
              </w:rPr>
              <w:t xml:space="preserve">リスク調整の年額（円/kW-年）</w:t>
            </w:r>
          </w:p>
        </w:tc>
        <w:tc>
          <w:tcPr>
            <w:tcBorders>
              <w:bottom w:val="single" w:sz="6" w:color="000000"/>
            </w:tcBorders>
          </w:tcPr>
          <w:p>
            <w:pPr>
              <w:pStyle w:val="Compact"/>
            </w:pPr>
            <w:r>
              <w:rPr>
                <w:rFonts w:hint="eastAsia"/>
                <w:sz w:val="18"/>
              </w:rPr>
              <w:t xml:space="preserve">収入の割引率への上乗せ（%ポイント）</w:t>
            </w:r>
          </w:p>
        </w:tc>
        <w:tc>
          <w:tcPr>
            <w:tcBorders>
              <w:bottom w:val="single" w:sz="6" w:color="000000"/>
            </w:tcBorders>
          </w:tcPr>
          <w:p>
            <w:pPr>
              <w:pStyle w:val="Compact"/>
            </w:pPr>
            <w:r>
              <w:rPr>
                <w:rFonts w:hint="eastAsia"/>
                <w:sz w:val="18"/>
              </w:rPr>
              <w:t xml:space="preserve">埋まる比率（式(4.8)の基準）</w:t>
            </w:r>
          </w:p>
        </w:tc>
        <w:tc>
          <w:tcPr>
            <w:tcBorders>
              <w:bottom w:val="single" w:sz="6" w:color="000000"/>
            </w:tcBorders>
          </w:tcPr>
          <w:p>
            <w:pPr>
              <w:pStyle w:val="Compact"/>
            </w:pPr>
            <w:r>
              <w:rPr>
                <w:rFonts w:hint="eastAsia"/>
                <w:sz w:val="18"/>
              </w:rPr>
              <w:t xml:space="preserve">埋まる比率（第7章の標準ケースの基準）</w:t>
            </w:r>
          </w:p>
        </w:tc>
      </w:tr>
      <w:tr>
        <w:tc>
          <w:tcPr/>
          <w:p>
            <w:pPr>
              <w:pStyle w:val="Compact"/>
            </w:pPr>
            <w:r>
              <w:rPr>
                <w:rFonts w:hint="eastAsia"/>
                <w:sz w:val="18"/>
              </w:rPr>
              <w:t xml:space="preserve">定常</w:t>
            </w:r>
            <w:r>
              <w:rPr>
                <w:sz w:val="18"/>
              </w:rPr>
              <w:t xml:space="preserve"> </w:t>
            </w:r>
            <w:r>
              <w:rPr>
                <w:rFonts w:hint="eastAsia"/>
                <w:sz w:val="18"/>
              </w:rPr>
              <w:t xml:space="preserve">AR(1)、0.169（FY2016〜25、FY2022</w:t>
            </w:r>
            <w:r>
              <w:rPr>
                <w:sz w:val="18"/>
              </w:rPr>
              <w:t xml:space="preserve"> </w:t>
            </w:r>
            <w:r>
              <w:rPr>
                <w:rFonts w:hint="eastAsia"/>
                <w:sz w:val="18"/>
              </w:rPr>
              <w:t xml:space="preserve">を除く）</w:t>
            </w:r>
          </w:p>
        </w:tc>
        <w:tc>
          <w:tcPr/>
          <w:p>
            <w:pPr>
              <w:pStyle w:val="Compact"/>
            </w:pPr>
            <w:r>
              <w:rPr>
                <w:sz w:val="18"/>
              </w:rPr>
              <w:t xml:space="preserve">77〜1,315</w:t>
            </w:r>
          </w:p>
        </w:tc>
        <w:tc>
          <w:tcPr/>
          <w:p>
            <w:pPr>
              <w:pStyle w:val="Compact"/>
            </w:pPr>
            <w:r>
              <w:rPr>
                <w:sz w:val="18"/>
              </w:rPr>
              <w:t xml:space="preserve">0.1〜2.2</w:t>
            </w:r>
          </w:p>
        </w:tc>
        <w:tc>
          <w:tcPr/>
          <w:p>
            <w:pPr>
              <w:pStyle w:val="Compact"/>
            </w:pPr>
            <w:r>
              <w:rPr>
                <w:sz w:val="18"/>
              </w:rPr>
              <w:t xml:space="preserve">0.4〜7.3%</w:t>
            </w:r>
          </w:p>
        </w:tc>
        <w:tc>
          <w:tcPr/>
          <w:p>
            <w:pPr>
              <w:pStyle w:val="Compact"/>
            </w:pPr>
            <w:r>
              <w:rPr>
                <w:sz w:val="18"/>
              </w:rPr>
              <w:t xml:space="preserve">0.5〜7.9%</w:t>
            </w:r>
          </w:p>
        </w:tc>
      </w:tr>
      <w:tr>
        <w:tc>
          <w:tcPr/>
          <w:p>
            <w:pPr>
              <w:pStyle w:val="Compact"/>
            </w:pPr>
            <w:r>
              <w:rPr>
                <w:rFonts w:hint="eastAsia"/>
                <w:sz w:val="18"/>
              </w:rPr>
              <w:t xml:space="preserve">定常</w:t>
            </w:r>
            <w:r>
              <w:rPr>
                <w:sz w:val="18"/>
              </w:rPr>
              <w:t xml:space="preserve"> </w:t>
            </w:r>
            <w:r>
              <w:rPr>
                <w:rFonts w:hint="eastAsia"/>
                <w:sz w:val="18"/>
              </w:rPr>
              <w:t xml:space="preserve">AR(1)、0.267（FY2016〜25）</w:t>
            </w:r>
          </w:p>
        </w:tc>
        <w:tc>
          <w:tcPr/>
          <w:p>
            <w:pPr>
              <w:pStyle w:val="Compact"/>
            </w:pPr>
            <w:r>
              <w:rPr>
                <w:sz w:val="18"/>
              </w:rPr>
              <w:t xml:space="preserve">122〜2,071</w:t>
            </w:r>
          </w:p>
        </w:tc>
        <w:tc>
          <w:tcPr/>
          <w:p>
            <w:pPr>
              <w:pStyle w:val="Compact"/>
            </w:pPr>
            <w:r>
              <w:rPr>
                <w:sz w:val="18"/>
              </w:rPr>
              <w:t xml:space="preserve">0.2〜3.8</w:t>
            </w:r>
          </w:p>
        </w:tc>
        <w:tc>
          <w:tcPr/>
          <w:p>
            <w:pPr>
              <w:pStyle w:val="Compact"/>
            </w:pPr>
            <w:r>
              <w:rPr>
                <w:sz w:val="18"/>
              </w:rPr>
              <w:t xml:space="preserve">0.7〜11.0%</w:t>
            </w:r>
          </w:p>
        </w:tc>
        <w:tc>
          <w:tcPr/>
          <w:p>
            <w:pPr>
              <w:pStyle w:val="Compact"/>
            </w:pPr>
            <w:r>
              <w:rPr>
                <w:sz w:val="18"/>
              </w:rPr>
              <w:t xml:space="preserve">0.7〜11.9%</w:t>
            </w:r>
          </w:p>
        </w:tc>
      </w:tr>
      <w:tr>
        <w:tc>
          <w:tcPr/>
          <w:p>
            <w:pPr>
              <w:pStyle w:val="Compact"/>
            </w:pPr>
            <w:r>
              <w:rPr>
                <w:rFonts w:hint="eastAsia"/>
                <w:sz w:val="18"/>
              </w:rPr>
              <w:t xml:space="preserve">定常</w:t>
            </w:r>
            <w:r>
              <w:rPr>
                <w:sz w:val="18"/>
              </w:rPr>
              <w:t xml:space="preserve"> </w:t>
            </w:r>
            <w:r>
              <w:rPr>
                <w:rFonts w:hint="eastAsia"/>
                <w:sz w:val="18"/>
              </w:rPr>
              <w:t xml:space="preserve">AR(1)、0.534（同2倍、競合参入と容量価格のリスクの代用）</w:t>
            </w:r>
          </w:p>
        </w:tc>
        <w:tc>
          <w:tcPr/>
          <w:p>
            <w:pPr>
              <w:pStyle w:val="Compact"/>
            </w:pPr>
            <w:r>
              <w:rPr>
                <w:sz w:val="18"/>
              </w:rPr>
              <w:t xml:space="preserve">243〜4,141</w:t>
            </w:r>
          </w:p>
        </w:tc>
        <w:tc>
          <w:tcPr/>
          <w:p>
            <w:pPr>
              <w:pStyle w:val="Compact"/>
            </w:pPr>
            <w:r>
              <w:rPr>
                <w:sz w:val="18"/>
              </w:rPr>
              <w:t xml:space="preserve">0.4〜10.3</w:t>
            </w:r>
          </w:p>
        </w:tc>
        <w:tc>
          <w:tcPr/>
          <w:p>
            <w:pPr>
              <w:pStyle w:val="Compact"/>
            </w:pPr>
            <w:r>
              <w:rPr>
                <w:sz w:val="18"/>
              </w:rPr>
              <w:t xml:space="preserve">1.4〜19.8%</w:t>
            </w:r>
          </w:p>
        </w:tc>
        <w:tc>
          <w:tcPr/>
          <w:p>
            <w:pPr>
              <w:pStyle w:val="Compact"/>
            </w:pPr>
            <w:r>
              <w:rPr>
                <w:sz w:val="18"/>
              </w:rPr>
              <w:t xml:space="preserve">1.5〜21.3%</w:t>
            </w:r>
          </w:p>
        </w:tc>
      </w:tr>
      <w:tr>
        <w:tc>
          <w:tcPr/>
          <w:p>
            <w:pPr>
              <w:pStyle w:val="Compact"/>
            </w:pPr>
            <w:r>
              <w:rPr>
                <w:sz w:val="18"/>
              </w:rPr>
              <w:t xml:space="preserve">ランダムウォーク、</w:t>
            </w:r>
            <m:oMath>
              <m:sSub>
                <m:e>
                  <m:r>
                    <m:t>σ</m:t>
                  </m:r>
                </m:e>
                <m:sub>
                  <m:r>
                    <m:t>ξ</m:t>
                  </m:r>
                </m:sub>
              </m:sSub>
              <m:r>
                <m:rPr>
                  <m:sty m:val="p"/>
                </m:rPr>
                <m:t>=</m:t>
              </m:r>
              <m:r>
                <m:t>0.10</m:t>
              </m:r>
            </m:oMath>
          </w:p>
        </w:tc>
        <w:tc>
          <w:tcPr/>
          <w:p>
            <w:pPr>
              <w:pStyle w:val="Compact"/>
            </w:pPr>
            <w:r>
              <w:rPr>
                <w:sz w:val="18"/>
              </w:rPr>
              <w:t xml:space="preserve">393〜2,901</w:t>
            </w:r>
          </w:p>
        </w:tc>
        <w:tc>
          <w:tcPr/>
          <w:p>
            <w:pPr>
              <w:pStyle w:val="Compact"/>
            </w:pPr>
            <w:r>
              <w:rPr>
                <w:sz w:val="18"/>
              </w:rPr>
              <w:t xml:space="preserve">0.7〜5.9</w:t>
            </w:r>
          </w:p>
        </w:tc>
        <w:tc>
          <w:tcPr/>
          <w:p>
            <w:pPr>
              <w:pStyle w:val="Compact"/>
            </w:pPr>
            <w:r>
              <w:rPr>
                <w:sz w:val="18"/>
              </w:rPr>
              <w:t xml:space="preserve">2.2〜14.8%</w:t>
            </w:r>
          </w:p>
        </w:tc>
        <w:tc>
          <w:tcPr/>
          <w:p>
            <w:pPr>
              <w:pStyle w:val="Compact"/>
            </w:pPr>
            <w:r>
              <w:rPr>
                <w:sz w:val="18"/>
              </w:rPr>
              <w:t xml:space="preserve">2.4〜15.9%</w:t>
            </w:r>
          </w:p>
        </w:tc>
      </w:tr>
      <w:tr>
        <w:tc>
          <w:tcPr/>
          <w:p>
            <w:pPr>
              <w:pStyle w:val="Compact"/>
            </w:pPr>
            <w:r>
              <w:rPr>
                <w:sz w:val="18"/>
              </w:rPr>
              <w:t xml:space="preserve">ランダムウォーク、</w:t>
            </w:r>
            <m:oMath>
              <m:sSub>
                <m:e>
                  <m:r>
                    <m:t>σ</m:t>
                  </m:r>
                </m:e>
                <m:sub>
                  <m:r>
                    <m:t>ξ</m:t>
                  </m:r>
                </m:sub>
              </m:sSub>
              <m:r>
                <m:rPr>
                  <m:sty m:val="p"/>
                </m:rPr>
                <m:t>=</m:t>
              </m:r>
              <m:r>
                <m:t>0.112</m:t>
              </m:r>
            </m:oMath>
          </w:p>
        </w:tc>
        <w:tc>
          <w:tcPr/>
          <w:p>
            <w:pPr>
              <w:pStyle w:val="Compact"/>
            </w:pPr>
            <w:r>
              <w:rPr>
                <w:sz w:val="18"/>
              </w:rPr>
              <w:t xml:space="preserve">440〜3,249</w:t>
            </w:r>
          </w:p>
        </w:tc>
        <w:tc>
          <w:tcPr/>
          <w:p>
            <w:pPr>
              <w:pStyle w:val="Compact"/>
            </w:pPr>
            <w:r>
              <w:rPr>
                <w:sz w:val="18"/>
              </w:rPr>
              <w:t xml:space="preserve">0.7〜6.9</w:t>
            </w:r>
          </w:p>
        </w:tc>
        <w:tc>
          <w:tcPr/>
          <w:p>
            <w:pPr>
              <w:pStyle w:val="Compact"/>
            </w:pPr>
            <w:r>
              <w:rPr>
                <w:sz w:val="18"/>
              </w:rPr>
              <w:t xml:space="preserve">2.4〜16.3%</w:t>
            </w:r>
          </w:p>
        </w:tc>
        <w:tc>
          <w:tcPr/>
          <w:p>
            <w:pPr>
              <w:pStyle w:val="Compact"/>
            </w:pPr>
            <w:r>
              <w:rPr>
                <w:sz w:val="18"/>
              </w:rPr>
              <w:t xml:space="preserve">2.7〜17.5%</w:t>
            </w:r>
          </w:p>
        </w:tc>
      </w:tr>
      <w:tr>
        <w:tc>
          <w:tcPr/>
          <w:p>
            <w:pPr>
              <w:pStyle w:val="Compact"/>
            </w:pPr>
            <w:r>
              <w:rPr>
                <w:sz w:val="18"/>
              </w:rPr>
              <w:t xml:space="preserve">ランダムウォーク、</w:t>
            </w:r>
            <m:oMath>
              <m:sSub>
                <m:e>
                  <m:r>
                    <m:t>σ</m:t>
                  </m:r>
                </m:e>
                <m:sub>
                  <m:r>
                    <m:t>ξ</m:t>
                  </m:r>
                </m:sub>
              </m:sSub>
              <m:r>
                <m:rPr>
                  <m:sty m:val="p"/>
                </m:rPr>
                <m:t>=</m:t>
              </m:r>
              <m:r>
                <m:t>0.20</m:t>
              </m:r>
            </m:oMath>
          </w:p>
        </w:tc>
        <w:tc>
          <w:tcPr/>
          <w:p>
            <w:pPr>
              <w:pStyle w:val="Compact"/>
            </w:pPr>
            <w:r>
              <w:rPr>
                <w:sz w:val="18"/>
              </w:rPr>
              <w:t xml:space="preserve">785〜5,801</w:t>
            </w:r>
          </w:p>
        </w:tc>
        <w:tc>
          <w:tcPr/>
          <w:p>
            <w:pPr>
              <w:pStyle w:val="Compact"/>
            </w:pPr>
            <w:r>
              <w:rPr>
                <w:sz w:val="18"/>
              </w:rPr>
              <w:t xml:space="preserve">1.4〜21.8</w:t>
            </w:r>
          </w:p>
        </w:tc>
        <w:tc>
          <w:tcPr/>
          <w:p>
            <w:pPr>
              <w:pStyle w:val="Compact"/>
            </w:pPr>
            <w:r>
              <w:rPr>
                <w:sz w:val="18"/>
              </w:rPr>
              <w:t xml:space="preserve">4.3〜25.8%</w:t>
            </w:r>
          </w:p>
        </w:tc>
        <w:tc>
          <w:tcPr/>
          <w:p>
            <w:pPr>
              <w:pStyle w:val="Compact"/>
            </w:pPr>
            <w:r>
              <w:rPr>
                <w:sz w:val="18"/>
              </w:rPr>
              <w:t xml:space="preserve">4.6〜27.5%</w:t>
            </w:r>
          </w:p>
        </w:tc>
      </w:tr>
      <w:tr>
        <w:tc>
          <w:tcPr/>
          <w:p>
            <w:pPr>
              <w:pStyle w:val="Compact"/>
            </w:pPr>
            <w:r>
              <w:rPr>
                <w:sz w:val="18"/>
              </w:rPr>
              <w:t xml:space="preserve">ランダムウォーク、</w:t>
            </w:r>
            <m:oMath>
              <m:sSub>
                <m:e>
                  <m:r>
                    <m:t>σ</m:t>
                  </m:r>
                </m:e>
                <m:sub>
                  <m:r>
                    <m:t>ξ</m:t>
                  </m:r>
                </m:sub>
              </m:sSub>
              <m:r>
                <m:rPr>
                  <m:sty m:val="p"/>
                </m:rPr>
                <m:t>=</m:t>
              </m:r>
              <m:r>
                <m:t>0.30</m:t>
              </m:r>
            </m:oMath>
          </w:p>
        </w:tc>
        <w:tc>
          <w:tcPr/>
          <w:p>
            <w:pPr>
              <w:pStyle w:val="Compact"/>
            </w:pPr>
            <w:r>
              <w:rPr>
                <w:sz w:val="18"/>
              </w:rPr>
              <w:t xml:space="preserve">1,178〜8,702</w:t>
            </w:r>
          </w:p>
        </w:tc>
        <w:tc>
          <w:tcPr/>
          <w:p>
            <w:pPr>
              <w:pStyle w:val="Compact"/>
            </w:pPr>
            <w:r>
              <w:rPr>
                <w:rFonts w:hint="eastAsia"/>
                <w:sz w:val="18"/>
              </w:rPr>
              <w:t xml:space="preserve">2.2〜（</w:t>
            </w:r>
            <m:oMath>
              <m:r>
                <m:rPr>
                  <m:sty m:val="p"/>
                </m:rPr>
                <m:t>Λ</m:t>
              </m:r>
            </m:oMath>
            <w:r>
              <w:rPr>
                <w:sz w:val="18"/>
              </w:rPr>
              <w:t xml:space="preserve"> </w:t>
            </w:r>
            <w:r>
              <w:rPr>
                <w:rFonts w:hint="eastAsia"/>
                <w:sz w:val="18"/>
              </w:rPr>
              <w:t xml:space="preserve">が大きいと定義できない）</w:t>
            </w:r>
          </w:p>
        </w:tc>
        <w:tc>
          <w:tcPr/>
          <w:p>
            <w:pPr>
              <w:pStyle w:val="Compact"/>
            </w:pPr>
            <w:r>
              <w:rPr>
                <w:sz w:val="18"/>
              </w:rPr>
              <w:t xml:space="preserve">6.3〜34.2%</w:t>
            </w:r>
          </w:p>
        </w:tc>
        <w:tc>
          <w:tcPr/>
          <w:p>
            <w:pPr>
              <w:pStyle w:val="Compact"/>
            </w:pPr>
            <w:r>
              <w:rPr>
                <w:sz w:val="18"/>
              </w:rPr>
              <w:t xml:space="preserve">6.8〜36.2%</w:t>
            </w:r>
          </w:p>
        </w:tc>
      </w:tr>
    </w:tbl>
    <w:p>
      <w:pPr>
        <w:pStyle w:val="TableNote"/>
      </w:pPr>
      <w:r>
        <w:rPr>
          <w:rFonts w:hint="eastAsia"/>
        </w:rPr>
        <w:t xml:space="preserve">注）</w:t>
      </w:r>
      <m:oMath>
        <m:r>
          <m:rPr>
            <m:sty m:val="p"/>
          </m:rPr>
          <m:t>Λ</m:t>
        </m:r>
      </m:oMath>
      <w:r>
        <w:rPr>
          <w:rFonts w:hint="eastAsia"/>
        </w:rPr>
        <w:t xml:space="preserve">=0.06〜0.4（シャープ・レシオ0.2〜0.4×相関0.3〜1）、割引率6%。定常</w:t>
      </w:r>
      <w:r>
        <w:t xml:space="preserve"> AR(1) </w:t>
      </w:r>
      <w:r>
        <w:rPr>
          <w:rFonts w:hint="eastAsia"/>
        </w:rPr>
        <w:t xml:space="preserve">は持続性</w:t>
      </w:r>
      <w:r>
        <w:t xml:space="preserve"> </w:t>
      </w:r>
      <m:oMath>
        <m:r>
          <m:t>ϕ</m:t>
        </m:r>
      </m:oMath>
      <w:r>
        <w:t xml:space="preserve">=0〜0.9、ランダムウォークは</w:t>
      </w:r>
      <w:r>
        <w:t xml:space="preserve"> </w:t>
      </w:r>
      <m:oMath>
        <m:r>
          <m:t>ϕ</m:t>
        </m:r>
        <m:r>
          <m:rPr>
            <m:sty m:val="p"/>
          </m:rPr>
          <m:t>=</m:t>
        </m:r>
        <m:r>
          <m:t>1</m:t>
        </m:r>
      </m:oMath>
      <w:r>
        <w:t xml:space="preserve"> </w:t>
      </w:r>
      <w:r>
        <w:rPr>
          <w:rFonts w:hint="eastAsia"/>
        </w:rPr>
        <w:t xml:space="preserve">で、革新の標準偏差を第7章の</w:t>
      </w:r>
      <w:r>
        <w:t xml:space="preserve"> </w:t>
      </w:r>
      <m:oMath>
        <m:sSub>
          <m:e>
            <m:r>
              <m:t>σ</m:t>
            </m:r>
          </m:e>
          <m:sub>
            <m:r>
              <m:t>ξ</m:t>
            </m:r>
          </m:sub>
        </m:sSub>
      </m:oMath>
      <w:r>
        <w:t xml:space="preserve"> </w:t>
      </w:r>
      <w:r>
        <w:rPr>
          <w:rFonts w:hint="eastAsia"/>
        </w:rPr>
        <w:t xml:space="preserve">とした。期待スポット収入は実績整合ケースとモデル直値の2通り。リスク調整は期待スポット粗収入（充電従量負担を引く前）の最大25%（定常</w:t>
      </w:r>
      <w:r>
        <w:t xml:space="preserve"> </w:t>
      </w:r>
      <w:r>
        <w:rPr>
          <w:rFonts w:hint="eastAsia"/>
        </w:rPr>
        <w:t xml:space="preserve">AR(1)、0.267）。</w:t>
      </w:r>
      <m:oMath>
        <m:sSub>
          <m:e>
            <m:r>
              <m:t>σ</m:t>
            </m:r>
          </m:e>
          <m:sub>
            <m:r>
              <m:t>ξ</m:t>
            </m:r>
          </m:sub>
        </m:sSub>
        <m:r>
          <m:rPr>
            <m:sty m:val="p"/>
          </m:rPr>
          <m:t>=</m:t>
        </m:r>
        <m:r>
          <m:t>0.30</m:t>
        </m:r>
      </m:oMath>
      <w:r>
        <w:t xml:space="preserve">・</w:t>
      </w:r>
      <m:oMath>
        <m:r>
          <m:rPr>
            <m:sty m:val="p"/>
          </m:rPr>
          <m:t>Λ</m:t>
        </m:r>
        <m:r>
          <m:rPr>
            <m:sty m:val="p"/>
          </m:rPr>
          <m:t>=</m:t>
        </m:r>
        <m:r>
          <m:t>0.4</m:t>
        </m:r>
      </m:oMath>
      <w:r>
        <w:t xml:space="preserve"> </w:t>
      </w:r>
      <w:r>
        <w:rPr>
          <w:rFonts w:hint="eastAsia"/>
        </w:rPr>
        <w:t xml:space="preserve">ではリスク調整が期待粗収入を上回る。右の2列は、リスクを全部移した場合に埋まる比率で、リスク調整÷（不足額＋リスク調整）。不足額は、式(4.8)の基準で1.67万〜1.75万円/kW-年、第7章の標準ケースの基準で1.53万〜1.62万円/kW-年。LTDA</w:t>
      </w:r>
      <w:r>
        <w:t xml:space="preserve"> </w:t>
      </w:r>
      <w:r>
        <w:rPr>
          <w:rFonts w:hint="eastAsia"/>
        </w:rPr>
        <w:t xml:space="preserve">が参入を可能にする価値のうち期待値の移転でなければならない部分は、定常</w:t>
      </w:r>
      <w:r>
        <w:t xml:space="preserve"> AR(1) </w:t>
      </w:r>
      <w:r>
        <w:rPr>
          <w:rFonts w:hint="eastAsia"/>
        </w:rPr>
        <w:t xml:space="preserve">で89%以上、ランダムウォークで66〜98%（</w:t>
      </w:r>
      <m:oMath>
        <m:r>
          <m:rPr>
            <m:sty m:val="p"/>
          </m:rPr>
          <m:t>Λ</m:t>
        </m:r>
        <m:r>
          <m:rPr>
            <m:sty m:val="p"/>
          </m:rPr>
          <m:t>=</m:t>
        </m:r>
        <m:r>
          <m:t>0.18</m:t>
        </m:r>
      </m:oMath>
      <w:r>
        <w:t xml:space="preserve"> </w:t>
      </w:r>
      <w:r>
        <w:rPr>
          <w:rFonts w:hint="eastAsia"/>
        </w:rPr>
        <w:t xml:space="preserve">で81〜94%）。割引率の差による</w:t>
      </w:r>
      <w:r>
        <w:t xml:space="preserve"> APV </w:t>
      </w:r>
      <w:r>
        <w:rPr>
          <w:rFonts w:hint="eastAsia"/>
        </w:rPr>
        <w:t xml:space="preserve">の評価（スワップの価値の5〜18%）とは対象が違う（APV</w:t>
      </w:r>
      <w:r>
        <w:t xml:space="preserve"> </w:t>
      </w:r>
      <w:r>
        <w:rPr>
          <w:rFonts w:hint="eastAsia"/>
        </w:rPr>
        <w:t xml:space="preserve">は6時間・容量価格を含むスワップ、確実性等価は4時間のスポット収入の</w:t>
      </w:r>
      <w:r>
        <w:t xml:space="preserve"> </w:t>
      </w:r>
      <m:oMath>
        <m:r>
          <m:t>θ</m:t>
        </m:r>
      </m:oMath>
      <w:r>
        <w:t xml:space="preserve"> </w:t>
      </w:r>
      <w:r>
        <w:rPr>
          <w:rFonts w:hint="eastAsia"/>
        </w:rPr>
        <w:t xml:space="preserve">だけ）。</w:t>
      </w:r>
    </w:p>
    <w:p>
      <w:pPr>
        <w:pStyle w:val="TableNote"/>
      </w:pPr>
      <w:r>
        <w:rPr>
          <w:rFonts w:hint="eastAsia"/>
        </w:rPr>
        <w:t xml:space="preserve">出所）日本卸電力取引所『スポット市場取引結果』より筆者作成。</w:t>
      </w:r>
    </w:p>
    <w:bookmarkEnd w:id="387"/>
    <w:bookmarkStart w:id="388" w:name="c.4.6-多因子-cfar-の詳細と感応度"/>
    <w:p>
      <w:pPr>
        <w:pStyle w:val="Heading3"/>
      </w:pPr>
      <w:r>
        <w:t xml:space="preserve">C.4.6　</w:t>
      </w:r>
      <w:r>
        <w:rPr>
          <w:rFonts w:hint="eastAsia"/>
        </w:rPr>
        <w:t xml:space="preserve">多因子</w:t>
      </w:r>
      <w:r>
        <w:t xml:space="preserve"> CFaR </w:t>
      </w:r>
      <w:r>
        <w:rPr>
          <w:rFonts w:hint="eastAsia"/>
        </w:rPr>
        <w:t xml:space="preserve">の詳細と感応度</w:t>
      </w:r>
    </w:p>
    <w:p>
      <w:pPr>
        <w:pStyle w:val="FirstParagraph"/>
      </w:pPr>
      <w:r>
        <w:rPr>
          <w:rFonts w:hint="eastAsia"/>
          <w:b/>
          <w:bCs/>
        </w:rPr>
        <w:t xml:space="preserve">主ケース</w:t>
      </w:r>
      <w:r>
        <w:t xml:space="preserve">　</w:t>
      </w:r>
      <w:r>
        <w:rPr>
          <w:rFonts w:hint="eastAsia"/>
        </w:rPr>
        <w:t xml:space="preserve">年間の市場収入は期待値10,738円/kW-年、5%</w:t>
      </w:r>
      <w:r>
        <w:t xml:space="preserve"> CFaR </w:t>
      </w:r>
      <w:r>
        <w:rPr>
          <w:rFonts w:hint="eastAsia"/>
        </w:rPr>
        <w:t xml:space="preserve">は5,869円、5%</w:t>
      </w:r>
      <w:r>
        <w:t xml:space="preserve"> ES </w:t>
      </w:r>
      <w:r>
        <w:rPr>
          <w:rFonts w:hint="eastAsia"/>
        </w:rPr>
        <w:t xml:space="preserve">は6,463円である。期待値の86%（9,190円）は容量収入で、スポットの実現可能収益は1,548円にすぎない。基準</w:t>
      </w:r>
      <w:r>
        <w:t xml:space="preserve"> </w:t>
      </w:r>
      <m:oMath>
        <m:sSub>
          <m:e>
            <m:r>
              <m:t>R</m:t>
            </m:r>
          </m:e>
          <m:sub>
            <m:r>
              <m:rPr>
                <m:sty m:val="p"/>
              </m:rPr>
              <m:t>r</m:t>
            </m:r>
            <m:r>
              <m:rPr>
                <m:sty m:val="p"/>
              </m:rPr>
              <m:t>e</m:t>
            </m:r>
            <m:r>
              <m:rPr>
                <m:sty m:val="p"/>
              </m:rPr>
              <m:t>f</m:t>
            </m:r>
          </m:sub>
        </m:sSub>
        <m:r>
          <m:rPr>
            <m:sty m:val="p"/>
          </m:rPr>
          <m:t>=</m:t>
        </m:r>
        <m:r>
          <m:t>19</m:t>
        </m:r>
        <m:r>
          <m:rPr>
            <m:sty m:val="p"/>
          </m:rPr>
          <m:t>,</m:t>
        </m:r>
        <m:r>
          <m:t>192</m:t>
        </m:r>
      </m:oMath>
      <w:r>
        <w:t xml:space="preserve"> </w:t>
      </w:r>
      <w:r>
        <w:rPr>
          <w:rFonts w:hint="eastAsia"/>
        </w:rPr>
        <w:t xml:space="preserve">円/kW-年から5%点までの下振れは14,323円で、その6割（8,453円）は分布の幅ではなく期待値そのものの低下（他者の参入による共食いと、基準より低い約定水準）である。市場収入が運転維持・廃止と託送等の固定費（1.22万円/kW-年）を賄えない確率は69%である。参入必要収益（3.59万円）に届く確率はどのケースでも0である。</w:t>
      </w:r>
    </w:p>
    <w:p>
      <w:pPr>
        <w:pStyle w:val="BodyText"/>
      </w:pPr>
      <w:r>
        <w:rPr>
          <w:rFonts w:hint="eastAsia"/>
          <w:b/>
          <w:bCs/>
        </w:rPr>
        <w:t xml:space="preserve">容量価格の仮定</w:t>
      </w:r>
      <w:r>
        <w:t xml:space="preserve">　</w:t>
      </w:r>
      <w:r>
        <w:rPr>
          <w:rFonts w:hint="eastAsia"/>
        </w:rPr>
        <w:t xml:space="preserve">2026年度向けのマルチプライス約定（8,749円/kW）を除き、約定水準を2027〜29年度向けの3値とすると、CFaR</w:t>
      </w:r>
      <w:r>
        <w:t xml:space="preserve"> </w:t>
      </w:r>
      <w:r>
        <w:rPr>
          <w:rFonts w:hint="eastAsia"/>
        </w:rPr>
        <w:t xml:space="preserve">は3,532円に下がり、最大の因子は他者の参入（60%）、次いで容量（15%）、</w:t>
      </w:r>
      <m:oMath>
        <m:r>
          <m:t>θ</m:t>
        </m:r>
      </m:oMath>
      <w:r>
        <w:rPr>
          <w:rFonts w:hint="eastAsia"/>
        </w:rPr>
        <w:t xml:space="preserve">（14%）、形状（10%）である。2030年度向けの</w:t>
      </w:r>
      <w:r>
        <w:t xml:space="preserve"> Net CONE </w:t>
      </w:r>
      <w:r>
        <w:rPr>
          <w:rFonts w:hint="eastAsia"/>
        </w:rPr>
        <w:t xml:space="preserve">を約定水準の分布に加えると、容量の寄与はむしろ上がる（3値＋2030で37%、4値＋2030で</w:t>
      </w:r>
      <w:r>
        <w:t xml:space="preserve"> CFaR </w:t>
      </w:r>
      <w:r>
        <w:rPr>
          <w:rFonts w:hint="eastAsia"/>
        </w:rPr>
        <w:t xml:space="preserve">6,898円・容量60%）。北海道が単独ブロックとして約定し、容量価格が</w:t>
      </w:r>
      <w:r>
        <w:t xml:space="preserve"> K </w:t>
      </w:r>
      <w:r>
        <w:rPr>
          <w:rFonts w:hint="eastAsia"/>
        </w:rPr>
        <w:t xml:space="preserve">とともに崩れる場合は、期待値が1,610円まで落ち、残る</w:t>
      </w:r>
      <w:r>
        <w:t xml:space="preserve"> CFaR </w:t>
      </w:r>
      <w:r>
        <w:rPr>
          <w:rFonts w:hint="eastAsia"/>
        </w:rPr>
        <w:t xml:space="preserve">2,443円の57%を他者の参入、23%を</w:t>
      </w:r>
      <w:r>
        <w:t xml:space="preserve"> </w:t>
      </w:r>
      <m:oMath>
        <m:r>
          <m:t>θ</m:t>
        </m:r>
      </m:oMath>
      <w:r>
        <w:rPr>
          <w:rFonts w:hint="eastAsia"/>
        </w:rPr>
        <w:t xml:space="preserve">、17%を形状が占める。どの仮定でも日々の天候の寄与は3.4%以下であり、</w:t>
      </w:r>
      <m:oMath>
        <m:r>
          <m:t>θ</m:t>
        </m:r>
      </m:oMath>
      <w:r>
        <w:t xml:space="preserve"> </w:t>
      </w:r>
      <w:r>
        <w:rPr>
          <w:rFonts w:hint="eastAsia"/>
        </w:rPr>
        <w:t xml:space="preserve">の寄与は</w:t>
      </w:r>
      <w:r>
        <w:t xml:space="preserve"> FY2022 </w:t>
      </w:r>
      <w:r>
        <w:rPr>
          <w:rFonts w:hint="eastAsia"/>
        </w:rPr>
        <w:t xml:space="preserve">を除くと小さくなる（主ケースで8%→5%、北海道ブロック按分で23%→14%）。</w:t>
      </w:r>
    </w:p>
    <w:p>
      <w:pPr>
        <w:pStyle w:val="BodyText"/>
      </w:pPr>
      <w:r>
        <w:rPr>
          <w:rFonts w:hint="eastAsia"/>
          <w:b/>
          <w:bCs/>
        </w:rPr>
        <w:t xml:space="preserve">年次リスクと</w:t>
      </w:r>
      <w:r>
        <w:rPr>
          <w:b/>
          <w:bCs/>
        </w:rPr>
        <w:t xml:space="preserve"> </w:t>
      </w:r>
      <m:oMath>
        <m:r>
          <m:t>θ</m:t>
        </m:r>
      </m:oMath>
      <w:r>
        <w:t xml:space="preserve">　FY2016〜25 </w:t>
      </w:r>
      <w:r>
        <w:rPr>
          <w:rFonts w:hint="eastAsia"/>
        </w:rPr>
        <w:t xml:space="preserve">の年次の完全予見粗利の対数を</w:t>
      </w:r>
      <w:r>
        <w:t xml:space="preserve"> </w:t>
      </w:r>
      <m:oMath>
        <m:r>
          <m:rPr>
            <m:sty m:val="p"/>
          </m:rPr>
          <m:t>log</m:t>
        </m:r>
        <m:r>
          <m:t>θ</m:t>
        </m:r>
      </m:oMath>
      <w:r>
        <w:t xml:space="preserve"> </w:t>
      </w:r>
      <w:r>
        <w:rPr>
          <w:rFonts w:hint="eastAsia"/>
        </w:rPr>
        <w:t xml:space="preserve">に回帰すると、傾き（エクスポージャー）は1.07（標準誤差0.31）、決定係数は0.60</w:t>
      </w:r>
      <w:r>
        <w:t xml:space="preserve"> である。FY2022 </w:t>
      </w:r>
      <w:r>
        <w:rPr>
          <w:rFonts w:hint="eastAsia"/>
        </w:rPr>
        <w:t xml:space="preserve">の1年を除くと傾きは0.67、決定係数は0.19、FY2020〜22</w:t>
      </w:r>
      <w:r>
        <w:t xml:space="preserve"> </w:t>
      </w:r>
      <w:r>
        <w:rPr>
          <w:rFonts w:hint="eastAsia"/>
        </w:rPr>
        <w:t xml:space="preserve">を除くと決定係数は0.02</w:t>
      </w:r>
      <w:r>
        <w:t xml:space="preserve"> </w:t>
      </w:r>
      <w:r>
        <w:rPr>
          <w:rFonts w:hint="eastAsia"/>
        </w:rPr>
        <w:t xml:space="preserve">に下がる。FY2022</w:t>
      </w:r>
      <w:r>
        <w:t xml:space="preserve"> </w:t>
      </w:r>
      <w:r>
        <w:rPr>
          <w:rFonts w:hint="eastAsia"/>
        </w:rPr>
        <w:t xml:space="preserve">を除けば、</w:t>
      </w:r>
      <m:oMath>
        <m:r>
          <m:t>θ</m:t>
        </m:r>
      </m:oMath>
      <w:r>
        <w:t xml:space="preserve"> </w:t>
      </w:r>
      <w:r>
        <w:rPr>
          <w:rFonts w:hint="eastAsia"/>
        </w:rPr>
        <w:t xml:space="preserve">の分散（0.029）は年度単位の形状の分散（0.057）を下回る。基準</w:t>
      </w:r>
      <w:r>
        <w:t xml:space="preserve"> </w:t>
      </w:r>
      <m:oMath>
        <m:sSub>
          <m:e>
            <m:r>
              <m:t>R</m:t>
            </m:r>
          </m:e>
          <m:sub>
            <m:r>
              <m:rPr>
                <m:sty m:val="p"/>
              </m:rPr>
              <m:t>r</m:t>
            </m:r>
            <m:r>
              <m:rPr>
                <m:sty m:val="p"/>
              </m:rPr>
              <m:t>e</m:t>
            </m:r>
            <m:r>
              <m:rPr>
                <m:sty m:val="p"/>
              </m:rPr>
              <m:t>f</m:t>
            </m:r>
          </m:sub>
        </m:sSub>
      </m:oMath>
      <w:r>
        <w:t xml:space="preserve"> </w:t>
      </w:r>
      <w:r>
        <w:rPr>
          <w:rFonts w:hint="eastAsia"/>
        </w:rPr>
        <w:t xml:space="preserve">から1因子だけを動かした場合、5%点までの下振れは、他者の参入が全国連系で9,884円、北海道ブロック按分で19,833円、約定水準が5,202円、</w:t>
      </w:r>
      <m:oMath>
        <m:r>
          <m:t>θ</m:t>
        </m:r>
      </m:oMath>
      <w:r>
        <w:t xml:space="preserve"> </w:t>
      </w:r>
      <w:r>
        <w:rPr>
          <w:rFonts w:hint="eastAsia"/>
        </w:rPr>
        <w:t xml:space="preserve">が2,998円（FY2022</w:t>
      </w:r>
      <w:r>
        <w:t xml:space="preserve"> </w:t>
      </w:r>
      <w:r>
        <w:rPr>
          <w:rFonts w:hint="eastAsia"/>
        </w:rPr>
        <w:t xml:space="preserve">を除くと2,053円）、年度単位の形状が2,804円、日々の天候が576円である。ただし他者の参入と約定水準の下振れには、基準を他者の参入なし・最高の約定水準に置いたことによる期待値の低下（他者の参入で6,886円、約定水準で1,685円）が含まれる。各因子の基準値から測った単独の</w:t>
      </w:r>
      <w:r>
        <w:t xml:space="preserve"> CFaR </w:t>
      </w:r>
      <w:r>
        <w:rPr>
          <w:rFonts w:hint="eastAsia"/>
        </w:rPr>
        <w:t xml:space="preserve">でも、約定水準3,517円、他者の参入2,998円、</w:t>
      </w:r>
      <m:oMath>
        <m:r>
          <m:t>θ</m:t>
        </m:r>
      </m:oMath>
      <w:r>
        <w:t xml:space="preserve"> </w:t>
      </w:r>
      <w:r>
        <w:rPr>
          <w:rFonts w:hint="eastAsia"/>
        </w:rPr>
        <w:t xml:space="preserve">1,161円（FY2022</w:t>
      </w:r>
      <w:r>
        <w:t xml:space="preserve"> </w:t>
      </w:r>
      <w:r>
        <w:rPr>
          <w:rFonts w:hint="eastAsia"/>
        </w:rPr>
        <w:t xml:space="preserve">を除くと764円）、形状986円、天候202円の順で、他者の参入と約定水準が上位にあることは変わらない。日々の天候のノイズは、年間に集計すると変動係数3.0〜5.7%に縮む。一方、年度単位の形状の変動は年間で分散されない。形状の年々の差には、連系線と分断構造、渇水や暖冬などの年単位の気象、需要の違いが含まれるとみられるが、本研究はその要因を識別していない。</w:t>
      </w:r>
    </w:p>
    <w:p>
      <w:pPr>
        <w:pStyle w:val="BodyText"/>
      </w:pPr>
      <w:r>
        <w:rPr>
          <w:b/>
          <w:bCs/>
        </w:rPr>
        <w:t xml:space="preserve">LTDA</w:t>
      </w:r>
      <w:r>
        <w:t xml:space="preserve">　</w:t>
      </w:r>
      <w:r>
        <w:rPr>
          <w:rFonts w:hint="eastAsia"/>
        </w:rPr>
        <w:t xml:space="preserve">落札者の収入（固定収入＋スポット収益の1割）の5%</w:t>
      </w:r>
      <w:r>
        <w:t xml:space="preserve"> CFaR </w:t>
      </w:r>
      <w:r>
        <w:rPr>
          <w:rFonts w:hint="eastAsia"/>
        </w:rPr>
        <w:t xml:space="preserve">は238円/kW-年で、マーチャントの5,869円の4.1%にすぎず、還付率が85〜95%の段階のどこにあっても2.0〜6.1%である。すなわち</w:t>
      </w:r>
      <w:r>
        <w:t xml:space="preserve"> LTDA は、マーチャントの CFaR </w:t>
      </w:r>
      <w:r>
        <w:rPr>
          <w:rFonts w:hint="eastAsia"/>
        </w:rPr>
        <w:t xml:space="preserve">の95.9%（還付率85〜95%で93.9〜98.0%）を落札者から移す。固定収入は容量価格の約定水準にも他者の参入にも依存しないので、容量価格の因子は全量が、他者の参入・</w:t>
      </w:r>
      <m:oMath>
        <m:r>
          <m:t>θ</m:t>
        </m:r>
      </m:oMath>
      <w:r>
        <w:rPr>
          <w:rFonts w:hint="eastAsia"/>
        </w:rPr>
        <w:t xml:space="preserve">・形状・天候のスポット側の寄与は約9割が移転される。LTDA</w:t>
      </w:r>
      <w:r>
        <w:t xml:space="preserve"> </w:t>
      </w:r>
      <w:r>
        <w:rPr>
          <w:rFonts w:hint="eastAsia"/>
        </w:rPr>
        <w:t xml:space="preserve">の下で残る寄与は、他者の参入が136円、</w:t>
      </w:r>
      <m:oMath>
        <m:r>
          <m:t>θ</m:t>
        </m:r>
      </m:oMath>
      <w:r>
        <w:t xml:space="preserve"> </w:t>
      </w:r>
      <w:r>
        <w:rPr>
          <w:rFonts w:hint="eastAsia"/>
        </w:rPr>
        <w:t xml:space="preserve">が55円、形状が41円、天候が6円である。移転される</w:t>
      </w:r>
      <w:r>
        <w:t xml:space="preserve"> </w:t>
      </w:r>
      <w:r>
        <w:rPr>
          <w:rFonts w:hint="eastAsia"/>
        </w:rPr>
        <w:t xml:space="preserve">CFaR（5,631円）の86%は容量価格と他者の参入に由来し、</w:t>
      </w:r>
      <m:oMath>
        <m:r>
          <m:t>θ</m:t>
        </m:r>
      </m:oMath>
      <w:r>
        <w:t xml:space="preserve"> </w:t>
      </w:r>
      <w:r>
        <w:rPr>
          <w:rFonts w:hint="eastAsia"/>
        </w:rPr>
        <w:t xml:space="preserve">に由来するのは7.4%にとどまる（2026年度向けを除く3値では76%・13%）。ただし</w:t>
      </w:r>
      <w:r>
        <w:t xml:space="preserve"> LTDA </w:t>
      </w:r>
      <w:r>
        <w:rPr>
          <w:rFonts w:hint="eastAsia"/>
        </w:rPr>
        <w:t xml:space="preserve">の落札者は、応札時の上限価格、供給力の提供義務、未達時の減額という別のリスクを負う。対象は第3回から6時間以上の蓄電池である（第2回までは3時間以上）。</w:t>
      </w:r>
    </w:p>
    <w:p>
      <w:pPr>
        <w:pStyle w:val="BodyText"/>
      </w:pPr>
      <w:r>
        <w:rPr>
          <w:rFonts w:hint="eastAsia"/>
          <w:b/>
          <w:bCs/>
        </w:rPr>
        <w:t xml:space="preserve">限定</w:t>
      </w:r>
      <w:r>
        <w:t xml:space="preserve">　</w:t>
      </w:r>
      <w:r>
        <w:rPr>
          <w:rFonts w:hint="eastAsia"/>
        </w:rPr>
        <w:t xml:space="preserve">第一に、因子は独立と置いた。容量オークションの応札価格は他市場収益の見込みを差し引いて決まるので、価格水準と容量価格の約定水準は負に相関しうる（2026年度向けの低い約定は燃料危機の時期の応札である）。その場合、独立の仮定は</w:t>
      </w:r>
      <w:r>
        <w:t xml:space="preserve"> CFaR </w:t>
      </w:r>
      <w:r>
        <w:rPr>
          <w:rFonts w:hint="eastAsia"/>
        </w:rPr>
        <w:t xml:space="preserve">を大きめに出す。第二に、他者の参入の分布と約定水準の分布は観察に基づく仮定であり、2026年度向けのマルチプライス約定を含むかどうかで</w:t>
      </w:r>
      <w:r>
        <w:t xml:space="preserve"> CFaR </w:t>
      </w:r>
      <w:r>
        <w:rPr>
          <w:rFonts w:hint="eastAsia"/>
        </w:rPr>
        <w:t xml:space="preserve">は約1.7倍変わる（5,869円対3,532円）。容量価格の</w:t>
      </w:r>
      <w:r>
        <w:t xml:space="preserve"> K </w:t>
      </w:r>
      <w:r>
        <w:rPr>
          <w:rFonts w:hint="eastAsia"/>
        </w:rPr>
        <w:t xml:space="preserve">依存に</w:t>
      </w:r>
      <w:r>
        <w:t xml:space="preserve"> LTDA </w:t>
      </w:r>
      <w:r>
        <w:rPr>
          <w:rFonts w:hint="eastAsia"/>
        </w:rPr>
        <w:t xml:space="preserve">電源を含めるかは制度上の扱いに依存し、LTDA</w:t>
      </w:r>
      <w:r>
        <w:t xml:space="preserve"> </w:t>
      </w:r>
      <w:r>
        <w:rPr>
          <w:rFonts w:hint="eastAsia"/>
        </w:rPr>
        <w:t xml:space="preserve">以外の容量だけにすると</w:t>
      </w:r>
      <w:r>
        <w:t xml:space="preserve"> CFaR </w:t>
      </w:r>
      <w:r>
        <w:rPr>
          <w:rFonts w:hint="eastAsia"/>
        </w:rPr>
        <w:t xml:space="preserve">は5,310円、他者の参入の寄与は24%になる。第三に、CFaR</w:t>
      </w:r>
      <w:r>
        <w:t xml:space="preserve"> </w:t>
      </w:r>
      <w:r>
        <w:rPr>
          <w:rFonts w:hint="eastAsia"/>
        </w:rPr>
        <w:t xml:space="preserve">は期待値で定義したゼロレント条件に入らないので、</w:t>
      </w:r>
      <m:oMath>
        <m:sSup>
          <m:e>
            <m:r>
              <m:t>K</m:t>
            </m:r>
          </m:e>
          <m:sup>
            <m:r>
              <m:rPr>
                <m:sty m:val="p"/>
              </m:rPr>
              <m:t>*</m:t>
            </m:r>
          </m:sup>
        </m:sSup>
        <m:r>
          <m:rPr>
            <m:sty m:val="p"/>
          </m:rPr>
          <m:t>=</m:t>
        </m:r>
        <m:r>
          <m:t>0</m:t>
        </m:r>
      </m:oMath>
      <w:r>
        <w:t xml:space="preserve"> </w:t>
      </w:r>
      <w:r>
        <w:rPr>
          <w:rFonts w:hint="eastAsia"/>
        </w:rPr>
        <w:t xml:space="preserve">の判定を直接は強めない。容量市場のメインオークションは実需給の4年前に行われるので、直近の年度の容量収入はすでに確定している。ここでの</w:t>
      </w:r>
      <w:r>
        <w:t xml:space="preserve"> CFaR </w:t>
      </w:r>
      <w:r>
        <w:rPr>
          <w:rFonts w:hint="eastAsia"/>
        </w:rPr>
        <w:t xml:space="preserve">は、20年の運転期間中の代表的な1年について、約定水準が過去4回と同じ分布に従うとした場合の値である。</w:t>
      </w:r>
    </w:p>
    <w:p>
      <w:pPr>
        <w:pStyle w:val="TableCaption"/>
      </w:pPr>
      <w:r>
        <w:rPr>
          <w:rFonts w:hint="eastAsia"/>
        </w:rPr>
        <w:t xml:space="preserve">表C.46</w:t>
      </w:r>
      <w:r>
        <w:t xml:space="preserve">　</w:t>
      </w:r>
      <w:r>
        <w:rPr>
          <w:rFonts w:hint="eastAsia"/>
        </w:rPr>
        <w:t xml:space="preserve">マーチャント4時間蓄電池の年間市場収入の多因子</w:t>
      </w:r>
      <w:r>
        <w:t xml:space="preserve"> </w:t>
      </w:r>
      <w:r>
        <w:rPr>
          <w:rFonts w:hint="eastAsia"/>
        </w:rPr>
        <w:t xml:space="preserve">CFaR（感応度）</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6　マーチャント4時間蓄電池の年間市場収入の多因子 CFaR（感応度）"/>
      </w:tblPr>
      <w:tblGrid>
        <w:gridCol w:w="1033"/>
        <w:gridCol w:w="1377"/>
        <w:gridCol w:w="1377"/>
        <w:gridCol w:w="1377"/>
        <w:gridCol w:w="1377"/>
        <w:gridCol w:w="1377"/>
      </w:tblGrid>
      <w:tr>
        <w:trPr>
          <w:tblHeader w:val="on"/>
        </w:trPr>
        <w:tc>
          <w:tcPr>
            <w:tcBorders>
              <w:bottom w:val="single" w:sz="6" w:color="000000"/>
            </w:tcBorders>
          </w:tcPr>
          <w:p>
            <w:pPr>
              <w:pStyle w:val="Compact"/>
            </w:pPr>
            <w:r>
              <w:rPr>
                <w:sz w:val="18"/>
              </w:rPr>
              <w:t xml:space="preserve">ケース</w:t>
            </w:r>
          </w:p>
        </w:tc>
        <w:tc>
          <w:tcPr>
            <w:tcBorders>
              <w:bottom w:val="single" w:sz="6" w:color="000000"/>
            </w:tcBorders>
          </w:tcPr>
          <w:p>
            <w:pPr>
              <w:pStyle w:val="Compact"/>
              <w:jc w:val="right"/>
            </w:pPr>
            <w:r>
              <w:rPr>
                <w:rFonts w:hint="eastAsia"/>
                <w:sz w:val="18"/>
              </w:rPr>
              <w:t xml:space="preserve">期待値</w:t>
            </w:r>
          </w:p>
        </w:tc>
        <w:tc>
          <w:tcPr>
            <w:tcBorders>
              <w:bottom w:val="single" w:sz="6" w:color="000000"/>
            </w:tcBorders>
          </w:tcPr>
          <w:p>
            <w:pPr>
              <w:pStyle w:val="Compact"/>
              <w:jc w:val="right"/>
            </w:pPr>
            <w:r>
              <w:rPr>
                <w:sz w:val="18"/>
              </w:rPr>
              <w:t xml:space="preserve">5% CFaR</w:t>
            </w:r>
          </w:p>
        </w:tc>
        <w:tc>
          <w:tcPr>
            <w:tcBorders>
              <w:bottom w:val="single" w:sz="6" w:color="000000"/>
            </w:tcBorders>
          </w:tcPr>
          <w:p>
            <w:pPr>
              <w:pStyle w:val="Compact"/>
              <w:jc w:val="right"/>
            </w:pPr>
            <w:r>
              <w:rPr>
                <w:sz w:val="18"/>
              </w:rPr>
              <w:t xml:space="preserve">5% ES</w:t>
            </w:r>
          </w:p>
        </w:tc>
        <w:tc>
          <w:tcPr>
            <w:tcBorders>
              <w:bottom w:val="single" w:sz="6" w:color="000000"/>
            </w:tcBorders>
          </w:tcPr>
          <w:p>
            <w:pPr>
              <w:pStyle w:val="Compact"/>
              <w:jc w:val="right"/>
            </w:pPr>
            <w:r>
              <w:rPr>
                <w:rFonts w:hint="eastAsia"/>
                <w:sz w:val="18"/>
              </w:rPr>
              <w:t xml:space="preserve">基準からの5%下振れ</w:t>
            </w:r>
          </w:p>
        </w:tc>
        <w:tc>
          <w:tcPr>
            <w:tcBorders>
              <w:bottom w:val="single" w:sz="6" w:color="000000"/>
            </w:tcBorders>
          </w:tcPr>
          <w:p>
            <w:pPr>
              <w:pStyle w:val="Compact"/>
              <w:jc w:val="right"/>
            </w:pPr>
            <w:r>
              <w:rPr>
                <w:rFonts w:hint="eastAsia"/>
                <w:sz w:val="18"/>
              </w:rPr>
              <w:t xml:space="preserve">固定費を賄えない確率</w:t>
            </w:r>
          </w:p>
        </w:tc>
      </w:tr>
      <w:tr>
        <w:tc>
          <w:tcPr/>
          <w:p>
            <w:pPr>
              <w:pStyle w:val="Compact"/>
            </w:pPr>
            <w:r>
              <w:rPr>
                <w:rFonts w:hint="eastAsia"/>
                <w:sz w:val="18"/>
              </w:rPr>
              <w:t xml:space="preserve">主ケース（容量：全国連系、</w:t>
            </w:r>
            <m:oMath>
              <m:r>
                <m:t>θ</m:t>
              </m:r>
            </m:oMath>
            <w:r>
              <w:rPr>
                <w:rFonts w:hint="eastAsia"/>
                <w:sz w:val="18"/>
              </w:rPr>
              <w:t xml:space="preserve">：FY2016〜25、K：20〜87.4万kW）</w:t>
            </w:r>
          </w:p>
        </w:tc>
        <w:tc>
          <w:tcPr/>
          <w:p>
            <w:pPr>
              <w:pStyle w:val="Compact"/>
              <w:jc w:val="right"/>
            </w:pPr>
            <w:r>
              <w:rPr>
                <w:sz w:val="18"/>
              </w:rPr>
              <w:t xml:space="preserve">10,738</w:t>
            </w:r>
          </w:p>
        </w:tc>
        <w:tc>
          <w:tcPr/>
          <w:p>
            <w:pPr>
              <w:pStyle w:val="Compact"/>
              <w:jc w:val="right"/>
            </w:pPr>
            <w:r>
              <w:rPr>
                <w:sz w:val="18"/>
              </w:rPr>
              <w:t xml:space="preserve">5,869</w:t>
            </w:r>
          </w:p>
        </w:tc>
        <w:tc>
          <w:tcPr/>
          <w:p>
            <w:pPr>
              <w:pStyle w:val="Compact"/>
              <w:jc w:val="right"/>
            </w:pPr>
            <w:r>
              <w:rPr>
                <w:sz w:val="18"/>
              </w:rPr>
              <w:t xml:space="preserve">6,463</w:t>
            </w:r>
          </w:p>
        </w:tc>
        <w:tc>
          <w:tcPr/>
          <w:p>
            <w:pPr>
              <w:pStyle w:val="Compact"/>
              <w:jc w:val="right"/>
            </w:pPr>
            <w:r>
              <w:rPr>
                <w:sz w:val="18"/>
              </w:rPr>
              <w:t xml:space="preserve">14,323</w:t>
            </w:r>
          </w:p>
        </w:tc>
        <w:tc>
          <w:tcPr/>
          <w:p>
            <w:pPr>
              <w:pStyle w:val="Compact"/>
              <w:jc w:val="right"/>
            </w:pPr>
            <w:r>
              <w:rPr>
                <w:sz w:val="18"/>
              </w:rPr>
              <w:t xml:space="preserve">69%</w:t>
            </w:r>
          </w:p>
        </w:tc>
      </w:tr>
      <w:tr>
        <w:tc>
          <w:tcPr/>
          <w:p>
            <w:pPr>
              <w:pStyle w:val="Compact"/>
            </w:pPr>
            <m:oMath>
              <m:r>
                <m:t>θ</m:t>
              </m:r>
            </m:oMath>
            <w:r>
              <w:rPr>
                <w:rFonts w:hint="eastAsia"/>
                <w:sz w:val="18"/>
              </w:rPr>
              <w:t xml:space="preserve">：FY2022</w:t>
            </w:r>
            <w:r>
              <w:rPr>
                <w:sz w:val="18"/>
              </w:rPr>
              <w:t xml:space="preserve"> </w:t>
            </w:r>
            <w:r>
              <w:rPr>
                <w:rFonts w:hint="eastAsia"/>
                <w:sz w:val="18"/>
              </w:rPr>
              <w:t xml:space="preserve">を除いて校正</w:t>
            </w:r>
          </w:p>
        </w:tc>
        <w:tc>
          <w:tcPr/>
          <w:p>
            <w:pPr>
              <w:pStyle w:val="Compact"/>
              <w:jc w:val="right"/>
            </w:pPr>
            <w:r>
              <w:rPr>
                <w:sz w:val="18"/>
              </w:rPr>
              <w:t xml:space="preserve">10,669</w:t>
            </w:r>
          </w:p>
        </w:tc>
        <w:tc>
          <w:tcPr/>
          <w:p>
            <w:pPr>
              <w:pStyle w:val="Compact"/>
              <w:jc w:val="right"/>
            </w:pPr>
            <w:r>
              <w:rPr>
                <w:sz w:val="18"/>
              </w:rPr>
              <w:t xml:space="preserve">5,797</w:t>
            </w:r>
          </w:p>
        </w:tc>
        <w:tc>
          <w:tcPr/>
          <w:p>
            <w:pPr>
              <w:pStyle w:val="Compact"/>
              <w:jc w:val="right"/>
            </w:pPr>
            <w:r>
              <w:rPr>
                <w:sz w:val="18"/>
              </w:rPr>
              <w:t xml:space="preserve">6,373</w:t>
            </w:r>
          </w:p>
        </w:tc>
        <w:tc>
          <w:tcPr/>
          <w:p>
            <w:pPr>
              <w:pStyle w:val="Compact"/>
              <w:jc w:val="right"/>
            </w:pPr>
            <w:r>
              <w:rPr>
                <w:sz w:val="18"/>
              </w:rPr>
              <w:t xml:space="preserve">14,320</w:t>
            </w:r>
          </w:p>
        </w:tc>
        <w:tc>
          <w:tcPr/>
          <w:p>
            <w:pPr>
              <w:pStyle w:val="Compact"/>
              <w:jc w:val="right"/>
            </w:pPr>
            <w:r>
              <w:rPr>
                <w:sz w:val="18"/>
              </w:rPr>
              <w:t xml:space="preserve">69%</w:t>
            </w:r>
          </w:p>
        </w:tc>
      </w:tr>
      <w:tr>
        <w:tc>
          <w:tcPr/>
          <w:p>
            <w:pPr>
              <w:pStyle w:val="Compact"/>
            </w:pPr>
            <m:oMath>
              <m:r>
                <m:t>θ</m:t>
              </m:r>
            </m:oMath>
            <w:r>
              <w:rPr>
                <w:sz w:val="18"/>
              </w:rPr>
              <w:t xml:space="preserve"> </w:t>
            </w:r>
            <w:r>
              <w:rPr>
                <w:rFonts w:hint="eastAsia"/>
                <w:sz w:val="18"/>
              </w:rPr>
              <w:t xml:space="preserve">と形状を年度の組で経験分布から</w:t>
            </w:r>
          </w:p>
        </w:tc>
        <w:tc>
          <w:tcPr/>
          <w:p>
            <w:pPr>
              <w:pStyle w:val="Compact"/>
              <w:jc w:val="right"/>
            </w:pPr>
            <w:r>
              <w:rPr>
                <w:sz w:val="18"/>
              </w:rPr>
              <w:t xml:space="preserve">10,688</w:t>
            </w:r>
          </w:p>
        </w:tc>
        <w:tc>
          <w:tcPr/>
          <w:p>
            <w:pPr>
              <w:pStyle w:val="Compact"/>
              <w:jc w:val="right"/>
            </w:pPr>
            <w:r>
              <w:rPr>
                <w:sz w:val="18"/>
              </w:rPr>
              <w:t xml:space="preserve">5,849</w:t>
            </w:r>
          </w:p>
        </w:tc>
        <w:tc>
          <w:tcPr/>
          <w:p>
            <w:pPr>
              <w:pStyle w:val="Compact"/>
              <w:jc w:val="right"/>
            </w:pPr>
            <w:r>
              <w:rPr>
                <w:sz w:val="18"/>
              </w:rPr>
              <w:t xml:space="preserve">6,433</w:t>
            </w:r>
          </w:p>
        </w:tc>
        <w:tc>
          <w:tcPr/>
          <w:p>
            <w:pPr>
              <w:pStyle w:val="Compact"/>
              <w:jc w:val="right"/>
            </w:pPr>
            <w:r>
              <w:rPr>
                <w:sz w:val="18"/>
              </w:rPr>
              <w:t xml:space="preserve">14,353</w:t>
            </w:r>
          </w:p>
        </w:tc>
        <w:tc>
          <w:tcPr/>
          <w:p>
            <w:pPr>
              <w:pStyle w:val="Compact"/>
              <w:jc w:val="right"/>
            </w:pPr>
            <w:r>
              <w:rPr>
                <w:sz w:val="18"/>
              </w:rPr>
              <w:t xml:space="preserve">69%</w:t>
            </w:r>
          </w:p>
        </w:tc>
      </w:tr>
      <w:tr>
        <w:tc>
          <w:tcPr/>
          <w:p>
            <w:pPr>
              <w:pStyle w:val="Compact"/>
            </w:pPr>
            <w:r>
              <w:rPr>
                <w:rFonts w:hint="eastAsia"/>
                <w:sz w:val="18"/>
              </w:rPr>
              <w:t xml:space="preserve">形状：現行構造（FY2023〜25）の</w:t>
            </w:r>
            <w:r>
              <w:rPr>
                <w:sz w:val="18"/>
              </w:rPr>
              <w:t xml:space="preserve"> </w:t>
            </w:r>
            <m:oMath>
              <m:r>
                <m:t>σ</m:t>
              </m:r>
              <m:r>
                <m:rPr>
                  <m:sty m:val="p"/>
                </m:rPr>
                <m:t>=</m:t>
              </m:r>
              <m:r>
                <m:t>0.14</m:t>
              </m:r>
            </m:oMath>
          </w:p>
        </w:tc>
        <w:tc>
          <w:tcPr/>
          <w:p>
            <w:pPr>
              <w:pStyle w:val="Compact"/>
              <w:jc w:val="right"/>
            </w:pPr>
            <w:r>
              <w:rPr>
                <w:sz w:val="18"/>
              </w:rPr>
              <w:t xml:space="preserve">10,738</w:t>
            </w:r>
          </w:p>
        </w:tc>
        <w:tc>
          <w:tcPr/>
          <w:p>
            <w:pPr>
              <w:pStyle w:val="Compact"/>
              <w:jc w:val="right"/>
            </w:pPr>
            <w:r>
              <w:rPr>
                <w:sz w:val="18"/>
              </w:rPr>
              <w:t xml:space="preserve">5,845</w:t>
            </w:r>
          </w:p>
        </w:tc>
        <w:tc>
          <w:tcPr/>
          <w:p>
            <w:pPr>
              <w:pStyle w:val="Compact"/>
              <w:jc w:val="right"/>
            </w:pPr>
            <w:r>
              <w:rPr>
                <w:sz w:val="18"/>
              </w:rPr>
              <w:t xml:space="preserve">6,425</w:t>
            </w:r>
          </w:p>
        </w:tc>
        <w:tc>
          <w:tcPr/>
          <w:p>
            <w:pPr>
              <w:pStyle w:val="Compact"/>
              <w:jc w:val="right"/>
            </w:pPr>
            <w:r>
              <w:rPr>
                <w:sz w:val="18"/>
              </w:rPr>
              <w:t xml:space="preserve">14,299</w:t>
            </w:r>
          </w:p>
        </w:tc>
        <w:tc>
          <w:tcPr/>
          <w:p>
            <w:pPr>
              <w:pStyle w:val="Compact"/>
              <w:jc w:val="right"/>
            </w:pPr>
            <w:r>
              <w:rPr>
                <w:sz w:val="18"/>
              </w:rPr>
              <w:t xml:space="preserve">68%</w:t>
            </w:r>
          </w:p>
        </w:tc>
      </w:tr>
      <w:tr>
        <w:tc>
          <w:tcPr/>
          <w:p>
            <w:pPr>
              <w:pStyle w:val="Compact"/>
            </w:pPr>
            <w:r>
              <w:rPr>
                <w:rFonts w:hint="eastAsia"/>
                <w:sz w:val="18"/>
              </w:rPr>
              <w:t xml:space="preserve">容量：約定水準を2027〜29年度向けの3値に</w:t>
            </w:r>
          </w:p>
        </w:tc>
        <w:tc>
          <w:tcPr/>
          <w:p>
            <w:pPr>
              <w:pStyle w:val="Compact"/>
              <w:jc w:val="right"/>
            </w:pPr>
            <w:r>
              <w:rPr>
                <w:sz w:val="18"/>
              </w:rPr>
              <w:t xml:space="preserve">11,910</w:t>
            </w:r>
          </w:p>
        </w:tc>
        <w:tc>
          <w:tcPr/>
          <w:p>
            <w:pPr>
              <w:pStyle w:val="Compact"/>
              <w:jc w:val="right"/>
            </w:pPr>
            <w:r>
              <w:rPr>
                <w:sz w:val="18"/>
              </w:rPr>
              <w:t xml:space="preserve">3,532</w:t>
            </w:r>
          </w:p>
        </w:tc>
        <w:tc>
          <w:tcPr/>
          <w:p>
            <w:pPr>
              <w:pStyle w:val="Compact"/>
              <w:jc w:val="right"/>
            </w:pPr>
            <w:r>
              <w:rPr>
                <w:sz w:val="18"/>
              </w:rPr>
              <w:t xml:space="preserve">3,987</w:t>
            </w:r>
          </w:p>
        </w:tc>
        <w:tc>
          <w:tcPr/>
          <w:p>
            <w:pPr>
              <w:pStyle w:val="Compact"/>
              <w:jc w:val="right"/>
            </w:pPr>
            <w:r>
              <w:rPr>
                <w:sz w:val="18"/>
              </w:rPr>
              <w:t xml:space="preserve">10,814</w:t>
            </w:r>
          </w:p>
        </w:tc>
        <w:tc>
          <w:tcPr/>
          <w:p>
            <w:pPr>
              <w:pStyle w:val="Compact"/>
              <w:jc w:val="right"/>
            </w:pPr>
            <w:r>
              <w:rPr>
                <w:sz w:val="18"/>
              </w:rPr>
              <w:t xml:space="preserve">60%</w:t>
            </w:r>
          </w:p>
        </w:tc>
      </w:tr>
      <w:tr>
        <w:tc>
          <w:tcPr/>
          <w:p>
            <w:pPr>
              <w:pStyle w:val="Compact"/>
            </w:pPr>
            <w:r>
              <w:rPr>
                <w:rFonts w:hint="eastAsia"/>
                <w:sz w:val="18"/>
              </w:rPr>
              <w:t xml:space="preserve">容量：3値＋2030年度向け（Net</w:t>
            </w:r>
            <w:r>
              <w:rPr>
                <w:sz w:val="18"/>
              </w:rPr>
              <w:t xml:space="preserve"> </w:t>
            </w:r>
            <w:r>
              <w:rPr>
                <w:rFonts w:hint="eastAsia"/>
                <w:sz w:val="18"/>
              </w:rPr>
              <w:t xml:space="preserve">CONE）</w:t>
            </w:r>
          </w:p>
        </w:tc>
        <w:tc>
          <w:tcPr/>
          <w:p>
            <w:pPr>
              <w:pStyle w:val="Compact"/>
              <w:jc w:val="right"/>
            </w:pPr>
            <w:r>
              <w:rPr>
                <w:sz w:val="18"/>
              </w:rPr>
              <w:t xml:space="preserve">13,275</w:t>
            </w:r>
          </w:p>
        </w:tc>
        <w:tc>
          <w:tcPr/>
          <w:p>
            <w:pPr>
              <w:pStyle w:val="Compact"/>
              <w:jc w:val="right"/>
            </w:pPr>
            <w:r>
              <w:rPr>
                <w:sz w:val="18"/>
              </w:rPr>
              <w:t xml:space="preserve">4,647</w:t>
            </w:r>
          </w:p>
        </w:tc>
        <w:tc>
          <w:tcPr/>
          <w:p>
            <w:pPr>
              <w:pStyle w:val="Compact"/>
              <w:jc w:val="right"/>
            </w:pPr>
            <w:r>
              <w:rPr>
                <w:sz w:val="18"/>
              </w:rPr>
              <w:t xml:space="preserve">5,209</w:t>
            </w:r>
          </w:p>
        </w:tc>
        <w:tc>
          <w:tcPr/>
          <w:p>
            <w:pPr>
              <w:pStyle w:val="Compact"/>
              <w:jc w:val="right"/>
            </w:pPr>
            <w:r>
              <w:rPr>
                <w:sz w:val="18"/>
              </w:rPr>
              <w:t xml:space="preserve">10,564</w:t>
            </w:r>
          </w:p>
        </w:tc>
        <w:tc>
          <w:tcPr/>
          <w:p>
            <w:pPr>
              <w:pStyle w:val="Compact"/>
              <w:jc w:val="right"/>
            </w:pPr>
            <w:r>
              <w:rPr>
                <w:sz w:val="18"/>
              </w:rPr>
              <w:t xml:space="preserve">45%</w:t>
            </w:r>
          </w:p>
        </w:tc>
      </w:tr>
      <w:tr>
        <w:tc>
          <w:tcPr/>
          <w:p>
            <w:pPr>
              <w:pStyle w:val="Compact"/>
            </w:pPr>
            <w:r>
              <w:rPr>
                <w:rFonts w:hint="eastAsia"/>
                <w:sz w:val="18"/>
              </w:rPr>
              <w:t xml:space="preserve">容量：北海道ブロック按分</w:t>
            </w:r>
          </w:p>
        </w:tc>
        <w:tc>
          <w:tcPr/>
          <w:p>
            <w:pPr>
              <w:pStyle w:val="Compact"/>
              <w:jc w:val="right"/>
            </w:pPr>
            <w:r>
              <w:rPr>
                <w:sz w:val="18"/>
              </w:rPr>
              <w:t xml:space="preserve">1,610</w:t>
            </w:r>
          </w:p>
        </w:tc>
        <w:tc>
          <w:tcPr/>
          <w:p>
            <w:pPr>
              <w:pStyle w:val="Compact"/>
              <w:jc w:val="right"/>
            </w:pPr>
            <w:r>
              <w:rPr>
                <w:sz w:val="18"/>
              </w:rPr>
              <w:t xml:space="preserve">2,443</w:t>
            </w:r>
          </w:p>
        </w:tc>
        <w:tc>
          <w:tcPr/>
          <w:p>
            <w:pPr>
              <w:pStyle w:val="Compact"/>
              <w:jc w:val="right"/>
            </w:pPr>
            <w:r>
              <w:rPr>
                <w:sz w:val="18"/>
              </w:rPr>
              <w:t xml:space="preserve">2,608</w:t>
            </w:r>
          </w:p>
        </w:tc>
        <w:tc>
          <w:tcPr/>
          <w:p>
            <w:pPr>
              <w:pStyle w:val="Compact"/>
              <w:jc w:val="right"/>
            </w:pPr>
            <w:r>
              <w:rPr>
                <w:sz w:val="18"/>
              </w:rPr>
              <w:t xml:space="preserve">20,025</w:t>
            </w:r>
          </w:p>
        </w:tc>
        <w:tc>
          <w:tcPr/>
          <w:p>
            <w:pPr>
              <w:pStyle w:val="Compact"/>
              <w:jc w:val="right"/>
            </w:pPr>
            <w:r>
              <w:rPr>
                <w:sz w:val="18"/>
              </w:rPr>
              <w:t xml:space="preserve">100%</w:t>
            </w:r>
          </w:p>
        </w:tc>
      </w:tr>
      <w:tr>
        <w:tc>
          <w:tcPr/>
          <w:p>
            <w:pPr>
              <w:pStyle w:val="Compact"/>
            </w:pPr>
            <w:r>
              <w:rPr>
                <w:rFonts w:hint="eastAsia"/>
                <w:sz w:val="18"/>
              </w:rPr>
              <w:t xml:space="preserve">容量：K</w:t>
            </w:r>
            <w:r>
              <w:rPr>
                <w:sz w:val="18"/>
              </w:rPr>
              <w:t xml:space="preserve"> </w:t>
            </w:r>
            <w:r>
              <w:rPr>
                <w:rFonts w:hint="eastAsia"/>
                <w:sz w:val="18"/>
              </w:rPr>
              <w:t xml:space="preserve">依存は</w:t>
            </w:r>
            <w:r>
              <w:rPr>
                <w:sz w:val="18"/>
              </w:rPr>
              <w:t xml:space="preserve"> LTDA </w:t>
            </w:r>
            <w:r>
              <w:rPr>
                <w:rFonts w:hint="eastAsia"/>
                <w:sz w:val="18"/>
              </w:rPr>
              <w:t xml:space="preserve">以外の容量だけ</w:t>
            </w:r>
          </w:p>
        </w:tc>
        <w:tc>
          <w:tcPr/>
          <w:p>
            <w:pPr>
              <w:pStyle w:val="Compact"/>
              <w:jc w:val="right"/>
            </w:pPr>
            <w:r>
              <w:rPr>
                <w:sz w:val="18"/>
              </w:rPr>
              <w:t xml:space="preserve">11,769</w:t>
            </w:r>
          </w:p>
        </w:tc>
        <w:tc>
          <w:tcPr/>
          <w:p>
            <w:pPr>
              <w:pStyle w:val="Compact"/>
              <w:jc w:val="right"/>
            </w:pPr>
            <w:r>
              <w:rPr>
                <w:sz w:val="18"/>
              </w:rPr>
              <w:t xml:space="preserve">5,310</w:t>
            </w:r>
          </w:p>
        </w:tc>
        <w:tc>
          <w:tcPr/>
          <w:p>
            <w:pPr>
              <w:pStyle w:val="Compact"/>
              <w:jc w:val="right"/>
            </w:pPr>
            <w:r>
              <w:rPr>
                <w:sz w:val="18"/>
              </w:rPr>
              <w:t xml:space="preserve">5,711</w:t>
            </w:r>
          </w:p>
        </w:tc>
        <w:tc>
          <w:tcPr/>
          <w:p>
            <w:pPr>
              <w:pStyle w:val="Compact"/>
              <w:jc w:val="right"/>
            </w:pPr>
            <w:r>
              <w:rPr>
                <w:sz w:val="18"/>
              </w:rPr>
              <w:t xml:space="preserve">12,733</w:t>
            </w:r>
          </w:p>
        </w:tc>
        <w:tc>
          <w:tcPr/>
          <w:p>
            <w:pPr>
              <w:pStyle w:val="Compact"/>
              <w:jc w:val="right"/>
            </w:pPr>
            <w:r>
              <w:rPr>
                <w:sz w:val="18"/>
              </w:rPr>
              <w:t xml:space="preserve">57%</w:t>
            </w:r>
          </w:p>
        </w:tc>
      </w:tr>
      <w:tr>
        <w:tc>
          <w:tcPr/>
          <w:p>
            <w:pPr>
              <w:pStyle w:val="Compact"/>
            </w:pPr>
            <m:oMath>
              <m:r>
                <m:t>K</m:t>
              </m:r>
              <m:r>
                <m:rPr>
                  <m:sty m:val="p"/>
                </m:rPr>
                <m:t>=</m:t>
              </m:r>
              <m:r>
                <m:t>0</m:t>
              </m:r>
            </m:oMath>
            <w:r>
              <w:rPr>
                <w:rFonts w:hint="eastAsia"/>
                <w:sz w:val="18"/>
              </w:rPr>
              <w:t xml:space="preserve">（他者の参入なし）</w:t>
            </w:r>
          </w:p>
        </w:tc>
        <w:tc>
          <w:tcPr/>
          <w:p>
            <w:pPr>
              <w:pStyle w:val="Compact"/>
              <w:jc w:val="right"/>
            </w:pPr>
            <w:r>
              <w:rPr>
                <w:sz w:val="18"/>
              </w:rPr>
              <w:t xml:space="preserve">17,814</w:t>
            </w:r>
          </w:p>
        </w:tc>
        <w:tc>
          <w:tcPr/>
          <w:p>
            <w:pPr>
              <w:pStyle w:val="Compact"/>
              <w:jc w:val="right"/>
            </w:pPr>
            <w:r>
              <w:rPr>
                <w:sz w:val="18"/>
              </w:rPr>
              <w:t xml:space="preserve">6,181</w:t>
            </w:r>
          </w:p>
        </w:tc>
        <w:tc>
          <w:tcPr/>
          <w:p>
            <w:pPr>
              <w:pStyle w:val="Compact"/>
              <w:jc w:val="right"/>
            </w:pPr>
            <w:r>
              <w:rPr>
                <w:sz w:val="18"/>
              </w:rPr>
              <w:t xml:space="preserve">7,218</w:t>
            </w:r>
          </w:p>
        </w:tc>
        <w:tc>
          <w:tcPr/>
          <w:p>
            <w:pPr>
              <w:pStyle w:val="Compact"/>
              <w:jc w:val="right"/>
            </w:pPr>
            <w:r>
              <w:rPr>
                <w:sz w:val="18"/>
              </w:rPr>
              <w:t xml:space="preserve">7,559</w:t>
            </w:r>
          </w:p>
        </w:tc>
        <w:tc>
          <w:tcPr/>
          <w:p>
            <w:pPr>
              <w:pStyle w:val="Compact"/>
              <w:jc w:val="right"/>
            </w:pPr>
            <w:r>
              <w:rPr>
                <w:sz w:val="18"/>
              </w:rPr>
              <w:t xml:space="preserve">7%</w:t>
            </w:r>
          </w:p>
        </w:tc>
      </w:tr>
      <w:tr>
        <w:tc>
          <w:tcPr/>
          <w:p>
            <w:pPr>
              <w:pStyle w:val="Compact"/>
            </w:pPr>
            <w:r>
              <w:rPr>
                <w:rFonts w:hint="eastAsia"/>
                <w:sz w:val="18"/>
              </w:rPr>
              <w:t xml:space="preserve">K：20〜99.1万kW（4時間換算）</w:t>
            </w:r>
          </w:p>
        </w:tc>
        <w:tc>
          <w:tcPr/>
          <w:p>
            <w:pPr>
              <w:pStyle w:val="Compact"/>
              <w:jc w:val="right"/>
            </w:pPr>
            <w:r>
              <w:rPr>
                <w:sz w:val="18"/>
              </w:rPr>
              <w:t xml:space="preserve">10,188</w:t>
            </w:r>
          </w:p>
        </w:tc>
        <w:tc>
          <w:tcPr/>
          <w:p>
            <w:pPr>
              <w:pStyle w:val="Compact"/>
              <w:jc w:val="right"/>
            </w:pPr>
            <w:r>
              <w:rPr>
                <w:sz w:val="18"/>
              </w:rPr>
              <w:t xml:space="preserve">6,059</w:t>
            </w:r>
          </w:p>
        </w:tc>
        <w:tc>
          <w:tcPr/>
          <w:p>
            <w:pPr>
              <w:pStyle w:val="Compact"/>
              <w:jc w:val="right"/>
            </w:pPr>
            <w:r>
              <w:rPr>
                <w:sz w:val="18"/>
              </w:rPr>
              <w:t xml:space="preserve">6,618</w:t>
            </w:r>
          </w:p>
        </w:tc>
        <w:tc>
          <w:tcPr/>
          <w:p>
            <w:pPr>
              <w:pStyle w:val="Compact"/>
              <w:jc w:val="right"/>
            </w:pPr>
            <w:r>
              <w:rPr>
                <w:sz w:val="18"/>
              </w:rPr>
              <w:t xml:space="preserve">15,062</w:t>
            </w:r>
          </w:p>
        </w:tc>
        <w:tc>
          <w:tcPr/>
          <w:p>
            <w:pPr>
              <w:pStyle w:val="Compact"/>
              <w:jc w:val="right"/>
            </w:pPr>
            <w:r>
              <w:rPr>
                <w:sz w:val="18"/>
              </w:rPr>
              <w:t xml:space="preserve">73%</w:t>
            </w:r>
          </w:p>
        </w:tc>
      </w:tr>
      <w:tr>
        <w:tc>
          <w:tcPr/>
          <w:p>
            <w:pPr>
              <w:pStyle w:val="Compact"/>
            </w:pPr>
            <w:r>
              <w:rPr>
                <w:rFonts w:hint="eastAsia"/>
                <w:sz w:val="18"/>
              </w:rPr>
              <w:t xml:space="preserve">K：20〜120万kW</w:t>
            </w:r>
          </w:p>
        </w:tc>
        <w:tc>
          <w:tcPr/>
          <w:p>
            <w:pPr>
              <w:pStyle w:val="Compact"/>
              <w:jc w:val="right"/>
            </w:pPr>
            <w:r>
              <w:rPr>
                <w:sz w:val="18"/>
              </w:rPr>
              <w:t xml:space="preserve">9,325</w:t>
            </w:r>
          </w:p>
        </w:tc>
        <w:tc>
          <w:tcPr/>
          <w:p>
            <w:pPr>
              <w:pStyle w:val="Compact"/>
              <w:jc w:val="right"/>
            </w:pPr>
            <w:r>
              <w:rPr>
                <w:sz w:val="18"/>
              </w:rPr>
              <w:t xml:space="preserve">6,285</w:t>
            </w:r>
          </w:p>
        </w:tc>
        <w:tc>
          <w:tcPr/>
          <w:p>
            <w:pPr>
              <w:pStyle w:val="Compact"/>
              <w:jc w:val="right"/>
            </w:pPr>
            <w:r>
              <w:rPr>
                <w:sz w:val="18"/>
              </w:rPr>
              <w:t xml:space="preserve">6,827</w:t>
            </w:r>
          </w:p>
        </w:tc>
        <w:tc>
          <w:tcPr/>
          <w:p>
            <w:pPr>
              <w:pStyle w:val="Compact"/>
              <w:jc w:val="right"/>
            </w:pPr>
            <w:r>
              <w:rPr>
                <w:sz w:val="18"/>
              </w:rPr>
              <w:t xml:space="preserve">16,151</w:t>
            </w:r>
          </w:p>
        </w:tc>
        <w:tc>
          <w:tcPr/>
          <w:p>
            <w:pPr>
              <w:pStyle w:val="Compact"/>
              <w:jc w:val="right"/>
            </w:pPr>
            <w:r>
              <w:rPr>
                <w:sz w:val="18"/>
              </w:rPr>
              <w:t xml:space="preserve">79%</w:t>
            </w:r>
          </w:p>
        </w:tc>
      </w:tr>
      <w:tr>
        <w:tc>
          <w:tcPr/>
          <w:p>
            <w:pPr>
              <w:pStyle w:val="Compact"/>
            </w:pPr>
            <w:r>
              <w:rPr>
                <w:rFonts w:hint="eastAsia"/>
                <w:sz w:val="18"/>
              </w:rPr>
              <w:t xml:space="preserve">K：20〜120万kW・スポット収益が負の年は休止</w:t>
            </w:r>
          </w:p>
        </w:tc>
        <w:tc>
          <w:tcPr/>
          <w:p>
            <w:pPr>
              <w:pStyle w:val="Compact"/>
              <w:jc w:val="right"/>
            </w:pPr>
            <w:r>
              <w:rPr>
                <w:sz w:val="18"/>
              </w:rPr>
              <w:t xml:space="preserve">9,829</w:t>
            </w:r>
          </w:p>
        </w:tc>
        <w:tc>
          <w:tcPr/>
          <w:p>
            <w:pPr>
              <w:pStyle w:val="Compact"/>
              <w:jc w:val="right"/>
            </w:pPr>
            <w:r>
              <w:rPr>
                <w:sz w:val="18"/>
              </w:rPr>
              <w:t xml:space="preserve">5,570</w:t>
            </w:r>
          </w:p>
        </w:tc>
        <w:tc>
          <w:tcPr/>
          <w:p>
            <w:pPr>
              <w:pStyle w:val="Compact"/>
              <w:jc w:val="right"/>
            </w:pPr>
            <w:r>
              <w:rPr>
                <w:sz w:val="18"/>
              </w:rPr>
              <w:t xml:space="preserve">5,876</w:t>
            </w:r>
          </w:p>
        </w:tc>
        <w:tc>
          <w:tcPr/>
          <w:p>
            <w:pPr>
              <w:pStyle w:val="Compact"/>
              <w:jc w:val="right"/>
            </w:pPr>
            <w:r>
              <w:rPr>
                <w:sz w:val="18"/>
              </w:rPr>
              <w:t xml:space="preserve">14,933</w:t>
            </w:r>
          </w:p>
        </w:tc>
        <w:tc>
          <w:tcPr/>
          <w:p>
            <w:pPr>
              <w:pStyle w:val="Compact"/>
              <w:jc w:val="right"/>
            </w:pPr>
            <w:r>
              <w:rPr>
                <w:sz w:val="18"/>
              </w:rPr>
              <w:t xml:space="preserve">79%</w:t>
            </w:r>
          </w:p>
        </w:tc>
      </w:tr>
      <w:tr>
        <w:tc>
          <w:tcPr/>
          <w:p>
            <w:pPr>
              <w:pStyle w:val="Compact"/>
            </w:pPr>
            <w:r>
              <w:rPr>
                <w:rFonts w:hint="eastAsia"/>
                <w:sz w:val="18"/>
              </w:rPr>
              <w:t xml:space="preserve">LTDA（還付9割、主ケースの因子分布）</w:t>
            </w:r>
          </w:p>
        </w:tc>
        <w:tc>
          <w:tcPr/>
          <w:p>
            <w:pPr>
              <w:pStyle w:val="Compact"/>
              <w:jc w:val="right"/>
            </w:pPr>
            <w:r>
              <w:rPr>
                <w:sz w:val="18"/>
              </w:rPr>
              <w:t xml:space="preserve">—</w:t>
            </w:r>
          </w:p>
        </w:tc>
        <w:tc>
          <w:tcPr/>
          <w:p>
            <w:pPr>
              <w:pStyle w:val="Compact"/>
              <w:jc w:val="right"/>
            </w:pPr>
            <w:r>
              <w:rPr>
                <w:sz w:val="18"/>
              </w:rPr>
              <w:t xml:space="preserve">238</w:t>
            </w:r>
          </w:p>
        </w:tc>
        <w:tc>
          <w:tcPr/>
          <w:p>
            <w:pPr>
              <w:pStyle w:val="Compact"/>
              <w:jc w:val="right"/>
            </w:pPr>
            <w:r>
              <w:rPr>
                <w:sz w:val="18"/>
              </w:rPr>
              <w:t xml:space="preserve">255</w:t>
            </w:r>
          </w:p>
        </w:tc>
        <w:tc>
          <w:tcPr/>
          <w:p>
            <w:pPr>
              <w:pStyle w:val="Compact"/>
              <w:jc w:val="right"/>
            </w:pPr>
            <w:r>
              <w:rPr>
                <w:sz w:val="18"/>
              </w:rPr>
              <w:t xml:space="preserve">—</w:t>
            </w:r>
          </w:p>
        </w:tc>
        <w:tc>
          <w:tcPr/>
          <w:p>
            <w:pPr>
              <w:pStyle w:val="Compact"/>
              <w:jc w:val="right"/>
            </w:pPr>
            <w:r>
              <w:rPr>
                <w:sz w:val="18"/>
              </w:rPr>
              <w:t xml:space="preserve">—</w:t>
            </w:r>
          </w:p>
        </w:tc>
      </w:tr>
    </w:tbl>
    <w:p>
      <w:pPr>
        <w:pStyle w:val="TableNote"/>
      </w:pPr>
      <w:r>
        <w:rPr>
          <w:rFonts w:hint="eastAsia"/>
        </w:rPr>
        <w:t xml:space="preserve">注）円/kW-年。実績整合ケース。CFaR・ES</w:t>
      </w:r>
      <w:r>
        <w:t xml:space="preserve"> </w:t>
      </w:r>
      <w:r>
        <w:rPr>
          <w:rFonts w:hint="eastAsia"/>
        </w:rPr>
        <w:t xml:space="preserve">は期待値からの差。基準からの下振れは、他者の参入なし・</w:t>
      </w:r>
      <m:oMath>
        <m:r>
          <m:t>θ</m:t>
        </m:r>
        <m:r>
          <m:rPr>
            <m:sty m:val="p"/>
          </m:rPr>
          <m:t>=</m:t>
        </m:r>
        <m:r>
          <m:t>1</m:t>
        </m:r>
      </m:oMath>
      <w:r>
        <w:rPr>
          <w:rFonts w:hint="eastAsia"/>
        </w:rPr>
        <w:t xml:space="preserve">・容量収入12,517円の基準19,192円と5%分位点の差。固定費は運転維持・廃止0.53万円＋託送等固定0.69万円。20万回のモンテカルロ。K</w:t>
      </w:r>
      <w:r>
        <w:t xml:space="preserve"> </w:t>
      </w:r>
      <w:r>
        <w:rPr>
          <w:rFonts w:hint="eastAsia"/>
        </w:rPr>
        <w:t xml:space="preserve">の分布を第3回の別解（20〜76.8万kW）にすると</w:t>
      </w:r>
      <w:r>
        <w:t xml:space="preserve"> CFaR </w:t>
      </w:r>
      <w:r>
        <w:rPr>
          <w:rFonts w:hint="eastAsia"/>
        </w:rPr>
        <w:t xml:space="preserve">は5,688円。</w:t>
      </w:r>
      <m:oMath>
        <m:r>
          <m:t>π</m:t>
        </m:r>
        <m:r>
          <m:rPr>
            <m:sty m:val="p"/>
          </m:rPr>
          <m:t>(</m:t>
        </m:r>
        <m:r>
          <m:t>K</m:t>
        </m:r>
        <m:r>
          <m:rPr>
            <m:sty m:val="p"/>
          </m:rPr>
          <m:t>)</m:t>
        </m:r>
      </m:oMath>
      <w:r>
        <w:t xml:space="preserve"> </w:t>
      </w:r>
      <w:r>
        <w:rPr>
          <w:rFonts w:hint="eastAsia"/>
        </w:rPr>
        <w:t xml:space="preserve">は充電従量負担を毎日控除するので</w:t>
      </w:r>
      <w:r>
        <w:t xml:space="preserve"> K </w:t>
      </w:r>
      <w:r>
        <w:rPr>
          <w:rFonts w:hint="eastAsia"/>
        </w:rPr>
        <w:t xml:space="preserve">が約71.5万kW</w:t>
      </w:r>
      <w:r>
        <w:t xml:space="preserve"> </w:t>
      </w:r>
      <w:r>
        <w:rPr>
          <w:rFonts w:hint="eastAsia"/>
        </w:rPr>
        <w:t xml:space="preserve">を超えると負になり、年間のスポット収益が負の年を0で下げ止めて休止とみなすと、主ケースの</w:t>
      </w:r>
      <w:r>
        <w:t xml:space="preserve"> CFaR </w:t>
      </w:r>
      <w:r>
        <w:rPr>
          <w:rFonts w:hint="eastAsia"/>
        </w:rPr>
        <w:t xml:space="preserve">は5,869円から5,743円に変わる。</w:t>
      </w:r>
    </w:p>
    <w:p>
      <w:pPr>
        <w:pStyle w:val="TableNote"/>
      </w:pPr>
      <w:r>
        <w:rPr>
          <w:rFonts w:hint="eastAsia"/>
        </w:rPr>
        <w:t xml:space="preserve">出所）日本卸電力取引所『スポット市場取引結果』、電力広域的運営推進機関『容量市場メインオークション約定結果』より筆者作成。</w:t>
      </w:r>
    </w:p>
    <w:p>
      <w:pPr>
        <w:pStyle w:val="TableCaption"/>
      </w:pPr>
      <w:r>
        <w:rPr>
          <w:rFonts w:hint="eastAsia"/>
        </w:rPr>
        <w:t xml:space="preserve">表C.47</w:t>
      </w:r>
      <w:r>
        <w:t xml:space="preserve">　5% CFaR </w:t>
      </w:r>
      <w:r>
        <w:rPr>
          <w:rFonts w:hint="eastAsia"/>
        </w:rPr>
        <w:t xml:space="preserve">の因子別</w:t>
      </w:r>
      <w:r>
        <w:t xml:space="preserve"> Shapley </w:t>
      </w:r>
      <w:r>
        <w:rPr>
          <w:rFonts w:hint="eastAsia"/>
        </w:rPr>
        <w:t xml:space="preserve">配分（感応度）</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7　5% CFaR の因子別 Shapley 配分（感応度）"/>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因子</w:t>
            </w:r>
          </w:p>
        </w:tc>
        <w:tc>
          <w:tcPr>
            <w:tcBorders>
              <w:bottom w:val="single" w:sz="6" w:color="000000"/>
            </w:tcBorders>
          </w:tcPr>
          <w:p>
            <w:pPr>
              <w:pStyle w:val="Compact"/>
              <w:jc w:val="right"/>
            </w:pPr>
            <w:r>
              <w:rPr>
                <w:rFonts w:hint="eastAsia"/>
                <w:sz w:val="18"/>
              </w:rPr>
              <w:t xml:space="preserve">主ケース</w:t>
            </w:r>
          </w:p>
        </w:tc>
        <w:tc>
          <w:tcPr>
            <w:tcBorders>
              <w:bottom w:val="single" w:sz="6" w:color="000000"/>
            </w:tcBorders>
          </w:tcPr>
          <w:p>
            <w:pPr>
              <w:pStyle w:val="Compact"/>
              <w:jc w:val="right"/>
            </w:pPr>
            <m:oMath>
              <m:r>
                <m:t>θ</m:t>
              </m:r>
            </m:oMath>
            <w:r>
              <w:rPr>
                <w:rFonts w:hint="eastAsia"/>
                <w:sz w:val="18"/>
              </w:rPr>
              <w:t xml:space="preserve">：FY2022</w:t>
            </w:r>
            <w:r>
              <w:rPr>
                <w:sz w:val="18"/>
              </w:rPr>
              <w:t xml:space="preserve"> </w:t>
            </w:r>
            <w:r>
              <w:rPr>
                <w:rFonts w:hint="eastAsia"/>
                <w:sz w:val="18"/>
              </w:rPr>
              <w:t xml:space="preserve">除く</w:t>
            </w:r>
          </w:p>
        </w:tc>
        <w:tc>
          <w:tcPr>
            <w:tcBorders>
              <w:bottom w:val="single" w:sz="6" w:color="000000"/>
            </w:tcBorders>
          </w:tcPr>
          <w:p>
            <w:pPr>
              <w:pStyle w:val="Compact"/>
              <w:jc w:val="right"/>
            </w:pPr>
            <w:r>
              <w:rPr>
                <w:rFonts w:hint="eastAsia"/>
                <w:sz w:val="18"/>
              </w:rPr>
              <w:t xml:space="preserve">容量：3値</w:t>
            </w:r>
          </w:p>
        </w:tc>
        <w:tc>
          <w:tcPr>
            <w:tcBorders>
              <w:bottom w:val="single" w:sz="6" w:color="000000"/>
            </w:tcBorders>
          </w:tcPr>
          <w:p>
            <w:pPr>
              <w:pStyle w:val="Compact"/>
              <w:jc w:val="right"/>
            </w:pPr>
            <w:r>
              <w:rPr>
                <w:rFonts w:hint="eastAsia"/>
                <w:sz w:val="18"/>
              </w:rPr>
              <w:t xml:space="preserve">北海道ブロック按分</w:t>
            </w:r>
          </w:p>
        </w:tc>
        <w:tc>
          <w:tcPr>
            <w:tcBorders>
              <w:bottom w:val="single" w:sz="6" w:color="000000"/>
            </w:tcBorders>
          </w:tcPr>
          <w:p>
            <w:pPr>
              <w:pStyle w:val="Compact"/>
              <w:jc w:val="right"/>
            </w:pPr>
            <m:oMath>
              <m:r>
                <m:t>K</m:t>
              </m:r>
              <m:r>
                <m:rPr>
                  <m:sty m:val="p"/>
                </m:rPr>
                <m:t>=</m:t>
              </m:r>
              <m:r>
                <m:t>0</m:t>
              </m:r>
            </m:oMath>
          </w:p>
        </w:tc>
        <w:tc>
          <w:tcPr>
            <w:tcBorders>
              <w:bottom w:val="single" w:sz="6" w:color="000000"/>
            </w:tcBorders>
          </w:tcPr>
          <w:p>
            <w:pPr>
              <w:pStyle w:val="Compact"/>
              <w:jc w:val="right"/>
            </w:pPr>
            <w:r>
              <w:rPr>
                <w:rFonts w:hint="eastAsia"/>
                <w:sz w:val="18"/>
              </w:rPr>
              <w:t xml:space="preserve">LTDA（還付9割）</w:t>
            </w:r>
          </w:p>
        </w:tc>
      </w:tr>
      <w:tr>
        <w:tc>
          <w:tcPr/>
          <w:p>
            <w:pPr>
              <w:pStyle w:val="Compact"/>
            </w:pPr>
            <w:r>
              <w:rPr>
                <w:rFonts w:hint="eastAsia"/>
                <w:sz w:val="18"/>
              </w:rPr>
              <w:t xml:space="preserve">価格水準</w:t>
            </w:r>
            <w:r>
              <w:rPr>
                <w:sz w:val="18"/>
              </w:rPr>
              <w:t xml:space="preserve"> </w:t>
            </w:r>
            <m:oMath>
              <m:r>
                <m:t>θ</m:t>
              </m:r>
            </m:oMath>
          </w:p>
        </w:tc>
        <w:tc>
          <w:tcPr/>
          <w:p>
            <w:pPr>
              <w:pStyle w:val="Compact"/>
              <w:jc w:val="right"/>
            </w:pPr>
            <w:r>
              <w:rPr>
                <w:rFonts w:hint="eastAsia"/>
                <w:sz w:val="18"/>
              </w:rPr>
              <w:t xml:space="preserve">470（8%）</w:t>
            </w:r>
          </w:p>
        </w:tc>
        <w:tc>
          <w:tcPr/>
          <w:p>
            <w:pPr>
              <w:pStyle w:val="Compact"/>
              <w:jc w:val="right"/>
            </w:pPr>
            <w:r>
              <w:rPr>
                <w:rFonts w:hint="eastAsia"/>
                <w:sz w:val="18"/>
              </w:rPr>
              <w:t xml:space="preserve">272（5%）</w:t>
            </w:r>
          </w:p>
        </w:tc>
        <w:tc>
          <w:tcPr/>
          <w:p>
            <w:pPr>
              <w:pStyle w:val="Compact"/>
              <w:jc w:val="right"/>
            </w:pPr>
            <w:r>
              <w:rPr>
                <w:rFonts w:hint="eastAsia"/>
                <w:sz w:val="18"/>
              </w:rPr>
              <w:t xml:space="preserve">484（14%）</w:t>
            </w:r>
          </w:p>
        </w:tc>
        <w:tc>
          <w:tcPr/>
          <w:p>
            <w:pPr>
              <w:pStyle w:val="Compact"/>
              <w:jc w:val="right"/>
            </w:pPr>
            <w:r>
              <w:rPr>
                <w:rFonts w:hint="eastAsia"/>
                <w:sz w:val="18"/>
              </w:rPr>
              <w:t xml:space="preserve">553（23%）</w:t>
            </w:r>
          </w:p>
        </w:tc>
        <w:tc>
          <w:tcPr/>
          <w:p>
            <w:pPr>
              <w:pStyle w:val="Compact"/>
              <w:jc w:val="right"/>
            </w:pPr>
            <w:r>
              <w:rPr>
                <w:rFonts w:hint="eastAsia"/>
                <w:sz w:val="18"/>
              </w:rPr>
              <w:t xml:space="preserve">1,907（31%）</w:t>
            </w:r>
          </w:p>
        </w:tc>
        <w:tc>
          <w:tcPr/>
          <w:p>
            <w:pPr>
              <w:pStyle w:val="Compact"/>
              <w:jc w:val="right"/>
            </w:pPr>
            <w:r>
              <w:rPr>
                <w:sz w:val="18"/>
              </w:rPr>
              <w:t xml:space="preserve">55</w:t>
            </w:r>
          </w:p>
        </w:tc>
      </w:tr>
      <w:tr>
        <w:tc>
          <w:tcPr/>
          <w:p>
            <w:pPr>
              <w:pStyle w:val="Compact"/>
            </w:pPr>
            <w:r>
              <w:rPr>
                <w:rFonts w:hint="eastAsia"/>
                <w:sz w:val="18"/>
              </w:rPr>
              <w:t xml:space="preserve">他者の参入</w:t>
            </w:r>
            <w:r>
              <w:rPr>
                <w:sz w:val="18"/>
              </w:rPr>
              <w:t xml:space="preserve"> </w:t>
            </w:r>
            <m:oMath>
              <m:r>
                <m:t>K</m:t>
              </m:r>
            </m:oMath>
          </w:p>
        </w:tc>
        <w:tc>
          <w:tcPr/>
          <w:p>
            <w:pPr>
              <w:pStyle w:val="Compact"/>
              <w:jc w:val="right"/>
            </w:pPr>
            <w:r>
              <w:rPr>
                <w:rFonts w:hint="eastAsia"/>
                <w:sz w:val="18"/>
              </w:rPr>
              <w:t xml:space="preserve">2,025（35%）</w:t>
            </w:r>
          </w:p>
        </w:tc>
        <w:tc>
          <w:tcPr/>
          <w:p>
            <w:pPr>
              <w:pStyle w:val="Compact"/>
              <w:jc w:val="right"/>
            </w:pPr>
            <w:r>
              <w:rPr>
                <w:rFonts w:hint="eastAsia"/>
                <w:sz w:val="18"/>
              </w:rPr>
              <w:t xml:space="preserve">2,107（36%）</w:t>
            </w:r>
          </w:p>
        </w:tc>
        <w:tc>
          <w:tcPr/>
          <w:p>
            <w:pPr>
              <w:pStyle w:val="Compact"/>
              <w:jc w:val="right"/>
            </w:pPr>
            <w:r>
              <w:rPr>
                <w:rFonts w:hint="eastAsia"/>
                <w:sz w:val="18"/>
              </w:rPr>
              <w:t xml:space="preserve">2,109（60%）</w:t>
            </w:r>
          </w:p>
        </w:tc>
        <w:tc>
          <w:tcPr/>
          <w:p>
            <w:pPr>
              <w:pStyle w:val="Compact"/>
              <w:jc w:val="right"/>
            </w:pPr>
            <w:r>
              <w:rPr>
                <w:rFonts w:hint="eastAsia"/>
                <w:sz w:val="18"/>
              </w:rPr>
              <w:t xml:space="preserve">1,399（57%）</w:t>
            </w:r>
          </w:p>
        </w:tc>
        <w:tc>
          <w:tcPr/>
          <w:p>
            <w:pPr>
              <w:pStyle w:val="Compact"/>
              <w:jc w:val="right"/>
            </w:pPr>
            <w:r>
              <w:rPr>
                <w:sz w:val="18"/>
              </w:rPr>
              <w:t xml:space="preserve">—</w:t>
            </w:r>
          </w:p>
        </w:tc>
        <w:tc>
          <w:tcPr/>
          <w:p>
            <w:pPr>
              <w:pStyle w:val="Compact"/>
              <w:jc w:val="right"/>
            </w:pPr>
            <w:r>
              <w:rPr>
                <w:sz w:val="18"/>
              </w:rPr>
              <w:t xml:space="preserve">136</w:t>
            </w:r>
          </w:p>
        </w:tc>
      </w:tr>
      <w:tr>
        <w:tc>
          <w:tcPr/>
          <w:p>
            <w:pPr>
              <w:pStyle w:val="Compact"/>
            </w:pPr>
            <w:r>
              <w:rPr>
                <w:rFonts w:hint="eastAsia"/>
                <w:sz w:val="18"/>
              </w:rPr>
              <w:t xml:space="preserve">容量価格の約定水準</w:t>
            </w:r>
            <w:r>
              <w:rPr>
                <w:sz w:val="18"/>
              </w:rPr>
              <w:t xml:space="preserve"> </w:t>
            </w:r>
            <m:oMath>
              <m:r>
                <m:t>L</m:t>
              </m:r>
            </m:oMath>
          </w:p>
        </w:tc>
        <w:tc>
          <w:tcPr/>
          <w:p>
            <w:pPr>
              <w:pStyle w:val="Compact"/>
              <w:jc w:val="right"/>
            </w:pPr>
            <w:r>
              <w:rPr>
                <w:rFonts w:hint="eastAsia"/>
                <w:sz w:val="18"/>
              </w:rPr>
              <w:t xml:space="preserve">2,972（51%）</w:t>
            </w:r>
          </w:p>
        </w:tc>
        <w:tc>
          <w:tcPr/>
          <w:p>
            <w:pPr>
              <w:pStyle w:val="Compact"/>
              <w:jc w:val="right"/>
            </w:pPr>
            <w:r>
              <w:rPr>
                <w:rFonts w:hint="eastAsia"/>
                <w:sz w:val="18"/>
              </w:rPr>
              <w:t xml:space="preserve">2,997（52%）</w:t>
            </w:r>
          </w:p>
        </w:tc>
        <w:tc>
          <w:tcPr/>
          <w:p>
            <w:pPr>
              <w:pStyle w:val="Compact"/>
              <w:jc w:val="right"/>
            </w:pPr>
            <w:r>
              <w:rPr>
                <w:rFonts w:hint="eastAsia"/>
                <w:sz w:val="18"/>
              </w:rPr>
              <w:t xml:space="preserve">523（15%）</w:t>
            </w:r>
          </w:p>
        </w:tc>
        <w:tc>
          <w:tcPr/>
          <w:p>
            <w:pPr>
              <w:pStyle w:val="Compact"/>
              <w:jc w:val="right"/>
            </w:pPr>
            <w:r>
              <w:rPr>
                <w:rFonts w:hint="eastAsia"/>
                <w:sz w:val="18"/>
              </w:rPr>
              <w:t xml:space="preserve">25（1%）</w:t>
            </w:r>
          </w:p>
        </w:tc>
        <w:tc>
          <w:tcPr/>
          <w:p>
            <w:pPr>
              <w:pStyle w:val="Compact"/>
              <w:jc w:val="right"/>
            </w:pPr>
            <w:r>
              <w:rPr>
                <w:rFonts w:hint="eastAsia"/>
                <w:sz w:val="18"/>
              </w:rPr>
              <w:t xml:space="preserve">2,585（42%）</w:t>
            </w:r>
          </w:p>
        </w:tc>
        <w:tc>
          <w:tcPr/>
          <w:p>
            <w:pPr>
              <w:pStyle w:val="Compact"/>
              <w:jc w:val="right"/>
            </w:pPr>
            <w:r>
              <w:rPr>
                <w:sz w:val="18"/>
              </w:rPr>
              <w:t xml:space="preserve">0</w:t>
            </w:r>
          </w:p>
        </w:tc>
      </w:tr>
      <w:tr>
        <w:tc>
          <w:tcPr/>
          <w:p>
            <w:pPr>
              <w:pStyle w:val="Compact"/>
            </w:pPr>
            <w:r>
              <w:rPr>
                <w:rFonts w:hint="eastAsia"/>
                <w:sz w:val="18"/>
              </w:rPr>
              <w:t xml:space="preserve">年度単位の形状</w:t>
            </w:r>
            <w:r>
              <w:rPr>
                <w:sz w:val="18"/>
              </w:rPr>
              <w:t xml:space="preserve"> </w:t>
            </w:r>
            <m:oMath>
              <m:r>
                <m:t>S</m:t>
              </m:r>
            </m:oMath>
          </w:p>
        </w:tc>
        <w:tc>
          <w:tcPr/>
          <w:p>
            <w:pPr>
              <w:pStyle w:val="Compact"/>
              <w:jc w:val="right"/>
            </w:pPr>
            <w:r>
              <w:rPr>
                <w:rFonts w:hint="eastAsia"/>
                <w:sz w:val="18"/>
              </w:rPr>
              <w:t xml:space="preserve">351（6%）</w:t>
            </w:r>
          </w:p>
        </w:tc>
        <w:tc>
          <w:tcPr/>
          <w:p>
            <w:pPr>
              <w:pStyle w:val="Compact"/>
              <w:jc w:val="right"/>
            </w:pPr>
            <w:r>
              <w:rPr>
                <w:rFonts w:hint="eastAsia"/>
                <w:sz w:val="18"/>
              </w:rPr>
              <w:t xml:space="preserve">369（6%）</w:t>
            </w:r>
          </w:p>
        </w:tc>
        <w:tc>
          <w:tcPr/>
          <w:p>
            <w:pPr>
              <w:pStyle w:val="Compact"/>
              <w:jc w:val="right"/>
            </w:pPr>
            <w:r>
              <w:rPr>
                <w:rFonts w:hint="eastAsia"/>
                <w:sz w:val="18"/>
              </w:rPr>
              <w:t xml:space="preserve">364（10%）</w:t>
            </w:r>
          </w:p>
        </w:tc>
        <w:tc>
          <w:tcPr/>
          <w:p>
            <w:pPr>
              <w:pStyle w:val="Compact"/>
              <w:jc w:val="right"/>
            </w:pPr>
            <w:r>
              <w:rPr>
                <w:rFonts w:hint="eastAsia"/>
                <w:sz w:val="18"/>
              </w:rPr>
              <w:t xml:space="preserve">411（17%）</w:t>
            </w:r>
          </w:p>
        </w:tc>
        <w:tc>
          <w:tcPr/>
          <w:p>
            <w:pPr>
              <w:pStyle w:val="Compact"/>
              <w:jc w:val="right"/>
            </w:pPr>
            <w:r>
              <w:rPr>
                <w:rFonts w:hint="eastAsia"/>
                <w:sz w:val="18"/>
              </w:rPr>
              <w:t xml:space="preserve">1,504（24%）</w:t>
            </w:r>
          </w:p>
        </w:tc>
        <w:tc>
          <w:tcPr/>
          <w:p>
            <w:pPr>
              <w:pStyle w:val="Compact"/>
              <w:jc w:val="right"/>
            </w:pPr>
            <w:r>
              <w:rPr>
                <w:sz w:val="18"/>
              </w:rPr>
              <w:t xml:space="preserve">41</w:t>
            </w:r>
          </w:p>
        </w:tc>
      </w:tr>
      <w:tr>
        <w:tc>
          <w:tcPr/>
          <w:p>
            <w:pPr>
              <w:pStyle w:val="Compact"/>
            </w:pPr>
            <w:r>
              <w:rPr>
                <w:rFonts w:hint="eastAsia"/>
                <w:sz w:val="18"/>
              </w:rPr>
              <w:t xml:space="preserve">日々の天候</w:t>
            </w:r>
            <w:r>
              <w:rPr>
                <w:sz w:val="18"/>
              </w:rPr>
              <w:t xml:space="preserve"> </w:t>
            </w:r>
            <m:oMath>
              <m:r>
                <m:t>ω</m:t>
              </m:r>
            </m:oMath>
          </w:p>
        </w:tc>
        <w:tc>
          <w:tcPr/>
          <w:p>
            <w:pPr>
              <w:pStyle w:val="Compact"/>
              <w:jc w:val="right"/>
            </w:pPr>
            <w:r>
              <w:rPr>
                <w:rFonts w:hint="eastAsia"/>
                <w:sz w:val="18"/>
              </w:rPr>
              <w:t xml:space="preserve">50（1%）</w:t>
            </w:r>
          </w:p>
        </w:tc>
        <w:tc>
          <w:tcPr/>
          <w:p>
            <w:pPr>
              <w:pStyle w:val="Compact"/>
              <w:jc w:val="right"/>
            </w:pPr>
            <w:r>
              <w:rPr>
                <w:rFonts w:hint="eastAsia"/>
                <w:sz w:val="18"/>
              </w:rPr>
              <w:t xml:space="preserve">51（1%）</w:t>
            </w:r>
          </w:p>
        </w:tc>
        <w:tc>
          <w:tcPr/>
          <w:p>
            <w:pPr>
              <w:pStyle w:val="Compact"/>
              <w:jc w:val="right"/>
            </w:pPr>
            <w:r>
              <w:rPr>
                <w:rFonts w:hint="eastAsia"/>
                <w:sz w:val="18"/>
              </w:rPr>
              <w:t xml:space="preserve">51（1%）</w:t>
            </w:r>
          </w:p>
        </w:tc>
        <w:tc>
          <w:tcPr/>
          <w:p>
            <w:pPr>
              <w:pStyle w:val="Compact"/>
              <w:jc w:val="right"/>
            </w:pPr>
            <w:r>
              <w:rPr>
                <w:rFonts w:hint="eastAsia"/>
                <w:sz w:val="18"/>
              </w:rPr>
              <w:t xml:space="preserve">55（2%）</w:t>
            </w:r>
          </w:p>
        </w:tc>
        <w:tc>
          <w:tcPr/>
          <w:p>
            <w:pPr>
              <w:pStyle w:val="Compact"/>
              <w:jc w:val="right"/>
            </w:pPr>
            <w:r>
              <w:rPr>
                <w:rFonts w:hint="eastAsia"/>
                <w:sz w:val="18"/>
              </w:rPr>
              <w:t xml:space="preserve">185（3%）</w:t>
            </w:r>
          </w:p>
        </w:tc>
        <w:tc>
          <w:tcPr/>
          <w:p>
            <w:pPr>
              <w:pStyle w:val="Compact"/>
              <w:jc w:val="right"/>
            </w:pPr>
            <w:r>
              <w:rPr>
                <w:sz w:val="18"/>
              </w:rPr>
              <w:t xml:space="preserve">6</w:t>
            </w:r>
          </w:p>
        </w:tc>
      </w:tr>
      <w:tr>
        <w:tc>
          <w:tcPr/>
          <w:p>
            <w:pPr>
              <w:pStyle w:val="Compact"/>
            </w:pPr>
            <w:r>
              <w:rPr>
                <w:sz w:val="18"/>
              </w:rPr>
              <w:t xml:space="preserve">5% CFaR </w:t>
            </w:r>
            <w:r>
              <w:rPr>
                <w:rFonts w:hint="eastAsia"/>
                <w:sz w:val="18"/>
              </w:rPr>
              <w:t xml:space="preserve">計</w:t>
            </w:r>
          </w:p>
        </w:tc>
        <w:tc>
          <w:tcPr/>
          <w:p>
            <w:pPr>
              <w:pStyle w:val="Compact"/>
              <w:jc w:val="right"/>
            </w:pPr>
            <w:r>
              <w:rPr>
                <w:sz w:val="18"/>
              </w:rPr>
              <w:t xml:space="preserve">5,869</w:t>
            </w:r>
          </w:p>
        </w:tc>
        <w:tc>
          <w:tcPr/>
          <w:p>
            <w:pPr>
              <w:pStyle w:val="Compact"/>
              <w:jc w:val="right"/>
            </w:pPr>
            <w:r>
              <w:rPr>
                <w:sz w:val="18"/>
              </w:rPr>
              <w:t xml:space="preserve">5,797</w:t>
            </w:r>
          </w:p>
        </w:tc>
        <w:tc>
          <w:tcPr/>
          <w:p>
            <w:pPr>
              <w:pStyle w:val="Compact"/>
              <w:jc w:val="right"/>
            </w:pPr>
            <w:r>
              <w:rPr>
                <w:sz w:val="18"/>
              </w:rPr>
              <w:t xml:space="preserve">3,532</w:t>
            </w:r>
          </w:p>
        </w:tc>
        <w:tc>
          <w:tcPr/>
          <w:p>
            <w:pPr>
              <w:pStyle w:val="Compact"/>
              <w:jc w:val="right"/>
            </w:pPr>
            <w:r>
              <w:rPr>
                <w:sz w:val="18"/>
              </w:rPr>
              <w:t xml:space="preserve">2,443</w:t>
            </w:r>
          </w:p>
        </w:tc>
        <w:tc>
          <w:tcPr/>
          <w:p>
            <w:pPr>
              <w:pStyle w:val="Compact"/>
              <w:jc w:val="right"/>
            </w:pPr>
            <w:r>
              <w:rPr>
                <w:sz w:val="18"/>
              </w:rPr>
              <w:t xml:space="preserve">6,181</w:t>
            </w:r>
          </w:p>
        </w:tc>
        <w:tc>
          <w:tcPr/>
          <w:p>
            <w:pPr>
              <w:pStyle w:val="Compact"/>
              <w:jc w:val="right"/>
            </w:pPr>
            <w:r>
              <w:rPr>
                <w:sz w:val="18"/>
              </w:rPr>
              <w:t xml:space="preserve">238</w:t>
            </w:r>
          </w:p>
        </w:tc>
      </w:tr>
    </w:tbl>
    <w:p>
      <w:pPr>
        <w:pStyle w:val="TableNote"/>
      </w:pPr>
      <w:r>
        <w:rPr>
          <w:rFonts w:hint="eastAsia"/>
        </w:rPr>
        <w:t xml:space="preserve">注）円/kW-年、実績整合ケース、括弧内は構成比。含めない因子は基準値（</w:t>
      </w:r>
      <m:oMath>
        <m:r>
          <m:t>θ</m:t>
        </m:r>
        <m:r>
          <m:rPr>
            <m:sty m:val="p"/>
          </m:rPr>
          <m:t>=</m:t>
        </m:r>
        <m:r>
          <m:t>1</m:t>
        </m:r>
      </m:oMath>
      <w:r>
        <w:rPr>
          <w:rFonts w:hint="eastAsia"/>
        </w:rPr>
        <w:t xml:space="preserve">（中央値）・</w:t>
      </w:r>
      <m:oMath>
        <m:r>
          <m:t>S</m:t>
        </m:r>
      </m:oMath>
      <w:r>
        <w:t xml:space="preserve">=</w:t>
      </w:r>
      <m:oMath>
        <m:r>
          <m:t>ω</m:t>
        </m:r>
        <m:r>
          <m:rPr>
            <m:sty m:val="p"/>
          </m:rPr>
          <m:t>=</m:t>
        </m:r>
        <m:r>
          <m:t>1</m:t>
        </m:r>
      </m:oMath>
      <w:r>
        <w:t xml:space="preserve">・</w:t>
      </w:r>
      <m:oMath>
        <m:r>
          <m:t>K</m:t>
        </m:r>
        <m:r>
          <m:rPr>
            <m:sty m:val="p"/>
          </m:rPr>
          <m:t>=</m:t>
        </m:r>
        <m:r>
          <m:t>53.7</m:t>
        </m:r>
      </m:oMath>
      <w:r>
        <w:t xml:space="preserve"> </w:t>
      </w:r>
      <w:r>
        <w:rPr>
          <w:rFonts w:hint="eastAsia"/>
        </w:rPr>
        <w:t xml:space="preserve">万kW・</w:t>
      </w:r>
      <m:oMath>
        <m:r>
          <m:t>L</m:t>
        </m:r>
        <m:r>
          <m:rPr>
            <m:sty m:val="p"/>
          </m:rPr>
          <m:t>=</m:t>
        </m:r>
        <m:r>
          <m:t>10</m:t>
        </m:r>
        <m:r>
          <m:rPr>
            <m:sty m:val="p"/>
          </m:rPr>
          <m:t>,</m:t>
        </m:r>
        <m:r>
          <m:t>830</m:t>
        </m:r>
      </m:oMath>
      <w:r>
        <w:t xml:space="preserve"> </w:t>
      </w:r>
      <w:r>
        <w:rPr>
          <w:rFonts w:hint="eastAsia"/>
        </w:rPr>
        <w:t xml:space="preserve">円）に固定し、全32部分集合で計算。LTDA</w:t>
      </w:r>
      <w:r>
        <w:t xml:space="preserve"> </w:t>
      </w:r>
      <w:r>
        <w:rPr>
          <w:rFonts w:hint="eastAsia"/>
        </w:rPr>
        <w:t xml:space="preserve">列は固定収入＋スポット収益の1割の</w:t>
      </w:r>
      <w:r>
        <w:t xml:space="preserve"> CFaR </w:t>
      </w:r>
      <w:r>
        <w:rPr>
          <w:rFonts w:hint="eastAsia"/>
        </w:rPr>
        <w:t xml:space="preserve">の配分。</w:t>
      </w:r>
    </w:p>
    <w:p>
      <w:pPr>
        <w:pStyle w:val="TableNote"/>
      </w:pPr>
      <w:r>
        <w:rPr>
          <w:rFonts w:hint="eastAsia"/>
        </w:rPr>
        <w:t xml:space="preserve">出所）表C.46</w:t>
      </w:r>
      <w:r>
        <w:t xml:space="preserve"> </w:t>
      </w:r>
      <w:r>
        <w:rPr>
          <w:rFonts w:hint="eastAsia"/>
        </w:rPr>
        <w:t xml:space="preserve">と同じ。</w:t>
      </w:r>
    </w:p>
    <w:bookmarkEnd w:id="388"/>
    <w:bookmarkStart w:id="389" w:name="c.4.7-ヘッジ有効性の詳細"/>
    <w:p>
      <w:pPr>
        <w:pStyle w:val="Heading3"/>
      </w:pPr>
      <w:r>
        <w:t xml:space="preserve">C.4.7　</w:t>
      </w:r>
      <w:r>
        <w:rPr>
          <w:rFonts w:hint="eastAsia"/>
        </w:rPr>
        <w:t xml:space="preserve">ヘッジ有効性の詳細</w:t>
      </w:r>
    </w:p>
    <w:p>
      <w:pPr>
        <w:pStyle w:val="FirstParagraph"/>
      </w:pPr>
      <w:r>
        <w:rPr>
          <w:rFonts w:hint="eastAsia"/>
        </w:rPr>
        <w:t xml:space="preserve">全期間（2016年4月〜2026年6月）では、東京ベースで分散の79%、東京ピークで85%を消せる。これは主として、FY2020〜22</w:t>
      </w:r>
      <w:r>
        <w:t xml:space="preserve"> </w:t>
      </w:r>
      <w:r>
        <w:rPr>
          <w:rFonts w:hint="eastAsia"/>
        </w:rPr>
        <w:t xml:space="preserve">の逼迫と燃料危機の月に全エリアの価格が同時に動いたことによる。FY2020〜22</w:t>
      </w:r>
      <w:r>
        <w:t xml:space="preserve"> </w:t>
      </w:r>
      <w:r>
        <w:rPr>
          <w:rFonts w:hint="eastAsia"/>
        </w:rPr>
        <w:t xml:space="preserve">を除くとベースで21%、ピークで30%に下がり、2023年4月〜2026年6月では48%と53%である（最小分散ヘッジ比率はベースで約75kWh/kW-月、蓄電池1kWあたり約0.1kW</w:t>
      </w:r>
      <w:r>
        <w:t xml:space="preserve"> </w:t>
      </w:r>
      <w:r>
        <w:rPr>
          <w:rFonts w:hint="eastAsia"/>
        </w:rPr>
        <w:t xml:space="preserve">のベースロードの売りに当たる）。後者は39か月しかなく、90%区間はベースで0.01〜0.61、ピークで0.02〜0.67</w:t>
      </w:r>
      <w:r>
        <w:t xml:space="preserve"> </w:t>
      </w:r>
      <w:r>
        <w:rPr>
          <w:rFonts w:hint="eastAsia"/>
        </w:rPr>
        <w:t xml:space="preserve">と広い。2023年3月までに得られたデータ（FY2016〜22）で</w:t>
      </w:r>
      <w:r>
        <w:t xml:space="preserve"> </w:t>
      </w:r>
      <m:oMath>
        <m:sSup>
          <m:e>
            <m:r>
              <m:t>h</m:t>
            </m:r>
          </m:e>
          <m:sup>
            <m:r>
              <m:rPr>
                <m:sty m:val="p"/>
              </m:rPr>
              <m:t>*</m:t>
            </m:r>
          </m:sup>
        </m:sSup>
      </m:oMath>
      <w:r>
        <w:t xml:space="preserve"> </w:t>
      </w:r>
      <w:r>
        <w:rPr>
          <w:rFonts w:hint="eastAsia"/>
        </w:rPr>
        <w:t xml:space="preserve">を推定して2023年4月〜2026年6月に当てると、燃料危機の月に引きずられて</w:t>
      </w:r>
      <w:r>
        <w:t xml:space="preserve"> </w:t>
      </w:r>
      <m:oMath>
        <m:sSup>
          <m:e>
            <m:r>
              <m:t>h</m:t>
            </m:r>
          </m:e>
          <m:sup>
            <m:r>
              <m:rPr>
                <m:sty m:val="p"/>
              </m:rPr>
              <m:t>*</m:t>
            </m:r>
          </m:sup>
        </m:sSup>
      </m:oMath>
      <w:r>
        <w:t xml:space="preserve"> </w:t>
      </w:r>
      <w:r>
        <w:rPr>
          <w:rFonts w:hint="eastAsia"/>
        </w:rPr>
        <w:t xml:space="preserve">が大きくなり、HE</w:t>
      </w:r>
      <w:r>
        <w:t xml:space="preserve"> はベースで0.33、ピークで0.42 </w:t>
      </w:r>
      <w:r>
        <w:rPr>
          <w:rFonts w:hint="eastAsia"/>
        </w:rPr>
        <w:t xml:space="preserve">に下がる。</w:t>
      </w:r>
      <m:oMath>
        <m:r>
          <m:t>k</m:t>
        </m:r>
      </m:oMath>
      <w:r>
        <w:t xml:space="preserve"> </w:t>
      </w:r>
      <w:r>
        <w:rPr>
          <w:rFonts w:hint="eastAsia"/>
        </w:rPr>
        <w:t xml:space="preserve">か月前（</w:t>
      </w:r>
      <m:oMath>
        <m:r>
          <m:t>k</m:t>
        </m:r>
      </m:oMath>
      <w:r>
        <w:rPr>
          <w:rFonts w:hint="eastAsia"/>
        </w:rPr>
        <w:t xml:space="preserve">=1〜12）からの変化で測っても、HE</w:t>
      </w:r>
      <w:r>
        <w:t xml:space="preserve"> は FY2020〜22 </w:t>
      </w:r>
      <w:r>
        <w:rPr>
          <w:rFonts w:hint="eastAsia"/>
        </w:rPr>
        <w:t xml:space="preserve">を除く期間で0.14〜0.42、FY2023〜26</w:t>
      </w:r>
      <w:r>
        <w:t xml:space="preserve"> で0.27〜0.54 </w:t>
      </w:r>
      <w:r>
        <w:rPr>
          <w:rFonts w:hint="eastAsia"/>
        </w:rPr>
        <w:t xml:space="preserve">と、水準で測った場合と同程度である。上場していない理想的なスプレッド商品（東京の4時間蓄電池の粗利そのもの）でも、FY2023〜26</w:t>
      </w:r>
      <w:r>
        <w:t xml:space="preserve"> の HE は0.63 </w:t>
      </w:r>
      <w:r>
        <w:rPr>
          <w:rFonts w:hint="eastAsia"/>
        </w:rPr>
        <w:t xml:space="preserve">にとどまる。北海道と東京の日内スプレッドの連動、すなわちベーシスの安定性も弱まっており、日次の</w:t>
      </w:r>
      <w:r>
        <w:t xml:space="preserve"> TB4h </w:t>
      </w:r>
      <w:r>
        <w:rPr>
          <w:rFonts w:hint="eastAsia"/>
        </w:rPr>
        <w:t xml:space="preserve">の相関は</w:t>
      </w:r>
      <w:r>
        <w:t xml:space="preserve"> FY2023 の0.66 から FY2025 の0.52 </w:t>
      </w:r>
      <w:r>
        <w:rPr>
          <w:rFonts w:hint="eastAsia"/>
        </w:rPr>
        <w:t xml:space="preserve">へ下がった（FY2026</w:t>
      </w:r>
      <w:r>
        <w:t xml:space="preserve"> </w:t>
      </w:r>
      <w:r>
        <w:rPr>
          <w:rFonts w:hint="eastAsia"/>
        </w:rPr>
        <w:t xml:space="preserve">の4〜6月は0.40</w:t>
      </w:r>
      <w:r>
        <w:t xml:space="preserve"> </w:t>
      </w:r>
      <w:r>
        <w:rPr>
          <w:rFonts w:hint="eastAsia"/>
        </w:rPr>
        <w:t xml:space="preserve">だが、季節が偏るので年度とは比べられない）。上場先物で固定できるのは、JPX</w:t>
      </w:r>
      <w:r>
        <w:t xml:space="preserve"> </w:t>
      </w:r>
      <w:r>
        <w:rPr>
          <w:rFonts w:hint="eastAsia"/>
        </w:rPr>
        <w:t xml:space="preserve">の年度物で2年度先まで（2027年4月26日施行の業務規程の改正で5年度先までに拡充される。東京商品取引所，2026；日本取引所グループ，n.d.）、EEX</w:t>
      </w:r>
      <w:r>
        <w:t xml:space="preserve"> </w:t>
      </w:r>
      <w:r>
        <w:rPr>
          <w:rFonts w:hint="eastAsia"/>
        </w:rPr>
        <w:t xml:space="preserve">の年度物で6年度先までである。</w:t>
      </w:r>
    </w:p>
    <w:p>
      <w:pPr>
        <w:pStyle w:val="TableCaption"/>
      </w:pPr>
      <w:r>
        <w:rPr>
          <w:rFonts w:hint="eastAsia"/>
        </w:rPr>
        <w:t xml:space="preserve">表C.48</w:t>
      </w:r>
      <w:r>
        <w:t xml:space="preserve">　</w:t>
      </w:r>
      <w:r>
        <w:rPr>
          <w:rFonts w:hint="eastAsia"/>
        </w:rPr>
        <w:t xml:space="preserve">北海道の月間の完全予見粗利の最小分散ヘッジのヘッジ有効性</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8　北海道の月間の完全予見粗利の最小分散ヘッジのヘッジ有効性"/>
      </w:tblPr>
      <w:tblGrid>
        <w:gridCol w:w="1827"/>
        <w:gridCol w:w="1827"/>
        <w:gridCol w:w="1827"/>
        <w:gridCol w:w="2436"/>
      </w:tblGrid>
      <w:tr>
        <w:trPr>
          <w:tblHeader w:val="on"/>
        </w:trPr>
        <w:tc>
          <w:tcPr>
            <w:tcBorders>
              <w:bottom w:val="single" w:sz="6" w:color="000000"/>
            </w:tcBorders>
          </w:tcPr>
          <w:p>
            <w:pPr>
              <w:pStyle w:val="Compact"/>
            </w:pPr>
            <w:r>
              <w:rPr>
                <w:rFonts w:hint="eastAsia"/>
                <w:sz w:val="18"/>
              </w:rPr>
              <w:t xml:space="preserve">標本</w:t>
            </w:r>
          </w:p>
        </w:tc>
        <w:tc>
          <w:tcPr>
            <w:tcBorders>
              <w:bottom w:val="single" w:sz="6" w:color="000000"/>
            </w:tcBorders>
          </w:tcPr>
          <w:p>
            <w:pPr>
              <w:pStyle w:val="Compact"/>
            </w:pPr>
            <w:r>
              <w:rPr>
                <w:rFonts w:hint="eastAsia"/>
                <w:sz w:val="18"/>
              </w:rPr>
              <w:t xml:space="preserve">東京ベース</w:t>
            </w:r>
          </w:p>
        </w:tc>
        <w:tc>
          <w:tcPr>
            <w:tcBorders>
              <w:bottom w:val="single" w:sz="6" w:color="000000"/>
            </w:tcBorders>
          </w:tcPr>
          <w:p>
            <w:pPr>
              <w:pStyle w:val="Compact"/>
            </w:pPr>
            <w:r>
              <w:rPr>
                <w:rFonts w:hint="eastAsia"/>
                <w:sz w:val="18"/>
              </w:rPr>
              <w:t xml:space="preserve">東京ピーク（平日8〜20時・祝日除く）</w:t>
            </w:r>
          </w:p>
        </w:tc>
        <w:tc>
          <w:tcPr>
            <w:tcBorders>
              <w:bottom w:val="single" w:sz="6" w:color="000000"/>
            </w:tcBorders>
          </w:tcPr>
          <w:p>
            <w:pPr>
              <w:pStyle w:val="Compact"/>
              <w:jc w:val="right"/>
            </w:pPr>
            <w:r>
              <w:rPr>
                <w:rFonts w:hint="eastAsia"/>
                <w:sz w:val="18"/>
              </w:rPr>
              <w:t xml:space="preserve">東京の4時間蓄電池の粗利（非上場）</w:t>
            </w:r>
          </w:p>
        </w:tc>
      </w:tr>
      <w:tr>
        <w:tc>
          <w:tcPr/>
          <w:p>
            <w:pPr>
              <w:pStyle w:val="Compact"/>
            </w:pPr>
            <w:r>
              <w:rPr>
                <w:rFonts w:hint="eastAsia"/>
                <w:sz w:val="18"/>
              </w:rPr>
              <w:t xml:space="preserve">2016年4月〜2026年6月（122か月）</w:t>
            </w:r>
          </w:p>
        </w:tc>
        <w:tc>
          <w:tcPr/>
          <w:p>
            <w:pPr>
              <w:pStyle w:val="Compact"/>
            </w:pPr>
            <w:r>
              <w:rPr>
                <w:rFonts w:hint="eastAsia"/>
                <w:sz w:val="18"/>
              </w:rPr>
              <w:t xml:space="preserve">0.79［0.52,</w:t>
            </w:r>
            <w:r>
              <w:rPr>
                <w:sz w:val="18"/>
              </w:rPr>
              <w:t xml:space="preserve"> </w:t>
            </w:r>
            <w:r>
              <w:rPr>
                <w:rFonts w:hint="eastAsia"/>
                <w:sz w:val="18"/>
              </w:rPr>
              <w:t xml:space="preserve">0.90］</w:t>
            </w:r>
          </w:p>
        </w:tc>
        <w:tc>
          <w:tcPr/>
          <w:p>
            <w:pPr>
              <w:pStyle w:val="Compact"/>
            </w:pPr>
            <w:r>
              <w:rPr>
                <w:rFonts w:hint="eastAsia"/>
                <w:sz w:val="18"/>
              </w:rPr>
              <w:t xml:space="preserve">0.85［0.60,</w:t>
            </w:r>
            <w:r>
              <w:rPr>
                <w:sz w:val="18"/>
              </w:rPr>
              <w:t xml:space="preserve"> </w:t>
            </w:r>
            <w:r>
              <w:rPr>
                <w:rFonts w:hint="eastAsia"/>
                <w:sz w:val="18"/>
              </w:rPr>
              <w:t xml:space="preserve">0.93］</w:t>
            </w:r>
          </w:p>
        </w:tc>
        <w:tc>
          <w:tcPr/>
          <w:p>
            <w:pPr>
              <w:pStyle w:val="Compact"/>
              <w:jc w:val="right"/>
            </w:pPr>
            <w:r>
              <w:rPr>
                <w:sz w:val="18"/>
              </w:rPr>
              <w:t xml:space="preserve">0.90</w:t>
            </w:r>
          </w:p>
        </w:tc>
      </w:tr>
      <w:tr>
        <w:tc>
          <w:tcPr/>
          <w:p>
            <w:pPr>
              <w:pStyle w:val="Compact"/>
            </w:pPr>
            <w:r>
              <w:rPr>
                <w:sz w:val="18"/>
              </w:rPr>
              <w:t xml:space="preserve">FY2020〜22 </w:t>
            </w:r>
            <w:r>
              <w:rPr>
                <w:rFonts w:hint="eastAsia"/>
                <w:sz w:val="18"/>
              </w:rPr>
              <w:t xml:space="preserve">除外（86か月）</w:t>
            </w:r>
          </w:p>
        </w:tc>
        <w:tc>
          <w:tcPr/>
          <w:p>
            <w:pPr>
              <w:pStyle w:val="Compact"/>
            </w:pPr>
            <w:r>
              <w:rPr>
                <w:rFonts w:hint="eastAsia"/>
                <w:sz w:val="18"/>
              </w:rPr>
              <w:t xml:space="preserve">0.21［0.02,</w:t>
            </w:r>
            <w:r>
              <w:rPr>
                <w:sz w:val="18"/>
              </w:rPr>
              <w:t xml:space="preserve"> </w:t>
            </w:r>
            <w:r>
              <w:rPr>
                <w:rFonts w:hint="eastAsia"/>
                <w:sz w:val="18"/>
              </w:rPr>
              <w:t xml:space="preserve">0.38］</w:t>
            </w:r>
          </w:p>
        </w:tc>
        <w:tc>
          <w:tcPr/>
          <w:p>
            <w:pPr>
              <w:pStyle w:val="Compact"/>
            </w:pPr>
            <w:r>
              <w:rPr>
                <w:rFonts w:hint="eastAsia"/>
                <w:sz w:val="18"/>
              </w:rPr>
              <w:t xml:space="preserve">0.30［0.06,</w:t>
            </w:r>
            <w:r>
              <w:rPr>
                <w:sz w:val="18"/>
              </w:rPr>
              <w:t xml:space="preserve"> </w:t>
            </w:r>
            <w:r>
              <w:rPr>
                <w:rFonts w:hint="eastAsia"/>
                <w:sz w:val="18"/>
              </w:rPr>
              <w:t xml:space="preserve">0.47］</w:t>
            </w:r>
          </w:p>
        </w:tc>
        <w:tc>
          <w:tcPr/>
          <w:p>
            <w:pPr>
              <w:pStyle w:val="Compact"/>
              <w:jc w:val="right"/>
            </w:pPr>
            <w:r>
              <w:rPr>
                <w:sz w:val="18"/>
              </w:rPr>
              <w:t xml:space="preserve">0.42</w:t>
            </w:r>
          </w:p>
        </w:tc>
      </w:tr>
      <w:tr>
        <w:tc>
          <w:tcPr/>
          <w:p>
            <w:pPr>
              <w:pStyle w:val="Compact"/>
            </w:pPr>
            <w:r>
              <w:rPr>
                <w:rFonts w:hint="eastAsia"/>
                <w:sz w:val="18"/>
              </w:rPr>
              <w:t xml:space="preserve">2023年4月〜2026年6月（39か月）</w:t>
            </w:r>
          </w:p>
        </w:tc>
        <w:tc>
          <w:tcPr/>
          <w:p>
            <w:pPr>
              <w:pStyle w:val="Compact"/>
            </w:pPr>
            <w:r>
              <w:rPr>
                <w:rFonts w:hint="eastAsia"/>
                <w:sz w:val="18"/>
              </w:rPr>
              <w:t xml:space="preserve">0.48［0.01,</w:t>
            </w:r>
            <w:r>
              <w:rPr>
                <w:sz w:val="18"/>
              </w:rPr>
              <w:t xml:space="preserve"> </w:t>
            </w:r>
            <w:r>
              <w:rPr>
                <w:rFonts w:hint="eastAsia"/>
                <w:sz w:val="18"/>
              </w:rPr>
              <w:t xml:space="preserve">0.61］</w:t>
            </w:r>
          </w:p>
        </w:tc>
        <w:tc>
          <w:tcPr/>
          <w:p>
            <w:pPr>
              <w:pStyle w:val="Compact"/>
            </w:pPr>
            <w:r>
              <w:rPr>
                <w:rFonts w:hint="eastAsia"/>
                <w:sz w:val="18"/>
              </w:rPr>
              <w:t xml:space="preserve">0.53［0.02,</w:t>
            </w:r>
            <w:r>
              <w:rPr>
                <w:sz w:val="18"/>
              </w:rPr>
              <w:t xml:space="preserve"> </w:t>
            </w:r>
            <w:r>
              <w:rPr>
                <w:rFonts w:hint="eastAsia"/>
                <w:sz w:val="18"/>
              </w:rPr>
              <w:t xml:space="preserve">0.67］</w:t>
            </w:r>
          </w:p>
        </w:tc>
        <w:tc>
          <w:tcPr/>
          <w:p>
            <w:pPr>
              <w:pStyle w:val="Compact"/>
              <w:jc w:val="right"/>
            </w:pPr>
            <w:r>
              <w:rPr>
                <w:sz w:val="18"/>
              </w:rPr>
              <w:t xml:space="preserve">0.63</w:t>
            </w:r>
          </w:p>
        </w:tc>
      </w:tr>
      <w:tr>
        <w:tc>
          <w:tcPr/>
          <w:p>
            <w:pPr>
              <w:pStyle w:val="Compact"/>
            </w:pPr>
            <w:r>
              <w:rPr>
                <w:rFonts w:hint="eastAsia"/>
                <w:sz w:val="18"/>
              </w:rPr>
              <w:t xml:space="preserve">同・k</w:t>
            </w:r>
            <w:r>
              <w:rPr>
                <w:sz w:val="18"/>
              </w:rPr>
              <w:t xml:space="preserve"> </w:t>
            </w:r>
            <w:r>
              <w:rPr>
                <w:rFonts w:hint="eastAsia"/>
                <w:sz w:val="18"/>
              </w:rPr>
              <w:t xml:space="preserve">か月前からの変化（k=1〜12）</w:t>
            </w:r>
          </w:p>
        </w:tc>
        <w:tc>
          <w:tcPr/>
          <w:p>
            <w:pPr>
              <w:pStyle w:val="Compact"/>
            </w:pPr>
            <w:r>
              <w:rPr>
                <w:sz w:val="18"/>
              </w:rPr>
              <w:t xml:space="preserve">0.27〜0.47</w:t>
            </w:r>
          </w:p>
        </w:tc>
        <w:tc>
          <w:tcPr/>
          <w:p>
            <w:pPr>
              <w:pStyle w:val="Compact"/>
            </w:pPr>
            <w:r>
              <w:rPr>
                <w:sz w:val="18"/>
              </w:rPr>
              <w:t xml:space="preserve">0.31〜0.54</w:t>
            </w:r>
          </w:p>
        </w:tc>
        <w:tc>
          <w:tcPr/>
          <w:p>
            <w:pPr>
              <w:pStyle w:val="Compact"/>
              <w:jc w:val="right"/>
            </w:pPr>
            <w:r>
              <w:rPr>
                <w:sz w:val="18"/>
              </w:rPr>
              <w:t xml:space="preserve">0.44〜0.66</w:t>
            </w:r>
          </w:p>
        </w:tc>
      </w:tr>
      <w:tr>
        <w:tc>
          <w:tcPr/>
          <w:p>
            <w:pPr>
              <w:pStyle w:val="Compact"/>
            </w:pPr>
            <w:r>
              <w:rPr>
                <w:rFonts w:hint="eastAsia"/>
                <w:sz w:val="18"/>
              </w:rPr>
              <w:t xml:space="preserve">標本外（</w:t>
            </w:r>
            <m:oMath>
              <m:sSup>
                <m:e>
                  <m:r>
                    <m:t>h</m:t>
                  </m:r>
                </m:e>
                <m:sup>
                  <m:r>
                    <m:rPr>
                      <m:sty m:val="p"/>
                    </m:rPr>
                    <m:t>*</m:t>
                  </m:r>
                </m:sup>
              </m:sSup>
            </m:oMath>
            <w:r>
              <w:rPr>
                <w:sz w:val="18"/>
              </w:rPr>
              <w:t xml:space="preserve"> </w:t>
            </w:r>
            <w:r>
              <w:rPr>
                <w:sz w:val="18"/>
              </w:rPr>
              <w:t xml:space="preserve">は FY2016〜22 </w:t>
            </w:r>
            <w:r>
              <w:rPr>
                <w:rFonts w:hint="eastAsia"/>
                <w:sz w:val="18"/>
              </w:rPr>
              <w:t xml:space="preserve">で推定）→2023年4月〜2026年6月</w:t>
            </w:r>
          </w:p>
        </w:tc>
        <w:tc>
          <w:tcPr/>
          <w:p>
            <w:pPr>
              <w:pStyle w:val="Compact"/>
            </w:pPr>
            <w:r>
              <w:rPr>
                <w:sz w:val="18"/>
              </w:rPr>
              <w:t xml:space="preserve">0.33</w:t>
            </w:r>
          </w:p>
        </w:tc>
        <w:tc>
          <w:tcPr/>
          <w:p>
            <w:pPr>
              <w:pStyle w:val="Compact"/>
            </w:pPr>
            <w:r>
              <w:rPr>
                <w:sz w:val="18"/>
              </w:rPr>
              <w:t xml:space="preserve">0.42</w:t>
            </w:r>
          </w:p>
        </w:tc>
        <w:tc>
          <w:tcPr/>
          <w:p>
            <w:pPr>
              <w:pStyle w:val="Compact"/>
              <w:jc w:val="right"/>
            </w:pPr>
            <w:r>
              <w:rPr>
                <w:sz w:val="18"/>
              </w:rPr>
              <w:t xml:space="preserve">0.57</w:t>
            </w:r>
          </w:p>
        </w:tc>
      </w:tr>
    </w:tbl>
    <w:p>
      <w:pPr>
        <w:pStyle w:val="TableNote"/>
      </w:pPr>
      <w:r>
        <w:rPr>
          <w:rFonts w:hint="eastAsia"/>
        </w:rPr>
        <w:t xml:space="preserve">注）Ederington（1979）のヘッジ有効性。季節は標本の中で除去。［］は月の移動ブロック・ブートストラップ（長さ6か月、2,000回）の90%区間。先物の最終決済価格は実現した月平均で代理。ピークは</w:t>
      </w:r>
      <w:r>
        <w:t xml:space="preserve"> EEX </w:t>
      </w:r>
      <w:r>
        <w:rPr>
          <w:rFonts w:hint="eastAsia"/>
        </w:rPr>
        <w:t xml:space="preserve">のピーク商品と同じ平日8〜20時で日本の祝日を除き（EEX,</w:t>
      </w:r>
      <w:r>
        <w:t xml:space="preserve"> </w:t>
      </w:r>
      <w:r>
        <w:rPr>
          <w:rFonts w:hint="eastAsia"/>
        </w:rPr>
        <w:t xml:space="preserve">2026）、祝日を除かない場合の</w:t>
      </w:r>
      <w:r>
        <w:t xml:space="preserve"> HE </w:t>
      </w:r>
      <w:r>
        <w:rPr>
          <w:rFonts w:hint="eastAsia"/>
        </w:rPr>
        <w:t xml:space="preserve">は全期間0.849、FY2020〜22</w:t>
      </w:r>
      <w:r>
        <w:t xml:space="preserve"> </w:t>
      </w:r>
      <w:r>
        <w:rPr>
          <w:rFonts w:hint="eastAsia"/>
        </w:rPr>
        <w:t xml:space="preserve">除外0.290、2023年4月以降0.513。標本外の行は先行期間で推定した</w:t>
      </w:r>
      <w:r>
        <w:t xml:space="preserve"> </w:t>
      </w:r>
      <m:oMath>
        <m:sSup>
          <m:e>
            <m:r>
              <m:t>h</m:t>
            </m:r>
          </m:e>
          <m:sup>
            <m:r>
              <m:rPr>
                <m:sty m:val="p"/>
              </m:rPr>
              <m:t>*</m:t>
            </m:r>
          </m:sup>
        </m:sSup>
      </m:oMath>
      <w:r>
        <w:t xml:space="preserve"> </w:t>
      </w:r>
      <w:r>
        <w:rPr>
          <w:rFonts w:hint="eastAsia"/>
        </w:rPr>
        <w:t xml:space="preserve">を当てた値で、FY2016〜19</w:t>
      </w:r>
      <w:r>
        <w:t xml:space="preserve"> </w:t>
      </w:r>
      <w:r>
        <w:rPr>
          <w:rFonts w:hint="eastAsia"/>
        </w:rPr>
        <w:t xml:space="preserve">で推定すると0.48・0.48・0.62</w:t>
      </w:r>
      <w:r>
        <w:t xml:space="preserve"> </w:t>
      </w:r>
      <w:r>
        <w:rPr>
          <w:rFonts w:hint="eastAsia"/>
        </w:rPr>
        <w:t xml:space="preserve">だが、その推定期間の</w:t>
      </w:r>
      <w:r>
        <w:t xml:space="preserve"> HE は0.06〜0.25 で</w:t>
      </w:r>
      <w:r>
        <w:t xml:space="preserve"> </w:t>
      </w:r>
      <m:oMath>
        <m:sSup>
          <m:e>
            <m:r>
              <m:t>h</m:t>
            </m:r>
          </m:e>
          <m:sup>
            <m:r>
              <m:rPr>
                <m:sty m:val="p"/>
              </m:rPr>
              <m:t>*</m:t>
            </m:r>
          </m:sup>
        </m:sSup>
      </m:oMath>
      <w:r>
        <w:t xml:space="preserve"> </w:t>
      </w:r>
      <w:r>
        <w:rPr>
          <w:rFonts w:hint="eastAsia"/>
        </w:rPr>
        <w:t xml:space="preserve">の精度は低い。</w:t>
      </w:r>
    </w:p>
    <w:p>
      <w:pPr>
        <w:pStyle w:val="TableNote"/>
      </w:pPr>
      <w:r>
        <w:rPr>
          <w:rFonts w:hint="eastAsia"/>
        </w:rPr>
        <w:t xml:space="preserve">出所）日本卸電力取引所『スポット市場取引結果』より筆者作成。</w:t>
      </w:r>
    </w:p>
    <w:bookmarkEnd w:id="389"/>
    <w:bookmarkEnd w:id="390"/>
    <w:bookmarkStart w:id="394" w:name="c.5-下限価格と負の価格第9章"/>
    <w:p>
      <w:pPr>
        <w:pStyle w:val="Heading2"/>
      </w:pPr>
      <w:r>
        <w:t xml:space="preserve">C.5　</w:t>
      </w:r>
      <w:r>
        <w:rPr>
          <w:rFonts w:hint="eastAsia"/>
        </w:rPr>
        <w:t xml:space="preserve">下限価格と負の価格（第9章）</w:t>
      </w:r>
    </w:p>
    <w:p>
      <w:pPr>
        <w:pStyle w:val="FirstParagraph"/>
      </w:pPr>
      <w:r>
        <w:rPr>
          <w:rFonts w:hint="eastAsia"/>
        </w:rPr>
        <w:t xml:space="preserve">本節は、第9章の段差モデルの全シナリオと感応度（付録C.5.1）、導入容量の計上時期の補正（付録C.5.2）、再エネ側からの移転の計測の補足（付録C.5.3）を示す。本文の表9.1・表9.3</w:t>
      </w:r>
      <w:r>
        <w:t xml:space="preserve"> </w:t>
      </w:r>
      <w:r>
        <w:rPr>
          <w:rFonts w:hint="eastAsia"/>
        </w:rPr>
        <w:t xml:space="preserve">は、表C.49</w:t>
      </w:r>
      <w:r>
        <w:t xml:space="preserve"> </w:t>
      </w:r>
      <w:r>
        <w:rPr>
          <w:rFonts w:hint="eastAsia"/>
        </w:rPr>
        <w:t xml:space="preserve">の行の一部である。</w:t>
      </w:r>
    </w:p>
    <w:bookmarkStart w:id="391" w:name="c.5.1-段差モデルの全シナリオと感応度"/>
    <w:p>
      <w:pPr>
        <w:pStyle w:val="Heading3"/>
      </w:pPr>
      <w:r>
        <w:t xml:space="preserve">C.5.1　</w:t>
      </w:r>
      <w:r>
        <w:rPr>
          <w:rFonts w:hint="eastAsia"/>
        </w:rPr>
        <w:t xml:space="preserve">段差モデルの全シナリオと感応度</w:t>
      </w:r>
    </w:p>
    <w:p>
      <w:pPr>
        <w:pStyle w:val="FirstParagraph"/>
      </w:pPr>
      <w:r>
        <w:rPr>
          <w:rFonts w:hint="eastAsia"/>
        </w:rPr>
        <w:t xml:space="preserve">表C.49</w:t>
      </w:r>
      <w:r>
        <w:t xml:space="preserve"> </w:t>
      </w:r>
      <w:r>
        <w:rPr>
          <w:rFonts w:hint="eastAsia"/>
        </w:rPr>
        <w:t xml:space="preserve">は、段差モデルの主のシナリオ（パネルA）と感応度（パネルB）の全結果である。</w:t>
      </w:r>
    </w:p>
    <w:p>
      <w:pPr>
        <w:pStyle w:val="TableCaption"/>
      </w:pPr>
      <w:r>
        <w:rPr>
          <w:rFonts w:hint="eastAsia"/>
        </w:rPr>
        <w:t xml:space="preserve">表C.49</w:t>
      </w:r>
      <w:r>
        <w:t xml:space="preserve">　</w:t>
      </w:r>
      <w:r>
        <w:rPr>
          <w:rFonts w:hint="eastAsia"/>
        </w:rPr>
        <w:t xml:space="preserve">下限価格のシナリオ別の実現可能収益と</w:t>
      </w:r>
      <w:r>
        <w:t xml:space="preserve"> </w:t>
      </w:r>
      <m:oMath>
        <m:sSup>
          <m:e>
            <m:r>
              <m:t>θ</m:t>
            </m:r>
          </m:e>
          <m:sup>
            <m:r>
              <m:rPr>
                <m:sty m:val="p"/>
              </m:rPr>
              <m:t>*</m:t>
            </m:r>
          </m:sup>
        </m:sSup>
      </m:oMath>
      <w:r>
        <w:rPr>
          <w:rFonts w:hint="eastAsia"/>
        </w:rPr>
        <w:t xml:space="preserve">（全体）</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49　下限価格のシナリオ別の実現可能収益と \theta^*（全体）"/>
      </w:tblPr>
      <w:tblGrid>
        <w:gridCol w:w="913"/>
        <w:gridCol w:w="913"/>
        <w:gridCol w:w="1218"/>
        <w:gridCol w:w="1218"/>
        <w:gridCol w:w="1218"/>
        <w:gridCol w:w="1218"/>
        <w:gridCol w:w="1218"/>
      </w:tblGrid>
      <w:tr>
        <w:trPr>
          <w:tblHeader w:val="on"/>
        </w:trPr>
        <w:tc>
          <w:tcPr>
            <w:tcBorders>
              <w:bottom w:val="single" w:sz="6" w:color="000000"/>
            </w:tcBorders>
          </w:tcPr>
          <w:p>
            <w:pPr>
              <w:pStyle w:val="Compact"/>
            </w:pPr>
            <w:r>
              <w:rPr>
                <w:sz w:val="18"/>
              </w:rPr>
              <w:t xml:space="preserve">シナリオ</w:t>
            </w:r>
          </w:p>
        </w:tc>
        <w:tc>
          <w:tcPr>
            <w:tcBorders>
              <w:bottom w:val="single" w:sz="6" w:color="000000"/>
            </w:tcBorders>
          </w:tcPr>
          <w:p>
            <w:pPr>
              <w:pStyle w:val="Compact"/>
            </w:pPr>
            <w:r>
              <w:rPr>
                <w:rFonts w:hint="eastAsia"/>
                <w:sz w:val="18"/>
              </w:rPr>
              <w:t xml:space="preserve">下限</w:t>
            </w:r>
          </w:p>
        </w:tc>
        <w:tc>
          <w:tcPr>
            <w:tcBorders>
              <w:bottom w:val="single" w:sz="6" w:color="000000"/>
            </w:tcBorders>
          </w:tcPr>
          <w:p>
            <w:pPr>
              <w:pStyle w:val="Compact"/>
              <w:jc w:val="right"/>
            </w:pPr>
            <w:r>
              <w:rPr>
                <w:rFonts w:hint="eastAsia"/>
                <w:sz w:val="18"/>
              </w:rPr>
              <w:t xml:space="preserve">負の価格の時間（時間/年）</w:t>
            </w:r>
          </w:p>
        </w:tc>
        <w:tc>
          <w:tcPr>
            <w:tcBorders>
              <w:bottom w:val="single" w:sz="6" w:color="000000"/>
            </w:tcBorders>
          </w:tcPr>
          <w:p>
            <w:pPr>
              <w:pStyle w:val="Compact"/>
              <w:jc w:val="right"/>
            </w:pPr>
            <m:oMath>
              <m:r>
                <m:t>π</m:t>
              </m:r>
              <m:r>
                <m:rPr>
                  <m:sty m:val="p"/>
                </m:rPr>
                <m:t>(</m:t>
              </m:r>
              <m:r>
                <m:t>0</m:t>
              </m:r>
              <m:r>
                <m:rPr>
                  <m:sty m:val="p"/>
                </m:rPr>
                <m:t>)</m:t>
              </m:r>
            </m:oMath>
          </w:p>
        </w:tc>
        <w:tc>
          <w:tcPr>
            <w:tcBorders>
              <w:bottom w:val="single" w:sz="6" w:color="000000"/>
            </w:tcBorders>
          </w:tcPr>
          <w:p>
            <w:pPr>
              <w:pStyle w:val="Compact"/>
              <w:jc w:val="right"/>
            </w:pPr>
            <m:oMath>
              <m:r>
                <m:t>π</m:t>
              </m:r>
              <m:r>
                <m:rPr>
                  <m:sty m:val="p"/>
                </m:rPr>
                <m:t>(</m:t>
              </m:r>
              <m:r>
                <m:t>50</m:t>
              </m:r>
              <m:r>
                <m:rPr>
                  <m:sty m:val="p"/>
                </m:rPr>
                <m:t>)</m:t>
              </m:r>
            </m:oMath>
          </w:p>
        </w:tc>
        <w:tc>
          <w:tcPr>
            <w:tcBorders>
              <w:bottom w:val="single" w:sz="6" w:color="000000"/>
            </w:tcBorders>
          </w:tcPr>
          <w:p>
            <w:pPr>
              <w:pStyle w:val="Compact"/>
              <w:jc w:val="right"/>
            </w:pPr>
            <m:oMath>
              <m:r>
                <m:t>π</m:t>
              </m:r>
              <m:r>
                <m:rPr>
                  <m:sty m:val="p"/>
                </m:rPr>
                <m:t>(</m:t>
              </m:r>
              <m:r>
                <m:t>100</m:t>
              </m:r>
              <m:r>
                <m:rPr>
                  <m:sty m:val="p"/>
                </m:rPr>
                <m:t>)</m:t>
              </m:r>
            </m:oMath>
          </w:p>
        </w:tc>
        <w:tc>
          <w:tcPr>
            <w:tcBorders>
              <w:bottom w:val="single" w:sz="6" w:color="000000"/>
            </w:tcBorders>
          </w:tcPr>
          <w:p>
            <w:pPr>
              <w:pStyle w:val="Compact"/>
              <w:jc w:val="right"/>
            </w:pPr>
            <m:oMath>
              <m:sSup>
                <m:e>
                  <m:r>
                    <m:t>θ</m:t>
                  </m:r>
                </m:e>
                <m:sup>
                  <m:r>
                    <m:rPr>
                      <m:sty m:val="p"/>
                    </m:rPr>
                    <m:t>*</m:t>
                  </m:r>
                </m:sup>
              </m:sSup>
            </m:oMath>
          </w:p>
        </w:tc>
      </w:tr>
      <w:tr>
        <w:tc>
          <w:tcPr/>
          <w:p>
            <w:pPr>
              <w:pStyle w:val="Compact"/>
            </w:pPr>
            <w:r>
              <w:rPr>
                <w:rFonts w:hint="eastAsia"/>
                <w:b/>
                <w:bCs/>
                <w:sz w:val="18"/>
              </w:rPr>
              <w:t xml:space="preserve">パネルA：主のシナリオ</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現状（</w:t>
            </w:r>
            <m:oMath>
              <m:r>
                <m:t>θ</m:t>
              </m:r>
              <m:r>
                <m:rPr>
                  <m:sty m:val="p"/>
                </m:rPr>
                <m:t>=</m:t>
              </m:r>
              <m:r>
                <m:t>1</m:t>
              </m:r>
            </m:oMath>
            <w:r>
              <w:rPr>
                <w:rFonts w:hint="eastAsia"/>
                <w:sz w:val="18"/>
              </w:rPr>
              <w:t xml:space="preserve">）</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6,675</w:t>
            </w:r>
          </w:p>
        </w:tc>
        <w:tc>
          <w:tcPr/>
          <w:p>
            <w:pPr>
              <w:pStyle w:val="Compact"/>
              <w:jc w:val="right"/>
            </w:pPr>
            <w:r>
              <w:rPr>
                <w:sz w:val="18"/>
              </w:rPr>
              <w:t xml:space="preserve">1,510</w:t>
            </w:r>
          </w:p>
        </w:tc>
        <w:tc>
          <w:tcPr/>
          <w:p>
            <w:pPr>
              <w:pStyle w:val="Compact"/>
              <w:jc w:val="right"/>
            </w:pPr>
            <w:r>
              <w:rPr>
                <w:sz w:val="18"/>
              </w:rPr>
              <w:t xml:space="preserve">−1,202</w:t>
            </w:r>
          </w:p>
        </w:tc>
        <w:tc>
          <w:tcPr/>
          <w:p>
            <w:pPr>
              <w:pStyle w:val="Compact"/>
              <w:jc w:val="right"/>
            </w:pPr>
            <w:r>
              <w:rPr>
                <w:sz w:val="18"/>
              </w:rPr>
              <w:t xml:space="preserve">2.99</w:t>
            </w:r>
          </w:p>
        </w:tc>
      </w:tr>
      <w:tr>
        <w:tc>
          <w:tcPr/>
          <w:p>
            <w:pPr>
              <w:pStyle w:val="Compact"/>
            </w:pPr>
          </w:p>
        </w:tc>
        <w:tc>
          <w:tcPr/>
          <w:p>
            <w:pPr>
              <w:pStyle w:val="Compact"/>
            </w:pPr>
            <w:r>
              <w:rPr>
                <w:rFonts w:hint="eastAsia"/>
                <w:sz w:val="18"/>
              </w:rPr>
              <w:t xml:space="preserve">0円</w:t>
            </w:r>
          </w:p>
        </w:tc>
        <w:tc>
          <w:tcPr/>
          <w:p>
            <w:pPr>
              <w:pStyle w:val="Compact"/>
              <w:jc w:val="right"/>
            </w:pPr>
            <w:r>
              <w:rPr>
                <w:sz w:val="18"/>
              </w:rPr>
              <w:t xml:space="preserve">0</w:t>
            </w:r>
          </w:p>
        </w:tc>
        <w:tc>
          <w:tcPr/>
          <w:p>
            <w:pPr>
              <w:pStyle w:val="Compact"/>
              <w:jc w:val="right"/>
            </w:pPr>
            <w:r>
              <w:rPr>
                <w:sz w:val="18"/>
              </w:rPr>
              <w:t xml:space="preserve">6,676</w:t>
            </w:r>
          </w:p>
        </w:tc>
        <w:tc>
          <w:tcPr/>
          <w:p>
            <w:pPr>
              <w:pStyle w:val="Compact"/>
              <w:jc w:val="right"/>
            </w:pPr>
            <w:r>
              <w:rPr>
                <w:sz w:val="18"/>
              </w:rPr>
              <w:t xml:space="preserve">1,510</w:t>
            </w:r>
          </w:p>
        </w:tc>
        <w:tc>
          <w:tcPr/>
          <w:p>
            <w:pPr>
              <w:pStyle w:val="Compact"/>
              <w:jc w:val="right"/>
            </w:pPr>
            <w:r>
              <w:rPr>
                <w:sz w:val="18"/>
              </w:rPr>
              <w:t xml:space="preserve">−1,202</w:t>
            </w:r>
          </w:p>
        </w:tc>
        <w:tc>
          <w:tcPr/>
          <w:p>
            <w:pPr>
              <w:pStyle w:val="Compact"/>
              <w:jc w:val="right"/>
            </w:pPr>
            <w:r>
              <w:rPr>
                <w:sz w:val="18"/>
              </w:rPr>
              <w:t xml:space="preserve">2.99</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115</w:t>
            </w:r>
          </w:p>
        </w:tc>
        <w:tc>
          <w:tcPr/>
          <w:p>
            <w:pPr>
              <w:pStyle w:val="Compact"/>
              <w:jc w:val="right"/>
            </w:pPr>
            <w:r>
              <w:rPr>
                <w:sz w:val="18"/>
              </w:rPr>
              <w:t xml:space="preserve">7,131</w:t>
            </w:r>
          </w:p>
        </w:tc>
        <w:tc>
          <w:tcPr/>
          <w:p>
            <w:pPr>
              <w:pStyle w:val="Compact"/>
              <w:jc w:val="right"/>
            </w:pPr>
            <w:r>
              <w:rPr>
                <w:sz w:val="18"/>
              </w:rPr>
              <w:t xml:space="preserve">1,567</w:t>
            </w:r>
          </w:p>
        </w:tc>
        <w:tc>
          <w:tcPr/>
          <w:p>
            <w:pPr>
              <w:pStyle w:val="Compact"/>
              <w:jc w:val="right"/>
            </w:pPr>
            <w:r>
              <w:rPr>
                <w:sz w:val="18"/>
              </w:rPr>
              <w:t xml:space="preserve">−1,196</w:t>
            </w:r>
          </w:p>
        </w:tc>
        <w:tc>
          <w:tcPr/>
          <w:p>
            <w:pPr>
              <w:pStyle w:val="Compact"/>
              <w:jc w:val="right"/>
            </w:pPr>
            <w:r>
              <w:rPr>
                <w:sz w:val="18"/>
              </w:rPr>
              <w:t xml:space="preserve">2.93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115</w:t>
            </w:r>
          </w:p>
        </w:tc>
        <w:tc>
          <w:tcPr/>
          <w:p>
            <w:pPr>
              <w:pStyle w:val="Compact"/>
              <w:jc w:val="right"/>
            </w:pPr>
            <w:r>
              <w:rPr>
                <w:sz w:val="18"/>
              </w:rPr>
              <w:t xml:space="preserve">7,596</w:t>
            </w:r>
          </w:p>
        </w:tc>
        <w:tc>
          <w:tcPr/>
          <w:p>
            <w:pPr>
              <w:pStyle w:val="Compact"/>
              <w:jc w:val="right"/>
            </w:pPr>
            <w:r>
              <w:rPr>
                <w:sz w:val="18"/>
              </w:rPr>
              <w:t xml:space="preserve">1,624</w:t>
            </w:r>
          </w:p>
        </w:tc>
        <w:tc>
          <w:tcPr/>
          <w:p>
            <w:pPr>
              <w:pStyle w:val="Compact"/>
              <w:jc w:val="right"/>
            </w:pPr>
            <w:r>
              <w:rPr>
                <w:sz w:val="18"/>
              </w:rPr>
              <w:t xml:space="preserve">−1,191</w:t>
            </w:r>
          </w:p>
        </w:tc>
        <w:tc>
          <w:tcPr/>
          <w:p>
            <w:pPr>
              <w:pStyle w:val="Compact"/>
              <w:jc w:val="right"/>
            </w:pPr>
            <w:r>
              <w:rPr>
                <w:sz w:val="18"/>
              </w:rPr>
              <w:t xml:space="preserve">2.88</w:t>
            </w:r>
          </w:p>
        </w:tc>
      </w:tr>
      <w:tr>
        <w:tc>
          <w:tcPr/>
          <w:p>
            <w:pPr>
              <w:pStyle w:val="Compact"/>
            </w:pPr>
            <w:r>
              <w:rPr>
                <w:rFonts w:hint="eastAsia"/>
                <w:sz w:val="18"/>
              </w:rPr>
              <w:t xml:space="preserve">FY2026上期の水準（</w:t>
            </w:r>
            <m:oMath>
              <m:r>
                <m:t>θ</m:t>
              </m:r>
              <m:r>
                <m:rPr>
                  <m:sty m:val="p"/>
                </m:rPr>
                <m:t>=</m:t>
              </m:r>
              <m:r>
                <m:t>1.57</m:t>
              </m:r>
            </m:oMath>
            <w:r>
              <w:rPr>
                <w:rFonts w:hint="eastAsia"/>
                <w:sz w:val="18"/>
              </w:rPr>
              <w:t xml:space="preserve">）</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11,452</w:t>
            </w:r>
          </w:p>
        </w:tc>
        <w:tc>
          <w:tcPr/>
          <w:p>
            <w:pPr>
              <w:pStyle w:val="Compact"/>
              <w:jc w:val="right"/>
            </w:pPr>
            <w:r>
              <w:rPr>
                <w:sz w:val="18"/>
              </w:rPr>
              <w:t xml:space="preserve">3,359</w:t>
            </w:r>
          </w:p>
        </w:tc>
        <w:tc>
          <w:tcPr/>
          <w:p>
            <w:pPr>
              <w:pStyle w:val="Compact"/>
              <w:jc w:val="right"/>
            </w:pPr>
            <w:r>
              <w:rPr>
                <w:sz w:val="18"/>
              </w:rPr>
              <w:t xml:space="preserve">−891</w:t>
            </w:r>
          </w:p>
        </w:tc>
        <w:tc>
          <w:tcPr/>
          <w:p>
            <w:pPr>
              <w:pStyle w:val="Compact"/>
              <w:jc w:val="right"/>
            </w:pPr>
            <w:r>
              <w:rPr>
                <w:sz w:val="18"/>
              </w:rPr>
              <w:t xml:space="preserve">—</w:t>
            </w:r>
          </w:p>
        </w:tc>
      </w:tr>
      <w:tr>
        <w:tc>
          <w:tcPr/>
          <w:p>
            <w:pPr>
              <w:pStyle w:val="Compact"/>
            </w:pPr>
          </w:p>
        </w:tc>
        <w:tc>
          <w:tcPr/>
          <w:p>
            <w:pPr>
              <w:pStyle w:val="Compact"/>
            </w:pPr>
            <w:r>
              <w:rPr>
                <w:rFonts w:hint="eastAsia"/>
                <w:sz w:val="18"/>
              </w:rPr>
              <w:t xml:space="preserve">0円</w:t>
            </w:r>
          </w:p>
        </w:tc>
        <w:tc>
          <w:tcPr/>
          <w:p>
            <w:pPr>
              <w:pStyle w:val="Compact"/>
              <w:jc w:val="right"/>
            </w:pPr>
            <w:r>
              <w:rPr>
                <w:sz w:val="18"/>
              </w:rPr>
              <w:t xml:space="preserve">0</w:t>
            </w:r>
          </w:p>
        </w:tc>
        <w:tc>
          <w:tcPr/>
          <w:p>
            <w:pPr>
              <w:pStyle w:val="Compact"/>
              <w:jc w:val="right"/>
            </w:pPr>
            <w:r>
              <w:rPr>
                <w:sz w:val="18"/>
              </w:rPr>
              <w:t xml:space="preserve">11,453</w:t>
            </w:r>
          </w:p>
        </w:tc>
        <w:tc>
          <w:tcPr/>
          <w:p>
            <w:pPr>
              <w:pStyle w:val="Compact"/>
              <w:jc w:val="right"/>
            </w:pPr>
            <w:r>
              <w:rPr>
                <w:sz w:val="18"/>
              </w:rPr>
              <w:t xml:space="preserve">3,359</w:t>
            </w:r>
          </w:p>
        </w:tc>
        <w:tc>
          <w:tcPr/>
          <w:p>
            <w:pPr>
              <w:pStyle w:val="Compact"/>
              <w:jc w:val="right"/>
            </w:pPr>
            <w:r>
              <w:rPr>
                <w:sz w:val="18"/>
              </w:rPr>
              <w:t xml:space="preserve">−891</w:t>
            </w:r>
          </w:p>
        </w:tc>
        <w:tc>
          <w:tcPr/>
          <w:p>
            <w:pPr>
              <w:pStyle w:val="Compact"/>
              <w:jc w:val="right"/>
            </w:pPr>
            <w:r>
              <w:rPr>
                <w:sz w:val="18"/>
              </w:rPr>
              <w:t xml:space="preserve">—</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115</w:t>
            </w:r>
          </w:p>
        </w:tc>
        <w:tc>
          <w:tcPr/>
          <w:p>
            <w:pPr>
              <w:pStyle w:val="Compact"/>
              <w:jc w:val="right"/>
            </w:pPr>
            <w:r>
              <w:rPr>
                <w:sz w:val="18"/>
              </w:rPr>
              <w:t xml:space="preserve">11,911</w:t>
            </w:r>
          </w:p>
        </w:tc>
        <w:tc>
          <w:tcPr/>
          <w:p>
            <w:pPr>
              <w:pStyle w:val="Compact"/>
              <w:jc w:val="right"/>
            </w:pPr>
            <w:r>
              <w:rPr>
                <w:sz w:val="18"/>
              </w:rPr>
              <w:t xml:space="preserve">3,414</w:t>
            </w:r>
          </w:p>
        </w:tc>
        <w:tc>
          <w:tcPr/>
          <w:p>
            <w:pPr>
              <w:pStyle w:val="Compact"/>
              <w:jc w:val="right"/>
            </w:pPr>
            <w:r>
              <w:rPr>
                <w:sz w:val="18"/>
              </w:rPr>
              <w:t xml:space="preserve">−883</w:t>
            </w:r>
          </w:p>
        </w:tc>
        <w:tc>
          <w:tcPr/>
          <w:p>
            <w:pPr>
              <w:pStyle w:val="Compact"/>
              <w:jc w:val="right"/>
            </w:pPr>
            <w:r>
              <w:rPr>
                <w:sz w:val="18"/>
              </w:rPr>
              <w:t xml:space="preserve">—</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115</w:t>
            </w:r>
          </w:p>
        </w:tc>
        <w:tc>
          <w:tcPr/>
          <w:p>
            <w:pPr>
              <w:pStyle w:val="Compact"/>
              <w:jc w:val="right"/>
            </w:pPr>
            <w:r>
              <w:rPr>
                <w:sz w:val="18"/>
              </w:rPr>
              <w:t xml:space="preserve">12,368</w:t>
            </w:r>
          </w:p>
        </w:tc>
        <w:tc>
          <w:tcPr/>
          <w:p>
            <w:pPr>
              <w:pStyle w:val="Compact"/>
              <w:jc w:val="right"/>
            </w:pPr>
            <w:r>
              <w:rPr>
                <w:sz w:val="18"/>
              </w:rPr>
              <w:t xml:space="preserve">3,474</w:t>
            </w:r>
          </w:p>
        </w:tc>
        <w:tc>
          <w:tcPr/>
          <w:p>
            <w:pPr>
              <w:pStyle w:val="Compact"/>
              <w:jc w:val="right"/>
            </w:pPr>
            <w:r>
              <w:rPr>
                <w:sz w:val="18"/>
              </w:rPr>
              <w:t xml:space="preserve">−880</w:t>
            </w:r>
          </w:p>
        </w:tc>
        <w:tc>
          <w:tcPr/>
          <w:p>
            <w:pPr>
              <w:pStyle w:val="Compact"/>
              <w:jc w:val="right"/>
            </w:pPr>
            <w:r>
              <w:rPr>
                <w:sz w:val="18"/>
              </w:rPr>
              <w:t xml:space="preserve">—</w:t>
            </w:r>
          </w:p>
        </w:tc>
      </w:tr>
      <w:tr>
        <w:tc>
          <w:tcPr/>
          <w:p>
            <w:pPr>
              <w:pStyle w:val="Compact"/>
            </w:pPr>
            <w:r>
              <w:rPr>
                <w:rFonts w:hint="eastAsia"/>
                <w:sz w:val="18"/>
              </w:rPr>
              <w:t xml:space="preserve">泊3号再稼働（</w:t>
            </w:r>
            <m:oMath>
              <m:r>
                <m:t>θ</m:t>
              </m:r>
              <m:r>
                <m:rPr>
                  <m:sty m:val="p"/>
                </m:rPr>
                <m:t>=</m:t>
              </m:r>
              <m:r>
                <m:t>1</m:t>
              </m:r>
            </m:oMath>
            <w:r>
              <w:rPr>
                <w:rFonts w:hint="eastAsia"/>
                <w:sz w:val="18"/>
              </w:rPr>
              <w:t xml:space="preserve">）</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7,156</w:t>
            </w:r>
          </w:p>
        </w:tc>
        <w:tc>
          <w:tcPr/>
          <w:p>
            <w:pPr>
              <w:pStyle w:val="Compact"/>
              <w:jc w:val="right"/>
            </w:pPr>
            <w:r>
              <w:rPr>
                <w:sz w:val="18"/>
              </w:rPr>
              <w:t xml:space="preserve">2,426</w:t>
            </w:r>
          </w:p>
        </w:tc>
        <w:tc>
          <w:tcPr/>
          <w:p>
            <w:pPr>
              <w:pStyle w:val="Compact"/>
              <w:jc w:val="right"/>
            </w:pPr>
            <w:r>
              <w:rPr>
                <w:sz w:val="18"/>
              </w:rPr>
              <w:t xml:space="preserve">−417</w:t>
            </w:r>
          </w:p>
        </w:tc>
        <w:tc>
          <w:tcPr/>
          <w:p>
            <w:pPr>
              <w:pStyle w:val="Compact"/>
              <w:jc w:val="right"/>
            </w:pPr>
            <w:r>
              <w:rPr>
                <w:sz w:val="18"/>
              </w:rPr>
              <w:t xml:space="preserve">2.82</w:t>
            </w:r>
          </w:p>
        </w:tc>
      </w:tr>
      <w:tr>
        <w:tc>
          <w:tcPr/>
          <w:p>
            <w:pPr>
              <w:pStyle w:val="Compact"/>
            </w:pPr>
          </w:p>
        </w:tc>
        <w:tc>
          <w:tcPr/>
          <w:p>
            <w:pPr>
              <w:pStyle w:val="Compact"/>
            </w:pPr>
            <w:r>
              <w:rPr>
                <w:rFonts w:hint="eastAsia"/>
                <w:sz w:val="18"/>
              </w:rPr>
              <w:t xml:space="preserve">0円</w:t>
            </w:r>
          </w:p>
        </w:tc>
        <w:tc>
          <w:tcPr/>
          <w:p>
            <w:pPr>
              <w:pStyle w:val="Compact"/>
              <w:jc w:val="right"/>
            </w:pPr>
            <w:r>
              <w:rPr>
                <w:sz w:val="18"/>
              </w:rPr>
              <w:t xml:space="preserve">0</w:t>
            </w:r>
          </w:p>
        </w:tc>
        <w:tc>
          <w:tcPr/>
          <w:p>
            <w:pPr>
              <w:pStyle w:val="Compact"/>
              <w:jc w:val="right"/>
            </w:pPr>
            <w:r>
              <w:rPr>
                <w:sz w:val="18"/>
              </w:rPr>
              <w:t xml:space="preserve">7,161</w:t>
            </w:r>
          </w:p>
        </w:tc>
        <w:tc>
          <w:tcPr/>
          <w:p>
            <w:pPr>
              <w:pStyle w:val="Compact"/>
              <w:jc w:val="right"/>
            </w:pPr>
            <w:r>
              <w:rPr>
                <w:sz w:val="18"/>
              </w:rPr>
              <w:t xml:space="preserve">2,428</w:t>
            </w:r>
          </w:p>
        </w:tc>
        <w:tc>
          <w:tcPr/>
          <w:p>
            <w:pPr>
              <w:pStyle w:val="Compact"/>
              <w:jc w:val="right"/>
            </w:pPr>
            <w:r>
              <w:rPr>
                <w:sz w:val="18"/>
              </w:rPr>
              <w:t xml:space="preserve">−417</w:t>
            </w:r>
          </w:p>
        </w:tc>
        <w:tc>
          <w:tcPr/>
          <w:p>
            <w:pPr>
              <w:pStyle w:val="Compact"/>
              <w:jc w:val="right"/>
            </w:pPr>
            <w:r>
              <w:rPr>
                <w:sz w:val="18"/>
              </w:rPr>
              <w:t xml:space="preserve">2.82</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762</w:t>
            </w:r>
          </w:p>
        </w:tc>
        <w:tc>
          <w:tcPr/>
          <w:p>
            <w:pPr>
              <w:pStyle w:val="Compact"/>
              <w:jc w:val="right"/>
            </w:pPr>
            <w:r>
              <w:rPr>
                <w:sz w:val="18"/>
              </w:rPr>
              <w:t xml:space="preserve">9,587</w:t>
            </w:r>
          </w:p>
        </w:tc>
        <w:tc>
          <w:tcPr/>
          <w:p>
            <w:pPr>
              <w:pStyle w:val="Compact"/>
              <w:jc w:val="right"/>
            </w:pPr>
            <w:r>
              <w:rPr>
                <w:sz w:val="18"/>
              </w:rPr>
              <w:t xml:space="preserve">3,631</w:t>
            </w:r>
          </w:p>
        </w:tc>
        <w:tc>
          <w:tcPr/>
          <w:p>
            <w:pPr>
              <w:pStyle w:val="Compact"/>
              <w:jc w:val="right"/>
            </w:pPr>
            <w:r>
              <w:rPr>
                <w:sz w:val="18"/>
              </w:rPr>
              <w:t xml:space="preserve">175</w:t>
            </w:r>
          </w:p>
        </w:tc>
        <w:tc>
          <w:tcPr/>
          <w:p>
            <w:pPr>
              <w:pStyle w:val="Compact"/>
              <w:jc w:val="right"/>
            </w:pPr>
            <w:r>
              <w:rPr>
                <w:sz w:val="18"/>
              </w:rPr>
              <w:t xml:space="preserve">2.55</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762</w:t>
            </w:r>
          </w:p>
        </w:tc>
        <w:tc>
          <w:tcPr/>
          <w:p>
            <w:pPr>
              <w:pStyle w:val="Compact"/>
              <w:jc w:val="right"/>
            </w:pPr>
            <w:r>
              <w:rPr>
                <w:sz w:val="18"/>
              </w:rPr>
              <w:t xml:space="preserve">12,006</w:t>
            </w:r>
          </w:p>
        </w:tc>
        <w:tc>
          <w:tcPr/>
          <w:p>
            <w:pPr>
              <w:pStyle w:val="Compact"/>
              <w:jc w:val="right"/>
            </w:pPr>
            <w:r>
              <w:rPr>
                <w:sz w:val="18"/>
              </w:rPr>
              <w:t xml:space="preserve">4,827</w:t>
            </w:r>
          </w:p>
        </w:tc>
        <w:tc>
          <w:tcPr/>
          <w:p>
            <w:pPr>
              <w:pStyle w:val="Compact"/>
              <w:jc w:val="right"/>
            </w:pPr>
            <w:r>
              <w:rPr>
                <w:sz w:val="18"/>
              </w:rPr>
              <w:t xml:space="preserve">755</w:t>
            </w:r>
          </w:p>
        </w:tc>
        <w:tc>
          <w:tcPr/>
          <w:p>
            <w:pPr>
              <w:pStyle w:val="Compact"/>
              <w:jc w:val="right"/>
            </w:pPr>
            <w:r>
              <w:rPr>
                <w:sz w:val="18"/>
              </w:rPr>
              <w:t xml:space="preserve">2.28</w:t>
            </w:r>
          </w:p>
        </w:tc>
      </w:tr>
      <w:tr>
        <w:tc>
          <w:tcPr/>
          <w:p>
            <w:pPr>
              <w:pStyle w:val="Compact"/>
            </w:pPr>
            <w:r>
              <w:rPr>
                <w:rFonts w:hint="eastAsia"/>
                <w:sz w:val="18"/>
              </w:rPr>
              <w:t xml:space="preserve">泊＋風力2倍（</w:t>
            </w:r>
            <m:oMath>
              <m:r>
                <m:t>θ</m:t>
              </m:r>
              <m:r>
                <m:rPr>
                  <m:sty m:val="p"/>
                </m:rPr>
                <m:t>=</m:t>
              </m:r>
              <m:r>
                <m:t>1</m:t>
              </m:r>
            </m:oMath>
            <w:r>
              <w:rPr>
                <w:rFonts w:hint="eastAsia"/>
                <w:sz w:val="18"/>
              </w:rPr>
              <w:t xml:space="preserve">、仕様A′）</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6,629</w:t>
            </w:r>
          </w:p>
        </w:tc>
        <w:tc>
          <w:tcPr/>
          <w:p>
            <w:pPr>
              <w:pStyle w:val="Compact"/>
              <w:jc w:val="right"/>
            </w:pPr>
            <w:r>
              <w:rPr>
                <w:sz w:val="18"/>
              </w:rPr>
              <w:t xml:space="preserve">2,725</w:t>
            </w:r>
          </w:p>
        </w:tc>
        <w:tc>
          <w:tcPr/>
          <w:p>
            <w:pPr>
              <w:pStyle w:val="Compact"/>
              <w:jc w:val="right"/>
            </w:pPr>
            <w:r>
              <w:rPr>
                <w:sz w:val="18"/>
              </w:rPr>
              <w:t xml:space="preserve">−86</w:t>
            </w:r>
          </w:p>
        </w:tc>
        <w:tc>
          <w:tcPr/>
          <w:p>
            <w:pPr>
              <w:pStyle w:val="Compact"/>
              <w:jc w:val="right"/>
            </w:pPr>
            <w:r>
              <w:rPr>
                <w:sz w:val="18"/>
              </w:rPr>
              <w:t xml:space="preserve">3.00</w:t>
            </w:r>
          </w:p>
        </w:tc>
      </w:tr>
      <w:tr>
        <w:tc>
          <w:tcPr/>
          <w:p>
            <w:pPr>
              <w:pStyle w:val="Compact"/>
            </w:pPr>
          </w:p>
        </w:tc>
        <w:tc>
          <w:tcPr/>
          <w:p>
            <w:pPr>
              <w:pStyle w:val="Compact"/>
            </w:pPr>
            <w:r>
              <w:rPr>
                <w:rFonts w:hint="eastAsia"/>
                <w:sz w:val="18"/>
              </w:rPr>
              <w:t xml:space="preserve">0円</w:t>
            </w:r>
          </w:p>
        </w:tc>
        <w:tc>
          <w:tcPr/>
          <w:p>
            <w:pPr>
              <w:pStyle w:val="Compact"/>
              <w:jc w:val="right"/>
            </w:pPr>
            <w:r>
              <w:rPr>
                <w:sz w:val="18"/>
              </w:rPr>
              <w:t xml:space="preserve">0</w:t>
            </w:r>
          </w:p>
        </w:tc>
        <w:tc>
          <w:tcPr/>
          <w:p>
            <w:pPr>
              <w:pStyle w:val="Compact"/>
              <w:jc w:val="right"/>
            </w:pPr>
            <w:r>
              <w:rPr>
                <w:sz w:val="18"/>
              </w:rPr>
              <w:t xml:space="preserve">6,635</w:t>
            </w:r>
          </w:p>
        </w:tc>
        <w:tc>
          <w:tcPr/>
          <w:p>
            <w:pPr>
              <w:pStyle w:val="Compact"/>
              <w:jc w:val="right"/>
            </w:pPr>
            <w:r>
              <w:rPr>
                <w:sz w:val="18"/>
              </w:rPr>
              <w:t xml:space="preserve">2,728</w:t>
            </w:r>
          </w:p>
        </w:tc>
        <w:tc>
          <w:tcPr/>
          <w:p>
            <w:pPr>
              <w:pStyle w:val="Compact"/>
              <w:jc w:val="right"/>
            </w:pPr>
            <w:r>
              <w:rPr>
                <w:sz w:val="18"/>
              </w:rPr>
              <w:t xml:space="preserve">−83</w:t>
            </w:r>
          </w:p>
        </w:tc>
        <w:tc>
          <w:tcPr/>
          <w:p>
            <w:pPr>
              <w:pStyle w:val="Compact"/>
              <w:jc w:val="right"/>
            </w:pPr>
            <w:r>
              <w:rPr>
                <w:sz w:val="18"/>
              </w:rPr>
              <w:t xml:space="preserve">3.00</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1,537</w:t>
            </w:r>
          </w:p>
        </w:tc>
        <w:tc>
          <w:tcPr/>
          <w:p>
            <w:pPr>
              <w:pStyle w:val="Compact"/>
              <w:jc w:val="right"/>
            </w:pPr>
            <w:r>
              <w:rPr>
                <w:sz w:val="18"/>
              </w:rPr>
              <w:t xml:space="preserve">10,006</w:t>
            </w:r>
          </w:p>
        </w:tc>
        <w:tc>
          <w:tcPr/>
          <w:p>
            <w:pPr>
              <w:pStyle w:val="Compact"/>
              <w:jc w:val="right"/>
            </w:pPr>
            <w:r>
              <w:rPr>
                <w:sz w:val="18"/>
              </w:rPr>
              <w:t xml:space="preserve">4,714</w:t>
            </w:r>
          </w:p>
        </w:tc>
        <w:tc>
          <w:tcPr/>
          <w:p>
            <w:pPr>
              <w:pStyle w:val="Compact"/>
              <w:jc w:val="right"/>
            </w:pPr>
            <w:r>
              <w:rPr>
                <w:sz w:val="18"/>
              </w:rPr>
              <w:t xml:space="preserve">1,216</w:t>
            </w:r>
          </w:p>
        </w:tc>
        <w:tc>
          <w:tcPr/>
          <w:p>
            <w:pPr>
              <w:pStyle w:val="Compact"/>
              <w:jc w:val="right"/>
            </w:pPr>
            <w:r>
              <w:rPr>
                <w:sz w:val="18"/>
              </w:rPr>
              <w:t xml:space="preserve">2.60</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1,537</w:t>
            </w:r>
          </w:p>
        </w:tc>
        <w:tc>
          <w:tcPr/>
          <w:p>
            <w:pPr>
              <w:pStyle w:val="Compact"/>
              <w:jc w:val="right"/>
            </w:pPr>
            <w:r>
              <w:rPr>
                <w:sz w:val="18"/>
              </w:rPr>
              <w:t xml:space="preserve">13,453</w:t>
            </w:r>
          </w:p>
        </w:tc>
        <w:tc>
          <w:tcPr/>
          <w:p>
            <w:pPr>
              <w:pStyle w:val="Compact"/>
              <w:jc w:val="right"/>
            </w:pPr>
            <w:r>
              <w:rPr>
                <w:sz w:val="18"/>
              </w:rPr>
              <w:t xml:space="preserve">6,706</w:t>
            </w:r>
          </w:p>
        </w:tc>
        <w:tc>
          <w:tcPr/>
          <w:p>
            <w:pPr>
              <w:pStyle w:val="Compact"/>
              <w:jc w:val="right"/>
            </w:pPr>
            <w:r>
              <w:rPr>
                <w:sz w:val="18"/>
              </w:rPr>
              <w:t xml:space="preserve">2,502</w:t>
            </w:r>
          </w:p>
        </w:tc>
        <w:tc>
          <w:tcPr/>
          <w:p>
            <w:pPr>
              <w:pStyle w:val="Compact"/>
              <w:jc w:val="right"/>
            </w:pPr>
            <w:r>
              <w:rPr>
                <w:sz w:val="18"/>
              </w:rPr>
              <w:t xml:space="preserve">2.20</w:t>
            </w:r>
          </w:p>
        </w:tc>
      </w:tr>
      <w:tr>
        <w:tc>
          <w:tcPr/>
          <w:p>
            <w:pPr>
              <w:pStyle w:val="Compact"/>
            </w:pPr>
            <w:r>
              <w:rPr>
                <w:rFonts w:hint="eastAsia"/>
                <w:b/>
                <w:bCs/>
                <w:sz w:val="18"/>
              </w:rPr>
              <w:t xml:space="preserve">パネルB：感応度</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泊＋風力2倍・仕様A（段差）</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7,026</w:t>
            </w:r>
          </w:p>
        </w:tc>
        <w:tc>
          <w:tcPr/>
          <w:p>
            <w:pPr>
              <w:pStyle w:val="Compact"/>
              <w:jc w:val="right"/>
            </w:pPr>
            <w:r>
              <w:rPr>
                <w:sz w:val="18"/>
              </w:rPr>
              <w:t xml:space="preserve">2,734</w:t>
            </w:r>
          </w:p>
        </w:tc>
        <w:tc>
          <w:tcPr/>
          <w:p>
            <w:pPr>
              <w:pStyle w:val="Compact"/>
              <w:jc w:val="right"/>
            </w:pPr>
            <w:r>
              <w:rPr>
                <w:sz w:val="18"/>
              </w:rPr>
              <w:t xml:space="preserve">−168</w:t>
            </w:r>
          </w:p>
        </w:tc>
        <w:tc>
          <w:tcPr/>
          <w:p>
            <w:pPr>
              <w:pStyle w:val="Compact"/>
              <w:jc w:val="right"/>
            </w:pPr>
            <w:r>
              <w:rPr>
                <w:sz w:val="18"/>
              </w:rPr>
              <w:t xml:space="preserve">2.87</w:t>
            </w:r>
          </w:p>
        </w:tc>
      </w:tr>
      <w:tr>
        <w:tc>
          <w:tcPr/>
          <w:p>
            <w:pPr>
              <w:pStyle w:val="Compact"/>
            </w:pPr>
          </w:p>
        </w:tc>
        <w:tc>
          <w:tcPr/>
          <w:p>
            <w:pPr>
              <w:pStyle w:val="Compact"/>
            </w:pPr>
            <w:r>
              <w:rPr>
                <w:rFonts w:hint="eastAsia"/>
                <w:sz w:val="18"/>
              </w:rPr>
              <w:t xml:space="preserve">−5円</w:t>
            </w:r>
          </w:p>
        </w:tc>
        <w:tc>
          <w:tcPr/>
          <w:p>
            <w:pPr>
              <w:pStyle w:val="Compact"/>
              <w:jc w:val="right"/>
            </w:pPr>
            <w:r>
              <w:rPr>
                <w:sz w:val="18"/>
              </w:rPr>
              <w:t xml:space="preserve">1,478</w:t>
            </w:r>
          </w:p>
        </w:tc>
        <w:tc>
          <w:tcPr/>
          <w:p>
            <w:pPr>
              <w:pStyle w:val="Compact"/>
              <w:jc w:val="right"/>
            </w:pPr>
            <w:r>
              <w:rPr>
                <w:sz w:val="18"/>
              </w:rPr>
              <w:t xml:space="preserve">10,851</w:t>
            </w:r>
          </w:p>
        </w:tc>
        <w:tc>
          <w:tcPr/>
          <w:p>
            <w:pPr>
              <w:pStyle w:val="Compact"/>
              <w:jc w:val="right"/>
            </w:pPr>
            <w:r>
              <w:rPr>
                <w:sz w:val="18"/>
              </w:rPr>
              <w:t xml:space="preserve">4,907</w:t>
            </w:r>
          </w:p>
        </w:tc>
        <w:tc>
          <w:tcPr/>
          <w:p>
            <w:pPr>
              <w:pStyle w:val="Compact"/>
              <w:jc w:val="right"/>
            </w:pPr>
            <w:r>
              <w:rPr>
                <w:sz w:val="18"/>
              </w:rPr>
              <w:t xml:space="preserve">1,228</w:t>
            </w:r>
          </w:p>
        </w:tc>
        <w:tc>
          <w:tcPr/>
          <w:p>
            <w:pPr>
              <w:pStyle w:val="Compact"/>
              <w:jc w:val="right"/>
            </w:pPr>
            <w:r>
              <w:rPr>
                <w:sz w:val="18"/>
              </w:rPr>
              <w:t xml:space="preserve">2.43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1,478</w:t>
            </w:r>
          </w:p>
        </w:tc>
        <w:tc>
          <w:tcPr/>
          <w:p>
            <w:pPr>
              <w:pStyle w:val="Compact"/>
              <w:jc w:val="right"/>
            </w:pPr>
            <w:r>
              <w:rPr>
                <w:sz w:val="18"/>
              </w:rPr>
              <w:t xml:space="preserve">14,639</w:t>
            </w:r>
          </w:p>
        </w:tc>
        <w:tc>
          <w:tcPr/>
          <w:p>
            <w:pPr>
              <w:pStyle w:val="Compact"/>
              <w:jc w:val="right"/>
            </w:pPr>
            <w:r>
              <w:rPr>
                <w:sz w:val="18"/>
              </w:rPr>
              <w:t xml:space="preserve">7,091</w:t>
            </w:r>
          </w:p>
        </w:tc>
        <w:tc>
          <w:tcPr/>
          <w:p>
            <w:pPr>
              <w:pStyle w:val="Compact"/>
              <w:jc w:val="right"/>
            </w:pPr>
            <w:r>
              <w:rPr>
                <w:sz w:val="18"/>
              </w:rPr>
              <w:t xml:space="preserve">2,624</w:t>
            </w:r>
          </w:p>
        </w:tc>
        <w:tc>
          <w:tcPr/>
          <w:p>
            <w:pPr>
              <w:pStyle w:val="Compact"/>
              <w:jc w:val="right"/>
            </w:pPr>
            <w:r>
              <w:rPr>
                <w:sz w:val="18"/>
              </w:rPr>
              <w:t xml:space="preserve">2.00</w:t>
            </w:r>
          </w:p>
        </w:tc>
      </w:tr>
      <w:tr>
        <w:tc>
          <w:tcPr/>
          <w:p>
            <w:pPr>
              <w:pStyle w:val="Compact"/>
            </w:pPr>
            <w:r>
              <w:rPr>
                <w:rFonts w:hint="eastAsia"/>
                <w:sz w:val="18"/>
              </w:rPr>
              <w:t xml:space="preserve">現状・仕様A′</w:t>
            </w:r>
          </w:p>
        </w:tc>
        <w:tc>
          <w:tcPr/>
          <w:p>
            <w:pPr>
              <w:pStyle w:val="Compact"/>
            </w:pPr>
            <w:r>
              <w:rPr>
                <w:rFonts w:hint="eastAsia"/>
                <w:sz w:val="18"/>
              </w:rPr>
              <w:t xml:space="preserve">−10円</w:t>
            </w:r>
          </w:p>
        </w:tc>
        <w:tc>
          <w:tcPr/>
          <w:p>
            <w:pPr>
              <w:pStyle w:val="Compact"/>
              <w:jc w:val="right"/>
            </w:pPr>
            <w:r>
              <w:rPr>
                <w:sz w:val="18"/>
              </w:rPr>
              <w:t xml:space="preserve">125</w:t>
            </w:r>
          </w:p>
        </w:tc>
        <w:tc>
          <w:tcPr/>
          <w:p>
            <w:pPr>
              <w:pStyle w:val="Compact"/>
              <w:jc w:val="right"/>
            </w:pPr>
            <w:r>
              <w:rPr>
                <w:sz w:val="18"/>
              </w:rPr>
              <w:t xml:space="preserve">7,624</w:t>
            </w:r>
          </w:p>
        </w:tc>
        <w:tc>
          <w:tcPr/>
          <w:p>
            <w:pPr>
              <w:pStyle w:val="Compact"/>
              <w:jc w:val="right"/>
            </w:pPr>
            <w:r>
              <w:rPr>
                <w:sz w:val="18"/>
              </w:rPr>
              <w:t xml:space="preserve">2,014</w:t>
            </w:r>
          </w:p>
        </w:tc>
        <w:tc>
          <w:tcPr/>
          <w:p>
            <w:pPr>
              <w:pStyle w:val="Compact"/>
              <w:jc w:val="right"/>
            </w:pPr>
            <w:r>
              <w:rPr>
                <w:sz w:val="18"/>
              </w:rPr>
              <w:t xml:space="preserve">−930</w:t>
            </w:r>
          </w:p>
        </w:tc>
        <w:tc>
          <w:tcPr/>
          <w:p>
            <w:pPr>
              <w:pStyle w:val="Compact"/>
              <w:jc w:val="right"/>
            </w:pPr>
            <w:r>
              <w:rPr>
                <w:sz w:val="18"/>
              </w:rPr>
              <w:t xml:space="preserve">2.87</w:t>
            </w:r>
          </w:p>
        </w:tc>
      </w:tr>
      <w:tr>
        <w:tc>
          <w:tcPr/>
          <w:p>
            <w:pPr>
              <w:pStyle w:val="Compact"/>
            </w:pPr>
            <w:r>
              <w:rPr>
                <w:rFonts w:hint="eastAsia"/>
                <w:sz w:val="18"/>
              </w:rPr>
              <w:t xml:space="preserve">泊3号・仕様A′</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7,009</w:t>
            </w:r>
          </w:p>
        </w:tc>
        <w:tc>
          <w:tcPr/>
          <w:p>
            <w:pPr>
              <w:pStyle w:val="Compact"/>
              <w:jc w:val="right"/>
            </w:pPr>
            <w:r>
              <w:rPr>
                <w:sz w:val="18"/>
              </w:rPr>
              <w:t xml:space="preserve">2,664</w:t>
            </w:r>
          </w:p>
        </w:tc>
        <w:tc>
          <w:tcPr/>
          <w:p>
            <w:pPr>
              <w:pStyle w:val="Compact"/>
              <w:jc w:val="right"/>
            </w:pPr>
            <w:r>
              <w:rPr>
                <w:sz w:val="18"/>
              </w:rPr>
              <w:t xml:space="preserve">−210</w:t>
            </w:r>
          </w:p>
        </w:tc>
        <w:tc>
          <w:tcPr/>
          <w:p>
            <w:pPr>
              <w:pStyle w:val="Compact"/>
              <w:jc w:val="right"/>
            </w:pPr>
            <w:r>
              <w:rPr>
                <w:sz w:val="18"/>
              </w:rPr>
              <w:t xml:space="preserve">2.87</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716</w:t>
            </w:r>
          </w:p>
        </w:tc>
        <w:tc>
          <w:tcPr/>
          <w:p>
            <w:pPr>
              <w:pStyle w:val="Compact"/>
              <w:jc w:val="right"/>
            </w:pPr>
            <w:r>
              <w:rPr>
                <w:sz w:val="18"/>
              </w:rPr>
              <w:t xml:space="preserve">11,334</w:t>
            </w:r>
          </w:p>
        </w:tc>
        <w:tc>
          <w:tcPr/>
          <w:p>
            <w:pPr>
              <w:pStyle w:val="Compact"/>
              <w:jc w:val="right"/>
            </w:pPr>
            <w:r>
              <w:rPr>
                <w:sz w:val="18"/>
              </w:rPr>
              <w:t xml:space="preserve">4,797</w:t>
            </w:r>
          </w:p>
        </w:tc>
        <w:tc>
          <w:tcPr/>
          <w:p>
            <w:pPr>
              <w:pStyle w:val="Compact"/>
              <w:jc w:val="right"/>
            </w:pPr>
            <w:r>
              <w:rPr>
                <w:sz w:val="18"/>
              </w:rPr>
              <w:t xml:space="preserve">798</w:t>
            </w:r>
          </w:p>
        </w:tc>
        <w:tc>
          <w:tcPr/>
          <w:p>
            <w:pPr>
              <w:pStyle w:val="Compact"/>
              <w:jc w:val="right"/>
            </w:pPr>
            <w:r>
              <w:rPr>
                <w:sz w:val="18"/>
              </w:rPr>
              <w:t xml:space="preserve">2.38</w:t>
            </w:r>
          </w:p>
        </w:tc>
      </w:tr>
      <w:tr>
        <w:tc>
          <w:tcPr/>
          <w:p>
            <w:pPr>
              <w:pStyle w:val="Compact"/>
            </w:pPr>
            <w:r>
              <w:rPr>
                <w:rFonts w:hint="eastAsia"/>
                <w:sz w:val="18"/>
              </w:rPr>
              <w:t xml:space="preserve">現状・下端の線形外挿</w:t>
            </w:r>
          </w:p>
        </w:tc>
        <w:tc>
          <w:tcPr/>
          <w:p>
            <w:pPr>
              <w:pStyle w:val="Compact"/>
            </w:pPr>
            <w:r>
              <w:rPr>
                <w:rFonts w:hint="eastAsia"/>
                <w:sz w:val="18"/>
              </w:rPr>
              <w:t xml:space="preserve">−10円</w:t>
            </w:r>
          </w:p>
        </w:tc>
        <w:tc>
          <w:tcPr/>
          <w:p>
            <w:pPr>
              <w:pStyle w:val="Compact"/>
              <w:jc w:val="right"/>
            </w:pPr>
            <w:r>
              <w:rPr>
                <w:sz w:val="18"/>
              </w:rPr>
              <w:t xml:space="preserve">108</w:t>
            </w:r>
          </w:p>
        </w:tc>
        <w:tc>
          <w:tcPr/>
          <w:p>
            <w:pPr>
              <w:pStyle w:val="Compact"/>
              <w:jc w:val="right"/>
            </w:pPr>
            <w:r>
              <w:rPr>
                <w:sz w:val="18"/>
              </w:rPr>
              <w:t xml:space="preserve">7,541</w:t>
            </w:r>
          </w:p>
        </w:tc>
        <w:tc>
          <w:tcPr/>
          <w:p>
            <w:pPr>
              <w:pStyle w:val="Compact"/>
              <w:jc w:val="right"/>
            </w:pPr>
            <w:r>
              <w:rPr>
                <w:sz w:val="18"/>
              </w:rPr>
              <w:t xml:space="preserve">1,639</w:t>
            </w:r>
          </w:p>
        </w:tc>
        <w:tc>
          <w:tcPr/>
          <w:p>
            <w:pPr>
              <w:pStyle w:val="Compact"/>
              <w:jc w:val="right"/>
            </w:pPr>
            <w:r>
              <w:rPr>
                <w:sz w:val="18"/>
              </w:rPr>
              <w:t xml:space="preserve">−1,189</w:t>
            </w:r>
          </w:p>
        </w:tc>
        <w:tc>
          <w:tcPr/>
          <w:p>
            <w:pPr>
              <w:pStyle w:val="Compact"/>
              <w:jc w:val="right"/>
            </w:pPr>
            <w:r>
              <w:rPr>
                <w:sz w:val="18"/>
              </w:rPr>
              <w:t xml:space="preserve">2.88</w:t>
            </w:r>
          </w:p>
        </w:tc>
      </w:tr>
      <w:tr>
        <w:tc>
          <w:tcPr/>
          <w:p>
            <w:pPr>
              <w:pStyle w:val="Compact"/>
            </w:pPr>
            <w:r>
              <w:rPr>
                <w:rFonts w:hint="eastAsia"/>
                <w:sz w:val="18"/>
              </w:rPr>
              <w:t xml:space="preserve">泊3号・下端の線形外挿</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6,674</w:t>
            </w:r>
          </w:p>
        </w:tc>
        <w:tc>
          <w:tcPr/>
          <w:p>
            <w:pPr>
              <w:pStyle w:val="Compact"/>
              <w:jc w:val="right"/>
            </w:pPr>
            <w:r>
              <w:rPr>
                <w:sz w:val="18"/>
              </w:rPr>
              <w:t xml:space="preserve">2,280</w:t>
            </w:r>
          </w:p>
        </w:tc>
        <w:tc>
          <w:tcPr/>
          <w:p>
            <w:pPr>
              <w:pStyle w:val="Compact"/>
              <w:jc w:val="right"/>
            </w:pPr>
            <w:r>
              <w:rPr>
                <w:sz w:val="18"/>
              </w:rPr>
              <w:t xml:space="preserve">−469</w:t>
            </w:r>
          </w:p>
        </w:tc>
        <w:tc>
          <w:tcPr/>
          <w:p>
            <w:pPr>
              <w:pStyle w:val="Compact"/>
              <w:jc w:val="right"/>
            </w:pPr>
            <w:r>
              <w:rPr>
                <w:sz w:val="18"/>
              </w:rPr>
              <w:t xml:space="preserve">2.99</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577</w:t>
            </w:r>
          </w:p>
        </w:tc>
        <w:tc>
          <w:tcPr/>
          <w:p>
            <w:pPr>
              <w:pStyle w:val="Compact"/>
              <w:jc w:val="right"/>
            </w:pPr>
            <w:r>
              <w:rPr>
                <w:sz w:val="18"/>
              </w:rPr>
              <w:t xml:space="preserve">10,148</w:t>
            </w:r>
          </w:p>
        </w:tc>
        <w:tc>
          <w:tcPr/>
          <w:p>
            <w:pPr>
              <w:pStyle w:val="Compact"/>
              <w:jc w:val="right"/>
            </w:pPr>
            <w:r>
              <w:rPr>
                <w:sz w:val="18"/>
              </w:rPr>
              <w:t xml:space="preserve">4,220</w:t>
            </w:r>
          </w:p>
        </w:tc>
        <w:tc>
          <w:tcPr/>
          <w:p>
            <w:pPr>
              <w:pStyle w:val="Compact"/>
              <w:jc w:val="right"/>
            </w:pPr>
            <w:r>
              <w:rPr>
                <w:sz w:val="18"/>
              </w:rPr>
              <w:t xml:space="preserve">577</w:t>
            </w:r>
          </w:p>
        </w:tc>
        <w:tc>
          <w:tcPr/>
          <w:p>
            <w:pPr>
              <w:pStyle w:val="Compact"/>
              <w:jc w:val="right"/>
            </w:pPr>
            <w:r>
              <w:rPr>
                <w:sz w:val="18"/>
              </w:rPr>
              <w:t xml:space="preserve">2.57</w:t>
            </w:r>
          </w:p>
        </w:tc>
      </w:tr>
      <w:tr>
        <w:tc>
          <w:tcPr/>
          <w:p>
            <w:pPr>
              <w:pStyle w:val="Compact"/>
            </w:pPr>
            <w:r>
              <w:rPr>
                <w:rFonts w:hint="eastAsia"/>
                <w:sz w:val="18"/>
              </w:rPr>
              <w:t xml:space="preserve">泊＋風力2倍・下端の線形外挿</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6,027</w:t>
            </w:r>
          </w:p>
        </w:tc>
        <w:tc>
          <w:tcPr/>
          <w:p>
            <w:pPr>
              <w:pStyle w:val="Compact"/>
              <w:jc w:val="right"/>
            </w:pPr>
            <w:r>
              <w:rPr>
                <w:sz w:val="18"/>
              </w:rPr>
              <w:t xml:space="preserve">2,365</w:t>
            </w:r>
          </w:p>
        </w:tc>
        <w:tc>
          <w:tcPr/>
          <w:p>
            <w:pPr>
              <w:pStyle w:val="Compact"/>
              <w:jc w:val="right"/>
            </w:pPr>
            <w:r>
              <w:rPr>
                <w:sz w:val="18"/>
              </w:rPr>
              <w:t xml:space="preserve">−244</w:t>
            </w:r>
          </w:p>
        </w:tc>
        <w:tc>
          <w:tcPr/>
          <w:p>
            <w:pPr>
              <w:pStyle w:val="Compact"/>
              <w:jc w:val="right"/>
            </w:pPr>
            <w:r>
              <w:rPr>
                <w:sz w:val="18"/>
              </w:rPr>
              <w:t xml:space="preserve">3.23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1,092</w:t>
            </w:r>
          </w:p>
        </w:tc>
        <w:tc>
          <w:tcPr/>
          <w:p>
            <w:pPr>
              <w:pStyle w:val="Compact"/>
              <w:jc w:val="right"/>
            </w:pPr>
            <w:r>
              <w:rPr>
                <w:sz w:val="18"/>
              </w:rPr>
              <w:t xml:space="preserve">10,693</w:t>
            </w:r>
          </w:p>
        </w:tc>
        <w:tc>
          <w:tcPr/>
          <w:p>
            <w:pPr>
              <w:pStyle w:val="Compact"/>
              <w:jc w:val="right"/>
            </w:pPr>
            <w:r>
              <w:rPr>
                <w:sz w:val="18"/>
              </w:rPr>
              <w:t xml:space="preserve">5,344</w:t>
            </w:r>
          </w:p>
        </w:tc>
        <w:tc>
          <w:tcPr/>
          <w:p>
            <w:pPr>
              <w:pStyle w:val="Compact"/>
              <w:jc w:val="right"/>
            </w:pPr>
            <w:r>
              <w:rPr>
                <w:sz w:val="18"/>
              </w:rPr>
              <w:t xml:space="preserve">1,697</w:t>
            </w:r>
          </w:p>
        </w:tc>
        <w:tc>
          <w:tcPr/>
          <w:p>
            <w:pPr>
              <w:pStyle w:val="Compact"/>
              <w:jc w:val="right"/>
            </w:pPr>
            <w:r>
              <w:rPr>
                <w:sz w:val="18"/>
              </w:rPr>
              <w:t xml:space="preserve">2.63</w:t>
            </w:r>
          </w:p>
        </w:tc>
      </w:tr>
      <w:tr>
        <w:tc>
          <w:tcPr/>
          <w:p>
            <w:pPr>
              <w:pStyle w:val="Compact"/>
            </w:pPr>
            <w:r>
              <w:rPr>
                <w:rFonts w:hint="eastAsia"/>
                <w:sz w:val="18"/>
              </w:rPr>
              <w:t xml:space="preserve">現状・下限時間の較正</w:t>
            </w:r>
          </w:p>
        </w:tc>
        <w:tc>
          <w:tcPr/>
          <w:p>
            <w:pPr>
              <w:pStyle w:val="Compact"/>
            </w:pPr>
            <w:r>
              <w:rPr>
                <w:rFonts w:hint="eastAsia"/>
                <w:sz w:val="18"/>
              </w:rPr>
              <w:t xml:space="preserve">−10円</w:t>
            </w:r>
          </w:p>
        </w:tc>
        <w:tc>
          <w:tcPr/>
          <w:p>
            <w:pPr>
              <w:pStyle w:val="Compact"/>
              <w:jc w:val="right"/>
            </w:pPr>
            <w:r>
              <w:rPr>
                <w:sz w:val="18"/>
              </w:rPr>
              <w:t xml:space="preserve">205</w:t>
            </w:r>
          </w:p>
        </w:tc>
        <w:tc>
          <w:tcPr/>
          <w:p>
            <w:pPr>
              <w:pStyle w:val="Compact"/>
              <w:jc w:val="right"/>
            </w:pPr>
            <w:r>
              <w:rPr>
                <w:sz w:val="18"/>
              </w:rPr>
              <w:t xml:space="preserve">8,324</w:t>
            </w:r>
          </w:p>
        </w:tc>
        <w:tc>
          <w:tcPr/>
          <w:p>
            <w:pPr>
              <w:pStyle w:val="Compact"/>
              <w:jc w:val="right"/>
            </w:pPr>
            <w:r>
              <w:rPr>
                <w:sz w:val="18"/>
              </w:rPr>
              <w:t xml:space="preserve">1,740</w:t>
            </w:r>
          </w:p>
        </w:tc>
        <w:tc>
          <w:tcPr/>
          <w:p>
            <w:pPr>
              <w:pStyle w:val="Compact"/>
              <w:jc w:val="right"/>
            </w:pPr>
            <w:r>
              <w:rPr>
                <w:sz w:val="18"/>
              </w:rPr>
              <w:t xml:space="preserve">−1,185</w:t>
            </w:r>
          </w:p>
        </w:tc>
        <w:tc>
          <w:tcPr/>
          <w:p>
            <w:pPr>
              <w:pStyle w:val="Compact"/>
              <w:jc w:val="right"/>
            </w:pPr>
            <w:r>
              <w:rPr>
                <w:sz w:val="18"/>
              </w:rPr>
              <w:t xml:space="preserve">2.79</w:t>
            </w:r>
          </w:p>
        </w:tc>
      </w:tr>
      <w:tr>
        <w:tc>
          <w:tcPr/>
          <w:p>
            <w:pPr>
              <w:pStyle w:val="Compact"/>
            </w:pPr>
            <w:r>
              <w:rPr>
                <w:rFonts w:hint="eastAsia"/>
                <w:sz w:val="18"/>
              </w:rPr>
              <w:t xml:space="preserve">泊3号・下限時間の較正</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7,471</w:t>
            </w:r>
          </w:p>
        </w:tc>
        <w:tc>
          <w:tcPr/>
          <w:p>
            <w:pPr>
              <w:pStyle w:val="Compact"/>
              <w:jc w:val="right"/>
            </w:pPr>
            <w:r>
              <w:rPr>
                <w:sz w:val="18"/>
              </w:rPr>
              <w:t xml:space="preserve">2,583</w:t>
            </w:r>
          </w:p>
        </w:tc>
        <w:tc>
          <w:tcPr/>
          <w:p>
            <w:pPr>
              <w:pStyle w:val="Compact"/>
              <w:jc w:val="right"/>
            </w:pPr>
            <w:r>
              <w:rPr>
                <w:sz w:val="18"/>
              </w:rPr>
              <w:t xml:space="preserve">−368</w:t>
            </w:r>
          </w:p>
        </w:tc>
        <w:tc>
          <w:tcPr/>
          <w:p>
            <w:pPr>
              <w:pStyle w:val="Compact"/>
              <w:jc w:val="right"/>
            </w:pPr>
            <w:r>
              <w:rPr>
                <w:sz w:val="18"/>
              </w:rPr>
              <w:t xml:space="preserve">2.73</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1,085</w:t>
            </w:r>
          </w:p>
        </w:tc>
        <w:tc>
          <w:tcPr/>
          <w:p>
            <w:pPr>
              <w:pStyle w:val="Compact"/>
              <w:jc w:val="right"/>
            </w:pPr>
            <w:r>
              <w:rPr>
                <w:sz w:val="18"/>
              </w:rPr>
              <w:t xml:space="preserve">14,283</w:t>
            </w:r>
          </w:p>
        </w:tc>
        <w:tc>
          <w:tcPr/>
          <w:p>
            <w:pPr>
              <w:pStyle w:val="Compact"/>
              <w:jc w:val="right"/>
            </w:pPr>
            <w:r>
              <w:rPr>
                <w:sz w:val="18"/>
              </w:rPr>
              <w:t xml:space="preserve">6,107</w:t>
            </w:r>
          </w:p>
        </w:tc>
        <w:tc>
          <w:tcPr/>
          <w:p>
            <w:pPr>
              <w:pStyle w:val="Compact"/>
              <w:jc w:val="right"/>
            </w:pPr>
            <w:r>
              <w:rPr>
                <w:sz w:val="18"/>
              </w:rPr>
              <w:t xml:space="preserve">1,408</w:t>
            </w:r>
          </w:p>
        </w:tc>
        <w:tc>
          <w:tcPr/>
          <w:p>
            <w:pPr>
              <w:pStyle w:val="Compact"/>
              <w:jc w:val="right"/>
            </w:pPr>
            <w:r>
              <w:rPr>
                <w:sz w:val="18"/>
              </w:rPr>
              <w:t xml:space="preserve">1.99</w:t>
            </w:r>
          </w:p>
        </w:tc>
      </w:tr>
      <w:tr>
        <w:tc>
          <w:tcPr/>
          <w:p>
            <w:pPr>
              <w:pStyle w:val="Compact"/>
            </w:pPr>
            <w:r>
              <w:rPr>
                <w:rFonts w:hint="eastAsia"/>
                <w:sz w:val="18"/>
              </w:rPr>
              <w:t xml:space="preserve">泊＋風力2倍・下限時間の較正</w:t>
            </w:r>
          </w:p>
        </w:tc>
        <w:tc>
          <w:tcPr/>
          <w:p>
            <w:pPr>
              <w:pStyle w:val="Compact"/>
            </w:pPr>
            <w:r>
              <w:rPr>
                <w:rFonts w:hint="eastAsia"/>
                <w:sz w:val="18"/>
              </w:rPr>
              <w:t xml:space="preserve">0.01円（現行）</w:t>
            </w:r>
          </w:p>
        </w:tc>
        <w:tc>
          <w:tcPr/>
          <w:p>
            <w:pPr>
              <w:pStyle w:val="Compact"/>
              <w:jc w:val="right"/>
            </w:pPr>
            <w:r>
              <w:rPr>
                <w:sz w:val="18"/>
              </w:rPr>
              <w:t xml:space="preserve">0</w:t>
            </w:r>
          </w:p>
        </w:tc>
        <w:tc>
          <w:tcPr/>
          <w:p>
            <w:pPr>
              <w:pStyle w:val="Compact"/>
              <w:jc w:val="right"/>
            </w:pPr>
            <w:r>
              <w:rPr>
                <w:sz w:val="18"/>
              </w:rPr>
              <w:t xml:space="preserve">7,296</w:t>
            </w:r>
          </w:p>
        </w:tc>
        <w:tc>
          <w:tcPr/>
          <w:p>
            <w:pPr>
              <w:pStyle w:val="Compact"/>
              <w:jc w:val="right"/>
            </w:pPr>
            <w:r>
              <w:rPr>
                <w:sz w:val="18"/>
              </w:rPr>
              <w:t xml:space="preserve">3,012</w:t>
            </w:r>
          </w:p>
        </w:tc>
        <w:tc>
          <w:tcPr/>
          <w:p>
            <w:pPr>
              <w:pStyle w:val="Compact"/>
              <w:jc w:val="right"/>
            </w:pPr>
            <w:r>
              <w:rPr>
                <w:sz w:val="18"/>
              </w:rPr>
              <w:t xml:space="preserve">35</w:t>
            </w:r>
          </w:p>
        </w:tc>
        <w:tc>
          <w:tcPr/>
          <w:p>
            <w:pPr>
              <w:pStyle w:val="Compact"/>
              <w:jc w:val="right"/>
            </w:pPr>
            <w:r>
              <w:rPr>
                <w:sz w:val="18"/>
              </w:rPr>
              <w:t xml:space="preserve">2.78</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2,103</w:t>
            </w:r>
          </w:p>
        </w:tc>
        <w:tc>
          <w:tcPr/>
          <w:p>
            <w:pPr>
              <w:pStyle w:val="Compact"/>
              <w:jc w:val="right"/>
            </w:pPr>
            <w:r>
              <w:rPr>
                <w:sz w:val="18"/>
              </w:rPr>
              <w:t xml:space="preserve">16,251</w:t>
            </w:r>
          </w:p>
        </w:tc>
        <w:tc>
          <w:tcPr/>
          <w:p>
            <w:pPr>
              <w:pStyle w:val="Compact"/>
              <w:jc w:val="right"/>
            </w:pPr>
            <w:r>
              <w:rPr>
                <w:sz w:val="18"/>
              </w:rPr>
              <w:t xml:space="preserve">8,784</w:t>
            </w:r>
          </w:p>
        </w:tc>
        <w:tc>
          <w:tcPr/>
          <w:p>
            <w:pPr>
              <w:pStyle w:val="Compact"/>
              <w:jc w:val="right"/>
            </w:pPr>
            <w:r>
              <w:rPr>
                <w:sz w:val="18"/>
              </w:rPr>
              <w:t xml:space="preserve">3,599</w:t>
            </w:r>
          </w:p>
        </w:tc>
        <w:tc>
          <w:tcPr/>
          <w:p>
            <w:pPr>
              <w:pStyle w:val="Compact"/>
              <w:jc w:val="right"/>
            </w:pPr>
            <w:r>
              <w:rPr>
                <w:sz w:val="18"/>
              </w:rPr>
              <w:t xml:space="preserve">1.79</w:t>
            </w:r>
          </w:p>
        </w:tc>
      </w:tr>
      <w:tr>
        <w:tc>
          <w:tcPr/>
          <w:p>
            <w:pPr>
              <w:pStyle w:val="Compact"/>
            </w:pPr>
            <w:r>
              <w:rPr>
                <w:rFonts w:hint="eastAsia"/>
                <w:sz w:val="18"/>
              </w:rPr>
              <w:t xml:space="preserve">現状・実績価格（下限203時間/年）</w:t>
            </w:r>
          </w:p>
        </w:tc>
        <w:tc>
          <w:tcPr/>
          <w:p>
            <w:pPr>
              <w:pStyle w:val="Compact"/>
            </w:pPr>
            <w:r>
              <w:rPr>
                <w:rFonts w:hint="eastAsia"/>
                <w:sz w:val="18"/>
              </w:rPr>
              <w:t xml:space="preserve">−5円</w:t>
            </w:r>
          </w:p>
        </w:tc>
        <w:tc>
          <w:tcPr/>
          <w:p>
            <w:pPr>
              <w:pStyle w:val="Compact"/>
              <w:jc w:val="right"/>
            </w:pPr>
            <w:r>
              <w:rPr>
                <w:sz w:val="18"/>
              </w:rPr>
              <w:t xml:space="preserve">203</w:t>
            </w:r>
          </w:p>
        </w:tc>
        <w:tc>
          <w:tcPr/>
          <w:p>
            <w:pPr>
              <w:pStyle w:val="Compact"/>
              <w:jc w:val="right"/>
            </w:pPr>
            <w:r>
              <w:rPr>
                <w:sz w:val="18"/>
              </w:rPr>
              <w:t xml:space="preserve">7,421</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2.90</w:t>
            </w:r>
          </w:p>
        </w:tc>
      </w:tr>
      <w:tr>
        <w:tc>
          <w:tcPr/>
          <w:p>
            <w:pPr>
              <w:pStyle w:val="Compact"/>
            </w:pPr>
          </w:p>
        </w:tc>
        <w:tc>
          <w:tcPr/>
          <w:p>
            <w:pPr>
              <w:pStyle w:val="Compact"/>
            </w:pPr>
            <w:r>
              <w:rPr>
                <w:rFonts w:hint="eastAsia"/>
                <w:sz w:val="18"/>
              </w:rPr>
              <w:t xml:space="preserve">−10円</w:t>
            </w:r>
          </w:p>
        </w:tc>
        <w:tc>
          <w:tcPr/>
          <w:p>
            <w:pPr>
              <w:pStyle w:val="Compact"/>
              <w:jc w:val="right"/>
            </w:pPr>
            <w:r>
              <w:rPr>
                <w:sz w:val="18"/>
              </w:rPr>
              <w:t xml:space="preserve">203</w:t>
            </w:r>
          </w:p>
        </w:tc>
        <w:tc>
          <w:tcPr/>
          <w:p>
            <w:pPr>
              <w:pStyle w:val="Compact"/>
              <w:jc w:val="right"/>
            </w:pPr>
            <w:r>
              <w:rPr>
                <w:sz w:val="18"/>
              </w:rPr>
              <w:t xml:space="preserve">8,166</w:t>
            </w:r>
          </w:p>
        </w:tc>
        <w:tc>
          <w:tcPr/>
          <w:p>
            <w:pPr>
              <w:pStyle w:val="Compact"/>
              <w:jc w:val="right"/>
            </w:pPr>
            <w:r>
              <w:rPr>
                <w:sz w:val="18"/>
              </w:rPr>
              <w:t xml:space="preserve">—</w:t>
            </w:r>
          </w:p>
        </w:tc>
        <w:tc>
          <w:tcPr/>
          <w:p>
            <w:pPr>
              <w:pStyle w:val="Compact"/>
              <w:jc w:val="right"/>
            </w:pPr>
            <w:r>
              <w:rPr>
                <w:sz w:val="18"/>
              </w:rPr>
              <w:t xml:space="preserve">—</w:t>
            </w:r>
          </w:p>
        </w:tc>
        <w:tc>
          <w:tcPr/>
          <w:p>
            <w:pPr>
              <w:pStyle w:val="Compact"/>
              <w:jc w:val="right"/>
            </w:pPr>
            <w:r>
              <w:rPr>
                <w:sz w:val="18"/>
              </w:rPr>
              <w:t xml:space="preserve">2.81</w:t>
            </w:r>
          </w:p>
        </w:tc>
      </w:tr>
    </w:tbl>
    <w:p>
      <w:pPr>
        <w:pStyle w:val="TableNote"/>
      </w:pPr>
      <w:r>
        <w:rPr>
          <w:rFonts w:hint="eastAsia"/>
        </w:rPr>
        <w:t xml:space="preserve">注）</w:t>
      </w:r>
      <m:oMath>
        <m:r>
          <m:t>π</m:t>
        </m:r>
        <m:r>
          <m:rPr>
            <m:sty m:val="p"/>
          </m:rPr>
          <m:t>(</m:t>
        </m:r>
        <m:r>
          <m:t>K</m:t>
        </m:r>
        <m:r>
          <m:rPr>
            <m:sty m:val="p"/>
          </m:rPr>
          <m:t>)</m:t>
        </m:r>
      </m:oMath>
      <w:r>
        <w:t xml:space="preserve"> </w:t>
      </w:r>
      <w:r>
        <w:rPr>
          <w:rFonts w:hint="eastAsia"/>
        </w:rPr>
        <w:t xml:space="preserve">は円/kW-年。</w:t>
      </w:r>
      <m:oMath>
        <m:r>
          <m:t>π</m:t>
        </m:r>
        <m:r>
          <m:rPr>
            <m:sty m:val="p"/>
          </m:rPr>
          <m:t>(</m:t>
        </m:r>
        <m:r>
          <m:t>0</m:t>
        </m:r>
        <m:r>
          <m:rPr>
            <m:sty m:val="p"/>
          </m:rPr>
          <m:t>)</m:t>
        </m:r>
      </m:oMath>
      <w:r>
        <w:t xml:space="preserve">・</w:t>
      </w:r>
      <m:oMath>
        <m:r>
          <m:t>π</m:t>
        </m:r>
        <m:r>
          <m:rPr>
            <m:sty m:val="p"/>
          </m:rPr>
          <m:t>(</m:t>
        </m:r>
        <m:r>
          <m:t>50</m:t>
        </m:r>
        <m:r>
          <m:rPr>
            <m:sty m:val="p"/>
          </m:rPr>
          <m:t>)</m:t>
        </m:r>
      </m:oMath>
      <w:r>
        <w:t xml:space="preserve">・</w:t>
      </w:r>
      <m:oMath>
        <m:r>
          <m:t>π</m:t>
        </m:r>
        <m:r>
          <m:rPr>
            <m:sty m:val="p"/>
          </m:rPr>
          <m:t>(</m:t>
        </m:r>
        <m:r>
          <m:t>100</m:t>
        </m:r>
        <m:r>
          <m:rPr>
            <m:sty m:val="p"/>
          </m:rPr>
          <m:t>)</m:t>
        </m:r>
      </m:oMath>
      <w:r>
        <w:t xml:space="preserve"> </w:t>
      </w:r>
      <w:r>
        <w:rPr>
          <w:rFonts w:hint="eastAsia"/>
        </w:rPr>
        <w:t xml:space="preserve">はフリート容量が0・50万・100万kW</w:t>
      </w:r>
      <w:r>
        <w:t xml:space="preserve"> </w:t>
      </w:r>
      <w:r>
        <w:rPr>
          <w:rFonts w:hint="eastAsia"/>
        </w:rPr>
        <w:t xml:space="preserve">のときの実績整合ケースの値で、充電従量負担を控除した。水準係数付きの価格過程、FY2023〜25</w:t>
      </w:r>
      <w:r>
        <w:t xml:space="preserve"> </w:t>
      </w:r>
      <w:r>
        <w:rPr>
          <w:rFonts w:hint="eastAsia"/>
        </w:rPr>
        <w:t xml:space="preserve">の気象・需要パス、増分貪欲（刻み1万kW）。収益は各シナリオのモデル価格の上で戦略</w:t>
      </w:r>
      <w:r>
        <w:t xml:space="preserve"> c </w:t>
      </w:r>
      <w:r>
        <w:rPr>
          <w:rFonts w:hint="eastAsia"/>
        </w:rPr>
        <w:t xml:space="preserve">を直接計算し、現状・</w:t>
      </w:r>
      <m:oMath>
        <m:r>
          <m:t>K</m:t>
        </m:r>
        <m:r>
          <m:rPr>
            <m:sty m:val="p"/>
          </m:rPr>
          <m:t>=</m:t>
        </m:r>
        <m:r>
          <m:t>0</m:t>
        </m:r>
      </m:oMath>
      <w:r>
        <w:t xml:space="preserve"> </w:t>
      </w:r>
      <w:r>
        <w:rPr>
          <w:rFonts w:hint="eastAsia"/>
        </w:rPr>
        <w:t xml:space="preserve">で実績の戦略</w:t>
      </w:r>
      <w:r>
        <w:t xml:space="preserve"> c </w:t>
      </w:r>
      <w:r>
        <w:rPr>
          <w:rFonts w:hint="eastAsia"/>
        </w:rPr>
        <w:t xml:space="preserve">に校正した値で、校正係数は仕様A</w:t>
      </w:r>
      <w:r>
        <w:t xml:space="preserve"> で</w:t>
      </w:r>
      <w:r>
        <w:t xml:space="preserve"> </w:t>
      </w:r>
      <m:oMath>
        <m:r>
          <m:t>λ</m:t>
        </m:r>
        <m:r>
          <m:rPr>
            <m:sty m:val="p"/>
          </m:rPr>
          <m:t>=</m:t>
        </m:r>
        <m:r>
          <m:t>1.108</m:t>
        </m:r>
      </m:oMath>
      <w:r>
        <w:rPr>
          <w:rFonts w:hint="eastAsia"/>
        </w:rPr>
        <w:t xml:space="preserve">、仕様A′</w:t>
      </w:r>
      <w:r>
        <w:t xml:space="preserve"> で1.0015。パネルA </w:t>
      </w:r>
      <w:r>
        <w:rPr>
          <w:rFonts w:hint="eastAsia"/>
        </w:rPr>
        <w:t xml:space="preserve">の泊＋風力2倍は、風力への条件付き応答と実績との差が標本内で有意でなくなるよう修正した仕様A′</w:t>
      </w:r>
      <w:r>
        <w:t xml:space="preserve"> </w:t>
      </w:r>
      <w:r>
        <w:rPr>
          <w:rFonts w:hint="eastAsia"/>
        </w:rPr>
        <w:t xml:space="preserve">による。線形外挿と較正の行は仕様A</w:t>
      </w:r>
      <w:r>
        <w:t xml:space="preserve"> </w:t>
      </w:r>
      <w:r>
        <w:rPr>
          <w:rFonts w:hint="eastAsia"/>
        </w:rPr>
        <w:t xml:space="preserve">による（仕様A′</w:t>
      </w:r>
      <w:r>
        <w:t xml:space="preserve"> </w:t>
      </w:r>
      <w:r>
        <w:rPr>
          <w:rFonts w:hint="eastAsia"/>
        </w:rPr>
        <w:t xml:space="preserve">と外挿の組合せは計算していない）。</w:t>
      </w:r>
      <m:oMath>
        <m:sSup>
          <m:e>
            <m:r>
              <m:t>θ</m:t>
            </m:r>
          </m:e>
          <m:sup>
            <m:r>
              <m:rPr>
                <m:sty m:val="p"/>
              </m:rPr>
              <m:t>*</m:t>
            </m:r>
          </m:sup>
        </m:sSup>
      </m:oMath>
      <w:r>
        <w:t xml:space="preserve"> </w:t>
      </w:r>
      <w:r>
        <w:rPr>
          <w:rFonts w:hint="eastAsia"/>
        </w:rPr>
        <w:t xml:space="preserve">は、資本費6.8万円/kWh・実効容量収入1.25万円/kW-年・WACC</w:t>
      </w:r>
      <w:r>
        <w:t xml:space="preserve"> 6% </w:t>
      </w:r>
      <w:r>
        <w:rPr>
          <w:rFonts w:hint="eastAsia"/>
        </w:rPr>
        <w:t xml:space="preserve">のゼロレント条件を、</w:t>
      </w:r>
      <m:oMath>
        <m:r>
          <m:rPr>
            <m:sty m:val="p"/>
          </m:rPr>
          <m:t>−</m:t>
        </m:r>
        <m:r>
          <m:t>δ</m:t>
        </m:r>
      </m:oMath>
      <w:r>
        <w:t xml:space="preserve"> </w:t>
      </w:r>
      <w:r>
        <w:t xml:space="preserve">を</w:t>
      </w:r>
      <w:r>
        <w:t xml:space="preserve"> </w:t>
      </w:r>
      <m:oMath>
        <m:r>
          <m:t>θ</m:t>
        </m:r>
      </m:oMath>
      <w:r>
        <w:t xml:space="preserve"> </w:t>
      </w:r>
      <w:r>
        <w:rPr>
          <w:rFonts w:hint="eastAsia"/>
        </w:rPr>
        <w:t xml:space="preserve">で伸縮させずに直接解いた値。FY2026上期の水準の行は、</w:t>
      </w:r>
      <m:oMath>
        <m:r>
          <m:t>θ</m:t>
        </m:r>
      </m:oMath>
      <w:r>
        <w:t xml:space="preserve"> </w:t>
      </w:r>
      <w:r>
        <w:rPr>
          <w:rFonts w:hint="eastAsia"/>
        </w:rPr>
        <w:t xml:space="preserve">が既に1.57</w:t>
      </w:r>
      <w:r>
        <w:t xml:space="preserve"> なので</w:t>
      </w:r>
      <w:r>
        <w:t xml:space="preserve"> </w:t>
      </w:r>
      <m:oMath>
        <m:sSup>
          <m:e>
            <m:r>
              <m:t>θ</m:t>
            </m:r>
          </m:e>
          <m:sup>
            <m:r>
              <m:rPr>
                <m:sty m:val="p"/>
              </m:rPr>
              <m:t>*</m:t>
            </m:r>
          </m:sup>
        </m:sSup>
      </m:oMath>
      <w:r>
        <w:t xml:space="preserve"> </w:t>
      </w:r>
      <w:r>
        <w:rPr>
          <w:rFonts w:hint="eastAsia"/>
        </w:rPr>
        <w:t xml:space="preserve">を示さない。下限の時間のうち、純需要が供給曲線の推定範囲より下にある時間の割合は、仕様A</w:t>
      </w:r>
      <w:r>
        <w:t xml:space="preserve"> </w:t>
      </w:r>
      <w:r>
        <w:rPr>
          <w:rFonts w:hint="eastAsia"/>
        </w:rPr>
        <w:t xml:space="preserve">で現状13.6%・泊3号59.1%・泊＋風力2倍70.3%、仕様A′</w:t>
      </w:r>
      <w:r>
        <w:t xml:space="preserve"> で11.2%・56.9%・64.8% </w:t>
      </w:r>
      <w:r>
        <w:rPr>
          <w:rFonts w:hint="eastAsia"/>
        </w:rPr>
        <w:t xml:space="preserve">である。線形外挿の行は、下限のない潜在価格（外挿した供給曲線に時刻別の項を足した値）が0.01円以下の時間を下限の時間とする。第7章の風力導入量と蓄電池容量の2次元の感応度面（付録C.3.6）の外挿は、下端の外挿値を0.01円で打ち切ってから時刻別の項を足すので、下限の時間が少し違う（泊＋風力2倍で1,092時間に対し1,017時間）。較正の行は、季節別の閾値（春1.44・夏3.92・秋4.41円）で現状の下限張り付き時間を実績（約203時間/年）に合わせた版で、現状では205時間/年になる。実績価格の行は、FY2023〜25</w:t>
      </w:r>
      <w:r>
        <w:t xml:space="preserve"> </w:t>
      </w:r>
      <w:r>
        <w:rPr>
          <w:rFonts w:hint="eastAsia"/>
        </w:rPr>
        <w:t xml:space="preserve">の実績価格の下限の時間をそのまま</w:t>
      </w:r>
      <w:r>
        <w:t xml:space="preserve"> </w:t>
      </w:r>
      <m:oMath>
        <m:r>
          <m:rPr>
            <m:sty m:val="p"/>
          </m:rPr>
          <m:t>−</m:t>
        </m:r>
        <m:r>
          <m:t>δ</m:t>
        </m:r>
      </m:oMath>
      <w:r>
        <w:t xml:space="preserve"> </w:t>
      </w:r>
      <w:r>
        <w:rPr>
          <w:rFonts w:hint="eastAsia"/>
        </w:rPr>
        <w:t xml:space="preserve">に置き、戦略</w:t>
      </w:r>
      <w:r>
        <w:t xml:space="preserve"> c </w:t>
      </w:r>
      <w:r>
        <w:rPr>
          <w:rFonts w:hint="eastAsia"/>
        </w:rPr>
        <w:t xml:space="preserve">を直接計算した値で、</w:t>
      </w:r>
      <m:oMath>
        <m:r>
          <m:t>K</m:t>
        </m:r>
        <m:r>
          <m:rPr>
            <m:sty m:val="p"/>
          </m:rPr>
          <m:t>=</m:t>
        </m:r>
        <m:r>
          <m:t>0</m:t>
        </m:r>
      </m:oMath>
      <w:r>
        <w:t xml:space="preserve"> </w:t>
      </w:r>
      <w:r>
        <w:rPr>
          <w:rFonts w:hint="eastAsia"/>
        </w:rPr>
        <w:t xml:space="preserve">だけを示す。</w:t>
      </w:r>
    </w:p>
    <w:p>
      <w:pPr>
        <w:pStyle w:val="TableNote"/>
      </w:pPr>
      <w:r>
        <w:rPr>
          <w:rFonts w:hint="eastAsia"/>
        </w:rPr>
        <w:t xml:space="preserve">出所）日本卸電力取引所『スポット市場取引結果』、北海道電力ネットワーク『エリア需給実績』、電力広域的運営推進機関『容量市場メインオークション約定結果』より筆者作成。</w:t>
      </w:r>
    </w:p>
    <w:bookmarkEnd w:id="391"/>
    <w:bookmarkStart w:id="392" w:name="c.5.2-導入容量の計上時期の補正"/>
    <w:p>
      <w:pPr>
        <w:pStyle w:val="Heading3"/>
      </w:pPr>
      <w:r>
        <w:t xml:space="preserve">C.5.2　</w:t>
      </w:r>
      <w:r>
        <w:rPr>
          <w:rFonts w:hint="eastAsia"/>
        </w:rPr>
        <w:t xml:space="preserve">導入容量の計上時期の補正</w:t>
      </w:r>
    </w:p>
    <w:p>
      <w:pPr>
        <w:pStyle w:val="FirstParagraph"/>
      </w:pPr>
      <w:r>
        <w:rPr>
          <w:rFonts w:hint="eastAsia"/>
        </w:rPr>
        <w:t xml:space="preserve">風力の設備利用率の分母とする導入容量の計上時期を補正すると（付録A.4）、仕様A</w:t>
      </w:r>
      <w:r>
        <w:t xml:space="preserve"> </w:t>
      </w:r>
      <w:r>
        <w:rPr>
          <w:rFonts w:hint="eastAsia"/>
        </w:rPr>
        <w:t xml:space="preserve">の泊＋風力2倍の行の</w:t>
      </w:r>
      <w:r>
        <w:t xml:space="preserve"> </w:t>
      </w:r>
      <m:oMath>
        <m:r>
          <m:t>K</m:t>
        </m:r>
        <m:r>
          <m:rPr>
            <m:sty m:val="p"/>
          </m:rPr>
          <m:t>=</m:t>
        </m:r>
        <m:r>
          <m:t>0</m:t>
        </m:r>
      </m:oMath>
      <w:r>
        <w:t xml:space="preserve"> </w:t>
      </w:r>
      <w:r>
        <w:rPr>
          <w:rFonts w:hint="eastAsia"/>
        </w:rPr>
        <w:t xml:space="preserve">の収益は0.4〜0.8%下がる。現行の下限で7,026円から6,996円、−5円で10,851円から10,766円、−10円で14,639円から14,535円/kW-年である。</w:t>
      </w:r>
      <m:oMath>
        <m:sSup>
          <m:e>
            <m:r>
              <m:t>θ</m:t>
            </m:r>
          </m:e>
          <m:sup>
            <m:r>
              <m:rPr>
                <m:sty m:val="p"/>
              </m:rPr>
              <m:t>*</m:t>
            </m:r>
          </m:sup>
        </m:sSup>
      </m:oMath>
      <w:r>
        <w:t xml:space="preserve"> </w:t>
      </w:r>
      <w:r>
        <w:rPr>
          <w:rFonts w:hint="eastAsia"/>
        </w:rPr>
        <w:t xml:space="preserve">は、現行の下限で2.87</w:t>
      </w:r>
      <w:r>
        <w:t xml:space="preserve"> </w:t>
      </w:r>
      <w:r>
        <w:rPr>
          <w:rFonts w:hint="eastAsia"/>
        </w:rPr>
        <w:t xml:space="preserve">から2.88、−10円で2.00</w:t>
      </w:r>
      <w:r>
        <w:t xml:space="preserve"> から2.01 </w:t>
      </w:r>
      <w:r>
        <w:rPr>
          <w:rFonts w:hint="eastAsia"/>
        </w:rPr>
        <w:t xml:space="preserve">に変わるだけであり、本文の結論は変わらない。</w:t>
      </w:r>
    </w:p>
    <w:bookmarkEnd w:id="392"/>
    <w:bookmarkStart w:id="393" w:name="c.5.3-再エネ側からの移転の計測の補足"/>
    <w:p>
      <w:pPr>
        <w:pStyle w:val="Heading3"/>
      </w:pPr>
      <w:r>
        <w:t xml:space="preserve">C.5.3　</w:t>
      </w:r>
      <w:r>
        <w:rPr>
          <w:rFonts w:hint="eastAsia"/>
        </w:rPr>
        <w:t xml:space="preserve">再エネ側からの移転の計測の補足</w:t>
      </w:r>
    </w:p>
    <w:p>
      <w:pPr>
        <w:pStyle w:val="FirstParagraph"/>
      </w:pPr>
      <w:r>
        <w:rPr>
          <w:rFonts w:hint="eastAsia"/>
        </w:rPr>
        <w:t xml:space="preserve">表9.2</w:t>
      </w:r>
      <w:r>
        <w:t xml:space="preserve"> </w:t>
      </w:r>
      <w:r>
        <w:rPr>
          <w:rFonts w:hint="eastAsia"/>
        </w:rPr>
        <w:t xml:space="preserve">の出力制御と表C.50</w:t>
      </w:r>
      <w:r>
        <w:t xml:space="preserve"> </w:t>
      </w:r>
      <w:r>
        <w:rPr>
          <w:rFonts w:hint="eastAsia"/>
        </w:rPr>
        <w:t xml:space="preserve">の抑制時間は、太陽光と風力の合計であり、付録C.4.2</w:t>
      </w:r>
      <w:r>
        <w:t xml:space="preserve"> </w:t>
      </w:r>
      <w:r>
        <w:rPr>
          <w:rFonts w:hint="eastAsia"/>
        </w:rPr>
        <w:t xml:space="preserve">の風力のみの抑制時間（FY2025</w:t>
      </w:r>
      <w:r>
        <w:t xml:space="preserve"> </w:t>
      </w:r>
      <w:r>
        <w:rPr>
          <w:rFonts w:hint="eastAsia"/>
        </w:rPr>
        <w:t xml:space="preserve">109時間、FY2026</w:t>
      </w:r>
      <w:r>
        <w:t xml:space="preserve"> </w:t>
      </w:r>
      <w:r>
        <w:rPr>
          <w:rFonts w:hint="eastAsia"/>
        </w:rPr>
        <w:t xml:space="preserve">の4〜6月</w:t>
      </w:r>
      <w:r>
        <w:t xml:space="preserve"> </w:t>
      </w:r>
      <w:r>
        <w:rPr>
          <w:rFonts w:hint="eastAsia"/>
        </w:rPr>
        <w:t xml:space="preserve">235時間）とは異なる。抑制時間と、そのうち下限張り付きの時間と一致する時間を表C.50</w:t>
      </w:r>
      <w:r>
        <w:t xml:space="preserve"> </w:t>
      </w:r>
      <w:r>
        <w:rPr>
          <w:rFonts w:hint="eastAsia"/>
        </w:rPr>
        <w:t xml:space="preserve">に示す。</w:t>
      </w:r>
    </w:p>
    <w:p>
      <w:pPr>
        <w:pStyle w:val="TableCaption"/>
      </w:pPr>
      <w:r>
        <w:rPr>
          <w:rFonts w:hint="eastAsia"/>
        </w:rPr>
        <w:t xml:space="preserve">表C.50</w:t>
      </w:r>
      <w:r>
        <w:t xml:space="preserve">　</w:t>
      </w:r>
      <w:r>
        <w:rPr>
          <w:rFonts w:hint="eastAsia"/>
        </w:rPr>
        <w:t xml:space="preserve">太陽光・風力の抑制時間と下限張り付きの時間</w:t>
      </w:r>
    </w:p>
    <w:tbl>
      <w:tblPr>
        <w:tblStyle w:val="Table"/>
        <w:tblW w:type="auto" w:w="0"/>
        <w:tblBorders>
          <w:top w:val="single" w:sz="8" w:color="000000"/>
          <w:bottom w:val="single" w:sz="8" w:color="000000"/>
          <w:left w:val="nil"/>
          <w:right w:val="nil"/>
          <w:insideH w:val="nil"/>
          <w:insideV w:val="nil"/>
        </w:tblBorders>
        <w:tblLook w:firstRow="1" w:lastRow="0" w:firstColumn="0" w:lastColumn="0" w:noHBand="0" w:noVBand="0" w:val="0020"/>
        <w:tblCaption w:val="表C.50　太陽光・風力の抑制時間と下限張り付きの時間"/>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年度</w:t>
            </w:r>
          </w:p>
        </w:tc>
        <w:tc>
          <w:tcPr>
            <w:tcBorders>
              <w:bottom w:val="single" w:sz="6" w:color="000000"/>
            </w:tcBorders>
          </w:tcPr>
          <w:p>
            <w:pPr>
              <w:pStyle w:val="Compact"/>
              <w:jc w:val="right"/>
            </w:pPr>
            <w:r>
              <w:rPr>
                <w:rFonts w:hint="eastAsia"/>
                <w:sz w:val="18"/>
              </w:rPr>
              <w:t xml:space="preserve">抑制時間（h）</w:t>
            </w:r>
          </w:p>
        </w:tc>
        <w:tc>
          <w:tcPr>
            <w:tcBorders>
              <w:bottom w:val="single" w:sz="6" w:color="000000"/>
            </w:tcBorders>
          </w:tcPr>
          <w:p>
            <w:pPr>
              <w:pStyle w:val="Compact"/>
              <w:jc w:val="right"/>
            </w:pPr>
            <w:r>
              <w:rPr>
                <w:rFonts w:hint="eastAsia"/>
                <w:sz w:val="18"/>
              </w:rPr>
              <w:t xml:space="preserve">うち下限張り付きと一致（h）</w:t>
            </w:r>
          </w:p>
        </w:tc>
      </w:tr>
      <w:tr>
        <w:tc>
          <w:tcPr/>
          <w:p>
            <w:pPr>
              <w:pStyle w:val="Compact"/>
            </w:pPr>
            <w:r>
              <w:rPr>
                <w:sz w:val="18"/>
              </w:rPr>
              <w:t xml:space="preserve">FY2023</w:t>
            </w:r>
          </w:p>
        </w:tc>
        <w:tc>
          <w:tcPr/>
          <w:p>
            <w:pPr>
              <w:pStyle w:val="Compact"/>
              <w:jc w:val="right"/>
            </w:pPr>
            <w:r>
              <w:rPr>
                <w:sz w:val="18"/>
              </w:rPr>
              <w:t xml:space="preserve">8</w:t>
            </w:r>
          </w:p>
        </w:tc>
        <w:tc>
          <w:tcPr/>
          <w:p>
            <w:pPr>
              <w:pStyle w:val="Compact"/>
              <w:jc w:val="right"/>
            </w:pPr>
            <w:r>
              <w:rPr>
                <w:sz w:val="18"/>
              </w:rPr>
              <w:t xml:space="preserve">3</w:t>
            </w:r>
          </w:p>
        </w:tc>
      </w:tr>
      <w:tr>
        <w:tc>
          <w:tcPr/>
          <w:p>
            <w:pPr>
              <w:pStyle w:val="Compact"/>
            </w:pPr>
            <w:r>
              <w:rPr>
                <w:sz w:val="18"/>
              </w:rPr>
              <w:t xml:space="preserve">FY2024</w:t>
            </w:r>
          </w:p>
        </w:tc>
        <w:tc>
          <w:tcPr/>
          <w:p>
            <w:pPr>
              <w:pStyle w:val="Compact"/>
              <w:jc w:val="right"/>
            </w:pPr>
            <w:r>
              <w:rPr>
                <w:sz w:val="18"/>
              </w:rPr>
              <w:t xml:space="preserve">12</w:t>
            </w:r>
          </w:p>
        </w:tc>
        <w:tc>
          <w:tcPr/>
          <w:p>
            <w:pPr>
              <w:pStyle w:val="Compact"/>
              <w:jc w:val="right"/>
            </w:pPr>
            <w:r>
              <w:rPr>
                <w:sz w:val="18"/>
              </w:rPr>
              <w:t xml:space="preserve">12</w:t>
            </w:r>
          </w:p>
        </w:tc>
      </w:tr>
      <w:tr>
        <w:tc>
          <w:tcPr/>
          <w:p>
            <w:pPr>
              <w:pStyle w:val="Compact"/>
            </w:pPr>
            <w:r>
              <w:rPr>
                <w:sz w:val="18"/>
              </w:rPr>
              <w:t xml:space="preserve">FY2025</w:t>
            </w:r>
          </w:p>
        </w:tc>
        <w:tc>
          <w:tcPr/>
          <w:p>
            <w:pPr>
              <w:pStyle w:val="Compact"/>
              <w:jc w:val="right"/>
            </w:pPr>
            <w:r>
              <w:rPr>
                <w:sz w:val="18"/>
              </w:rPr>
              <w:t xml:space="preserve">121</w:t>
            </w:r>
          </w:p>
        </w:tc>
        <w:tc>
          <w:tcPr/>
          <w:p>
            <w:pPr>
              <w:pStyle w:val="Compact"/>
              <w:jc w:val="right"/>
            </w:pPr>
            <w:r>
              <w:rPr>
                <w:sz w:val="18"/>
              </w:rPr>
              <w:t xml:space="preserve">70</w:t>
            </w:r>
          </w:p>
        </w:tc>
      </w:tr>
      <w:tr>
        <w:tc>
          <w:tcPr/>
          <w:p>
            <w:pPr>
              <w:pStyle w:val="Compact"/>
            </w:pPr>
            <w:r>
              <w:rPr>
                <w:rFonts w:hint="eastAsia"/>
                <w:sz w:val="18"/>
              </w:rPr>
              <w:t xml:space="preserve">FY2026（4〜6月）</w:t>
            </w:r>
          </w:p>
        </w:tc>
        <w:tc>
          <w:tcPr/>
          <w:p>
            <w:pPr>
              <w:pStyle w:val="Compact"/>
              <w:jc w:val="right"/>
            </w:pPr>
            <w:r>
              <w:rPr>
                <w:sz w:val="18"/>
              </w:rPr>
              <w:t xml:space="preserve">437</w:t>
            </w:r>
          </w:p>
        </w:tc>
        <w:tc>
          <w:tcPr/>
          <w:p>
            <w:pPr>
              <w:pStyle w:val="Compact"/>
              <w:jc w:val="right"/>
            </w:pPr>
            <w:r>
              <w:rPr>
                <w:sz w:val="18"/>
              </w:rPr>
              <w:t xml:space="preserve">176</w:t>
            </w:r>
          </w:p>
        </w:tc>
      </w:tr>
    </w:tbl>
    <w:p>
      <w:pPr>
        <w:pStyle w:val="TableNote"/>
      </w:pPr>
      <w:r>
        <w:rPr>
          <w:rFonts w:hint="eastAsia"/>
        </w:rPr>
        <w:t xml:space="preserve">注）北海道の実績。FY2026</w:t>
      </w:r>
      <w:r>
        <w:t xml:space="preserve"> </w:t>
      </w:r>
      <w:r>
        <w:rPr>
          <w:rFonts w:hint="eastAsia"/>
        </w:rPr>
        <w:t xml:space="preserve">は4〜6月の3か月分。</w:t>
      </w:r>
    </w:p>
    <w:p>
      <w:pPr>
        <w:pStyle w:val="TableNote"/>
      </w:pPr>
      <w:r>
        <w:rPr>
          <w:rFonts w:hint="eastAsia"/>
        </w:rPr>
        <w:t xml:space="preserve">出所）日本卸電力取引所『スポット市場取引結果』、北海道電力ネットワーク『エリア需給実績』より筆者作成。</w:t>
      </w:r>
    </w:p>
    <w:p>
      <w:pPr>
        <w:pStyle w:val="BodyText"/>
      </w:pPr>
      <w:r>
        <w:rPr>
          <w:rFonts w:hint="eastAsia"/>
        </w:rPr>
        <w:t xml:space="preserve">本文の再エネ側の収入減は、下限張り付きの時間に販売された電力量（発電実績）に</w:t>
      </w:r>
      <w:r>
        <w:t xml:space="preserve"> </w:t>
      </w:r>
      <m:oMath>
        <m:r>
          <m:t>0.01</m:t>
        </m:r>
        <m:r>
          <m:rPr>
            <m:sty m:val="p"/>
          </m:rPr>
          <m:t>+</m:t>
        </m:r>
        <m:r>
          <m:t>δ</m:t>
        </m:r>
      </m:oMath>
      <w:r>
        <w:t xml:space="preserve"> </w:t>
      </w:r>
      <w:r>
        <w:rPr>
          <w:rFonts w:hint="eastAsia"/>
        </w:rPr>
        <w:t xml:space="preserve">円を掛けたもので、抑制された電力量を含まない。抑制前の出力（FY2025</w:t>
      </w:r>
      <w:r>
        <w:t xml:space="preserve"> 384.9GWh、FY2026 </w:t>
      </w:r>
      <w:r>
        <w:rPr>
          <w:rFonts w:hint="eastAsia"/>
        </w:rPr>
        <w:t xml:space="preserve">の4〜6月</w:t>
      </w:r>
      <w:r>
        <w:t xml:space="preserve"> </w:t>
      </w:r>
      <w:r>
        <w:rPr>
          <w:rFonts w:hint="eastAsia"/>
        </w:rPr>
        <w:t xml:space="preserve">435.6GWh）を使うと、抑制された電力量を収入減と影の価格の価値の両方に数えることになる。その場合の比は、FY2025</w:t>
      </w:r>
      <w:r>
        <w:t xml:space="preserve"> </w:t>
      </w:r>
      <w:r>
        <w:rPr>
          <w:rFonts w:hint="eastAsia"/>
        </w:rPr>
        <w:t xml:space="preserve">で23.8倍、FY2026</w:t>
      </w:r>
      <w:r>
        <w:t xml:space="preserve"> </w:t>
      </w:r>
      <w:r>
        <w:rPr>
          <w:rFonts w:hint="eastAsia"/>
        </w:rPr>
        <w:t xml:space="preserve">の4〜6月で6.7倍である。4〜6月どうしで比べると、抑制前の出力による比は</w:t>
      </w:r>
      <w:r>
        <w:t xml:space="preserve"> FY2025 </w:t>
      </w:r>
      <w:r>
        <w:rPr>
          <w:rFonts w:hint="eastAsia"/>
        </w:rPr>
        <w:t xml:space="preserve">の35倍から</w:t>
      </w:r>
      <w:r>
        <w:t xml:space="preserve"> FY2026 </w:t>
      </w:r>
      <w:r>
        <w:rPr>
          <w:rFonts w:hint="eastAsia"/>
        </w:rPr>
        <w:t xml:space="preserve">の7倍に下がる。</w:t>
      </w:r>
    </w:p>
    <w:bookmarkEnd w:id="393"/>
    <w:bookmarkEnd w:id="394"/>
    <w:bookmarkStart w:id="397" w:name="c.6-主要な前提と推定の細部第10章"/>
    <w:p>
      <w:pPr>
        <w:pStyle w:val="Heading2"/>
      </w:pPr>
      <w:r>
        <w:t xml:space="preserve">C.6　</w:t>
      </w:r>
      <w:r>
        <w:rPr>
          <w:rFonts w:hint="eastAsia"/>
        </w:rPr>
        <w:t xml:space="preserve">主要な前提と推定の細部（第10章）</w:t>
      </w:r>
    </w:p>
    <w:p>
      <w:pPr>
        <w:pStyle w:val="FirstParagraph"/>
      </w:pPr>
      <w:r>
        <w:rPr>
          <w:rFonts w:hint="eastAsia"/>
        </w:rPr>
        <w:t xml:space="preserve">本節は、第10章の表10.1</w:t>
      </w:r>
      <w:r>
        <w:t xml:space="preserve"> </w:t>
      </w:r>
      <w:r>
        <w:rPr>
          <w:rFonts w:hint="eastAsia"/>
        </w:rPr>
        <w:t xml:space="preserve">を補う詳細である。分析の限界の論述は10.5節にまとめ、ここでは繰り返さない。付録C.6.1</w:t>
      </w:r>
      <w:r>
        <w:t xml:space="preserve"> </w:t>
      </w:r>
      <w:r>
        <w:rPr>
          <w:rFonts w:hint="eastAsia"/>
        </w:rPr>
        <w:t xml:space="preserve">は各前提の内容、結論への影響の方向と大きさ、影響を確かめた箇所を示し、付録C.6.2</w:t>
      </w:r>
      <w:r>
        <w:t xml:space="preserve"> </w:t>
      </w:r>
      <w:r>
        <w:rPr>
          <w:rFonts w:hint="eastAsia"/>
        </w:rPr>
        <w:t xml:space="preserve">は10.5節と表C.51</w:t>
      </w:r>
      <w:r>
        <w:t xml:space="preserve"> </w:t>
      </w:r>
      <w:r>
        <w:rPr>
          <w:rFonts w:hint="eastAsia"/>
        </w:rPr>
        <w:t xml:space="preserve">のどちらにも含めなかった推定と計算の細部を記す。</w:t>
      </w:r>
    </w:p>
    <w:bookmarkStart w:id="395" w:name="c.6.1-主要な前提捨象と結論への影響の詳細"/>
    <w:p>
      <w:pPr>
        <w:pStyle w:val="Heading3"/>
      </w:pPr>
      <w:r>
        <w:t xml:space="preserve">C.6.1　</w:t>
      </w:r>
      <w:r>
        <w:rPr>
          <w:rFonts w:hint="eastAsia"/>
        </w:rPr>
        <w:t xml:space="preserve">主要な前提・捨象と結論への影響の詳細</w:t>
      </w:r>
    </w:p>
    <w:p>
      <w:pPr>
        <w:pStyle w:val="FirstParagraph"/>
      </w:pPr>
      <w:r>
        <w:rPr>
          <w:rFonts w:hint="eastAsia"/>
        </w:rPr>
        <w:t xml:space="preserve">本文の表10.1</w:t>
      </w:r>
      <w:r>
        <w:t xml:space="preserve"> </w:t>
      </w:r>
      <w:r>
        <w:rPr>
          <w:rFonts w:hint="eastAsia"/>
        </w:rPr>
        <w:t xml:space="preserve">は、主要な前提・捨象を外したときに主な結論が動く方向だけを示した。表C.51</w:t>
      </w:r>
      <w:r>
        <w:t xml:space="preserve"> </w:t>
      </w:r>
      <w:r>
        <w:rPr>
          <w:rFonts w:hint="eastAsia"/>
        </w:rPr>
        <w:t xml:space="preserve">は、各前提の内容、結論への影響の方向と大きさ、影響を確かめた箇所を示す。</w:t>
      </w:r>
    </w:p>
    <w:p>
      <w:pPr>
        <w:pStyle w:val="TableCaption"/>
      </w:pPr>
      <w:r>
        <w:rPr>
          <w:rFonts w:hint="eastAsia"/>
        </w:rPr>
        <w:t xml:space="preserve">表C.51</w:t>
      </w:r>
      <w:r>
        <w:t xml:space="preserve">　</w:t>
      </w:r>
      <w:r>
        <w:rPr>
          <w:rFonts w:hint="eastAsia"/>
        </w:rPr>
        <w:t xml:space="preserve">主要な前提・捨象と結論への影響（詳細）</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C.51　主要な前提・捨象と結論への影響（詳細）"/>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前提・捨象</w:t>
            </w:r>
          </w:p>
        </w:tc>
        <w:tc>
          <w:tcPr>
            <w:tcBorders>
              <w:bottom w:val="single" w:sz="6" w:color="000000"/>
            </w:tcBorders>
          </w:tcPr>
          <w:p>
            <w:pPr>
              <w:pStyle w:val="Compact"/>
            </w:pPr>
            <w:r>
              <w:rPr>
                <w:rFonts w:hint="eastAsia"/>
                <w:sz w:val="18"/>
              </w:rPr>
              <w:t xml:space="preserve">内容</w:t>
            </w:r>
          </w:p>
        </w:tc>
        <w:tc>
          <w:tcPr>
            <w:tcBorders>
              <w:bottom w:val="single" w:sz="6" w:color="000000"/>
            </w:tcBorders>
          </w:tcPr>
          <w:p>
            <w:pPr>
              <w:pStyle w:val="Compact"/>
            </w:pPr>
            <w:r>
              <w:rPr>
                <w:rFonts w:hint="eastAsia"/>
                <w:sz w:val="18"/>
              </w:rPr>
              <w:t xml:space="preserve">結論への影響の方向</w:t>
            </w:r>
          </w:p>
        </w:tc>
        <w:tc>
          <w:tcPr>
            <w:tcBorders>
              <w:bottom w:val="single" w:sz="6" w:color="000000"/>
            </w:tcBorders>
          </w:tcPr>
          <w:p>
            <w:pPr>
              <w:pStyle w:val="Compact"/>
            </w:pPr>
            <w:r>
              <w:rPr>
                <w:rFonts w:hint="eastAsia"/>
                <w:sz w:val="18"/>
              </w:rPr>
              <w:t xml:space="preserve">頑健性の確認</w:t>
            </w:r>
          </w:p>
        </w:tc>
      </w:tr>
      <w:tr>
        <w:tc>
          <w:tcPr/>
          <w:p>
            <w:pPr>
              <w:pStyle w:val="Compact"/>
            </w:pPr>
            <w:r>
              <w:rPr>
                <w:rFonts w:hint="eastAsia"/>
                <w:sz w:val="18"/>
              </w:rPr>
              <w:t xml:space="preserve">部分均衡</w:t>
            </w:r>
          </w:p>
        </w:tc>
        <w:tc>
          <w:tcPr/>
          <w:p>
            <w:pPr>
              <w:pStyle w:val="Compact"/>
            </w:pPr>
            <w:r>
              <w:rPr>
                <w:rFonts w:hint="eastAsia"/>
                <w:sz w:val="18"/>
              </w:rPr>
              <w:t xml:space="preserve">システムプライス、火力の退出、連系線の増強、揚水の運用を、歴史的な応答として固定する</w:t>
            </w:r>
          </w:p>
        </w:tc>
        <w:tc>
          <w:tcPr/>
          <w:p>
            <w:pPr>
              <w:pStyle w:val="Compact"/>
            </w:pPr>
            <w:r>
              <w:rPr>
                <w:rFonts w:hint="eastAsia"/>
                <w:sz w:val="18"/>
              </w:rPr>
              <w:t xml:space="preserve">火力の退出は夕方の価格を上げて価値を上げる側、揚水・連系線の運用拡大はスプレッドを圧縮する側（九州の</w:t>
            </w:r>
            <w:r>
              <w:rPr>
                <w:sz w:val="18"/>
              </w:rPr>
              <w:t xml:space="preserve"> FY2023〜25 </w:t>
            </w:r>
            <w:r>
              <w:rPr>
                <w:rFonts w:hint="eastAsia"/>
                <w:sz w:val="18"/>
              </w:rPr>
              <w:t xml:space="preserve">の圧縮はその可能性を示すが、要因は識別していない）で、一律でない。</w:t>
            </w:r>
            <m:oMath>
              <m:sSup>
                <m:e>
                  <m:r>
                    <m:t>K</m:t>
                  </m:r>
                </m:e>
                <m:sup>
                  <m:r>
                    <m:rPr>
                      <m:sty m:val="p"/>
                    </m:rPr>
                    <m:t>*</m:t>
                  </m:r>
                </m:sup>
              </m:sSup>
              <m:r>
                <m:rPr>
                  <m:sty m:val="p"/>
                </m:rPr>
                <m:t>=</m:t>
              </m:r>
              <m:r>
                <m:t>0</m:t>
              </m:r>
            </m:oMath>
            <w:r>
              <w:rPr>
                <w:sz w:val="18"/>
              </w:rPr>
              <w:t xml:space="preserve"> </w:t>
            </w:r>
            <w:r>
              <w:rPr>
                <w:rFonts w:hint="eastAsia"/>
                <w:sz w:val="18"/>
              </w:rPr>
              <w:t xml:space="preserve">を覆すには、参入に必要な水準に届くほどの変化（価格水準でいえば</w:t>
            </w:r>
            <w:r>
              <w:rPr>
                <w:sz w:val="18"/>
              </w:rPr>
              <w:t xml:space="preserve"> </w:t>
            </w:r>
            <m:oMath>
              <m:sSup>
                <m:e>
                  <m:r>
                    <m:t>θ</m:t>
                  </m:r>
                </m:e>
                <m:sup>
                  <m:r>
                    <m:rPr>
                      <m:sty m:val="p"/>
                    </m:rPr>
                    <m:t>*</m:t>
                  </m:r>
                </m:sup>
              </m:sSup>
              <m:r>
                <m:rPr>
                  <m:sty m:val="p"/>
                </m:rPr>
                <m:t>=</m:t>
              </m:r>
              <m:r>
                <m:t>2.99</m:t>
              </m:r>
            </m:oMath>
            <w:r>
              <w:rPr>
                <w:rFonts w:hint="eastAsia"/>
                <w:sz w:val="18"/>
              </w:rPr>
              <w:t xml:space="preserve">）が要る</w:t>
            </w:r>
          </w:p>
        </w:tc>
        <w:tc>
          <w:tcPr/>
          <w:p>
            <w:pPr>
              <w:pStyle w:val="Compact"/>
            </w:pPr>
            <m:oMath>
              <m:r>
                <m:t>θ</m:t>
              </m:r>
            </m:oMath>
            <w:r>
              <w:rPr>
                <w:sz w:val="18"/>
              </w:rPr>
              <w:t xml:space="preserve"> </w:t>
            </w:r>
            <w:r>
              <w:rPr>
                <w:rFonts w:hint="eastAsia"/>
                <w:sz w:val="18"/>
              </w:rPr>
              <w:t xml:space="preserve">の感応度（7.5節・8.6節）、2次元の感応度面（表C.26）。</w:t>
            </w:r>
            <m:oMath>
              <m:sSup>
                <m:e>
                  <m:r>
                    <m:t>θ</m:t>
                  </m:r>
                </m:e>
                <m:sup>
                  <m:r>
                    <m:rPr>
                      <m:sty m:val="p"/>
                    </m:rPr>
                    <m:t>*</m:t>
                  </m:r>
                </m:sup>
              </m:sSup>
              <m:r>
                <m:rPr>
                  <m:sty m:val="p"/>
                </m:rPr>
                <m:t>=</m:t>
              </m:r>
              <m:r>
                <m:t>2.99</m:t>
              </m:r>
            </m:oMath>
            <w:r>
              <w:rPr>
                <w:sz w:val="18"/>
              </w:rPr>
              <w:t xml:space="preserve"> </w:t>
            </w:r>
            <w:r>
              <w:rPr>
                <w:sz w:val="18"/>
              </w:rPr>
              <w:t xml:space="preserve">は FY2022 </w:t>
            </w:r>
            <w:r>
              <w:rPr>
                <w:rFonts w:hint="eastAsia"/>
                <w:sz w:val="18"/>
              </w:rPr>
              <w:t xml:space="preserve">の水準（1.72）の1.7倍</w:t>
            </w:r>
          </w:p>
        </w:tc>
      </w:tr>
      <w:tr>
        <w:tc>
          <w:tcPr/>
          <w:p>
            <w:pPr>
              <w:pStyle w:val="Compact"/>
            </w:pPr>
            <w:r>
              <w:rPr>
                <w:rFonts w:hint="eastAsia"/>
                <w:sz w:val="18"/>
              </w:rPr>
              <w:t xml:space="preserve">決定論的な価格過程</w:t>
            </w:r>
          </w:p>
        </w:tc>
        <w:tc>
          <w:tcPr/>
          <w:p>
            <w:pPr>
              <w:pStyle w:val="Compact"/>
            </w:pPr>
            <m:oMath>
              <m:r>
                <m:t>π</m:t>
              </m:r>
              <m:r>
                <m:rPr>
                  <m:sty m:val="p"/>
                </m:rPr>
                <m:t>(</m:t>
              </m:r>
              <m:r>
                <m:t>K</m:t>
              </m:r>
              <m:r>
                <m:rPr>
                  <m:sty m:val="p"/>
                </m:rPr>
                <m:t>)</m:t>
              </m:r>
            </m:oMath>
            <w:r>
              <w:rPr>
                <w:sz w:val="18"/>
              </w:rPr>
              <w:t xml:space="preserve"> </w:t>
            </w:r>
            <w:r>
              <w:rPr>
                <w:sz w:val="18"/>
              </w:rPr>
              <w:t xml:space="preserve">と</w:t>
            </w:r>
            <w:r>
              <w:rPr>
                <w:sz w:val="18"/>
              </w:rPr>
              <w:t xml:space="preserve"> </w:t>
            </w:r>
            <m:oMath>
              <m:sSup>
                <m:e>
                  <m:r>
                    <m:t>θ</m:t>
                  </m:r>
                </m:e>
                <m:sup>
                  <m:r>
                    <m:rPr>
                      <m:sty m:val="p"/>
                    </m:rPr>
                    <m:t>*</m:t>
                  </m:r>
                </m:sup>
              </m:sSup>
            </m:oMath>
            <w:r>
              <w:rPr>
                <w:sz w:val="18"/>
              </w:rPr>
              <w:t xml:space="preserve"> </w:t>
            </w:r>
            <w:r>
              <w:rPr>
                <w:sz w:val="18"/>
              </w:rPr>
              <w:t xml:space="preserve">を FY2023〜25 </w:t>
            </w:r>
            <w:r>
              <w:rPr>
                <w:rFonts w:hint="eastAsia"/>
                <w:sz w:val="18"/>
              </w:rPr>
              <w:t xml:space="preserve">のパスで決定論的に計算する</w:t>
            </w:r>
          </w:p>
        </w:tc>
        <w:tc>
          <w:tcPr/>
          <w:p>
            <w:pPr>
              <w:pStyle w:val="Compact"/>
            </w:pPr>
            <w:r>
              <w:rPr>
                <w:rFonts w:hint="eastAsia"/>
                <w:sz w:val="18"/>
              </w:rPr>
              <w:t xml:space="preserve">価格水準の不確実性と投資の不可逆性を入れると参入閾値は上がり（競争均衡で静学の1.17〜1.59倍。期待成長0・資本費一定）、</w:t>
            </w:r>
            <m:oMath>
              <m:sSup>
                <m:e>
                  <m:r>
                    <m:t>K</m:t>
                  </m:r>
                </m:e>
                <m:sup>
                  <m:r>
                    <m:rPr>
                      <m:sty m:val="p"/>
                    </m:rPr>
                    <m:t>*</m:t>
                  </m:r>
                </m:sup>
              </m:sSup>
              <m:r>
                <m:rPr>
                  <m:sty m:val="p"/>
                </m:rPr>
                <m:t>=</m:t>
              </m:r>
              <m:r>
                <m:t>0</m:t>
              </m:r>
            </m:oMath>
            <w:r>
              <w:rPr>
                <w:sz w:val="18"/>
              </w:rPr>
              <w:t xml:space="preserve"> </w:t>
            </w:r>
            <w:r>
              <w:rPr>
                <w:rFonts w:hint="eastAsia"/>
                <w:sz w:val="18"/>
              </w:rPr>
              <w:t xml:space="preserve">を強める</w:t>
            </w:r>
          </w:p>
        </w:tc>
        <w:tc>
          <w:tcPr/>
          <w:p>
            <w:pPr>
              <w:pStyle w:val="Compact"/>
            </w:pPr>
            <w:r>
              <w:rPr>
                <w:rFonts w:hint="eastAsia"/>
                <w:sz w:val="18"/>
              </w:rPr>
              <w:t xml:space="preserve">実物オプションの参入閾値（7.8節）、多因子</w:t>
            </w:r>
            <w:r>
              <w:rPr>
                <w:sz w:val="18"/>
              </w:rPr>
              <w:t xml:space="preserve"> </w:t>
            </w:r>
            <w:r>
              <w:rPr>
                <w:rFonts w:hint="eastAsia"/>
                <w:sz w:val="18"/>
              </w:rPr>
              <w:t xml:space="preserve">CFaR（8.7.5項）</w:t>
            </w:r>
          </w:p>
        </w:tc>
      </w:tr>
      <w:tr>
        <w:tc>
          <w:tcPr/>
          <w:p>
            <w:pPr>
              <w:pStyle w:val="Compact"/>
            </w:pPr>
            <w:r>
              <w:rPr>
                <w:rFonts w:hint="eastAsia"/>
                <w:sz w:val="18"/>
              </w:rPr>
              <w:t xml:space="preserve">静学のゼロレント条件</w:t>
            </w:r>
          </w:p>
        </w:tc>
        <w:tc>
          <w:tcPr/>
          <w:p>
            <w:pPr>
              <w:pStyle w:val="Compact"/>
            </w:pPr>
            <w:r>
              <w:rPr>
                <w:rFonts w:hint="eastAsia"/>
                <w:sz w:val="18"/>
              </w:rPr>
              <w:t xml:space="preserve">参入を、価格水準一定・20年の静学の</w:t>
            </w:r>
            <w:r>
              <w:rPr>
                <w:sz w:val="18"/>
              </w:rPr>
              <w:t xml:space="preserve"> NPV=0 </w:t>
            </w:r>
            <w:r>
              <w:rPr>
                <w:rFonts w:hint="eastAsia"/>
                <w:sz w:val="18"/>
              </w:rPr>
              <w:t xml:space="preserve">で判定する</w:t>
            </w:r>
          </w:p>
        </w:tc>
        <w:tc>
          <w:tcPr/>
          <w:p>
            <w:pPr>
              <w:pStyle w:val="Compact"/>
            </w:pPr>
            <w:r>
              <w:rPr>
                <w:rFonts w:hint="eastAsia"/>
                <w:sz w:val="18"/>
              </w:rPr>
              <w:t xml:space="preserve">静学の条件は動学的な参入閾値の下限、静学の</w:t>
            </w:r>
            <w:r>
              <w:rPr>
                <w:sz w:val="18"/>
              </w:rPr>
              <w:t xml:space="preserve"> </w:t>
            </w:r>
            <m:oMath>
              <m:sSup>
                <m:e>
                  <m:r>
                    <m:t>K</m:t>
                  </m:r>
                </m:e>
                <m:sup>
                  <m:r>
                    <m:rPr>
                      <m:sty m:val="p"/>
                    </m:rPr>
                    <m:t>*</m:t>
                  </m:r>
                </m:sup>
              </m:sSup>
            </m:oMath>
            <w:r>
              <w:rPr>
                <w:sz w:val="18"/>
              </w:rPr>
              <w:t xml:space="preserve"> </w:t>
            </w:r>
            <w:r>
              <w:rPr>
                <w:rFonts w:hint="eastAsia"/>
                <w:sz w:val="18"/>
              </w:rPr>
              <w:t xml:space="preserve">は上限であり、</w:t>
            </w:r>
            <m:oMath>
              <m:sSup>
                <m:e>
                  <m:r>
                    <m:t>K</m:t>
                  </m:r>
                </m:e>
                <m:sup>
                  <m:r>
                    <m:rPr>
                      <m:sty m:val="p"/>
                    </m:rPr>
                    <m:t>*</m:t>
                  </m:r>
                </m:sup>
              </m:sSup>
              <m:r>
                <m:rPr>
                  <m:sty m:val="p"/>
                </m:rPr>
                <m:t>=</m:t>
              </m:r>
              <m:r>
                <m:t>0</m:t>
              </m:r>
            </m:oMath>
            <w:r>
              <w:rPr>
                <w:sz w:val="18"/>
              </w:rPr>
              <w:t xml:space="preserve"> </w:t>
            </w:r>
            <w:r>
              <w:rPr>
                <w:rFonts w:hint="eastAsia"/>
                <w:sz w:val="18"/>
              </w:rPr>
              <w:t xml:space="preserve">を強める側。ただし価格水準の期待成長を見込むと、下限は期待経路の損益分岐（年2%で2.50）に下がり、2040年度までに参入が開く確率は最大22〜34%に上がる。2040年度のフリート容量の期待値は12万kW</w:t>
            </w:r>
            <w:r>
              <w:rPr>
                <w:sz w:val="18"/>
              </w:rPr>
              <w:t xml:space="preserve"> </w:t>
            </w:r>
            <w:r>
              <w:rPr>
                <w:rFonts w:hint="eastAsia"/>
                <w:sz w:val="18"/>
              </w:rPr>
              <w:t xml:space="preserve">未満（主ケースで4万kW</w:t>
            </w:r>
            <w:r>
              <w:rPr>
                <w:sz w:val="18"/>
              </w:rPr>
              <w:t xml:space="preserve"> </w:t>
            </w:r>
            <w:r>
              <w:rPr>
                <w:rFonts w:hint="eastAsia"/>
                <w:sz w:val="18"/>
              </w:rPr>
              <w:t xml:space="preserve">未満。出発点を恒久成分の推定値1.22とした場合。FY2026上期の水準1.57をすべて恒久と置くと、確率は最大45%、期待値は最大17万kW）。2030年度向け以降の容量収入の上振れ（1.75万円で確率は最大24%、上限近傍の2.5万円では21〜28%）と補助（1/2補助で</w:t>
            </w:r>
            <w:r>
              <w:rPr>
                <w:sz w:val="18"/>
              </w:rPr>
              <w:t xml:space="preserve"> </w:t>
            </w:r>
            <m:oMath>
              <m:sSup>
                <m:e>
                  <m:r>
                    <m:t>θ</m:t>
                  </m:r>
                </m:e>
                <m:sup>
                  <m:r>
                    <m:rPr>
                      <m:sty m:val="p"/>
                    </m:rPr>
                    <m:t>*</m:t>
                  </m:r>
                </m:sup>
              </m:sSup>
              <m:r>
                <m:rPr>
                  <m:sty m:val="p"/>
                </m:rPr>
                <m:t>=</m:t>
              </m:r>
              <m:r>
                <m:t>1.58</m:t>
              </m:r>
            </m:oMath>
            <w:r>
              <w:rPr>
                <w:rFonts w:hint="eastAsia"/>
                <w:sz w:val="18"/>
              </w:rPr>
              <w:t xml:space="preserve">）は弱める側</w:t>
            </w:r>
          </w:p>
        </w:tc>
        <w:tc>
          <w:tcPr/>
          <w:p>
            <w:pPr>
              <w:pStyle w:val="Compact"/>
            </w:pPr>
            <w:r>
              <w:rPr>
                <w:rFonts w:hint="eastAsia"/>
                <w:sz w:val="18"/>
              </w:rPr>
              <w:t xml:space="preserve">7.8節、8.4節、10.5節</w:t>
            </w:r>
          </w:p>
        </w:tc>
      </w:tr>
      <w:tr>
        <w:tc>
          <w:tcPr/>
          <w:p>
            <w:pPr>
              <w:pStyle w:val="Compact"/>
            </w:pPr>
            <w:r>
              <w:rPr>
                <w:rFonts w:hint="eastAsia"/>
                <w:sz w:val="18"/>
              </w:rPr>
              <w:t xml:space="preserve">容量収入一定</w:t>
            </w:r>
          </w:p>
        </w:tc>
        <w:tc>
          <w:tcPr/>
          <w:p>
            <w:pPr>
              <w:pStyle w:val="Compact"/>
            </w:pPr>
            <w:r>
              <w:rPr>
                <w:rFonts w:hint="eastAsia"/>
                <w:sz w:val="18"/>
              </w:rPr>
              <w:t xml:space="preserve">実効容量収入を2029年度向けの1.25万円で20年一定とする</w:t>
            </w:r>
          </w:p>
        </w:tc>
        <w:tc>
          <w:tcPr/>
          <w:p>
            <w:pPr>
              <w:pStyle w:val="Compact"/>
            </w:pPr>
            <w:r>
              <w:rPr>
                <w:rFonts w:hint="eastAsia"/>
                <w:sz w:val="18"/>
              </w:rPr>
              <w:t xml:space="preserve">上振れを見込まない側。2030年度向けの容量価格（実効1.75万円）が</w:t>
            </w:r>
            <w:r>
              <w:rPr>
                <w:sz w:val="18"/>
              </w:rPr>
              <w:t xml:space="preserve"> FY2030 </w:t>
            </w:r>
            <w:r>
              <w:rPr>
                <w:rFonts w:hint="eastAsia"/>
                <w:sz w:val="18"/>
              </w:rPr>
              <w:t xml:space="preserve">以降続けば、IRR=0</w:t>
            </w:r>
            <w:r>
              <w:rPr>
                <w:sz w:val="18"/>
              </w:rPr>
              <w:t xml:space="preserve"> となる</w:t>
            </w:r>
            <w:r>
              <w:rPr>
                <w:sz w:val="18"/>
              </w:rPr>
              <w:t xml:space="preserve"> </w:t>
            </w:r>
            <m:oMath>
              <m:r>
                <m:t>θ</m:t>
              </m:r>
            </m:oMath>
            <w:r>
              <w:rPr>
                <w:sz w:val="18"/>
              </w:rPr>
              <w:t xml:space="preserve"> </w:t>
            </w:r>
            <w:r>
              <w:rPr>
                <w:sz w:val="18"/>
              </w:rPr>
              <w:t xml:space="preserve">は1.29 </w:t>
            </w:r>
            <w:r>
              <w:rPr>
                <w:rFonts w:hint="eastAsia"/>
                <w:sz w:val="18"/>
              </w:rPr>
              <w:t xml:space="preserve">に下がり、FY2026上期以上の水準で</w:t>
            </w:r>
            <w:r>
              <w:rPr>
                <w:sz w:val="18"/>
              </w:rPr>
              <w:t xml:space="preserve"> IRR </w:t>
            </w:r>
            <w:r>
              <w:rPr>
                <w:rFonts w:hint="eastAsia"/>
                <w:sz w:val="18"/>
              </w:rPr>
              <w:t xml:space="preserve">は1.5〜2.2%と正になる（6%には届かない）。2040年度までに参入が開く確率は最大24%。「補助金のないマーチャントの</w:t>
            </w:r>
            <w:r>
              <w:rPr>
                <w:sz w:val="18"/>
              </w:rPr>
              <w:t xml:space="preserve"> IRR </w:t>
            </w:r>
            <w:r>
              <w:rPr>
                <w:rFonts w:hint="eastAsia"/>
                <w:sz w:val="18"/>
              </w:rPr>
              <w:t xml:space="preserve">は割引率によらず負」は、この仮定の下での判定である。容量価格の</w:t>
            </w:r>
            <w:r>
              <w:rPr>
                <w:sz w:val="18"/>
              </w:rPr>
              <w:t xml:space="preserve"> </w:t>
            </w:r>
            <m:oMath>
              <m:r>
                <m:t>K</m:t>
              </m:r>
            </m:oMath>
            <w:r>
              <w:rPr>
                <w:sz w:val="18"/>
              </w:rPr>
              <w:t xml:space="preserve"> </w:t>
            </w:r>
            <w:r>
              <w:rPr>
                <w:rFonts w:hint="eastAsia"/>
                <w:sz w:val="18"/>
              </w:rPr>
              <w:t xml:space="preserve">依存（北海道ブロック按分）はこの上振れを打ち消す側</w:t>
            </w:r>
          </w:p>
        </w:tc>
        <w:tc>
          <w:tcPr/>
          <w:p>
            <w:pPr>
              <w:pStyle w:val="Compact"/>
            </w:pPr>
            <w:r>
              <w:rPr>
                <w:rFonts w:hint="eastAsia"/>
                <w:sz w:val="18"/>
              </w:rPr>
              <w:t xml:space="preserve">容量収入の経路別の</w:t>
            </w:r>
            <w:r>
              <w:rPr>
                <w:sz w:val="18"/>
              </w:rPr>
              <w:t xml:space="preserve"> </w:t>
            </w:r>
            <w:r>
              <w:rPr>
                <w:rFonts w:hint="eastAsia"/>
                <w:sz w:val="18"/>
              </w:rPr>
              <w:t xml:space="preserve">IRR（8.7.1項）、時変の容量収入の参入閾値（表C.34）、表C.27、表C.40</w:t>
            </w:r>
          </w:p>
        </w:tc>
      </w:tr>
      <w:tr>
        <w:tc>
          <w:tcPr/>
          <w:p>
            <w:pPr>
              <w:pStyle w:val="Compact"/>
            </w:pPr>
            <w:r>
              <w:rPr>
                <w:rFonts w:hint="eastAsia"/>
                <w:sz w:val="18"/>
              </w:rPr>
              <w:t xml:space="preserve">価格テイカーの限界参入者</w:t>
            </w:r>
          </w:p>
        </w:tc>
        <w:tc>
          <w:tcPr/>
          <w:p>
            <w:pPr>
              <w:pStyle w:val="Compact"/>
            </w:pPr>
            <w:r>
              <w:rPr>
                <w:rFonts w:hint="eastAsia"/>
                <w:sz w:val="18"/>
              </w:rPr>
              <w:t xml:space="preserve">限界参入者は競争的で市場支配力を持たない。フリートの価格インパクトは</w:t>
            </w:r>
            <w:r>
              <w:rPr>
                <w:sz w:val="18"/>
              </w:rPr>
              <w:t xml:space="preserve"> </w:t>
            </w:r>
            <m:oMath>
              <m:r>
                <m:t>π</m:t>
              </m:r>
              <m:r>
                <m:rPr>
                  <m:sty m:val="p"/>
                </m:rPr>
                <m:t>(</m:t>
              </m:r>
              <m:r>
                <m:t>K</m:t>
              </m:r>
              <m:r>
                <m:rPr>
                  <m:sty m:val="p"/>
                </m:rPr>
                <m:t>)</m:t>
              </m:r>
            </m:oMath>
            <w:r>
              <w:rPr>
                <w:sz w:val="18"/>
              </w:rPr>
              <w:t xml:space="preserve"> </w:t>
            </w:r>
            <w:r>
              <w:rPr>
                <w:rFonts w:hint="eastAsia"/>
                <w:sz w:val="18"/>
              </w:rPr>
              <w:t xml:space="preserve">で内生化するが、所有構造と戦略的な入札は扱わない</w:t>
            </w:r>
          </w:p>
        </w:tc>
        <w:tc>
          <w:tcPr/>
          <w:p>
            <w:pPr>
              <w:pStyle w:val="Compact"/>
            </w:pPr>
            <w:r>
              <w:rPr>
                <w:rFonts w:hint="eastAsia"/>
                <w:sz w:val="18"/>
              </w:rPr>
              <w:t xml:space="preserve">発電側の市場支配力は貯蔵の過剰投資を、貯蔵側の市場支配力は過少投資を招き（Andrés-Cerezo</w:t>
            </w:r>
            <w:r>
              <w:rPr>
                <w:sz w:val="18"/>
              </w:rPr>
              <w:t xml:space="preserve"> &amp; Fabra, </w:t>
            </w:r>
            <w:r>
              <w:rPr>
                <w:rFonts w:hint="eastAsia"/>
                <w:sz w:val="18"/>
              </w:rPr>
              <w:t xml:space="preserve">2023）、一律でない。</w:t>
            </w:r>
            <m:oMath>
              <m:r>
                <m:t>K</m:t>
              </m:r>
              <m:r>
                <m:rPr>
                  <m:sty m:val="p"/>
                </m:rPr>
                <m:t>=</m:t>
              </m:r>
              <m:r>
                <m:t>0</m:t>
              </m:r>
            </m:oMath>
            <w:r>
              <w:rPr>
                <w:sz w:val="18"/>
              </w:rPr>
              <w:t xml:space="preserve"> </w:t>
            </w:r>
            <w:r>
              <w:rPr>
                <w:rFonts w:hint="eastAsia"/>
                <w:sz w:val="18"/>
              </w:rPr>
              <w:t xml:space="preserve">の判定は、限界参入者自身の価格インパクトに依存しない</w:t>
            </w:r>
          </w:p>
        </w:tc>
        <w:tc>
          <w:tcPr/>
          <w:p>
            <w:pPr>
              <w:pStyle w:val="Compact"/>
            </w:pPr>
            <w:r>
              <w:rPr>
                <w:rFonts w:hint="eastAsia"/>
                <w:sz w:val="18"/>
              </w:rPr>
              <w:t xml:space="preserve">増分ディスパッチによる</w:t>
            </w:r>
            <w:r>
              <w:rPr>
                <w:sz w:val="18"/>
              </w:rPr>
              <w:t xml:space="preserve"> </w:t>
            </w:r>
            <m:oMath>
              <m:r>
                <m:t>π</m:t>
              </m:r>
              <m:r>
                <m:rPr>
                  <m:sty m:val="p"/>
                </m:rPr>
                <m:t>(</m:t>
              </m:r>
              <m:r>
                <m:t>K</m:t>
              </m:r>
              <m:r>
                <m:rPr>
                  <m:sty m:val="p"/>
                </m:rPr>
                <m:t>)</m:t>
              </m:r>
            </m:oMath>
            <w:r>
              <w:rPr>
                <w:rFonts w:hint="eastAsia"/>
                <w:sz w:val="18"/>
              </w:rPr>
              <w:t xml:space="preserve">（7.4節）。市場支配力は検証していない</w:t>
            </w:r>
          </w:p>
        </w:tc>
      </w:tr>
      <w:tr>
        <w:tc>
          <w:tcPr/>
          <w:p>
            <w:pPr>
              <w:pStyle w:val="Compact"/>
            </w:pPr>
            <w:r>
              <w:rPr>
                <w:rFonts w:hint="eastAsia"/>
                <w:sz w:val="18"/>
              </w:rPr>
              <w:t xml:space="preserve">外生の契約型容量（</w:t>
            </w:r>
            <m:oMath>
              <m:r>
                <m:t>K</m:t>
              </m:r>
              <m:r>
                <m:rPr>
                  <m:sty m:val="p"/>
                </m:rPr>
                <m:t>=</m:t>
              </m:r>
              <m:r>
                <m:t>0</m:t>
              </m:r>
            </m:oMath>
            <w:r>
              <w:rPr>
                <w:sz w:val="18"/>
              </w:rPr>
              <w:t xml:space="preserve"> </w:t>
            </w:r>
            <w:r>
              <w:rPr>
                <w:rFonts w:hint="eastAsia"/>
                <w:sz w:val="18"/>
              </w:rPr>
              <w:t xml:space="preserve">で評価）</w:t>
            </w:r>
          </w:p>
        </w:tc>
        <w:tc>
          <w:tcPr/>
          <w:p>
            <w:pPr>
              <w:pStyle w:val="Compact"/>
            </w:pPr>
            <w:r>
              <w:rPr>
                <w:rFonts w:hint="eastAsia"/>
                <w:sz w:val="18"/>
              </w:rPr>
              <w:t xml:space="preserve">主結果は、既設・契約型の蓄電池がない市場（</w:t>
            </w:r>
            <m:oMath>
              <m:r>
                <m:t>K</m:t>
              </m:r>
              <m:r>
                <m:rPr>
                  <m:sty m:val="p"/>
                </m:rPr>
                <m:t>=</m:t>
              </m:r>
              <m:r>
                <m:t>0</m:t>
              </m:r>
            </m:oMath>
            <w:r>
              <w:rPr>
                <w:rFonts w:hint="eastAsia"/>
                <w:sz w:val="18"/>
              </w:rPr>
              <w:t xml:space="preserve">）で評価する</w:t>
            </w:r>
          </w:p>
        </w:tc>
        <w:tc>
          <w:tcPr/>
          <w:p>
            <w:pPr>
              <w:pStyle w:val="Compact"/>
            </w:pPr>
            <w:r>
              <w:rPr>
                <w:rFonts w:hint="eastAsia"/>
                <w:sz w:val="18"/>
              </w:rPr>
              <w:t xml:space="preserve">参入に有利な側。接続済み約20万kW</w:t>
            </w:r>
            <w:r>
              <w:rPr>
                <w:sz w:val="18"/>
              </w:rPr>
              <w:t xml:space="preserve"> </w:t>
            </w:r>
            <w:r>
              <w:rPr>
                <w:rFonts w:hint="eastAsia"/>
                <w:sz w:val="18"/>
              </w:rPr>
              <w:t xml:space="preserve">を外生の容量に置くと</w:t>
            </w:r>
            <w:r>
              <w:rPr>
                <w:sz w:val="18"/>
              </w:rPr>
              <w:t xml:space="preserve"> </w:t>
            </w:r>
            <m:oMath>
              <m:sSup>
                <m:e>
                  <m:r>
                    <m:t>θ</m:t>
                  </m:r>
                </m:e>
                <m:sup>
                  <m:r>
                    <m:rPr>
                      <m:sty m:val="p"/>
                    </m:rPr>
                    <m:t>*</m:t>
                  </m:r>
                </m:sup>
              </m:sSup>
            </m:oMath>
            <w:r>
              <w:rPr>
                <w:sz w:val="18"/>
              </w:rPr>
              <w:t xml:space="preserve"> </w:t>
            </w:r>
            <w:r>
              <w:rPr>
                <w:sz w:val="18"/>
              </w:rPr>
              <w:t xml:space="preserve">は2.99→4.05、LTDA </w:t>
            </w:r>
            <w:r>
              <w:rPr>
                <w:rFonts w:hint="eastAsia"/>
                <w:sz w:val="18"/>
              </w:rPr>
              <w:t xml:space="preserve">の北海道落札分を加えた87.4万kW</w:t>
            </w:r>
            <w:r>
              <w:rPr>
                <w:sz w:val="18"/>
              </w:rPr>
              <w:t xml:space="preserve"> </w:t>
            </w:r>
            <w:r>
              <w:rPr>
                <w:rFonts w:hint="eastAsia"/>
                <w:sz w:val="18"/>
              </w:rPr>
              <w:t xml:space="preserve">の上では約26（外挿と既設分の二重計上を含む上限側）。表C.40</w:t>
            </w:r>
            <w:r>
              <w:rPr>
                <w:sz w:val="18"/>
              </w:rPr>
              <w:t xml:space="preserve"> の</w:t>
            </w:r>
            <w:r>
              <w:rPr>
                <w:sz w:val="18"/>
              </w:rPr>
              <w:t xml:space="preserve"> </w:t>
            </w:r>
            <m:oMath>
              <m:sSup>
                <m:e>
                  <m:r>
                    <m:t>K</m:t>
                  </m:r>
                </m:e>
                <m:sup>
                  <m:r>
                    <m:rPr>
                      <m:sty m:val="p"/>
                    </m:rPr>
                    <m:t>*</m:t>
                  </m:r>
                </m:sup>
              </m:sSup>
            </m:oMath>
            <w:r>
              <w:rPr>
                <w:sz w:val="18"/>
              </w:rPr>
              <w:t xml:space="preserve"> </w:t>
            </w:r>
            <w:r>
              <w:rPr>
                <w:rFonts w:hint="eastAsia"/>
                <w:sz w:val="18"/>
              </w:rPr>
              <w:t xml:space="preserve">は総容量で、接続済み20万kW</w:t>
            </w:r>
            <w:r>
              <w:rPr>
                <w:sz w:val="18"/>
              </w:rPr>
              <w:t xml:space="preserve"> </w:t>
            </w:r>
            <w:r>
              <w:rPr>
                <w:rFonts w:hint="eastAsia"/>
                <w:sz w:val="18"/>
              </w:rPr>
              <w:t xml:space="preserve">の上のマーチャント分は、北海道ブロック按分ではすべて0（既設の20万kW</w:t>
            </w:r>
            <w:r>
              <w:rPr>
                <w:sz w:val="18"/>
              </w:rPr>
              <w:t xml:space="preserve"> </w:t>
            </w:r>
            <w:r>
              <w:rPr>
                <w:rFonts w:hint="eastAsia"/>
                <w:sz w:val="18"/>
              </w:rPr>
              <w:t xml:space="preserve">を容量価格に含める主の仮定の下。含めない場合は、</w:t>
            </w:r>
            <m:oMath>
              <m:r>
                <m:t>θ</m:t>
              </m:r>
              <m:r>
                <m:rPr>
                  <m:sty m:val="p"/>
                </m:rPr>
                <m:t>=</m:t>
              </m:r>
              <m:r>
                <m:t>1</m:t>
              </m:r>
            </m:oMath>
            <w:r>
              <w:rPr>
                <w:rFonts w:hint="eastAsia"/>
                <w:sz w:val="18"/>
              </w:rPr>
              <w:t xml:space="preserve">・資本費2.3万円/kWh・容量収入2.5万円の行で約6万kW）。外せば</w:t>
            </w:r>
            <w:r>
              <w:rPr>
                <w:sz w:val="18"/>
              </w:rPr>
              <w:t xml:space="preserve"> </w:t>
            </w:r>
            <m:oMath>
              <m:sSup>
                <m:e>
                  <m:r>
                    <m:t>K</m:t>
                  </m:r>
                </m:e>
                <m:sup>
                  <m:r>
                    <m:rPr>
                      <m:sty m:val="p"/>
                    </m:rPr>
                    <m:t>*</m:t>
                  </m:r>
                </m:sup>
              </m:sSup>
              <m:r>
                <m:rPr>
                  <m:sty m:val="p"/>
                </m:rPr>
                <m:t>=</m:t>
              </m:r>
              <m:r>
                <m:t>0</m:t>
              </m:r>
            </m:oMath>
            <w:r>
              <w:rPr>
                <w:sz w:val="18"/>
              </w:rPr>
              <w:t xml:space="preserve"> </w:t>
            </w:r>
            <w:r>
              <w:rPr>
                <w:rFonts w:hint="eastAsia"/>
                <w:sz w:val="18"/>
              </w:rPr>
              <w:t xml:space="preserve">は強まる</w:t>
            </w:r>
          </w:p>
        </w:tc>
        <w:tc>
          <w:tcPr/>
          <w:p>
            <w:pPr>
              <w:pStyle w:val="Compact"/>
            </w:pPr>
            <m:oMath>
              <m:sSup>
                <m:e>
                  <m:r>
                    <m:t>θ</m:t>
                  </m:r>
                </m:e>
                <m:sup>
                  <m:r>
                    <m:rPr>
                      <m:sty m:val="p"/>
                    </m:rPr>
                    <m:t>*</m:t>
                  </m:r>
                </m:sup>
              </m:sSup>
            </m:oMath>
            <w:r>
              <w:rPr>
                <w:sz w:val="18"/>
              </w:rPr>
              <w:t xml:space="preserve"> </w:t>
            </w:r>
            <w:r>
              <w:rPr>
                <w:sz w:val="18"/>
              </w:rPr>
              <w:t xml:space="preserve">の</w:t>
            </w:r>
            <w:r>
              <w:rPr>
                <w:sz w:val="18"/>
              </w:rPr>
              <w:t xml:space="preserve"> </w:t>
            </w:r>
            <m:oMath>
              <m:sSub>
                <m:e>
                  <m:r>
                    <m:t>K</m:t>
                  </m:r>
                </m:e>
                <m:sub>
                  <m:r>
                    <m:rPr>
                      <m:sty m:val="p"/>
                    </m:rPr>
                    <m:t>e</m:t>
                  </m:r>
                  <m:r>
                    <m:rPr>
                      <m:sty m:val="p"/>
                    </m:rPr>
                    <m:t>x</m:t>
                  </m:r>
                  <m:r>
                    <m:rPr>
                      <m:sty m:val="p"/>
                    </m:rPr>
                    <m:t>o</m:t>
                  </m:r>
                </m:sub>
              </m:sSub>
            </m:oMath>
            <w:r>
              <w:rPr>
                <w:sz w:val="18"/>
              </w:rPr>
              <w:t xml:space="preserve"> </w:t>
            </w:r>
            <w:r>
              <w:rPr>
                <w:rFonts w:hint="eastAsia"/>
                <w:sz w:val="18"/>
              </w:rPr>
              <w:t xml:space="preserve">依存（7.6節）、</w:t>
            </w:r>
            <m:oMath>
              <m:sSub>
                <m:e>
                  <m:r>
                    <m:t>K</m:t>
                  </m:r>
                </m:e>
                <m:sub>
                  <m:r>
                    <m:rPr>
                      <m:sty m:val="p"/>
                    </m:rPr>
                    <m:t>e</m:t>
                  </m:r>
                  <m:r>
                    <m:rPr>
                      <m:sty m:val="p"/>
                    </m:rPr>
                    <m:t>x</m:t>
                  </m:r>
                  <m:r>
                    <m:rPr>
                      <m:sty m:val="p"/>
                    </m:rPr>
                    <m:t>o</m:t>
                  </m:r>
                </m:sub>
              </m:sSub>
            </m:oMath>
            <w:r>
              <w:rPr>
                <w:sz w:val="18"/>
              </w:rPr>
              <w:t xml:space="preserve"> </w:t>
            </w:r>
            <w:r>
              <w:rPr>
                <w:rFonts w:hint="eastAsia"/>
                <w:sz w:val="18"/>
              </w:rPr>
              <w:t xml:space="preserve">別の確率（表C.34）と</w:t>
            </w:r>
            <w:r>
              <w:rPr>
                <w:sz w:val="18"/>
              </w:rPr>
              <w:t xml:space="preserve"> </w:t>
            </w:r>
            <m:oMath>
              <m:sSup>
                <m:e>
                  <m:r>
                    <m:t>K</m:t>
                  </m:r>
                </m:e>
                <m:sup>
                  <m:r>
                    <m:rPr>
                      <m:sty m:val="p"/>
                    </m:rPr>
                    <m:t>*</m:t>
                  </m:r>
                </m:sup>
              </m:sSup>
            </m:oMath>
            <w:r>
              <w:rPr>
                <w:rFonts w:hint="eastAsia"/>
                <w:sz w:val="18"/>
              </w:rPr>
              <w:t xml:space="preserve">（付録C.4.3）</w:t>
            </w:r>
          </w:p>
        </w:tc>
      </w:tr>
      <w:tr>
        <w:tc>
          <w:tcPr/>
          <w:p>
            <w:pPr>
              <w:pStyle w:val="Compact"/>
            </w:pPr>
            <w:r>
              <w:rPr>
                <w:rFonts w:hint="eastAsia"/>
                <w:sz w:val="18"/>
              </w:rPr>
              <w:t xml:space="preserve">1日1サイクル・4時間</w:t>
            </w:r>
          </w:p>
        </w:tc>
        <w:tc>
          <w:tcPr/>
          <w:p>
            <w:pPr>
              <w:pStyle w:val="Compact"/>
            </w:pPr>
            <w:r>
              <w:rPr>
                <w:rFonts w:hint="eastAsia"/>
                <w:sz w:val="18"/>
              </w:rPr>
              <w:t xml:space="preserve">前日スポットで1日1回、最安の4時間に充電し最高の4時間に放電する。充放電の時間順序は課さない</w:t>
            </w:r>
          </w:p>
        </w:tc>
        <w:tc>
          <w:tcPr/>
          <w:p>
            <w:pPr>
              <w:pStyle w:val="Compact"/>
            </w:pPr>
            <w:r>
              <w:rPr>
                <w:rFonts w:hint="eastAsia"/>
                <w:sz w:val="18"/>
              </w:rPr>
              <w:t xml:space="preserve">1日2サイクルを許すと、完全予見粗利は2時間で+8.8%、4時間で+4.5%（順序制約つきの1サイクル比）上がるが、戦略</w:t>
            </w:r>
            <w:r>
              <w:rPr>
                <w:sz w:val="18"/>
              </w:rPr>
              <w:t xml:space="preserve"> c </w:t>
            </w:r>
            <w:r>
              <w:rPr>
                <w:rFonts w:hint="eastAsia"/>
                <w:sz w:val="18"/>
              </w:rPr>
              <w:t xml:space="preserve">の実現額は+1.0%・+0.7%にとどまる。当日の組み替えは上側（スポットと同じ価格で組み替えられるとした上限は、固定窓に対する完全情報の価値で、完全予見粗利の18.3%）。順序を課すと完全予見粗利は2.2%下がるが、戦略</w:t>
            </w:r>
            <w:r>
              <w:rPr>
                <w:sz w:val="18"/>
              </w:rPr>
              <w:t xml:space="preserve"> c </w:t>
            </w:r>
            <w:r>
              <w:rPr>
                <w:rFonts w:hint="eastAsia"/>
                <w:sz w:val="18"/>
              </w:rPr>
              <w:t xml:space="preserve">はほぼ変わらない（4時間で+0.05%、2〜8時間で−0.8〜+0.4%）。duration</w:t>
            </w:r>
            <w:r>
              <w:rPr>
                <w:sz w:val="18"/>
              </w:rPr>
              <w:t xml:space="preserve"> </w:t>
            </w:r>
            <w:r>
              <w:rPr>
                <w:rFonts w:hint="eastAsia"/>
                <w:sz w:val="18"/>
              </w:rPr>
              <w:t xml:space="preserve">を2〜8時間で選び直しても（資本費の</w:t>
            </w:r>
            <w:r>
              <w:rPr>
                <w:sz w:val="18"/>
              </w:rPr>
              <w:t xml:space="preserve"> kW </w:t>
            </w:r>
            <w:r>
              <w:rPr>
                <w:rFonts w:hint="eastAsia"/>
                <w:sz w:val="18"/>
              </w:rPr>
              <w:t xml:space="preserve">比例部分を0〜40%とした範囲）、</w:t>
            </w:r>
            <m:oMath>
              <m:sSup>
                <m:e>
                  <m:r>
                    <m:t>θ</m:t>
                  </m:r>
                </m:e>
                <m:sup>
                  <m:r>
                    <m:rPr>
                      <m:sty m:val="p"/>
                    </m:rPr>
                    <m:t>*</m:t>
                  </m:r>
                </m:sup>
              </m:sSup>
            </m:oMath>
            <w:r>
              <w:rPr>
                <w:sz w:val="18"/>
              </w:rPr>
              <w:t xml:space="preserve"> </w:t>
            </w:r>
            <w:r>
              <w:rPr>
                <w:rFonts w:hint="eastAsia"/>
                <w:sz w:val="18"/>
              </w:rPr>
              <w:t xml:space="preserve">は3〜5時間でほぼ平らで、4時間（2.99）からの低下は最大0.13（約4%。容量収入0・低資本費の極端な組合せでも最大6.6%）。6時間以上（3.07〜4.42）と、容量収入のない2時間（5.0〜6.0。容量収入0の4時間は4.47）は高く、duration</w:t>
            </w:r>
            <w:r>
              <w:rPr>
                <w:sz w:val="18"/>
              </w:rPr>
              <w:t xml:space="preserve"> </w:t>
            </w:r>
            <w:r>
              <w:rPr>
                <w:rFonts w:hint="eastAsia"/>
                <w:sz w:val="18"/>
              </w:rPr>
              <w:t xml:space="preserve">の選び方は</w:t>
            </w:r>
            <w:r>
              <w:rPr>
                <w:sz w:val="18"/>
              </w:rPr>
              <w:t xml:space="preserve"> </w:t>
            </w:r>
            <m:oMath>
              <m:sSup>
                <m:e>
                  <m:r>
                    <m:t>K</m:t>
                  </m:r>
                </m:e>
                <m:sup>
                  <m:r>
                    <m:rPr>
                      <m:sty m:val="p"/>
                    </m:rPr>
                    <m:t>*</m:t>
                  </m:r>
                </m:sup>
              </m:sSup>
              <m:r>
                <m:rPr>
                  <m:sty m:val="p"/>
                </m:rPr>
                <m:t>=</m:t>
              </m:r>
              <m:r>
                <m:t>0</m:t>
              </m:r>
            </m:oMath>
            <w:r>
              <w:rPr>
                <w:sz w:val="18"/>
              </w:rPr>
              <w:t xml:space="preserve"> </w:t>
            </w:r>
            <w:r>
              <w:rPr>
                <w:rFonts w:hint="eastAsia"/>
                <w:sz w:val="18"/>
              </w:rPr>
              <w:t xml:space="preserve">を動かさない</w:t>
            </w:r>
          </w:p>
        </w:tc>
        <w:tc>
          <w:tcPr/>
          <w:p>
            <w:pPr>
              <w:pStyle w:val="Compact"/>
            </w:pPr>
            <w:r>
              <w:rPr>
                <w:sz w:val="18"/>
              </w:rPr>
              <w:t xml:space="preserve">duration </w:t>
            </w:r>
            <w:r>
              <w:rPr>
                <w:rFonts w:hint="eastAsia"/>
                <w:sz w:val="18"/>
              </w:rPr>
              <w:t xml:space="preserve">曲線と</w:t>
            </w:r>
            <w:r>
              <w:rPr>
                <w:sz w:val="18"/>
              </w:rPr>
              <w:t xml:space="preserve"> duration </w:t>
            </w:r>
            <w:r>
              <w:rPr>
                <w:rFonts w:hint="eastAsia"/>
                <w:sz w:val="18"/>
              </w:rPr>
              <w:t xml:space="preserve">別の</w:t>
            </w:r>
            <w:r>
              <w:rPr>
                <w:sz w:val="18"/>
              </w:rPr>
              <w:t xml:space="preserve"> </w:t>
            </w:r>
            <m:oMath>
              <m:sSup>
                <m:e>
                  <m:r>
                    <m:t>θ</m:t>
                  </m:r>
                </m:e>
                <m:sup>
                  <m:r>
                    <m:rPr>
                      <m:sty m:val="p"/>
                    </m:rPr>
                    <m:t>*</m:t>
                  </m:r>
                </m:sup>
              </m:sSup>
            </m:oMath>
            <w:r>
              <w:rPr>
                <w:rFonts w:hint="eastAsia"/>
                <w:sz w:val="18"/>
              </w:rPr>
              <w:t xml:space="preserve">（6.5節）、表C.17、層分解と順序制約（6.6節・6.7節）、2サイクル（6.5節）、2時間仕様（7.8.4項・8.4.3項）</w:t>
            </w:r>
          </w:p>
        </w:tc>
      </w:tr>
      <w:tr>
        <w:tc>
          <w:tcPr/>
          <w:p>
            <w:pPr>
              <w:pStyle w:val="Compact"/>
            </w:pPr>
            <w:r>
              <w:rPr>
                <w:rFonts w:hint="eastAsia"/>
                <w:sz w:val="18"/>
              </w:rPr>
              <w:t xml:space="preserve">限界参入者の収益の基準</w:t>
            </w:r>
          </w:p>
        </w:tc>
        <w:tc>
          <w:tcPr/>
          <w:p>
            <w:pPr>
              <w:pStyle w:val="Compact"/>
            </w:pPr>
            <w:r>
              <w:rPr>
                <w:rFonts w:hint="eastAsia"/>
                <w:sz w:val="18"/>
              </w:rPr>
              <w:t xml:space="preserve">モデル価格の上で戦略</w:t>
            </w:r>
            <w:r>
              <w:rPr>
                <w:sz w:val="18"/>
              </w:rPr>
              <w:t xml:space="preserve"> c </w:t>
            </w:r>
            <w:r>
              <w:rPr>
                <w:rFonts w:hint="eastAsia"/>
                <w:sz w:val="18"/>
              </w:rPr>
              <w:t xml:space="preserve">の粗利を直接計算し、</w:t>
            </w:r>
            <m:oMath>
              <m:r>
                <m:t>K</m:t>
              </m:r>
              <m:r>
                <m:rPr>
                  <m:sty m:val="p"/>
                </m:rPr>
                <m:t>=</m:t>
              </m:r>
              <m:r>
                <m:t>0</m:t>
              </m:r>
            </m:oMath>
            <w:r>
              <w:rPr>
                <w:sz w:val="18"/>
              </w:rPr>
              <w:t xml:space="preserve">・</w:t>
            </w:r>
            <m:oMath>
              <m:r>
                <m:t>θ</m:t>
              </m:r>
              <m:r>
                <m:rPr>
                  <m:sty m:val="p"/>
                </m:rPr>
                <m:t>=</m:t>
              </m:r>
              <m:r>
                <m:t>1</m:t>
              </m:r>
            </m:oMath>
            <w:r>
              <w:rPr>
                <w:sz w:val="18"/>
              </w:rPr>
              <w:t xml:space="preserve"> </w:t>
            </w:r>
            <w:r>
              <w:rPr>
                <w:rFonts w:hint="eastAsia"/>
                <w:sz w:val="18"/>
              </w:rPr>
              <w:t xml:space="preserve">で実績の戦略</w:t>
            </w:r>
            <w:r>
              <w:rPr>
                <w:sz w:val="18"/>
              </w:rPr>
              <w:t xml:space="preserve"> </w:t>
            </w:r>
            <w:r>
              <w:rPr>
                <w:rFonts w:hint="eastAsia"/>
                <w:sz w:val="18"/>
              </w:rPr>
              <w:t xml:space="preserve">c（8,427円/kW-年）に推定期間内で校正する（</w:t>
            </w:r>
            <m:oMath>
              <m:r>
                <m:t>λ</m:t>
              </m:r>
              <m:r>
                <m:rPr>
                  <m:sty m:val="p"/>
                </m:rPr>
                <m:t>=</m:t>
              </m:r>
              <m:r>
                <m:t>1.108</m:t>
              </m:r>
            </m:oMath>
            <w:r>
              <w:rPr>
                <w:rFonts w:hint="eastAsia"/>
                <w:sz w:val="18"/>
              </w:rPr>
              <w:t xml:space="preserve">、95%区間1.03〜1.19。実績整合ケース）。</w:t>
            </w:r>
            <m:oMath>
              <m:r>
                <m:t>λ</m:t>
              </m:r>
            </m:oMath>
            <w:r>
              <w:rPr>
                <w:sz w:val="18"/>
              </w:rPr>
              <w:t xml:space="preserve"> </w:t>
            </w:r>
            <w:r>
              <w:rPr>
                <w:sz w:val="18"/>
              </w:rPr>
              <w:t xml:space="preserve">は</w:t>
            </w:r>
            <w:r>
              <w:rPr>
                <w:sz w:val="18"/>
              </w:rPr>
              <w:t xml:space="preserve"> </w:t>
            </w:r>
            <m:oMath>
              <m:r>
                <m:t>K</m:t>
              </m:r>
            </m:oMath>
            <w:r>
              <w:rPr>
                <w:sz w:val="18"/>
              </w:rPr>
              <w:t xml:space="preserve">・</w:t>
            </w:r>
            <m:oMath>
              <m:r>
                <m:t>θ</m:t>
              </m:r>
            </m:oMath>
            <w:r>
              <w:rPr>
                <w:rFonts w:hint="eastAsia"/>
                <w:sz w:val="18"/>
              </w:rPr>
              <w:t xml:space="preserve">・季節によらず一定とする</w:t>
            </w:r>
          </w:p>
        </w:tc>
        <w:tc>
          <w:tcPr/>
          <w:p>
            <w:pPr>
              <w:pStyle w:val="Compact"/>
            </w:pPr>
            <m:oMath>
              <m:r>
                <m:t>λ</m:t>
              </m:r>
            </m:oMath>
            <w:r>
              <w:rPr>
                <w:sz w:val="18"/>
              </w:rPr>
              <w:t xml:space="preserve"> </w:t>
            </w:r>
            <w:r>
              <w:rPr>
                <w:sz w:val="18"/>
              </w:rPr>
              <w:t xml:space="preserve">を</w:t>
            </w:r>
            <w:r>
              <w:rPr>
                <w:sz w:val="18"/>
              </w:rPr>
              <w:t xml:space="preserve"> </w:t>
            </w:r>
            <m:oMath>
              <m:r>
                <m:t>K</m:t>
              </m:r>
            </m:oMath>
            <w:r>
              <w:rPr>
                <w:sz w:val="18"/>
              </w:rPr>
              <w:t xml:space="preserve"> </w:t>
            </w:r>
            <w:r>
              <w:rPr>
                <w:rFonts w:hint="eastAsia"/>
                <w:sz w:val="18"/>
              </w:rPr>
              <w:t xml:space="preserve">によらず一定とするのは、フリートが裾を先に削る</w:t>
            </w:r>
            <w:r>
              <w:rPr>
                <w:sz w:val="18"/>
              </w:rPr>
              <w:t xml:space="preserve"> </w:t>
            </w:r>
            <m:oMath>
              <m:r>
                <m:t>K</m:t>
              </m:r>
              <m:r>
                <m:rPr>
                  <m:sty m:val="p"/>
                </m:rPr>
                <m:t>&gt;</m:t>
              </m:r>
              <m:r>
                <m:t>0</m:t>
              </m:r>
            </m:oMath>
            <w:r>
              <w:rPr>
                <w:sz w:val="18"/>
              </w:rPr>
              <w:t xml:space="preserve"> </w:t>
            </w:r>
            <w:r>
              <w:rPr>
                <w:rFonts w:hint="eastAsia"/>
                <w:sz w:val="18"/>
              </w:rPr>
              <w:t xml:space="preserve">では上側。形状の期間外（水準</w:t>
            </w:r>
            <w:r>
              <w:rPr>
                <w:sz w:val="18"/>
              </w:rPr>
              <w:t xml:space="preserve"> </w:t>
            </w:r>
            <m:oMath>
              <m:r>
                <m:t>θ</m:t>
              </m:r>
            </m:oMath>
            <w:r>
              <w:rPr>
                <w:sz w:val="18"/>
              </w:rPr>
              <w:t xml:space="preserve"> </w:t>
            </w:r>
            <w:r>
              <w:rPr>
                <w:rFonts w:hint="eastAsia"/>
                <w:sz w:val="18"/>
              </w:rPr>
              <w:t xml:space="preserve">は当該期間の価格で推定）での実績/モデル比（FY2026</w:t>
            </w:r>
            <w:r>
              <w:rPr>
                <w:sz w:val="18"/>
              </w:rPr>
              <w:t xml:space="preserve"> </w:t>
            </w:r>
            <w:r>
              <w:rPr>
                <w:rFonts w:hint="eastAsia"/>
                <w:sz w:val="18"/>
              </w:rPr>
              <w:t xml:space="preserve">の4〜6月で1.23、FY2022</w:t>
            </w:r>
            <w:r>
              <w:rPr>
                <w:sz w:val="18"/>
              </w:rPr>
              <w:t xml:space="preserve"> </w:t>
            </w:r>
            <w:r>
              <w:rPr>
                <w:rFonts w:hint="eastAsia"/>
                <w:sz w:val="18"/>
              </w:rPr>
              <w:t xml:space="preserve">で1.60）からは、</w:t>
            </w:r>
            <m:oMath>
              <m:r>
                <m:t>K</m:t>
              </m:r>
              <m:r>
                <m:rPr>
                  <m:sty m:val="p"/>
                </m:rPr>
                <m:t>=</m:t>
              </m:r>
              <m:r>
                <m:t>0</m:t>
              </m:r>
            </m:oMath>
            <w:r>
              <w:rPr>
                <w:sz w:val="18"/>
              </w:rPr>
              <w:t xml:space="preserve"> </w:t>
            </w:r>
            <w:r>
              <w:rPr>
                <w:rFonts w:hint="eastAsia"/>
                <w:sz w:val="18"/>
              </w:rPr>
              <w:t xml:space="preserve">ではむしろ過小の可能性もある。実績整合ケースは価格条件付き入札による上積み（最大で完全予見粗利の18%）を見込まず、実行可能な収益の上限ではない。実績価格での実現率は年度別に76.4〜84.3%で動き、冬は0.61と低い。</w:t>
            </w:r>
            <m:oMath>
              <m:sSup>
                <m:e>
                  <m:r>
                    <m:t>θ</m:t>
                  </m:r>
                </m:e>
                <m:sup>
                  <m:r>
                    <m:rPr>
                      <m:sty m:val="p"/>
                    </m:rPr>
                    <m:t>*</m:t>
                  </m:r>
                </m:sup>
              </m:sSup>
            </m:oMath>
            <w:r>
              <w:rPr>
                <w:sz w:val="18"/>
              </w:rPr>
              <w:t xml:space="preserve"> </w:t>
            </w:r>
            <w:r>
              <w:rPr>
                <w:sz w:val="18"/>
              </w:rPr>
              <w:t xml:space="preserve">は</w:t>
            </w:r>
            <w:r>
              <w:rPr>
                <w:sz w:val="18"/>
              </w:rPr>
              <w:t xml:space="preserve"> </w:t>
            </w:r>
            <m:oMath>
              <m:r>
                <m:t>λ</m:t>
              </m:r>
            </m:oMath>
            <w:r>
              <w:rPr>
                <w:sz w:val="18"/>
              </w:rPr>
              <w:t xml:space="preserve"> </w:t>
            </w:r>
            <w:r>
              <w:rPr>
                <w:rFonts w:hint="eastAsia"/>
                <w:sz w:val="18"/>
              </w:rPr>
              <w:t xml:space="preserve">の95%区間で2.78〜3.21</w:t>
            </w:r>
            <w:r>
              <w:rPr>
                <w:sz w:val="18"/>
              </w:rPr>
              <w:t xml:space="preserve"> </w:t>
            </w:r>
            <w:r>
              <w:rPr>
                <w:rFonts w:hint="eastAsia"/>
                <w:sz w:val="18"/>
              </w:rPr>
              <w:t xml:space="preserve">で、どちらの端でも</w:t>
            </w:r>
            <w:r>
              <w:rPr>
                <w:sz w:val="18"/>
              </w:rPr>
              <w:t xml:space="preserve"> FY2022 </w:t>
            </w:r>
            <w:r>
              <w:rPr>
                <w:rFonts w:hint="eastAsia"/>
                <w:sz w:val="18"/>
              </w:rPr>
              <w:t xml:space="preserve">の1.72を上回る</w:t>
            </w:r>
          </w:p>
        </w:tc>
        <w:tc>
          <w:tcPr/>
          <w:p>
            <w:pPr>
              <w:pStyle w:val="Compact"/>
            </w:pPr>
            <m:oMath>
              <m:r>
                <m:t>λ</m:t>
              </m:r>
            </m:oMath>
            <w:r>
              <w:rPr>
                <w:sz w:val="18"/>
              </w:rPr>
              <w:t xml:space="preserve"> </w:t>
            </w:r>
            <w:r>
              <w:rPr>
                <w:rFonts w:hint="eastAsia"/>
                <w:sz w:val="18"/>
              </w:rPr>
              <w:t xml:space="preserve">のブートストラップ区間と期間別の実績/モデル比（7.2.1項・付録C.2.7）、校正しないモデル直値の併記（</w:t>
            </w:r>
            <m:oMath>
              <m:sSup>
                <m:e>
                  <m:r>
                    <m:t>θ</m:t>
                  </m:r>
                </m:e>
                <m:sup>
                  <m:r>
                    <m:rPr>
                      <m:sty m:val="p"/>
                    </m:rPr>
                    <m:t>*</m:t>
                  </m:r>
                </m:sup>
              </m:sSup>
            </m:oMath>
            <w:r>
              <w:rPr>
                <w:sz w:val="18"/>
              </w:rPr>
              <w:t xml:space="preserve"> </w:t>
            </w:r>
            <w:r>
              <w:rPr>
                <w:rFonts w:hint="eastAsia"/>
                <w:sz w:val="18"/>
              </w:rPr>
              <w:t xml:space="preserve">はモデル直値で3.31。7.5節、表C.25）、DM・SPA</w:t>
            </w:r>
            <w:r>
              <w:rPr>
                <w:sz w:val="18"/>
              </w:rPr>
              <w:t xml:space="preserve"> </w:t>
            </w:r>
            <w:r>
              <w:rPr>
                <w:rFonts w:hint="eastAsia"/>
                <w:sz w:val="18"/>
              </w:rPr>
              <w:t xml:space="preserve">検定と動的因子予測（6.7節）</w:t>
            </w:r>
          </w:p>
        </w:tc>
      </w:tr>
      <w:tr>
        <w:tc>
          <w:tcPr/>
          <w:p>
            <w:pPr>
              <w:pStyle w:val="Compact"/>
            </w:pPr>
            <w:r>
              <w:rPr>
                <w:rFonts w:hint="eastAsia"/>
                <w:sz w:val="18"/>
              </w:rPr>
              <w:t xml:space="preserve">実現率の</w:t>
            </w:r>
            <w:r>
              <w:rPr>
                <w:sz w:val="18"/>
              </w:rPr>
              <w:t xml:space="preserve"> </w:t>
            </w:r>
            <m:oMath>
              <m:r>
                <m:t>K</m:t>
              </m:r>
            </m:oMath>
            <w:r>
              <w:rPr>
                <w:sz w:val="18"/>
              </w:rPr>
              <w:t xml:space="preserve"> </w:t>
            </w:r>
            <w:r>
              <w:rPr>
                <w:rFonts w:hint="eastAsia"/>
                <w:sz w:val="18"/>
              </w:rPr>
              <w:t xml:space="preserve">依存とフリートの情報</w:t>
            </w:r>
          </w:p>
        </w:tc>
        <w:tc>
          <w:tcPr/>
          <w:p>
            <w:pPr>
              <w:pStyle w:val="Compact"/>
            </w:pPr>
            <w:r>
              <w:rPr>
                <w:rFonts w:hint="eastAsia"/>
                <w:sz w:val="18"/>
              </w:rPr>
              <w:t xml:space="preserve">限界参入者の実現率は</w:t>
            </w:r>
            <w:r>
              <w:rPr>
                <w:sz w:val="18"/>
              </w:rPr>
              <w:t xml:space="preserve"> </w:t>
            </w:r>
            <m:oMath>
              <m:r>
                <m:t>K</m:t>
              </m:r>
            </m:oMath>
            <w:r>
              <w:rPr>
                <w:sz w:val="18"/>
              </w:rPr>
              <w:t xml:space="preserve"> </w:t>
            </w:r>
            <w:r>
              <w:rPr>
                <w:rFonts w:hint="eastAsia"/>
                <w:sz w:val="18"/>
              </w:rPr>
              <w:t xml:space="preserve">ごとに直接計算する。フリートは完全予見の増分貪欲で配分する</w:t>
            </w:r>
          </w:p>
        </w:tc>
        <w:tc>
          <w:tcPr/>
          <w:p>
            <w:pPr>
              <w:pStyle w:val="Compact"/>
            </w:pPr>
            <w:r>
              <w:rPr>
                <w:rFonts w:hint="eastAsia"/>
                <w:sz w:val="18"/>
              </w:rPr>
              <w:t xml:space="preserve">完全予見フリートでは、限界参入者の実現率は</w:t>
            </w:r>
            <w:r>
              <w:rPr>
                <w:sz w:val="18"/>
              </w:rPr>
              <w:t xml:space="preserve"> </w:t>
            </w:r>
            <m:oMath>
              <m:r>
                <m:t>K</m:t>
              </m:r>
            </m:oMath>
            <w:r>
              <w:rPr>
                <w:rFonts w:hint="eastAsia"/>
                <w:sz w:val="18"/>
              </w:rPr>
              <w:t xml:space="preserve">≦50万kW</w:t>
            </w:r>
            <w:r>
              <w:rPr>
                <w:sz w:val="18"/>
              </w:rPr>
              <w:t xml:space="preserve"> </w:t>
            </w:r>
            <w:r>
              <w:rPr>
                <w:rFonts w:hint="eastAsia"/>
                <w:sz w:val="18"/>
              </w:rPr>
              <w:t xml:space="preserve">で0.91〜0.94とほぼ一定で、100万kW</w:t>
            </w:r>
            <w:r>
              <w:rPr>
                <w:sz w:val="18"/>
              </w:rPr>
              <w:t xml:space="preserve"> </w:t>
            </w:r>
            <w:r>
              <w:rPr>
                <w:rFonts w:hint="eastAsia"/>
                <w:sz w:val="18"/>
              </w:rPr>
              <w:t xml:space="preserve">で0.59〜0.67に下がる。フリートも戦略</w:t>
            </w:r>
            <w:r>
              <w:rPr>
                <w:sz w:val="18"/>
              </w:rPr>
              <w:t xml:space="preserve"> c </w:t>
            </w:r>
            <w:r>
              <w:rPr>
                <w:rFonts w:hint="eastAsia"/>
                <w:sz w:val="18"/>
              </w:rPr>
              <w:t xml:space="preserve">の窓で動くと、実現率は50万kW</w:t>
            </w:r>
            <w:r>
              <w:rPr>
                <w:sz w:val="18"/>
              </w:rPr>
              <w:t xml:space="preserve"> </w:t>
            </w:r>
            <w:r>
              <w:rPr>
                <w:rFonts w:hint="eastAsia"/>
                <w:sz w:val="18"/>
              </w:rPr>
              <w:t xml:space="preserve">で0.41に下がり、</w:t>
            </w:r>
            <m:oMath>
              <m:r>
                <m:t>π</m:t>
              </m:r>
              <m:r>
                <m:rPr>
                  <m:sty m:val="p"/>
                </m:rPr>
                <m:t>=</m:t>
              </m:r>
              <m:r>
                <m:t>0</m:t>
              </m:r>
            </m:oMath>
            <w:r>
              <w:rPr>
                <w:sz w:val="18"/>
              </w:rPr>
              <w:t xml:space="preserve"> </w:t>
            </w:r>
            <w:r>
              <w:rPr>
                <w:rFonts w:hint="eastAsia"/>
                <w:sz w:val="18"/>
              </w:rPr>
              <w:t xml:space="preserve">の容量は72→53万kW（半々の配分で61万kW）に早まる。</w:t>
            </w:r>
            <m:oMath>
              <m:r>
                <m:t>K</m:t>
              </m:r>
              <m:r>
                <m:rPr>
                  <m:sty m:val="p"/>
                </m:rPr>
                <m:t>&gt;</m:t>
              </m:r>
              <m:r>
                <m:t>0</m:t>
              </m:r>
            </m:oMath>
            <w:r>
              <w:rPr>
                <w:sz w:val="18"/>
              </w:rPr>
              <w:t xml:space="preserve"> </w:t>
            </w:r>
            <w:r>
              <w:rPr>
                <w:sz w:val="18"/>
              </w:rPr>
              <w:t xml:space="preserve">の</w:t>
            </w:r>
            <w:r>
              <w:rPr>
                <w:sz w:val="18"/>
              </w:rPr>
              <w:t xml:space="preserve"> </w:t>
            </w:r>
            <m:oMath>
              <m:r>
                <m:t>π</m:t>
              </m:r>
              <m:r>
                <m:rPr>
                  <m:sty m:val="p"/>
                </m:rPr>
                <m:t>(</m:t>
              </m:r>
              <m:r>
                <m:t>K</m:t>
              </m:r>
              <m:r>
                <m:rPr>
                  <m:sty m:val="p"/>
                </m:rPr>
                <m:t>)</m:t>
              </m:r>
            </m:oMath>
            <w:r>
              <w:rPr>
                <w:rFonts w:hint="eastAsia"/>
                <w:sz w:val="18"/>
              </w:rPr>
              <w:t xml:space="preserve">、表C.40</w:t>
            </w:r>
            <w:r>
              <w:rPr>
                <w:sz w:val="18"/>
              </w:rPr>
              <w:t xml:space="preserve"> </w:t>
            </w:r>
            <w:r>
              <w:rPr>
                <w:rFonts w:hint="eastAsia"/>
                <w:sz w:val="18"/>
              </w:rPr>
              <w:t xml:space="preserve">の正の</w:t>
            </w:r>
            <w:r>
              <w:rPr>
                <w:sz w:val="18"/>
              </w:rPr>
              <w:t xml:space="preserve"> </w:t>
            </w:r>
            <m:oMath>
              <m:sSup>
                <m:e>
                  <m:r>
                    <m:t>K</m:t>
                  </m:r>
                </m:e>
                <m:sup>
                  <m:r>
                    <m:rPr>
                      <m:sty m:val="p"/>
                    </m:rPr>
                    <m:t>*</m:t>
                  </m:r>
                </m:sup>
              </m:sSup>
            </m:oMath>
            <w:r>
              <w:rPr>
                <w:rFonts w:hint="eastAsia"/>
                <w:sz w:val="18"/>
              </w:rPr>
              <w:t xml:space="preserve">、2040年度のフリート容量の期待値（約2割小さくなる）を動かすが、</w:t>
            </w:r>
            <m:oMath>
              <m:sSup>
                <m:e>
                  <m:r>
                    <m:t>K</m:t>
                  </m:r>
                </m:e>
                <m:sup>
                  <m:r>
                    <m:rPr>
                      <m:sty m:val="p"/>
                    </m:rPr>
                    <m:t>*</m:t>
                  </m:r>
                </m:sup>
              </m:sSup>
              <m:r>
                <m:rPr>
                  <m:sty m:val="p"/>
                </m:rPr>
                <m:t>=</m:t>
              </m:r>
              <m:r>
                <m:t>0</m:t>
              </m:r>
            </m:oMath>
            <w:r>
              <w:rPr>
                <w:sz w:val="18"/>
              </w:rPr>
              <w:t xml:space="preserve"> </w:t>
            </w:r>
            <w:r>
              <w:rPr>
                <w:sz w:val="18"/>
              </w:rPr>
              <w:t xml:space="preserve">は</w:t>
            </w:r>
            <w:r>
              <w:rPr>
                <w:sz w:val="18"/>
              </w:rPr>
              <w:t xml:space="preserve"> </w:t>
            </w:r>
            <m:oMath>
              <m:r>
                <m:t>π</m:t>
              </m:r>
              <m:r>
                <m:rPr>
                  <m:sty m:val="p"/>
                </m:rPr>
                <m:t>(</m:t>
              </m:r>
              <m:r>
                <m:t>0</m:t>
              </m:r>
              <m:r>
                <m:rPr>
                  <m:sty m:val="p"/>
                </m:rPr>
                <m:t>)</m:t>
              </m:r>
            </m:oMath>
            <w:r>
              <w:rPr>
                <w:sz w:val="18"/>
              </w:rPr>
              <w:t xml:space="preserve"> </w:t>
            </w:r>
            <w:r>
              <w:rPr>
                <w:rFonts w:hint="eastAsia"/>
                <w:sz w:val="18"/>
              </w:rPr>
              <w:t xml:space="preserve">で決まるので影響しない</w:t>
            </w:r>
          </w:p>
        </w:tc>
        <w:tc>
          <w:tcPr/>
          <w:p>
            <w:pPr>
              <w:pStyle w:val="Compact"/>
            </w:pPr>
            <w:r>
              <w:rPr>
                <w:rFonts w:hint="eastAsia"/>
                <w:sz w:val="18"/>
              </w:rPr>
              <w:t xml:space="preserve">3通りのフリート配分（7.4節）、戦略</w:t>
            </w:r>
            <w:r>
              <w:rPr>
                <w:sz w:val="18"/>
              </w:rPr>
              <w:t xml:space="preserve"> c </w:t>
            </w:r>
            <w:r>
              <w:rPr>
                <w:rFonts w:hint="eastAsia"/>
                <w:sz w:val="18"/>
              </w:rPr>
              <w:t xml:space="preserve">の窓のフリートでの</w:t>
            </w:r>
            <w:r>
              <w:rPr>
                <w:sz w:val="18"/>
              </w:rPr>
              <w:t xml:space="preserve"> </w:t>
            </w:r>
            <m:oMath>
              <m:sSup>
                <m:e>
                  <m:r>
                    <m:t>K</m:t>
                  </m:r>
                </m:e>
                <m:sup>
                  <m:r>
                    <m:rPr>
                      <m:sty m:val="p"/>
                    </m:rPr>
                    <m:t>*</m:t>
                  </m:r>
                </m:sup>
              </m:sSup>
            </m:oMath>
            <w:r>
              <w:rPr>
                <w:rFonts w:hint="eastAsia"/>
                <w:sz w:val="18"/>
              </w:rPr>
              <w:t xml:space="preserve">（付録C.4.3）と期待値（付録C.3.9）</w:t>
            </w:r>
          </w:p>
        </w:tc>
      </w:tr>
      <w:tr>
        <w:tc>
          <w:tcPr/>
          <w:p>
            <w:pPr>
              <w:pStyle w:val="Compact"/>
            </w:pPr>
            <w:r>
              <w:rPr>
                <w:rFonts w:hint="eastAsia"/>
                <w:sz w:val="18"/>
              </w:rPr>
              <w:t xml:space="preserve">増分貪欲の刻み</w:t>
            </w:r>
          </w:p>
        </w:tc>
        <w:tc>
          <w:tcPr/>
          <w:p>
            <w:pPr>
              <w:pStyle w:val="Compact"/>
            </w:pPr>
            <w:r>
              <w:rPr>
                <w:rFonts w:hint="eastAsia"/>
                <w:sz w:val="18"/>
              </w:rPr>
              <w:t xml:space="preserve">フリートを1万kW</w:t>
            </w:r>
            <w:r>
              <w:rPr>
                <w:sz w:val="18"/>
              </w:rPr>
              <w:t xml:space="preserve"> </w:t>
            </w:r>
            <w:r>
              <w:rPr>
                <w:rFonts w:hint="eastAsia"/>
                <w:sz w:val="18"/>
              </w:rPr>
              <w:t xml:space="preserve">刻みで逐次投入する（</w:t>
            </w:r>
            <m:oMath>
              <m:r>
                <m:t>K</m:t>
              </m:r>
            </m:oMath>
            <w:r>
              <w:rPr>
                <w:rFonts w:hint="eastAsia"/>
                <w:sz w:val="18"/>
              </w:rPr>
              <w:t xml:space="preserve">=0〜150万kW</w:t>
            </w:r>
            <w:r>
              <w:rPr>
                <w:sz w:val="18"/>
              </w:rPr>
              <w:t xml:space="preserve"> </w:t>
            </w:r>
            <w:r>
              <w:rPr>
                <w:rFonts w:hint="eastAsia"/>
                <w:sz w:val="18"/>
              </w:rPr>
              <w:t xml:space="preserve">は1万kW</w:t>
            </w:r>
            <w:r>
              <w:rPr>
                <w:sz w:val="18"/>
              </w:rPr>
              <w:t xml:space="preserve"> </w:t>
            </w:r>
            <w:r>
              <w:rPr>
                <w:rFonts w:hint="eastAsia"/>
                <w:sz w:val="18"/>
              </w:rPr>
              <w:t xml:space="preserve">ごと）</w:t>
            </w:r>
          </w:p>
        </w:tc>
        <w:tc>
          <w:tcPr/>
          <w:p>
            <w:pPr>
              <w:pStyle w:val="Compact"/>
            </w:pPr>
            <w:r>
              <w:rPr>
                <w:rFonts w:hint="eastAsia"/>
                <w:sz w:val="18"/>
              </w:rPr>
              <w:t xml:space="preserve">刻みを細かくすると</w:t>
            </w:r>
            <w:r>
              <w:rPr>
                <w:sz w:val="18"/>
              </w:rPr>
              <w:t xml:space="preserve"> </w:t>
            </w:r>
            <m:oMath>
              <m:r>
                <m:t>π</m:t>
              </m:r>
              <m:r>
                <m:rPr>
                  <m:sty m:val="p"/>
                </m:rPr>
                <m:t>(</m:t>
              </m:r>
              <m:r>
                <m:t>K</m:t>
              </m:r>
              <m:r>
                <m:rPr>
                  <m:sty m:val="p"/>
                </m:rPr>
                <m:t>)</m:t>
              </m:r>
            </m:oMath>
            <w:r>
              <w:rPr>
                <w:sz w:val="18"/>
              </w:rPr>
              <w:t xml:space="preserve"> </w:t>
            </w:r>
            <w:r>
              <w:rPr>
                <w:sz w:val="18"/>
              </w:rPr>
              <w:t xml:space="preserve">は</w:t>
            </w:r>
            <w:r>
              <w:rPr>
                <w:sz w:val="18"/>
              </w:rPr>
              <w:t xml:space="preserve"> </w:t>
            </w:r>
            <m:oMath>
              <m:r>
                <m:t>K</m:t>
              </m:r>
            </m:oMath>
            <w:r>
              <w:rPr>
                <w:rFonts w:hint="eastAsia"/>
                <w:sz w:val="18"/>
              </w:rPr>
              <w:t xml:space="preserve">≧50万kW</w:t>
            </w:r>
            <w:r>
              <w:rPr>
                <w:sz w:val="18"/>
              </w:rPr>
              <w:t xml:space="preserve"> </w:t>
            </w:r>
            <w:r>
              <w:rPr>
                <w:rFonts w:hint="eastAsia"/>
                <w:sz w:val="18"/>
              </w:rPr>
              <w:t xml:space="preserve">でわずかずつ上がり、</w:t>
            </w:r>
            <m:oMath>
              <m:r>
                <m:t>π</m:t>
              </m:r>
              <m:r>
                <m:rPr>
                  <m:sty m:val="p"/>
                </m:rPr>
                <m:t>=</m:t>
              </m:r>
              <m:r>
                <m:t>0</m:t>
              </m:r>
            </m:oMath>
            <w:r>
              <w:rPr>
                <w:sz w:val="18"/>
              </w:rPr>
              <w:t xml:space="preserve"> </w:t>
            </w:r>
            <w:r>
              <w:rPr>
                <w:rFonts w:hint="eastAsia"/>
                <w:sz w:val="18"/>
              </w:rPr>
              <w:t xml:space="preserve">の容量は0.5万kW</w:t>
            </w:r>
            <w:r>
              <w:rPr>
                <w:sz w:val="18"/>
              </w:rPr>
              <w:t xml:space="preserve"> </w:t>
            </w:r>
            <w:r>
              <w:rPr>
                <w:rFonts w:hint="eastAsia"/>
                <w:sz w:val="18"/>
              </w:rPr>
              <w:t xml:space="preserve">刻みで約72.5万kW、刻み0への外挿で約73万kW。</w:t>
            </w:r>
            <m:oMath>
              <m:sSup>
                <m:e>
                  <m:r>
                    <m:t>K</m:t>
                  </m:r>
                </m:e>
                <m:sup>
                  <m:r>
                    <m:rPr>
                      <m:sty m:val="p"/>
                    </m:rPr>
                    <m:t>*</m:t>
                  </m:r>
                </m:sup>
              </m:sSup>
              <m:r>
                <m:rPr>
                  <m:sty m:val="p"/>
                </m:rPr>
                <m:t>=</m:t>
              </m:r>
              <m:r>
                <m:t>0</m:t>
              </m:r>
            </m:oMath>
            <w:r>
              <w:rPr>
                <w:sz w:val="18"/>
              </w:rPr>
              <w:t xml:space="preserve"> </w:t>
            </w:r>
            <w:r>
              <w:rPr>
                <w:rFonts w:hint="eastAsia"/>
                <w:sz w:val="18"/>
              </w:rPr>
              <w:t xml:space="preserve">は影響を受けない</w:t>
            </w:r>
          </w:p>
        </w:tc>
        <w:tc>
          <w:tcPr/>
          <w:p>
            <w:pPr>
              <w:pStyle w:val="Compact"/>
            </w:pPr>
            <w:r>
              <w:rPr>
                <w:rFonts w:hint="eastAsia"/>
                <w:sz w:val="18"/>
              </w:rPr>
              <w:t xml:space="preserve">刻み10・5・2.5・1・0.5万kW</w:t>
            </w:r>
            <w:r>
              <w:rPr>
                <w:sz w:val="18"/>
              </w:rPr>
              <w:t xml:space="preserve"> </w:t>
            </w:r>
            <w:r>
              <w:rPr>
                <w:rFonts w:hint="eastAsia"/>
                <w:sz w:val="18"/>
              </w:rPr>
              <w:t xml:space="preserve">の感応度（付録C.3.5）</w:t>
            </w:r>
          </w:p>
        </w:tc>
      </w:tr>
      <w:tr>
        <w:tc>
          <w:tcPr/>
          <w:p>
            <w:pPr>
              <w:pStyle w:val="Compact"/>
            </w:pPr>
            <w:r>
              <w:rPr>
                <w:rFonts w:hint="eastAsia"/>
                <w:sz w:val="18"/>
              </w:rPr>
              <w:t xml:space="preserve">需給調整市場のゼロレント</w:t>
            </w:r>
          </w:p>
        </w:tc>
        <w:tc>
          <w:tcPr/>
          <w:p>
            <w:pPr>
              <w:pStyle w:val="Compact"/>
            </w:pPr>
            <w:r>
              <w:rPr>
                <w:sz w:val="18"/>
              </w:rPr>
              <w:t xml:space="preserve">ΔkW </w:t>
            </w:r>
            <w:r>
              <w:rPr>
                <w:rFonts w:hint="eastAsia"/>
                <w:sz w:val="18"/>
              </w:rPr>
              <w:t xml:space="preserve">の市場を競争的とみなし、限界参入者の収入にレントを入れない</w:t>
            </w:r>
          </w:p>
        </w:tc>
        <w:tc>
          <w:tcPr/>
          <w:p>
            <w:pPr>
              <w:pStyle w:val="Compact"/>
            </w:pPr>
            <w:r>
              <w:rPr>
                <w:rFonts w:hint="eastAsia"/>
                <w:sz w:val="18"/>
              </w:rPr>
              <w:t xml:space="preserve">移行期のレントはフリートが小さいうちは参入に必要な水準を埋めうる大きさで、初期の参入者の収入を過小に見る側。レントは参入とともに消える。乖離のうち市場外収入で説明できない部分は、このレントと見通しの違いに依存する（8.7.3項）</w:t>
            </w:r>
          </w:p>
        </w:tc>
        <w:tc>
          <w:tcPr/>
          <w:p>
            <w:pPr>
              <w:pStyle w:val="Compact"/>
            </w:pPr>
            <w:r>
              <w:rPr>
                <w:rFonts w:hint="eastAsia"/>
                <w:sz w:val="18"/>
              </w:rPr>
              <w:t xml:space="preserve">レントの上限（北海道の調達量のデータがないので仮定の幅。7.6節・表C.28）、Helios（7.8.4項・8.4.3項）。実測はしていない</w:t>
            </w:r>
          </w:p>
        </w:tc>
      </w:tr>
      <w:tr>
        <w:tc>
          <w:tcPr/>
          <w:p>
            <w:pPr>
              <w:pStyle w:val="Compact"/>
            </w:pPr>
            <w:r>
              <w:rPr>
                <w:rFonts w:hint="eastAsia"/>
                <w:sz w:val="18"/>
              </w:rPr>
              <w:t xml:space="preserve">時間前・インバランスを計上しない</w:t>
            </w:r>
          </w:p>
        </w:tc>
        <w:tc>
          <w:tcPr/>
          <w:p>
            <w:pPr>
              <w:pStyle w:val="Compact"/>
            </w:pPr>
            <w:r>
              <w:rPr>
                <w:rFonts w:hint="eastAsia"/>
                <w:sz w:val="18"/>
              </w:rPr>
              <w:t xml:space="preserve">収入は前日スポットだけで測る</w:t>
            </w:r>
          </w:p>
        </w:tc>
        <w:tc>
          <w:tcPr/>
          <w:p>
            <w:pPr>
              <w:pStyle w:val="Compact"/>
            </w:pPr>
            <w:r>
              <w:rPr>
                <w:rFonts w:hint="eastAsia"/>
                <w:sz w:val="18"/>
              </w:rPr>
              <w:t xml:space="preserve">上側。同じ価格で組み替えられるとすれば、上乗せの上限は完全予見粗利の18.3%（1,890円/kW-年）。ドイツでは当日市場を含む複数市場の戦略が日前単独を4〜5割上回るという報告がある（Oeltz</w:t>
            </w:r>
            <w:r>
              <w:rPr>
                <w:sz w:val="18"/>
              </w:rPr>
              <w:t xml:space="preserve"> &amp; Pfingsten, </w:t>
            </w:r>
            <w:r>
              <w:rPr>
                <w:rFonts w:hint="eastAsia"/>
                <w:sz w:val="18"/>
              </w:rPr>
              <w:t xml:space="preserve">2025。査読前のプレプリント）。FY2023〜25</w:t>
            </w:r>
            <w:r>
              <w:rPr>
                <w:sz w:val="18"/>
              </w:rPr>
              <w:t xml:space="preserve"> </w:t>
            </w:r>
            <w:r>
              <w:rPr>
                <w:rFonts w:hint="eastAsia"/>
                <w:sz w:val="18"/>
              </w:rPr>
              <w:t xml:space="preserve">の価格水準では、実績の完全予見粗利（10,317円/kW-年）をすべて取っても参入に必要な水準に届かない（</w:t>
            </w:r>
            <m:oMath>
              <m:sSup>
                <m:e>
                  <m:r>
                    <m:t>θ</m:t>
                  </m:r>
                </m:e>
                <m:sup>
                  <m:r>
                    <m:rPr>
                      <m:sty m:val="p"/>
                    </m:rPr>
                    <m:t>*</m:t>
                  </m:r>
                </m:sup>
              </m:sSup>
            </m:oMath>
            <w:r>
              <w:rPr>
                <w:sz w:val="18"/>
              </w:rPr>
              <w:t xml:space="preserve"> </w:t>
            </w:r>
            <w:r>
              <w:rPr>
                <w:rFonts w:hint="eastAsia"/>
                <w:sz w:val="18"/>
              </w:rPr>
              <w:t xml:space="preserve">は2.06〜2.95、式(4.8)で2.44）</w:t>
            </w:r>
          </w:p>
        </w:tc>
        <w:tc>
          <w:tcPr/>
          <w:p>
            <w:pPr>
              <w:pStyle w:val="Compact"/>
            </w:pPr>
            <w:r>
              <w:rPr>
                <w:rFonts w:hint="eastAsia"/>
                <w:sz w:val="18"/>
              </w:rPr>
              <w:t xml:space="preserve">層分解（6.6節）、完全予見粗利を全額取る感応度（付録C.2.7）、10.4節</w:t>
            </w:r>
          </w:p>
        </w:tc>
      </w:tr>
      <w:tr>
        <w:tc>
          <w:tcPr/>
          <w:p>
            <w:pPr>
              <w:pStyle w:val="Compact"/>
            </w:pPr>
            <w:r>
              <w:rPr>
                <w:rFonts w:hint="eastAsia"/>
                <w:sz w:val="18"/>
              </w:rPr>
              <w:t xml:space="preserve">容量市場の按分</w:t>
            </w:r>
          </w:p>
        </w:tc>
        <w:tc>
          <w:tcPr/>
          <w:p>
            <w:pPr>
              <w:pStyle w:val="Compact"/>
            </w:pPr>
            <w:r>
              <w:rPr>
                <w:rFonts w:hint="eastAsia"/>
                <w:sz w:val="18"/>
              </w:rPr>
              <w:t xml:space="preserve">容量価格の</w:t>
            </w:r>
            <w:r>
              <w:rPr>
                <w:sz w:val="18"/>
              </w:rPr>
              <w:t xml:space="preserve"> </w:t>
            </w:r>
            <m:oMath>
              <m:r>
                <m:t>K</m:t>
              </m:r>
            </m:oMath>
            <w:r>
              <w:rPr>
                <w:sz w:val="18"/>
              </w:rPr>
              <w:t xml:space="preserve"> </w:t>
            </w:r>
            <w:r>
              <w:rPr>
                <w:rFonts w:hint="eastAsia"/>
                <w:sz w:val="18"/>
              </w:rPr>
              <w:t xml:space="preserve">依存を、全国連系と北海道ブロック按分の二つの境界で与える（北海道ブロックへの按分の規則は特定していない）</w:t>
            </w:r>
          </w:p>
        </w:tc>
        <w:tc>
          <w:tcPr/>
          <w:p>
            <w:pPr>
              <w:pStyle w:val="Compact"/>
            </w:pPr>
            <w:r>
              <w:rPr>
                <w:rFonts w:hint="eastAsia"/>
                <w:sz w:val="18"/>
              </w:rPr>
              <w:t xml:space="preserve">北海道が単独ブロックで約定すれば、実効容量収入は（2030年度向けの近似で）起点1.25〜2.5万円から16〜26万kW</w:t>
            </w:r>
            <w:r>
              <w:rPr>
                <w:sz w:val="18"/>
              </w:rPr>
              <w:t xml:space="preserve"> で0になり、</w:t>
            </w:r>
            <m:oMath>
              <m:sSup>
                <m:e>
                  <m:r>
                    <m:t>K</m:t>
                  </m:r>
                </m:e>
                <m:sup>
                  <m:r>
                    <m:rPr>
                      <m:sty m:val="p"/>
                    </m:rPr>
                    <m:t>*</m:t>
                  </m:r>
                </m:sup>
              </m:sSup>
              <m:r>
                <m:rPr>
                  <m:sty m:val="p"/>
                </m:rPr>
                <m:t>=</m:t>
              </m:r>
              <m:r>
                <m:t>0</m:t>
              </m:r>
            </m:oMath>
            <w:r>
              <w:rPr>
                <w:sz w:val="18"/>
              </w:rPr>
              <w:t xml:space="preserve"> </w:t>
            </w:r>
            <w:r>
              <w:rPr>
                <w:rFonts w:hint="eastAsia"/>
                <w:sz w:val="18"/>
              </w:rPr>
              <w:t xml:space="preserve">を強める。約定水準は</w:t>
            </w:r>
            <w:r>
              <w:rPr>
                <w:sz w:val="18"/>
              </w:rPr>
              <w:t xml:space="preserve"> CFaR </w:t>
            </w:r>
            <w:r>
              <w:rPr>
                <w:rFonts w:hint="eastAsia"/>
                <w:sz w:val="18"/>
              </w:rPr>
              <w:t xml:space="preserve">の最大の寄与（主ケースで51%）で、2026年度向けの約定を含めるかで</w:t>
            </w:r>
            <w:r>
              <w:rPr>
                <w:sz w:val="18"/>
              </w:rPr>
              <w:t xml:space="preserve"> CFaR </w:t>
            </w:r>
            <w:r>
              <w:rPr>
                <w:rFonts w:hint="eastAsia"/>
                <w:sz w:val="18"/>
              </w:rPr>
              <w:t xml:space="preserve">は約1.7倍（5,869円対3,532円）変わる</w:t>
            </w:r>
          </w:p>
        </w:tc>
        <w:tc>
          <w:tcPr/>
          <w:p>
            <w:pPr>
              <w:pStyle w:val="Compact"/>
            </w:pPr>
            <w:r>
              <w:rPr>
                <w:rFonts w:hint="eastAsia"/>
                <w:sz w:val="18"/>
              </w:rPr>
              <w:t xml:space="preserve">表C.27、7.6節、均衡容量（表C.40）、CFaR（8.7.5項）</w:t>
            </w:r>
          </w:p>
        </w:tc>
      </w:tr>
      <w:tr>
        <w:tc>
          <w:tcPr/>
          <w:p>
            <w:pPr>
              <w:pStyle w:val="Compact"/>
            </w:pPr>
            <w:r>
              <w:rPr>
                <w:rFonts w:hint="eastAsia"/>
                <w:sz w:val="18"/>
              </w:rPr>
              <w:t xml:space="preserve">負の価格の深さを外生</w:t>
            </w:r>
          </w:p>
        </w:tc>
        <w:tc>
          <w:tcPr/>
          <w:p>
            <w:pPr>
              <w:pStyle w:val="Compact"/>
            </w:pPr>
            <w:r>
              <w:rPr>
                <w:rFonts w:hint="eastAsia"/>
                <w:sz w:val="18"/>
              </w:rPr>
              <w:t xml:space="preserve">下限に張り付く時間の価格を</w:t>
            </w:r>
            <w:r>
              <w:rPr>
                <w:sz w:val="18"/>
              </w:rPr>
              <w:t xml:space="preserve"> </w:t>
            </w:r>
            <m:oMath>
              <m:r>
                <m:rPr>
                  <m:sty m:val="p"/>
                </m:rPr>
                <m:t>−</m:t>
              </m:r>
              <m:r>
                <m:t>δ</m:t>
              </m:r>
            </m:oMath>
            <w:r>
              <w:rPr>
                <w:sz w:val="18"/>
              </w:rPr>
              <w:t xml:space="preserve"> </w:t>
            </w:r>
            <w:r>
              <w:rPr>
                <w:rFonts w:hint="eastAsia"/>
                <w:sz w:val="18"/>
              </w:rPr>
              <w:t xml:space="preserve">円/kWh（</w:t>
            </w:r>
            <m:oMath>
              <m:r>
                <m:t>δ</m:t>
              </m:r>
            </m:oMath>
            <w:r>
              <w:rPr>
                <w:rFonts w:hint="eastAsia"/>
                <w:sz w:val="18"/>
              </w:rPr>
              <w:t xml:space="preserve">=0・5・10）に置く段差モデルで与える。</w:t>
            </w:r>
            <m:oMath>
              <m:r>
                <m:rPr>
                  <m:sty m:val="p"/>
                </m:rPr>
                <m:t>−</m:t>
              </m:r>
              <m:r>
                <m:t>δ</m:t>
              </m:r>
            </m:oMath>
            <w:r>
              <w:rPr>
                <w:sz w:val="18"/>
              </w:rPr>
              <w:t xml:space="preserve"> </w:t>
            </w:r>
            <w:r>
              <w:rPr>
                <w:sz w:val="18"/>
              </w:rPr>
              <w:t xml:space="preserve">は</w:t>
            </w:r>
            <w:r>
              <w:rPr>
                <w:sz w:val="18"/>
              </w:rPr>
              <w:t xml:space="preserve"> </w:t>
            </w:r>
            <m:oMath>
              <m:r>
                <m:t>θ</m:t>
              </m:r>
            </m:oMath>
            <w:r>
              <w:rPr>
                <w:sz w:val="18"/>
              </w:rPr>
              <w:t xml:space="preserve"> </w:t>
            </w:r>
            <w:r>
              <w:rPr>
                <w:rFonts w:hint="eastAsia"/>
                <w:sz w:val="18"/>
              </w:rPr>
              <w:t xml:space="preserve">で伸縮させない</w:t>
            </w:r>
          </w:p>
        </w:tc>
        <w:tc>
          <w:tcPr/>
          <w:p>
            <w:pPr>
              <w:pStyle w:val="Compact"/>
            </w:pPr>
            <w:r>
              <w:rPr>
                <w:rFonts w:hint="eastAsia"/>
                <w:sz w:val="18"/>
              </w:rPr>
              <w:t xml:space="preserve">深いほど裁定価値は余剰の量に比例して上がる。収益が</w:t>
            </w:r>
            <w:r>
              <w:rPr>
                <w:sz w:val="18"/>
              </w:rPr>
              <w:t xml:space="preserve"> </w:t>
            </w:r>
            <m:oMath>
              <m:r>
                <m:t>θ</m:t>
              </m:r>
            </m:oMath>
            <w:r>
              <w:rPr>
                <w:sz w:val="18"/>
              </w:rPr>
              <w:t xml:space="preserve"> </w:t>
            </w:r>
            <w:r>
              <w:rPr>
                <w:rFonts w:hint="eastAsia"/>
                <w:sz w:val="18"/>
              </w:rPr>
              <w:t xml:space="preserve">に比例しないので、</w:t>
            </w:r>
            <m:oMath>
              <m:sSup>
                <m:e>
                  <m:r>
                    <m:t>θ</m:t>
                  </m:r>
                </m:e>
                <m:sup>
                  <m:r>
                    <m:rPr>
                      <m:sty m:val="p"/>
                    </m:rPr>
                    <m:t>*</m:t>
                  </m:r>
                </m:sup>
              </m:sSup>
            </m:oMath>
            <w:r>
              <w:rPr>
                <w:sz w:val="18"/>
              </w:rPr>
              <w:t xml:space="preserve"> </w:t>
            </w:r>
            <w:r>
              <w:rPr>
                <w:rFonts w:hint="eastAsia"/>
                <w:sz w:val="18"/>
              </w:rPr>
              <w:t xml:space="preserve">は直接解く（比例の式では過小になる）。効果の大きさは下限張り付き時間の置き方に依存する（モデルは現状で実績の57%しか再現せず、負の価格の効果を小さめに出す側。泊のシナリオでは下限張り付き時間の6〜7割が推定範囲外の段差の仮定による）。実績価格の下限張り付き時間で計算すると増分は約1.6倍だが、</w:t>
            </w:r>
            <m:oMath>
              <m:sSup>
                <m:e>
                  <m:r>
                    <m:t>θ</m:t>
                  </m:r>
                </m:e>
                <m:sup>
                  <m:r>
                    <m:rPr>
                      <m:sty m:val="p"/>
                    </m:rPr>
                    <m:t>*</m:t>
                  </m:r>
                </m:sup>
              </m:sSup>
            </m:oMath>
            <w:r>
              <w:rPr>
                <w:sz w:val="18"/>
              </w:rPr>
              <w:t xml:space="preserve"> </w:t>
            </w:r>
            <w:r>
              <w:rPr>
                <w:rFonts w:hint="eastAsia"/>
                <w:sz w:val="18"/>
              </w:rPr>
              <w:t xml:space="preserve">は2.81にとどまる。線形外挿の反実仮想の負の価格は浅く（</w:t>
            </w:r>
            <m:oMath>
              <m:r>
                <m:t>δ</m:t>
              </m:r>
            </m:oMath>
            <w:r>
              <w:rPr>
                <w:rFonts w:hint="eastAsia"/>
                <w:sz w:val="18"/>
              </w:rPr>
              <w:t xml:space="preserve">≈4.5円相当）、下限価格が削る価値の上限ではない</w:t>
            </w:r>
          </w:p>
        </w:tc>
        <w:tc>
          <w:tcPr/>
          <w:p>
            <w:pPr>
              <w:pStyle w:val="Compact"/>
            </w:pPr>
            <m:oMath>
              <m:r>
                <m:t>δ</m:t>
              </m:r>
            </m:oMath>
            <w:r>
              <w:rPr>
                <w:sz w:val="18"/>
              </w:rPr>
              <w:t xml:space="preserve"> </w:t>
            </w:r>
            <w:r>
              <w:rPr>
                <w:rFonts w:hint="eastAsia"/>
                <w:sz w:val="18"/>
              </w:rPr>
              <w:t xml:space="preserve">の感応度（9.3節）、下端の外挿・下限時間の較正・実績価格での直接計算（表9.3、表C.49）、線形外挿との比較（7.7節・付録B.6.2）</w:t>
            </w:r>
          </w:p>
        </w:tc>
      </w:tr>
      <w:tr>
        <w:tc>
          <w:tcPr/>
          <w:p>
            <w:pPr>
              <w:pStyle w:val="Compact"/>
            </w:pPr>
            <w:r>
              <w:rPr>
                <w:sz w:val="18"/>
              </w:rPr>
              <w:t xml:space="preserve">FIT/FIP </w:t>
            </w:r>
            <w:r>
              <w:rPr>
                <w:rFonts w:hint="eastAsia"/>
                <w:sz w:val="18"/>
              </w:rPr>
              <w:t xml:space="preserve">の帰着</w:t>
            </w:r>
          </w:p>
        </w:tc>
        <w:tc>
          <w:tcPr/>
          <w:p>
            <w:pPr>
              <w:pStyle w:val="Compact"/>
            </w:pPr>
            <w:r>
              <w:rPr>
                <w:rFonts w:hint="eastAsia"/>
                <w:sz w:val="18"/>
              </w:rPr>
              <w:t xml:space="preserve">負の価格と出力制御の負担が、再エネ事業者・需要家・蓄電池の間でどう帰着するかを均衡として解かない</w:t>
            </w:r>
          </w:p>
        </w:tc>
        <w:tc>
          <w:tcPr/>
          <w:p>
            <w:pPr>
              <w:pStyle w:val="Compact"/>
            </w:pPr>
            <w:r>
              <w:rPr>
                <w:sz w:val="18"/>
              </w:rPr>
              <w:t xml:space="preserve">FIP </w:t>
            </w:r>
            <w:r>
              <w:rPr>
                <w:rFonts w:hint="eastAsia"/>
                <w:sz w:val="18"/>
              </w:rPr>
              <w:t xml:space="preserve">のプレミアムが残れば負の価格はプレミアムの大きさを映し、深さ</w:t>
            </w:r>
            <w:r>
              <w:rPr>
                <w:sz w:val="18"/>
              </w:rPr>
              <w:t xml:space="preserve"> </w:t>
            </w:r>
            <m:oMath>
              <m:r>
                <m:t>δ</m:t>
              </m:r>
            </m:oMath>
            <w:r>
              <w:rPr>
                <w:sz w:val="18"/>
              </w:rPr>
              <w:t xml:space="preserve"> </w:t>
            </w:r>
            <w:r>
              <w:rPr>
                <w:rFonts w:hint="eastAsia"/>
                <w:sz w:val="18"/>
              </w:rPr>
              <w:t xml:space="preserve">は制度で決まる。再エネ側からの移転額（FY2023〜25</w:t>
            </w:r>
            <w:r>
              <w:rPr>
                <w:sz w:val="18"/>
              </w:rPr>
              <w:t xml:space="preserve"> </w:t>
            </w:r>
            <w:r>
              <w:rPr>
                <w:rFonts w:hint="eastAsia"/>
                <w:sz w:val="18"/>
              </w:rPr>
              <w:t xml:space="preserve">で年14〜22億円（</w:t>
            </w:r>
            <m:oMath>
              <m:r>
                <m:t>δ</m:t>
              </m:r>
              <m:r>
                <m:rPr>
                  <m:sty m:val="p"/>
                </m:rPr>
                <m:t>=</m:t>
              </m:r>
              <m:r>
                <m:t>5</m:t>
              </m:r>
            </m:oMath>
            <w:r>
              <w:rPr>
                <w:sz w:val="18"/>
              </w:rPr>
              <w:t xml:space="preserve"> </w:t>
            </w:r>
            <w:r>
              <w:rPr>
                <w:rFonts w:hint="eastAsia"/>
                <w:sz w:val="18"/>
              </w:rPr>
              <w:t xml:space="preserve">円）、27〜44億円（</w:t>
            </w:r>
            <m:oMath>
              <m:r>
                <m:t>δ</m:t>
              </m:r>
              <m:r>
                <m:rPr>
                  <m:sty m:val="p"/>
                </m:rPr>
                <m:t>=</m:t>
              </m:r>
              <m:r>
                <m:t>10</m:t>
              </m:r>
            </m:oMath>
            <w:r>
              <w:rPr>
                <w:sz w:val="18"/>
              </w:rPr>
              <w:t xml:space="preserve"> </w:t>
            </w:r>
            <w:r>
              <w:rPr>
                <w:rFonts w:hint="eastAsia"/>
                <w:sz w:val="18"/>
              </w:rPr>
              <w:t xml:space="preserve">円））は出力制御の価値を上回る（比は抑制の増加とともに低下し、FY2026</w:t>
            </w:r>
            <w:r>
              <w:rPr>
                <w:sz w:val="18"/>
              </w:rPr>
              <w:t xml:space="preserve"> </w:t>
            </w:r>
            <w:r>
              <w:rPr>
                <w:rFonts w:hint="eastAsia"/>
                <w:sz w:val="18"/>
              </w:rPr>
              <w:t xml:space="preserve">の4〜6月で約6倍）</w:t>
            </w:r>
          </w:p>
        </w:tc>
        <w:tc>
          <w:tcPr/>
          <w:p>
            <w:pPr>
              <w:pStyle w:val="Compact"/>
            </w:pPr>
            <w:r>
              <w:rPr>
                <w:rFonts w:hint="eastAsia"/>
                <w:sz w:val="18"/>
              </w:rPr>
              <w:t xml:space="preserve">再エネ側の収入（9.4節・9.5節）</w:t>
            </w:r>
          </w:p>
        </w:tc>
      </w:tr>
      <w:tr>
        <w:tc>
          <w:tcPr/>
          <w:p>
            <w:pPr>
              <w:pStyle w:val="Compact"/>
            </w:pPr>
            <w:r>
              <w:rPr>
                <w:rFonts w:hint="eastAsia"/>
                <w:sz w:val="18"/>
              </w:rPr>
              <w:t xml:space="preserve">乖離の勘定</w:t>
            </w:r>
          </w:p>
        </w:tc>
        <w:tc>
          <w:tcPr/>
          <w:p>
            <w:pPr>
              <w:pStyle w:val="Compact"/>
            </w:pPr>
            <w:r>
              <w:rPr>
                <w:rFonts w:hint="eastAsia"/>
                <w:sz w:val="18"/>
              </w:rPr>
              <w:t xml:space="preserve">接続済み約20万kW</w:t>
            </w:r>
            <w:r>
              <w:rPr>
                <w:sz w:val="18"/>
              </w:rPr>
              <w:t xml:space="preserve"> </w:t>
            </w:r>
            <w:r>
              <w:rPr>
                <w:rFonts w:hint="eastAsia"/>
                <w:sz w:val="18"/>
              </w:rPr>
              <w:t xml:space="preserve">と契約申込約234万kW</w:t>
            </w:r>
            <w:r>
              <w:rPr>
                <w:sz w:val="18"/>
              </w:rPr>
              <w:t xml:space="preserve"> </w:t>
            </w:r>
            <w:r>
              <w:rPr>
                <w:rFonts w:hint="eastAsia"/>
                <w:sz w:val="18"/>
              </w:rPr>
              <w:t xml:space="preserve">を、LTDA・補助・マーチャント・併設・不明に割り当てる。補助の</w:t>
            </w:r>
            <w:r>
              <w:rPr>
                <w:sz w:val="18"/>
              </w:rPr>
              <w:t xml:space="preserve"> kW </w:t>
            </w:r>
            <w:r>
              <w:rPr>
                <w:rFonts w:hint="eastAsia"/>
                <w:sz w:val="18"/>
              </w:rPr>
              <w:t xml:space="preserve">は補助額からの推定、LTDA</w:t>
            </w:r>
            <w:r>
              <w:rPr>
                <w:sz w:val="18"/>
              </w:rPr>
              <w:t xml:space="preserve"> </w:t>
            </w:r>
            <w:r>
              <w:rPr>
                <w:rFonts w:hint="eastAsia"/>
                <w:sz w:val="18"/>
              </w:rPr>
              <w:t xml:space="preserve">は落札容量</w:t>
            </w:r>
          </w:p>
        </w:tc>
        <w:tc>
          <w:tcPr/>
          <w:p>
            <w:pPr>
              <w:pStyle w:val="Compact"/>
            </w:pPr>
            <w:r>
              <w:rPr>
                <w:rFonts w:hint="eastAsia"/>
                <w:sz w:val="18"/>
              </w:rPr>
              <w:t xml:space="preserve">属性が不明の61〜70%の扱いで、計測外の成分（需給調整市場のレント・見通し・接続枠のオプション価値）に帰す額が決まる（不明がすべてマーチャント4時間なら約3,200〜3,700億円。</w:t>
            </w:r>
            <m:oMath>
              <m:sSubSup>
                <m:e>
                  <m:r>
                    <m:t>r</m:t>
                  </m:r>
                </m:e>
                <m:sub>
                  <m:r>
                    <m:t>A</m:t>
                  </m:r>
                </m:sub>
                <m:sup>
                  <m:r>
                    <m:t>M</m:t>
                  </m:r>
                </m:sup>
              </m:sSubSup>
              <m:r>
                <m:rPr>
                  <m:sty m:val="p"/>
                </m:rPr>
                <m:t>=</m:t>
              </m:r>
              <m:r>
                <m:t>9</m:t>
              </m:r>
              <m:r>
                <m:rPr>
                  <m:sty m:val="p"/>
                </m:rPr>
                <m:t>%</m:t>
              </m:r>
            </m:oMath>
            <w:r>
              <w:rPr>
                <w:rFonts w:hint="eastAsia"/>
                <w:sz w:val="18"/>
              </w:rPr>
              <w:t xml:space="preserve">）。1kW</w:t>
            </w:r>
            <w:r>
              <w:rPr>
                <w:sz w:val="18"/>
              </w:rPr>
              <w:t xml:space="preserve"> </w:t>
            </w:r>
            <w:r>
              <w:rPr>
                <w:rFonts w:hint="eastAsia"/>
                <w:sz w:val="18"/>
              </w:rPr>
              <w:t xml:space="preserve">あたりの不足は</w:t>
            </w:r>
            <w:r>
              <w:rPr>
                <w:sz w:val="18"/>
              </w:rPr>
              <w:t xml:space="preserve"> </w:t>
            </w:r>
            <m:oMath>
              <m:r>
                <m:t>K</m:t>
              </m:r>
              <m:r>
                <m:rPr>
                  <m:sty m:val="p"/>
                </m:rPr>
                <m:t>=</m:t>
              </m:r>
              <m:r>
                <m:t>0</m:t>
              </m:r>
            </m:oMath>
            <w:r>
              <w:rPr>
                <w:sz w:val="18"/>
              </w:rPr>
              <w:t xml:space="preserve"> </w:t>
            </w:r>
            <w:r>
              <w:rPr>
                <w:rFonts w:hint="eastAsia"/>
                <w:sz w:val="18"/>
              </w:rPr>
              <w:t xml:space="preserve">の値で、全量が建設されればさらに大きい。</w:t>
            </w:r>
            <m:oMath>
              <m:sSup>
                <m:e>
                  <m:r>
                    <m:t>K</m:t>
                  </m:r>
                </m:e>
                <m:sup>
                  <m:r>
                    <m:rPr>
                      <m:sty m:val="p"/>
                    </m:rPr>
                    <m:t>*</m:t>
                  </m:r>
                </m:sup>
              </m:sSup>
              <m:r>
                <m:rPr>
                  <m:sty m:val="p"/>
                </m:rPr>
                <m:t>=</m:t>
              </m:r>
              <m:r>
                <m:t>0</m:t>
              </m:r>
            </m:oMath>
            <w:r>
              <w:rPr>
                <w:sz w:val="18"/>
              </w:rPr>
              <w:t xml:space="preserve"> </w:t>
            </w:r>
            <w:r>
              <w:rPr>
                <w:rFonts w:hint="eastAsia"/>
                <w:sz w:val="18"/>
              </w:rPr>
              <w:t xml:space="preserve">とは独立</w:t>
            </w:r>
          </w:p>
        </w:tc>
        <w:tc>
          <w:tcPr/>
          <w:p>
            <w:pPr>
              <w:pStyle w:val="Compact"/>
            </w:pPr>
            <w:r>
              <w:rPr>
                <w:rFonts w:hint="eastAsia"/>
                <w:sz w:val="18"/>
              </w:rPr>
              <w:t xml:space="preserve">乖離の勘定表（表8.1）、APV</w:t>
            </w:r>
            <w:r>
              <w:rPr>
                <w:sz w:val="18"/>
              </w:rPr>
              <w:t xml:space="preserve"> と APV=0 </w:t>
            </w:r>
            <w:r>
              <w:rPr>
                <w:rFonts w:hint="eastAsia"/>
                <w:sz w:val="18"/>
              </w:rPr>
              <w:t xml:space="preserve">となる割引率（8.7.3項）</w:t>
            </w:r>
          </w:p>
        </w:tc>
      </w:tr>
      <w:tr>
        <w:tc>
          <w:tcPr/>
          <w:p>
            <w:pPr>
              <w:pStyle w:val="Compact"/>
            </w:pPr>
            <w:r>
              <w:rPr>
                <w:rFonts w:hint="eastAsia"/>
                <w:sz w:val="18"/>
              </w:rPr>
              <w:t xml:space="preserve">60分データ</w:t>
            </w:r>
          </w:p>
        </w:tc>
        <w:tc>
          <w:tcPr/>
          <w:p>
            <w:pPr>
              <w:pStyle w:val="Compact"/>
            </w:pPr>
            <w:r>
              <w:rPr>
                <w:rFonts w:hint="eastAsia"/>
                <w:sz w:val="18"/>
              </w:rPr>
              <w:t xml:space="preserve">30分値の需給実績と価格を60分平均にして用いる</w:t>
            </w:r>
          </w:p>
        </w:tc>
        <w:tc>
          <w:tcPr/>
          <w:p>
            <w:pPr>
              <w:pStyle w:val="Compact"/>
            </w:pPr>
            <w:r>
              <w:rPr>
                <w:rFonts w:hint="eastAsia"/>
                <w:sz w:val="18"/>
              </w:rPr>
              <w:t xml:space="preserve">30分の価格差と分単位の変動を捨てるので、裁定価値と高周波の成分を過小に見る側。4時間の窓と1日1サイクルの評価への影響は小さいとみられる</w:t>
            </w:r>
          </w:p>
        </w:tc>
        <w:tc>
          <w:tcPr/>
          <w:p>
            <w:pPr>
              <w:pStyle w:val="Compact"/>
            </w:pPr>
            <w:r>
              <w:rPr>
                <w:rFonts w:hint="eastAsia"/>
                <w:sz w:val="18"/>
              </w:rPr>
              <w:t xml:space="preserve">30分値での再計算は行っていない</w:t>
            </w:r>
          </w:p>
        </w:tc>
      </w:tr>
      <w:tr>
        <w:tc>
          <w:tcPr/>
          <w:p>
            <w:pPr>
              <w:pStyle w:val="Compact"/>
            </w:pPr>
            <w:r>
              <w:rPr>
                <w:rFonts w:hint="eastAsia"/>
                <w:sz w:val="18"/>
              </w:rPr>
              <w:t xml:space="preserve">導入容量の計上時期</w:t>
            </w:r>
          </w:p>
        </w:tc>
        <w:tc>
          <w:tcPr/>
          <w:p>
            <w:pPr>
              <w:pStyle w:val="Compact"/>
            </w:pPr>
            <w:r>
              <w:rPr>
                <w:rFonts w:hint="eastAsia"/>
                <w:sz w:val="18"/>
              </w:rPr>
              <w:t xml:space="preserve">設備利用率の分母に</w:t>
            </w:r>
            <w:r>
              <w:rPr>
                <w:sz w:val="18"/>
              </w:rPr>
              <w:t xml:space="preserve"> FIT/FIP </w:t>
            </w:r>
            <w:r>
              <w:rPr>
                <w:rFonts w:hint="eastAsia"/>
                <w:sz w:val="18"/>
              </w:rPr>
              <w:t xml:space="preserve">認定設備の容量（運転開始の時点で計上し、非</w:t>
            </w:r>
            <w:r>
              <w:rPr>
                <w:sz w:val="18"/>
              </w:rPr>
              <w:t xml:space="preserve"> FIT </w:t>
            </w:r>
            <w:r>
              <w:rPr>
                <w:rFonts w:hint="eastAsia"/>
                <w:sz w:val="18"/>
              </w:rPr>
              <w:t xml:space="preserve">設備を含まない）を使う。2023年4月と11月〜2024年1月は出力が容量に先行し、設備利用率が過大になる</w:t>
            </w:r>
          </w:p>
        </w:tc>
        <w:tc>
          <w:tcPr/>
          <w:p>
            <w:pPr>
              <w:pStyle w:val="Compact"/>
            </w:pPr>
            <w:r>
              <w:rPr>
                <w:rFonts w:hint="eastAsia"/>
                <w:sz w:val="18"/>
              </w:rPr>
              <w:t xml:space="preserve">補正すると</w:t>
            </w:r>
            <w:r>
              <w:rPr>
                <w:sz w:val="18"/>
              </w:rPr>
              <w:t xml:space="preserve"> FY2023 </w:t>
            </w:r>
            <w:r>
              <w:rPr>
                <w:rFonts w:hint="eastAsia"/>
                <w:sz w:val="18"/>
              </w:rPr>
              <w:t xml:space="preserve">の風力の設備利用率は30.4%→26.2%、現行の風力導入量は121→125万kW。同じ倍率で比べた風力シナリオの完全予見粗利と</w:t>
            </w:r>
            <w:r>
              <w:rPr>
                <w:sz w:val="18"/>
              </w:rPr>
              <w:t xml:space="preserve"> </w:t>
            </w:r>
            <m:oMath>
              <m:r>
                <m:t>π</m:t>
              </m:r>
              <m:r>
                <m:rPr>
                  <m:sty m:val="p"/>
                </m:rPr>
                <m:t>(</m:t>
              </m:r>
              <m:r>
                <m:t>0</m:t>
              </m:r>
              <m:r>
                <m:rPr>
                  <m:sty m:val="p"/>
                </m:rPr>
                <m:t>)</m:t>
              </m:r>
            </m:oMath>
            <w:r>
              <w:rPr>
                <w:sz w:val="18"/>
              </w:rPr>
              <w:t xml:space="preserve"> </w:t>
            </w:r>
            <w:r>
              <w:rPr>
                <w:rFonts w:hint="eastAsia"/>
                <w:sz w:val="18"/>
              </w:rPr>
              <w:t xml:space="preserve">の変化は1%未満で、下限張り付き時間は風力3倍で数%下がる。方向は一律でなく、結論は動かない</w:t>
            </w:r>
          </w:p>
        </w:tc>
        <w:tc>
          <w:tcPr/>
          <w:p>
            <w:pPr>
              <w:pStyle w:val="Compact"/>
            </w:pPr>
            <w:r>
              <w:rPr>
                <w:rFonts w:hint="eastAsia"/>
                <w:sz w:val="18"/>
              </w:rPr>
              <w:t xml:space="preserve">付録A.4・C.1.4・C.3.3・C.3.4・C.3.6</w:t>
            </w:r>
          </w:p>
        </w:tc>
      </w:tr>
      <w:tr>
        <w:tc>
          <w:tcPr/>
          <w:p>
            <w:pPr>
              <w:pStyle w:val="Compact"/>
            </w:pPr>
            <w:r>
              <w:rPr>
                <w:rFonts w:hint="eastAsia"/>
                <w:sz w:val="18"/>
              </w:rPr>
              <w:t xml:space="preserve">併設蓄電池による平滑化</w:t>
            </w:r>
          </w:p>
        </w:tc>
        <w:tc>
          <w:tcPr/>
          <w:p>
            <w:pPr>
              <w:pStyle w:val="Compact"/>
            </w:pPr>
            <w:r>
              <w:rPr>
                <w:rFonts w:hint="eastAsia"/>
                <w:sz w:val="18"/>
              </w:rPr>
              <w:t xml:space="preserve">需給実績の風力出力は連系点の値で、出力変動緩和の要件（2023年7月以降の接続検討から撤廃）の下で連系した電源は、併設蓄電池による平滑化の後の出力</w:t>
            </w:r>
          </w:p>
        </w:tc>
        <w:tc>
          <w:tcPr/>
          <w:p>
            <w:pPr>
              <w:pStyle w:val="Compact"/>
            </w:pPr>
            <w:r>
              <w:rPr>
                <w:rFonts w:hint="eastAsia"/>
                <w:sz w:val="18"/>
              </w:rPr>
              <w:t xml:space="preserve">帯域分解の6時間未満の成分（1.9%）を過小に見る可能性があり、「純粋な風力」の効果と分離できない。要件の撤廃後に接続する将来の追加分は平滑化されないので、第7章のシナリオは追加分の短周期の変動を小さめに見る側。TB4h</w:t>
            </w:r>
            <w:r>
              <w:rPr>
                <w:sz w:val="18"/>
              </w:rPr>
              <w:t xml:space="preserve"> </w:t>
            </w:r>
            <w:r>
              <w:rPr>
                <w:rFonts w:hint="eastAsia"/>
                <w:sz w:val="18"/>
              </w:rPr>
              <w:t xml:space="preserve">は4時間尺度なので、校正の中央の範囲では影響は小さい</w:t>
            </w:r>
          </w:p>
        </w:tc>
        <w:tc>
          <w:tcPr/>
          <w:p>
            <w:pPr>
              <w:pStyle w:val="Compact"/>
            </w:pPr>
            <w:r>
              <w:rPr>
                <w:rFonts w:hint="eastAsia"/>
                <w:sz w:val="18"/>
              </w:rPr>
              <w:t xml:space="preserve">6時間未満帯の確率成分を分散で21倍（校正の中央）にして</w:t>
            </w:r>
            <w:r>
              <w:rPr>
                <w:sz w:val="18"/>
              </w:rPr>
              <w:t xml:space="preserve"> TB4h </w:t>
            </w:r>
            <w:r>
              <w:rPr>
                <w:rFonts w:hint="eastAsia"/>
                <w:sz w:val="18"/>
              </w:rPr>
              <w:t xml:space="preserve">+2%・完全予見粗利</w:t>
            </w:r>
            <w:r>
              <w:rPr>
                <w:sz w:val="18"/>
              </w:rPr>
              <w:t xml:space="preserve"> </w:t>
            </w:r>
            <w:r>
              <w:rPr>
                <w:rFonts w:hint="eastAsia"/>
                <w:sz w:val="18"/>
              </w:rPr>
              <w:t xml:space="preserve">+4%、上限（分散で80倍）では完全予見粗利</w:t>
            </w:r>
            <w:r>
              <w:rPr>
                <w:sz w:val="18"/>
              </w:rPr>
              <w:t xml:space="preserve"> </w:t>
            </w:r>
            <w:r>
              <w:rPr>
                <w:rFonts w:hint="eastAsia"/>
                <w:sz w:val="18"/>
              </w:rPr>
              <w:t xml:space="preserve">+18%（5.6節、表5.4、表C.5）。緩和要件のない九州の風力も6時間未満の成分は1.9%（表5.1）。10.5節</w:t>
            </w:r>
          </w:p>
        </w:tc>
      </w:tr>
      <w:tr>
        <w:tc>
          <w:tcPr/>
          <w:p>
            <w:pPr>
              <w:pStyle w:val="Compact"/>
            </w:pPr>
            <w:r>
              <w:rPr>
                <w:rFonts w:hint="eastAsia"/>
                <w:sz w:val="18"/>
              </w:rPr>
              <w:t xml:space="preserve">集中立地</w:t>
            </w:r>
          </w:p>
        </w:tc>
        <w:tc>
          <w:tcPr/>
          <w:p>
            <w:pPr>
              <w:pStyle w:val="Compact"/>
            </w:pPr>
            <w:r>
              <w:rPr>
                <w:rFonts w:hint="eastAsia"/>
                <w:sz w:val="18"/>
              </w:rPr>
              <w:t xml:space="preserve">フリートの空間分散は現状のまま（日内の確率的な変動はフリート集約で相殺されたまま）とする</w:t>
            </w:r>
          </w:p>
        </w:tc>
        <w:tc>
          <w:tcPr/>
          <w:p>
            <w:pPr>
              <w:pStyle w:val="Compact"/>
            </w:pPr>
            <w:r>
              <w:rPr>
                <w:rFonts w:hint="eastAsia"/>
                <w:sz w:val="18"/>
              </w:rPr>
              <w:t xml:space="preserve">日内形状を広げる側で、</w:t>
            </w:r>
            <m:oMath>
              <m:sSup>
                <m:e>
                  <m:r>
                    <m:t>K</m:t>
                  </m:r>
                </m:e>
                <m:sup>
                  <m:r>
                    <m:rPr>
                      <m:sty m:val="p"/>
                    </m:rPr>
                    <m:t>*</m:t>
                  </m:r>
                </m:sup>
              </m:sSup>
              <m:r>
                <m:rPr>
                  <m:sty m:val="p"/>
                </m:rPr>
                <m:t>=</m:t>
              </m:r>
              <m:r>
                <m:t>0</m:t>
              </m:r>
            </m:oMath>
            <w:r>
              <w:rPr>
                <w:sz w:val="18"/>
              </w:rPr>
              <w:t xml:space="preserve"> </w:t>
            </w:r>
            <w:r>
              <w:rPr>
                <w:rFonts w:hint="eastAsia"/>
                <w:sz w:val="18"/>
              </w:rPr>
              <w:t xml:space="preserve">を弱める側。校正の中央（日内分散比4.4）では完全予見粗利+4.5%だが、上限（17。北海道全域を独立な地点で埋め尽くした理論値）では+19%で、夏・冬の風力の係数が正に転じる。モデルの夏の感応度を補正すると+3割前後（Fieller</w:t>
            </w:r>
            <w:r>
              <w:rPr>
                <w:sz w:val="18"/>
              </w:rPr>
              <w:t xml:space="preserve"> </w:t>
            </w:r>
            <w:r>
              <w:rPr>
                <w:rFonts w:hint="eastAsia"/>
                <w:sz w:val="18"/>
              </w:rPr>
              <w:t xml:space="preserve">区間の下端でも+2割強、上端は情報がない。追加統制の仕様では+5割）。実際のフリート配置の減衰（2.9〜3.9）は下限〜中央に近い</w:t>
            </w:r>
          </w:p>
        </w:tc>
        <w:tc>
          <w:tcPr/>
          <w:p>
            <w:pPr>
              <w:pStyle w:val="Compact"/>
            </w:pPr>
            <w:r>
              <w:rPr>
                <w:rFonts w:hint="eastAsia"/>
                <w:sz w:val="18"/>
              </w:rPr>
              <w:t xml:space="preserve">校正の幅、日周位相、価格過程の日内感応度の検証（5.6節、表5.4、表C.4〜表C.8）、10.3.1項</w:t>
            </w:r>
          </w:p>
        </w:tc>
      </w:tr>
      <w:tr>
        <w:tc>
          <w:tcPr/>
          <w:p>
            <w:pPr>
              <w:pStyle w:val="Compact"/>
            </w:pPr>
            <w:r>
              <w:rPr>
                <w:rFonts w:hint="eastAsia"/>
                <w:sz w:val="18"/>
              </w:rPr>
              <w:t xml:space="preserve">供給曲線の時間不変</w:t>
            </w:r>
          </w:p>
        </w:tc>
        <w:tc>
          <w:tcPr/>
          <w:p>
            <w:pPr>
              <w:pStyle w:val="Compact"/>
            </w:pPr>
            <m:oMath>
              <m:r>
                <m:t>g</m:t>
              </m:r>
            </m:oMath>
            <w:r>
              <w:rPr>
                <w:rFonts w:hint="eastAsia"/>
                <w:sz w:val="18"/>
              </w:rPr>
              <w:t xml:space="preserve">（純需要；季節）と時刻別の項</w:t>
            </w:r>
            <w:r>
              <w:rPr>
                <w:sz w:val="18"/>
              </w:rPr>
              <w:t xml:space="preserve"> </w:t>
            </w:r>
            <m:oMath>
              <m:r>
                <m:t>μ</m:t>
              </m:r>
            </m:oMath>
            <w:r>
              <w:rPr>
                <w:sz w:val="18"/>
              </w:rPr>
              <w:t xml:space="preserve"> </w:t>
            </w:r>
            <w:r>
              <w:rPr>
                <w:sz w:val="18"/>
              </w:rPr>
              <w:t xml:space="preserve">を FY2023〜25 </w:t>
            </w:r>
            <w:r>
              <w:rPr>
                <w:rFonts w:hint="eastAsia"/>
                <w:sz w:val="18"/>
              </w:rPr>
              <w:t xml:space="preserve">の推定で固定し、水準係数</w:t>
            </w:r>
            <w:r>
              <w:rPr>
                <w:sz w:val="18"/>
              </w:rPr>
              <w:t xml:space="preserve"> </w:t>
            </w:r>
            <m:oMath>
              <m:r>
                <m:t>θ</m:t>
              </m:r>
            </m:oMath>
            <w:r>
              <w:rPr>
                <w:sz w:val="18"/>
              </w:rPr>
              <w:t xml:space="preserve"> </w:t>
            </w:r>
            <w:r>
              <w:rPr>
                <w:rFonts w:hint="eastAsia"/>
                <w:sz w:val="18"/>
              </w:rPr>
              <w:t xml:space="preserve">だけを動かす。容量の追加・燃料価格・気温と需要の関係・入札行動による、推定期間内を含む供給曲線の時間依存は扱わない</w:t>
            </w:r>
          </w:p>
        </w:tc>
        <w:tc>
          <w:tcPr/>
          <w:p>
            <w:pPr>
              <w:pStyle w:val="Compact"/>
            </w:pPr>
            <w:r>
              <w:rPr>
                <w:rFonts w:hint="eastAsia"/>
                <w:sz w:val="18"/>
              </w:rPr>
              <w:t xml:space="preserve">形状が変われば価値は形状の因子を通じて動く（形状成分を0にすると−19.4%、2倍で+49.6%）。方向は一律でない</w:t>
            </w:r>
          </w:p>
        </w:tc>
        <w:tc>
          <w:tcPr/>
          <w:p>
            <w:pPr>
              <w:pStyle w:val="Compact"/>
            </w:pPr>
            <w:r>
              <w:rPr>
                <w:rFonts w:hint="eastAsia"/>
                <w:sz w:val="18"/>
              </w:rPr>
              <w:t xml:space="preserve">形状の期間外検証（水準</w:t>
            </w:r>
            <w:r>
              <w:rPr>
                <w:sz w:val="18"/>
              </w:rPr>
              <w:t xml:space="preserve"> </w:t>
            </w:r>
            <m:oMath>
              <m:r>
                <m:t>θ</m:t>
              </m:r>
            </m:oMath>
            <w:r>
              <w:rPr>
                <w:sz w:val="18"/>
              </w:rPr>
              <w:t xml:space="preserve"> </w:t>
            </w:r>
            <w:r>
              <w:rPr>
                <w:rFonts w:hint="eastAsia"/>
                <w:sz w:val="18"/>
              </w:rPr>
              <w:t xml:space="preserve">は当該期間の価格で1パラメータ推定）で</w:t>
            </w:r>
            <w:r>
              <w:rPr>
                <w:sz w:val="18"/>
              </w:rPr>
              <w:t xml:space="preserve"> </w:t>
            </w:r>
            <w:r>
              <w:rPr>
                <w:rFonts w:hint="eastAsia"/>
                <w:sz w:val="18"/>
              </w:rPr>
              <w:t xml:space="preserve">FY2026上期の完全予見粗利の78%を再現、直前の水準を与えると約5割（7.2.1項）。因子別の感応度（付録C.2.3）。気温は統制していない</w:t>
            </w:r>
          </w:p>
        </w:tc>
      </w:tr>
      <w:tr>
        <w:tc>
          <w:tcPr/>
          <w:p>
            <w:pPr>
              <w:pStyle w:val="Compact"/>
            </w:pPr>
            <m:oMath>
              <m:r>
                <m:t>θ</m:t>
              </m:r>
            </m:oMath>
            <w:r>
              <w:rPr>
                <w:sz w:val="18"/>
              </w:rPr>
              <w:t xml:space="preserve"> </w:t>
            </w:r>
            <w:r>
              <w:rPr>
                <w:rFonts w:hint="eastAsia"/>
                <w:sz w:val="18"/>
              </w:rPr>
              <w:t xml:space="preserve">がデータからの推定</w:t>
            </w:r>
          </w:p>
        </w:tc>
        <w:tc>
          <w:tcPr/>
          <w:p>
            <w:pPr>
              <w:pStyle w:val="Compact"/>
            </w:pPr>
            <w:r>
              <w:rPr>
                <w:rFonts w:hint="eastAsia"/>
                <w:sz w:val="18"/>
              </w:rPr>
              <w:t xml:space="preserve">水準係数</w:t>
            </w:r>
            <w:r>
              <w:rPr>
                <w:sz w:val="18"/>
              </w:rPr>
              <w:t xml:space="preserve"> </w:t>
            </w:r>
            <m:oMath>
              <m:r>
                <m:t>θ</m:t>
              </m:r>
            </m:oMath>
            <w:r>
              <w:rPr>
                <w:sz w:val="18"/>
              </w:rPr>
              <w:t xml:space="preserve"> </w:t>
            </w:r>
            <w:r>
              <w:rPr>
                <w:rFonts w:hint="eastAsia"/>
                <w:sz w:val="18"/>
              </w:rPr>
              <w:t xml:space="preserve">は外部の燃料価格指数ではなく、価格データから推定した指数である</w:t>
            </w:r>
          </w:p>
        </w:tc>
        <w:tc>
          <w:tcPr/>
          <w:p>
            <w:pPr>
              <w:pStyle w:val="Compact"/>
            </w:pPr>
            <w:r>
              <w:rPr>
                <w:rFonts w:hint="eastAsia"/>
                <w:sz w:val="18"/>
              </w:rPr>
              <w:t xml:space="preserve">将来の</w:t>
            </w:r>
            <w:r>
              <w:rPr>
                <w:sz w:val="18"/>
              </w:rPr>
              <w:t xml:space="preserve"> </w:t>
            </w:r>
            <m:oMath>
              <m:r>
                <m:t>θ</m:t>
              </m:r>
            </m:oMath>
            <w:r>
              <w:rPr>
                <w:sz w:val="18"/>
              </w:rPr>
              <w:t xml:space="preserve"> </w:t>
            </w:r>
            <w:r>
              <w:rPr>
                <w:rFonts w:hint="eastAsia"/>
                <w:sz w:val="18"/>
              </w:rPr>
              <w:t xml:space="preserve">の見通しを燃料価格に結びつけられない。FY2026上期の上昇のうち恒久成分は3〜4割と推定され、</w:t>
            </w:r>
            <m:oMath>
              <m:sSup>
                <m:e>
                  <m:r>
                    <m:t>θ</m:t>
                  </m:r>
                </m:e>
                <m:sup>
                  <m:r>
                    <m:rPr>
                      <m:sty m:val="p"/>
                    </m:rPr>
                    <m:t>*</m:t>
                  </m:r>
                </m:sup>
              </m:sSup>
            </m:oMath>
            <w:r>
              <w:rPr>
                <w:rFonts w:hint="eastAsia"/>
                <w:sz w:val="18"/>
              </w:rPr>
              <w:t xml:space="preserve">（2.99）から遠い。ただし資本費2.3万円/kWh</w:t>
            </w:r>
            <w:r>
              <w:rPr>
                <w:sz w:val="18"/>
              </w:rPr>
              <w:t xml:space="preserve"> では</w:t>
            </w:r>
            <w:r>
              <w:rPr>
                <w:sz w:val="18"/>
              </w:rPr>
              <w:t xml:space="preserve"> </w:t>
            </w:r>
            <m:oMath>
              <m:sSup>
                <m:e>
                  <m:r>
                    <m:t>θ</m:t>
                  </m:r>
                </m:e>
                <m:sup>
                  <m:r>
                    <m:rPr>
                      <m:sty m:val="p"/>
                    </m:rPr>
                    <m:t>*</m:t>
                  </m:r>
                </m:sup>
              </m:sSup>
              <m:r>
                <m:rPr>
                  <m:sty m:val="p"/>
                </m:rPr>
                <m:t>=</m:t>
              </m:r>
              <m:r>
                <m:t>1.12</m:t>
              </m:r>
            </m:oMath>
            <w:r>
              <w:rPr>
                <w:sz w:val="18"/>
              </w:rPr>
              <w:t xml:space="preserve"> </w:t>
            </w:r>
            <w:r>
              <w:rPr>
                <w:rFonts w:hint="eastAsia"/>
                <w:sz w:val="18"/>
              </w:rPr>
              <w:t xml:space="preserve">で、恒久成分の推定値（1.22）と同程度</w:t>
            </w:r>
          </w:p>
        </w:tc>
        <w:tc>
          <w:tcPr/>
          <w:p>
            <w:pPr>
              <w:pStyle w:val="Compact"/>
            </w:pPr>
            <w:r>
              <w:rPr>
                <w:rFonts w:hint="eastAsia"/>
                <w:sz w:val="18"/>
              </w:rPr>
              <w:t xml:space="preserve">2因子分解（7.8.1項）、7.2.1項・7.5節</w:t>
            </w:r>
          </w:p>
        </w:tc>
      </w:tr>
      <w:tr>
        <w:tc>
          <w:tcPr/>
          <w:p>
            <w:pPr>
              <w:pStyle w:val="Compact"/>
            </w:pPr>
            <w:r>
              <w:rPr>
                <w:rFonts w:hint="eastAsia"/>
                <w:sz w:val="18"/>
              </w:rPr>
              <w:t xml:space="preserve">価格過程の風力への条件付き応答</w:t>
            </w:r>
          </w:p>
        </w:tc>
        <w:tc>
          <w:tcPr/>
          <w:p>
            <w:pPr>
              <w:pStyle w:val="Compact"/>
            </w:pPr>
            <w:r>
              <w:rPr>
                <w:rFonts w:hint="eastAsia"/>
                <w:sz w:val="18"/>
              </w:rPr>
              <w:t xml:space="preserve">反実仮想で動かす風力への応答を、同じ標本の実績の日次回帰と比べて検証する。風力のシナリオは、</w:t>
            </w:r>
            <m:oMath>
              <m:r>
                <m:t>μ</m:t>
              </m:r>
            </m:oMath>
            <w:r>
              <w:rPr>
                <w:sz w:val="18"/>
              </w:rPr>
              <w:t xml:space="preserve"> </w:t>
            </w:r>
            <w:r>
              <w:rPr>
                <w:rFonts w:hint="eastAsia"/>
                <w:sz w:val="18"/>
              </w:rPr>
              <w:t xml:space="preserve">を日次風力の三分位に依存させ検証を通った仕様A′</w:t>
            </w:r>
            <w:r>
              <w:rPr>
                <w:sz w:val="18"/>
              </w:rPr>
              <w:t xml:space="preserve"> </w:t>
            </w:r>
            <w:r>
              <w:rPr>
                <w:rFonts w:hint="eastAsia"/>
                <w:sz w:val="18"/>
              </w:rPr>
              <w:t xml:space="preserve">を主とし、</w:t>
            </w:r>
            <m:oMath>
              <m:r>
                <m:t>π</m:t>
              </m:r>
              <m:r>
                <m:rPr>
                  <m:sty m:val="p"/>
                </m:rPr>
                <m:t>(</m:t>
              </m:r>
              <m:r>
                <m:t>K</m:t>
              </m:r>
              <m:r>
                <m:rPr>
                  <m:sty m:val="p"/>
                </m:rPr>
                <m:t>)</m:t>
              </m:r>
            </m:oMath>
            <w:r>
              <w:rPr>
                <w:sz w:val="18"/>
              </w:rPr>
              <w:t xml:space="preserve"> </w:t>
            </w:r>
            <w:r>
              <w:rPr>
                <w:rFonts w:hint="eastAsia"/>
                <w:sz w:val="18"/>
              </w:rPr>
              <w:t xml:space="preserve">の主は現行の風力水準で仕様A</w:t>
            </w:r>
            <w:r>
              <w:rPr>
                <w:sz w:val="18"/>
              </w:rPr>
              <w:t xml:space="preserve"> とする</w:t>
            </w:r>
          </w:p>
        </w:tc>
        <w:tc>
          <w:tcPr/>
          <w:p>
            <w:pPr>
              <w:pStyle w:val="Compact"/>
            </w:pPr>
            <w:r>
              <w:rPr>
                <w:rFonts w:hint="eastAsia"/>
                <w:sz w:val="18"/>
              </w:rPr>
              <w:t xml:space="preserve">単一曲線の仕様A</w:t>
            </w:r>
            <w:r>
              <w:rPr>
                <w:sz w:val="18"/>
              </w:rPr>
              <w:t xml:space="preserve"> </w:t>
            </w:r>
            <w:r>
              <w:rPr>
                <w:rFonts w:hint="eastAsia"/>
                <w:sz w:val="18"/>
              </w:rPr>
              <w:t xml:space="preserve">は、不需要期に風力の効果を実績より有利に出す（完全予見粗利の応答の差は1GWh/日あたり+0.60円/kW-日、95%区間+0.14〜+1.07。分断混合仕様も同じ向きの+0.38で、有意でない）。仕様A・分断混合仕様の風力の増分は上限側（参入に有利な側）で、</w:t>
            </w:r>
            <m:oMath>
              <m:sSup>
                <m:e>
                  <m:r>
                    <m:t>K</m:t>
                  </m:r>
                </m:e>
                <m:sup>
                  <m:r>
                    <m:rPr>
                      <m:sty m:val="p"/>
                    </m:rPr>
                    <m:t>*</m:t>
                  </m:r>
                </m:sup>
              </m:sSup>
              <m:r>
                <m:rPr>
                  <m:sty m:val="p"/>
                </m:rPr>
                <m:t>=</m:t>
              </m:r>
              <m:r>
                <m:t>0</m:t>
              </m:r>
            </m:oMath>
            <w:r>
              <w:rPr>
                <w:sz w:val="18"/>
              </w:rPr>
              <w:t xml:space="preserve"> </w:t>
            </w:r>
            <w:r>
              <w:rPr>
                <w:rFonts w:hint="eastAsia"/>
                <w:sz w:val="18"/>
              </w:rPr>
              <w:t xml:space="preserve">を弱めない。仕様A′</w:t>
            </w:r>
            <w:r>
              <w:rPr>
                <w:sz w:val="18"/>
              </w:rPr>
              <w:t xml:space="preserve"> </w:t>
            </w:r>
            <w:r>
              <w:rPr>
                <w:rFonts w:hint="eastAsia"/>
                <w:sz w:val="18"/>
              </w:rPr>
              <w:t xml:space="preserve">では風力3倍のスプレッドの変化は+258円で仕様A</w:t>
            </w:r>
            <w:r>
              <w:rPr>
                <w:sz w:val="18"/>
              </w:rPr>
              <w:t xml:space="preserve"> </w:t>
            </w:r>
            <w:r>
              <w:rPr>
                <w:rFonts w:hint="eastAsia"/>
                <w:sz w:val="18"/>
              </w:rPr>
              <w:t xml:space="preserve">の約3分の1、戦略</w:t>
            </w:r>
            <w:r>
              <w:rPr>
                <w:sz w:val="18"/>
              </w:rPr>
              <w:t xml:space="preserve"> c </w:t>
            </w:r>
            <w:r>
              <w:rPr>
                <w:rFonts w:hint="eastAsia"/>
                <w:sz w:val="18"/>
              </w:rPr>
              <w:t xml:space="preserve">の粗利は−241円。仕様A′</w:t>
            </w:r>
            <w:r>
              <w:rPr>
                <w:sz w:val="18"/>
              </w:rPr>
              <w:t xml:space="preserve"> </w:t>
            </w:r>
            <w:r>
              <w:rPr>
                <w:rFonts w:hint="eastAsia"/>
                <w:sz w:val="18"/>
              </w:rPr>
              <w:t xml:space="preserve">も標本内で選んだ仕様で、なお上限側の可能性がある</w:t>
            </w:r>
          </w:p>
        </w:tc>
        <w:tc>
          <w:tcPr/>
          <w:p>
            <w:pPr>
              <w:pStyle w:val="Compact"/>
            </w:pPr>
            <w:r>
              <w:rPr>
                <w:rFonts w:hint="eastAsia"/>
                <w:sz w:val="18"/>
              </w:rPr>
              <w:t xml:space="preserve">検証表（表C.22）、仕様A′</w:t>
            </w:r>
            <w:r>
              <w:rPr>
                <w:sz w:val="18"/>
              </w:rPr>
              <w:t xml:space="preserve"> </w:t>
            </w:r>
            <w:r>
              <w:rPr>
                <w:rFonts w:hint="eastAsia"/>
                <w:sz w:val="18"/>
              </w:rPr>
              <w:t xml:space="preserve">による風力スイープと2次元面（表C.24・表C.26）、表9.1</w:t>
            </w:r>
            <w:r>
              <w:rPr>
                <w:sz w:val="18"/>
              </w:rPr>
              <w:t xml:space="preserve"> </w:t>
            </w:r>
            <w:r>
              <w:rPr>
                <w:rFonts w:hint="eastAsia"/>
                <w:sz w:val="18"/>
              </w:rPr>
              <w:t xml:space="preserve">の泊＋風力2倍</w:t>
            </w:r>
          </w:p>
        </w:tc>
      </w:tr>
      <w:tr>
        <w:tc>
          <w:tcPr/>
          <w:p>
            <w:pPr>
              <w:pStyle w:val="Compact"/>
            </w:pPr>
            <w:r>
              <w:rPr>
                <w:rFonts w:hint="eastAsia"/>
                <w:sz w:val="18"/>
              </w:rPr>
              <w:t xml:space="preserve">推定範囲より下の価格</w:t>
            </w:r>
          </w:p>
        </w:tc>
        <w:tc>
          <w:tcPr/>
          <w:p>
            <w:pPr>
              <w:pStyle w:val="Compact"/>
            </w:pPr>
            <w:r>
              <w:rPr>
                <w:rFonts w:hint="eastAsia"/>
                <w:sz w:val="18"/>
              </w:rPr>
              <w:t xml:space="preserve">供給曲線の推定範囲より低い純需要の価格は識別できず、基本仕様は0.01円とする</w:t>
            </w:r>
          </w:p>
        </w:tc>
        <w:tc>
          <w:tcPr/>
          <w:p>
            <w:pPr>
              <w:pStyle w:val="Compact"/>
            </w:pPr>
            <w:r>
              <w:rPr>
                <w:rFonts w:hint="eastAsia"/>
                <w:sz w:val="18"/>
              </w:rPr>
              <w:t xml:space="preserve">泊3号の増分+662円/kW-年のうち約500円がこの置き方による。下端を線形外挿すると+163円（水準係数付きの版では−76円）。泊を重ねたセル（風力1〜3倍）では推定範囲外が5〜30%で、泊の効果の符号が下端の置き方で変わる</w:t>
            </w:r>
          </w:p>
        </w:tc>
        <w:tc>
          <w:tcPr/>
          <w:p>
            <w:pPr>
              <w:pStyle w:val="Compact"/>
            </w:pPr>
            <w:r>
              <w:rPr>
                <w:rFonts w:hint="eastAsia"/>
                <w:sz w:val="18"/>
              </w:rPr>
              <w:t xml:space="preserve">線形外挿・下限なしの感応度（7.7節・表7.4）、表C.26</w:t>
            </w:r>
            <w:r>
              <w:rPr>
                <w:sz w:val="18"/>
              </w:rPr>
              <w:t xml:space="preserve"> </w:t>
            </w:r>
            <w:r>
              <w:rPr>
                <w:rFonts w:hint="eastAsia"/>
                <w:sz w:val="18"/>
              </w:rPr>
              <w:t xml:space="preserve">の線形外挿の行と推定範囲外の割合（付録C.3.6）。どの扱いでも</w:t>
            </w:r>
            <w:r>
              <w:rPr>
                <w:sz w:val="18"/>
              </w:rPr>
              <w:t xml:space="preserve"> </w:t>
            </w:r>
            <m:oMath>
              <m:sSup>
                <m:e>
                  <m:r>
                    <m:t>K</m:t>
                  </m:r>
                </m:e>
                <m:sup>
                  <m:r>
                    <m:rPr>
                      <m:sty m:val="p"/>
                    </m:rPr>
                    <m:t>*</m:t>
                  </m:r>
                </m:sup>
              </m:sSup>
              <m:r>
                <m:rPr>
                  <m:sty m:val="p"/>
                </m:rPr>
                <m:t>=</m:t>
              </m:r>
              <m:r>
                <m:t>0</m:t>
              </m:r>
            </m:oMath>
          </w:p>
        </w:tc>
      </w:tr>
      <w:tr>
        <w:tc>
          <w:tcPr/>
          <w:p>
            <w:pPr>
              <w:pStyle w:val="Compact"/>
            </w:pPr>
            <w:r>
              <w:rPr>
                <w:rFonts w:hint="eastAsia"/>
                <w:sz w:val="18"/>
              </w:rPr>
              <w:t xml:space="preserve">日次回帰の推論と識別</w:t>
            </w:r>
          </w:p>
        </w:tc>
        <w:tc>
          <w:tcPr/>
          <w:p>
            <w:pPr>
              <w:pStyle w:val="Compact"/>
            </w:pPr>
            <w:r>
              <w:rPr>
                <w:rFonts w:hint="eastAsia"/>
                <w:sz w:val="18"/>
              </w:rPr>
              <w:t xml:space="preserve">年度・季節の固定効果と需要で統制する。残差の系列相関が強い</w:t>
            </w:r>
          </w:p>
        </w:tc>
        <w:tc>
          <w:tcPr/>
          <w:p>
            <w:pPr>
              <w:pStyle w:val="Compact"/>
            </w:pPr>
            <w:r>
              <w:rPr>
                <w:rFonts w:hint="eastAsia"/>
                <w:sz w:val="18"/>
              </w:rPr>
              <w:t xml:space="preserve">不均一分散だけを考慮する推論は有意性を過大に示す。太陽光が冬に</w:t>
            </w:r>
            <w:r>
              <w:rPr>
                <w:sz w:val="18"/>
              </w:rPr>
              <w:t xml:space="preserve"> TB4h </w:t>
            </w:r>
            <w:r>
              <w:rPr>
                <w:rFonts w:hint="eastAsia"/>
                <w:sz w:val="18"/>
              </w:rPr>
              <w:t xml:space="preserve">を縮めるという係数は頑健でない。風力の係数は、有意でないことを効果がないとは読まず、区間の上限（年度内1標準偏差あたり季節平均</w:t>
            </w:r>
            <w:r>
              <w:rPr>
                <w:sz w:val="18"/>
              </w:rPr>
              <w:t xml:space="preserve"> TB4h の3〜5%、FY2023〜25 </w:t>
            </w:r>
            <w:r>
              <w:rPr>
                <w:rFonts w:hint="eastAsia"/>
                <w:sz w:val="18"/>
              </w:rPr>
              <w:t xml:space="preserve">の夏で約11%）で示す。暦月の春には</w:t>
            </w:r>
            <w:r>
              <w:rPr>
                <w:sz w:val="18"/>
              </w:rPr>
              <w:t xml:space="preserve"> FY2023〜25 </w:t>
            </w:r>
            <w:r>
              <w:rPr>
                <w:rFonts w:hint="eastAsia"/>
                <w:sz w:val="18"/>
              </w:rPr>
              <w:t xml:space="preserve">に境界的な正の係数がある</w:t>
            </w:r>
          </w:p>
        </w:tc>
        <w:tc>
          <w:tcPr/>
          <w:p>
            <w:pPr>
              <w:pStyle w:val="Compact"/>
            </w:pPr>
            <w:r>
              <w:rPr>
                <w:rFonts w:hint="eastAsia"/>
                <w:sz w:val="18"/>
              </w:rPr>
              <w:t xml:space="preserve">EWC、ブートストラップ、年月固定効果、2021年1月の除外、暦月4季節（5.9節・付録C.1.10）。第7章以降の数値には影響しない</w:t>
            </w:r>
          </w:p>
        </w:tc>
      </w:tr>
      <w:tr>
        <w:tc>
          <w:tcPr/>
          <w:p>
            <w:pPr>
              <w:pStyle w:val="Compact"/>
            </w:pPr>
            <w:r>
              <w:rPr>
                <w:rFonts w:hint="eastAsia"/>
                <w:sz w:val="18"/>
              </w:rPr>
              <w:t xml:space="preserve">リスク中立化しない</w:t>
            </w:r>
          </w:p>
        </w:tc>
        <w:tc>
          <w:tcPr/>
          <w:p>
            <w:pPr>
              <w:pStyle w:val="Compact"/>
            </w:pPr>
            <w:r>
              <w:rPr>
                <w:rFonts w:hint="eastAsia"/>
                <w:sz w:val="18"/>
              </w:rPr>
              <w:t xml:space="preserve">割引は実物確率の下で</w:t>
            </w:r>
            <w:r>
              <w:rPr>
                <w:sz w:val="18"/>
              </w:rPr>
              <w:t xml:space="preserve"> </w:t>
            </w:r>
            <w:r>
              <w:rPr>
                <w:rFonts w:hint="eastAsia"/>
                <w:sz w:val="18"/>
              </w:rPr>
              <w:t xml:space="preserve">WACC（6%、マーチャントは8〜9%）によって行う。北海道に価格水準を複製できる取引商品がない</w:t>
            </w:r>
          </w:p>
        </w:tc>
        <w:tc>
          <w:tcPr/>
          <w:p>
            <w:pPr>
              <w:pStyle w:val="Compact"/>
            </w:pPr>
            <w:r>
              <w:rPr>
                <w:rFonts w:hint="eastAsia"/>
                <w:sz w:val="18"/>
              </w:rPr>
              <w:t xml:space="preserve">割引率を上げると損益分岐と参入閾値は上がり（8%で静学の損益分岐3.46、競争均衡の閾値4.0〜5.4）、</w:t>
            </w:r>
            <m:oMath>
              <m:sSup>
                <m:e>
                  <m:r>
                    <m:t>K</m:t>
                  </m:r>
                </m:e>
                <m:sup>
                  <m:r>
                    <m:rPr>
                      <m:sty m:val="p"/>
                    </m:rPr>
                    <m:t>*</m:t>
                  </m:r>
                </m:sup>
              </m:sSup>
              <m:r>
                <m:rPr>
                  <m:sty m:val="p"/>
                </m:rPr>
                <m:t>=</m:t>
              </m:r>
              <m:r>
                <m:t>0</m:t>
              </m:r>
            </m:oMath>
            <w:r>
              <w:rPr>
                <w:sz w:val="18"/>
              </w:rPr>
              <w:t xml:space="preserve"> </w:t>
            </w:r>
            <w:r>
              <w:rPr>
                <w:rFonts w:hint="eastAsia"/>
                <w:sz w:val="18"/>
              </w:rPr>
              <w:t xml:space="preserve">を強める。確実性等価のシャープ・レシオと市場収益率との相関は仮定で、正の相関は保険価値を大きく出す側。</w:t>
            </w:r>
            <m:oMath>
              <m:r>
                <m:t>θ</m:t>
              </m:r>
            </m:oMath>
            <w:r>
              <w:rPr>
                <w:sz w:val="18"/>
              </w:rPr>
              <w:t xml:space="preserve"> </w:t>
            </w:r>
            <w:r>
              <w:rPr>
                <w:rFonts w:hint="eastAsia"/>
                <w:sz w:val="18"/>
              </w:rPr>
              <w:t xml:space="preserve">の恒久成分をランダムウォークとすると、リスク調整の比率は2.2〜34.2%に広がる</w:t>
            </w:r>
          </w:p>
        </w:tc>
        <w:tc>
          <w:tcPr/>
          <w:p>
            <w:pPr>
              <w:pStyle w:val="Compact"/>
            </w:pPr>
            <w:r>
              <w:rPr>
                <w:rFonts w:hint="eastAsia"/>
                <w:sz w:val="18"/>
              </w:rPr>
              <w:t xml:space="preserve">資産の資本コスト別の</w:t>
            </w:r>
            <w:r>
              <w:rPr>
                <w:sz w:val="18"/>
              </w:rPr>
              <w:t xml:space="preserve"> </w:t>
            </w:r>
            <m:oMath>
              <m:sSup>
                <m:e>
                  <m:r>
                    <m:t>θ</m:t>
                  </m:r>
                </m:e>
                <m:sup>
                  <m:r>
                    <m:rPr>
                      <m:sty m:val="p"/>
                    </m:rPr>
                    <m:t>*</m:t>
                  </m:r>
                </m:sup>
              </m:sSup>
            </m:oMath>
            <w:r>
              <w:rPr>
                <w:rFonts w:hint="eastAsia"/>
                <w:sz w:val="18"/>
              </w:rPr>
              <w:t xml:space="preserve">、確実性等価（8.7.4項）、7.8節</w:t>
            </w:r>
          </w:p>
        </w:tc>
      </w:tr>
      <w:tr>
        <w:tc>
          <w:tcPr/>
          <w:p>
            <w:pPr>
              <w:pStyle w:val="Compact"/>
            </w:pPr>
            <w:r>
              <w:rPr>
                <w:sz w:val="18"/>
              </w:rPr>
              <w:t xml:space="preserve">CFaR </w:t>
            </w:r>
            <w:r>
              <w:rPr>
                <w:rFonts w:hint="eastAsia"/>
                <w:sz w:val="18"/>
              </w:rPr>
              <w:t xml:space="preserve">の因子の独立</w:t>
            </w:r>
          </w:p>
        </w:tc>
        <w:tc>
          <w:tcPr/>
          <w:p>
            <w:pPr>
              <w:pStyle w:val="Compact"/>
            </w:pPr>
            <w:r>
              <w:rPr>
                <w:rFonts w:hint="eastAsia"/>
                <w:sz w:val="18"/>
              </w:rPr>
              <w:t xml:space="preserve">価格水準・他者の参入・容量価格・形状・天候を独立とした静学的な年次分布</w:t>
            </w:r>
          </w:p>
        </w:tc>
        <w:tc>
          <w:tcPr/>
          <w:p>
            <w:pPr>
              <w:pStyle w:val="Compact"/>
            </w:pPr>
            <m:oMath>
              <m:r>
                <m:t>θ</m:t>
              </m:r>
            </m:oMath>
            <w:r>
              <w:rPr>
                <w:sz w:val="18"/>
              </w:rPr>
              <w:t xml:space="preserve"> </w:t>
            </w:r>
            <w:r>
              <w:rPr>
                <w:rFonts w:hint="eastAsia"/>
                <w:sz w:val="18"/>
              </w:rPr>
              <w:t xml:space="preserve">と容量価格の約定水準が負に相関すれば、CFaR</w:t>
            </w:r>
            <w:r>
              <w:rPr>
                <w:sz w:val="18"/>
              </w:rPr>
              <w:t xml:space="preserve"> </w:t>
            </w:r>
            <w:r>
              <w:rPr>
                <w:rFonts w:hint="eastAsia"/>
                <w:sz w:val="18"/>
              </w:rPr>
              <w:t xml:space="preserve">を大きめに出す。CFaR</w:t>
            </w:r>
            <w:r>
              <w:rPr>
                <w:sz w:val="18"/>
              </w:rPr>
              <w:t xml:space="preserve"> </w:t>
            </w:r>
            <w:r>
              <w:rPr>
                <w:rFonts w:hint="eastAsia"/>
                <w:sz w:val="18"/>
              </w:rPr>
              <w:t xml:space="preserve">はゼロレント条件に入らず、</w:t>
            </w:r>
            <m:oMath>
              <m:sSup>
                <m:e>
                  <m:r>
                    <m:t>K</m:t>
                  </m:r>
                </m:e>
                <m:sup>
                  <m:r>
                    <m:rPr>
                      <m:sty m:val="p"/>
                    </m:rPr>
                    <m:t>*</m:t>
                  </m:r>
                </m:sup>
              </m:sSup>
              <m:r>
                <m:rPr>
                  <m:sty m:val="p"/>
                </m:rPr>
                <m:t>=</m:t>
              </m:r>
              <m:r>
                <m:t>0</m:t>
              </m:r>
            </m:oMath>
            <w:r>
              <w:rPr>
                <w:sz w:val="18"/>
              </w:rPr>
              <w:t xml:space="preserve"> </w:t>
            </w:r>
            <w:r>
              <w:rPr>
                <w:rFonts w:hint="eastAsia"/>
                <w:sz w:val="18"/>
              </w:rPr>
              <w:t xml:space="preserve">を直接は強めない</w:t>
            </w:r>
          </w:p>
        </w:tc>
        <w:tc>
          <w:tcPr/>
          <w:p>
            <w:pPr>
              <w:pStyle w:val="Compact"/>
            </w:pPr>
            <m:oMath>
              <m:r>
                <m:t>θ</m:t>
              </m:r>
            </m:oMath>
            <w:r>
              <w:rPr>
                <w:sz w:val="18"/>
              </w:rPr>
              <w:t xml:space="preserve"> </w:t>
            </w:r>
            <w:r>
              <w:rPr>
                <w:rFonts w:hint="eastAsia"/>
                <w:sz w:val="18"/>
              </w:rPr>
              <w:t xml:space="preserve">と形状を年度の組で引く感応度（付録C.4.6）</w:t>
            </w:r>
          </w:p>
        </w:tc>
      </w:tr>
    </w:tbl>
    <w:p>
      <w:pPr>
        <w:pStyle w:val="TableNote"/>
      </w:pPr>
      <w:r>
        <w:rPr>
          <w:rFonts w:hint="eastAsia"/>
        </w:rPr>
        <w:t xml:space="preserve">注）「結論への影響の方向」は、その前提を外したときに、主な結論である「風力が日内の形状を広げる頑健な証拠はない（効果があっても上限は小さい）」と「マーチャントの</w:t>
      </w:r>
      <w:r>
        <w:t xml:space="preserve"> </w:t>
      </w:r>
      <m:oMath>
        <m:sSup>
          <m:e>
            <m:r>
              <m:t>K</m:t>
            </m:r>
          </m:e>
          <m:sup>
            <m:r>
              <m:rPr>
                <m:sty m:val="p"/>
              </m:rPr>
              <m:t>*</m:t>
            </m:r>
          </m:sup>
        </m:sSup>
        <m:r>
          <m:rPr>
            <m:sty m:val="p"/>
          </m:rPr>
          <m:t>=</m:t>
        </m:r>
        <m:r>
          <m:t>0</m:t>
        </m:r>
      </m:oMath>
      <w:r>
        <w:rPr>
          <w:rFonts w:hint="eastAsia"/>
        </w:rPr>
        <w:t xml:space="preserve">」がどちらへ動くかを示す。「頑健性の確認」は、その前提の影響を確かめた箇所である。金額の単位は、ことわりのない限り円/kW-年である。</w:t>
      </w:r>
    </w:p>
    <w:p>
      <w:pPr>
        <w:pStyle w:val="TableNote"/>
      </w:pPr>
      <w:r>
        <w:rPr>
          <w:rFonts w:hint="eastAsia"/>
        </w:rPr>
        <w:t xml:space="preserve">出所）筆者作成。</w:t>
      </w:r>
    </w:p>
    <w:bookmarkEnd w:id="395"/>
    <w:bookmarkStart w:id="396" w:name="c.6.2-推定と計算の細部に関する注記"/>
    <w:p>
      <w:pPr>
        <w:pStyle w:val="Heading3"/>
      </w:pPr>
      <w:r>
        <w:t xml:space="preserve">C.6.2　</w:t>
      </w:r>
      <w:r>
        <w:rPr>
          <w:rFonts w:hint="eastAsia"/>
        </w:rPr>
        <w:t xml:space="preserve">推定と計算の細部に関する注記</w:t>
      </w:r>
    </w:p>
    <w:p>
      <w:pPr>
        <w:pStyle w:val="FirstParagraph"/>
      </w:pPr>
      <w:r>
        <w:rPr>
          <w:rFonts w:hint="eastAsia"/>
        </w:rPr>
        <w:t xml:space="preserve">10.5節と表C.51</w:t>
      </w:r>
      <w:r>
        <w:t xml:space="preserve"> </w:t>
      </w:r>
      <w:r>
        <w:rPr>
          <w:rFonts w:hint="eastAsia"/>
        </w:rPr>
        <w:t xml:space="preserve">に含めなかった推定と計算の細部を、領域ごとに記す。いずれも主な結論を変えるものではない。</w:t>
      </w:r>
    </w:p>
    <w:p>
      <w:pPr>
        <w:pStyle w:val="BodyText"/>
      </w:pPr>
      <w:r>
        <w:rPr>
          <w:rFonts w:hint="eastAsia"/>
          <w:b/>
          <w:bCs/>
        </w:rPr>
        <w:t xml:space="preserve">日次回帰と分位点回帰</w:t>
      </w:r>
      <w:r>
        <w:t xml:space="preserve">　</w:t>
      </w:r>
      <w:r>
        <w:rPr>
          <w:rFonts w:hint="eastAsia"/>
        </w:rPr>
        <w:t xml:space="preserve">九州のパネルでは、2019年3月12〜31日の20日の需要と原子力・火力の発電量が欠測している（付録A.3）。本研究はこの20日を日次回帰から除いた。欠測日を需要0として日次に集計すると結果は大きく変わり、九州の風力・不需要期の</w:t>
      </w:r>
      <w:r>
        <w:t xml:space="preserve"> TB4h </w:t>
      </w:r>
      <w:r>
        <w:rPr>
          <w:rFonts w:hint="eastAsia"/>
        </w:rPr>
        <w:t xml:space="preserve">の係数は、欠測日を含めると+0.275、除くと+0.173</w:t>
      </w:r>
      <w:r>
        <w:t xml:space="preserve"> で、HC3 </w:t>
      </w:r>
      <w:r>
        <w:rPr>
          <w:rFonts w:hint="eastAsia"/>
        </w:rPr>
        <w:t xml:space="preserve">でも有意でない。分位点回帰（5.4節）の期間差の区間は日単位の14日移動ブロック・ブートストラップによるが、このブロック長は日次残差の自己相関に対して短めであり、区間はやや狭く出うる。</w:t>
      </w:r>
    </w:p>
    <w:p>
      <w:pPr>
        <w:pStyle w:val="BodyText"/>
      </w:pPr>
      <w:r>
        <w:rPr>
          <w:rFonts w:hint="eastAsia"/>
          <w:b/>
          <w:bCs/>
        </w:rPr>
        <w:t xml:space="preserve">価格過程と収益の基準</w:t>
      </w:r>
      <w:r>
        <w:t xml:space="preserve">　</w:t>
      </w:r>
      <w:r>
        <w:rPr>
          <w:rFonts w:hint="eastAsia"/>
        </w:rPr>
        <w:t xml:space="preserve">供給曲線の時間依存は、</w:t>
      </w:r>
      <m:oMath>
        <m:r>
          <m:t>θ</m:t>
        </m:r>
      </m:oMath>
      <w:r>
        <w:t xml:space="preserve"> </w:t>
      </w:r>
      <w:r>
        <w:rPr>
          <w:rFonts w:hint="eastAsia"/>
        </w:rPr>
        <w:t xml:space="preserve">による比例的な水準の変化を除いて扱っておらず（表C.51）、推定期間の長さと標本外での使い方の組合せも検討していない。分断混合仕様はレジームを時間ごとに独立に引くので（次の時間も同じレジームである確率は、実績0.82に対し0.52）、ベースロードの減少で増える完全予見粗利の多くは予測できない切り替わりから生じ、戦略</w:t>
      </w:r>
      <w:r>
        <w:t xml:space="preserve"> c </w:t>
      </w:r>
      <w:r>
        <w:rPr>
          <w:rFonts w:hint="eastAsia"/>
        </w:rPr>
        <w:t xml:space="preserve">の実現率は泊2基相当・全基で0.52・0.41に下がる（付録C.3.3）。持続性を実績に合わせたマルコフ型の抽出で戦略</w:t>
      </w:r>
      <w:r>
        <w:t xml:space="preserve"> c </w:t>
      </w:r>
      <w:r>
        <w:rPr>
          <w:rFonts w:hint="eastAsia"/>
        </w:rPr>
        <w:t xml:space="preserve">を計算し直してはいない。校正係数</w:t>
      </w:r>
      <w:r>
        <w:t xml:space="preserve"> </w:t>
      </w:r>
      <m:oMath>
        <m:r>
          <m:t>λ</m:t>
        </m:r>
      </m:oMath>
      <w:r>
        <w:t xml:space="preserve"> </w:t>
      </w:r>
      <w:r>
        <w:rPr>
          <w:rFonts w:hint="eastAsia"/>
        </w:rPr>
        <w:t xml:space="preserve">の期間外の確認のうち、FY2026</w:t>
      </w:r>
      <w:r>
        <w:t xml:space="preserve"> </w:t>
      </w:r>
      <w:r>
        <w:rPr>
          <w:rFonts w:hint="eastAsia"/>
        </w:rPr>
        <w:t xml:space="preserve">は4〜6月の3か月だけであり、水準まで含めた予測の検証でもない。主結果は、既設・契約型の蓄電池がない</w:t>
      </w:r>
      <w:r>
        <w:t xml:space="preserve"> </w:t>
      </w:r>
      <m:oMath>
        <m:r>
          <m:t>K</m:t>
        </m:r>
        <m:r>
          <m:rPr>
            <m:sty m:val="p"/>
          </m:rPr>
          <m:t>=</m:t>
        </m:r>
        <m:r>
          <m:t>0</m:t>
        </m:r>
      </m:oMath>
      <w:r>
        <w:t xml:space="preserve"> </w:t>
      </w:r>
      <w:r>
        <w:rPr>
          <w:rFonts w:hint="eastAsia"/>
        </w:rPr>
        <w:t xml:space="preserve">の市場で評価した参入に有利な側の値である。一方、外生の容量</w:t>
      </w:r>
      <w:r>
        <w:t xml:space="preserve"> </w:t>
      </w:r>
      <m:oMath>
        <m:sSub>
          <m:e>
            <m:r>
              <m:t>K</m:t>
            </m:r>
          </m:e>
          <m:sub>
            <m:r>
              <m:rPr>
                <m:sty m:val="p"/>
              </m:rPr>
              <m:t>e</m:t>
            </m:r>
            <m:r>
              <m:rPr>
                <m:sty m:val="p"/>
              </m:rPr>
              <m:t>x</m:t>
            </m:r>
            <m:r>
              <m:rPr>
                <m:sty m:val="p"/>
              </m:rPr>
              <m:t>o</m:t>
            </m:r>
          </m:sub>
        </m:sSub>
      </m:oMath>
      <w:r>
        <w:t xml:space="preserve"> </w:t>
      </w:r>
      <w:r>
        <w:rPr>
          <w:rFonts w:hint="eastAsia"/>
        </w:rPr>
        <w:t xml:space="preserve">を置いた値は、粗収益の小さい領域への外挿の性格が強く、FY2023〜25</w:t>
      </w:r>
      <w:r>
        <w:t xml:space="preserve"> </w:t>
      </w:r>
      <w:r>
        <w:rPr>
          <w:rFonts w:hint="eastAsia"/>
        </w:rPr>
        <w:t xml:space="preserve">の価格に当時の蓄電池の影響が既に入っている二重計上も含む。両者は逆向きの偏りをもち、その間に真の値がある。どちらでも</w:t>
      </w:r>
      <w:r>
        <w:t xml:space="preserve"> </w:t>
      </w:r>
      <m:oMath>
        <m:sSup>
          <m:e>
            <m:r>
              <m:t>K</m:t>
            </m:r>
          </m:e>
          <m:sup>
            <m:r>
              <m:rPr>
                <m:sty m:val="p"/>
              </m:rPr>
              <m:t>*</m:t>
            </m:r>
          </m:sup>
        </m:sSup>
        <m:r>
          <m:rPr>
            <m:sty m:val="p"/>
          </m:rPr>
          <m:t>=</m:t>
        </m:r>
        <m:r>
          <m:t>0</m:t>
        </m:r>
      </m:oMath>
      <w:r>
        <w:t xml:space="preserve"> </w:t>
      </w:r>
      <w:r>
        <w:rPr>
          <w:rFonts w:hint="eastAsia"/>
        </w:rPr>
        <w:t xml:space="preserve">は変わらない。</w:t>
      </w:r>
    </w:p>
    <w:p>
      <w:pPr>
        <w:pStyle w:val="BodyText"/>
      </w:pPr>
      <w:r>
        <w:rPr>
          <w:rFonts w:hint="eastAsia"/>
          <w:b/>
          <w:bCs/>
        </w:rPr>
        <w:t xml:space="preserve">戦略の評価と検定</w:t>
      </w:r>
      <w:r>
        <w:t xml:space="preserve">　</w:t>
      </w:r>
      <w:r>
        <w:rPr>
          <w:rFonts w:hint="eastAsia"/>
        </w:rPr>
        <w:t xml:space="preserve">完全予見粗利はペナルティのない情報緩和による上界であり、ペナルティ付きの情報緩和（D.</w:t>
      </w:r>
      <w:r>
        <w:t xml:space="preserve"> B. Brown et al., </w:t>
      </w:r>
      <w:r>
        <w:rPr>
          <w:rFonts w:hint="eastAsia"/>
        </w:rPr>
        <w:t xml:space="preserve">2010）で上界を締めることはしていない。戦略</w:t>
      </w:r>
      <w:r>
        <w:t xml:space="preserve"> c </w:t>
      </w:r>
      <w:r>
        <w:rPr>
          <w:rFonts w:hint="eastAsia"/>
        </w:rPr>
        <w:t xml:space="preserve">は複数の戦略を試した後に事後的に選んだもので、SPA</w:t>
      </w:r>
      <w:r>
        <w:t xml:space="preserve"> </w:t>
      </w:r>
      <w:r>
        <w:rPr>
          <w:rFonts w:hint="eastAsia"/>
        </w:rPr>
        <w:t xml:space="preserve">検定は選択の偏りを補正するが、試していない戦略（価格条件付きの入札など）の価値は測らない。動的因子予測は過去365日の推定窓を用いるので、FY2023</w:t>
      </w:r>
      <w:r>
        <w:t xml:space="preserve"> </w:t>
      </w:r>
      <w:r>
        <w:rPr>
          <w:rFonts w:hint="eastAsia"/>
        </w:rPr>
        <w:t xml:space="preserve">の予測は燃料危機の</w:t>
      </w:r>
      <w:r>
        <w:t xml:space="preserve"> FY2022 </w:t>
      </w:r>
      <w:r>
        <w:rPr>
          <w:rFonts w:hint="eastAsia"/>
        </w:rPr>
        <w:t xml:space="preserve">を含む窓で推定されている。</w:t>
      </w:r>
    </w:p>
    <w:p>
      <w:pPr>
        <w:pStyle w:val="BodyText"/>
      </w:pPr>
      <w:r>
        <w:rPr>
          <w:rFonts w:hint="eastAsia"/>
          <w:b/>
          <w:bCs/>
        </w:rPr>
        <w:t xml:space="preserve">観測データと空間分散の校正</w:t>
      </w:r>
      <w:r>
        <w:t xml:space="preserve">　</w:t>
      </w:r>
      <w:r>
        <w:rPr>
          <w:rFonts w:hint="eastAsia"/>
        </w:rPr>
        <w:t xml:space="preserve">出力変動緩和の技術要件の下での併設蓄電池による平滑化（3.6.4項、表C.51）について、平滑化の時間幅と対象設備の範囲は定量化していない。空間分散の反実仮想（付録C.1.4）の校正は、文献の相関距離（St.</w:t>
      </w:r>
      <w:r>
        <w:t xml:space="preserve"> Martin et al., 2015 </w:t>
      </w:r>
      <w:r>
        <w:rPr>
          <w:rFonts w:hint="eastAsia"/>
        </w:rPr>
        <w:t xml:space="preserve">の図の読み取り）、面積式、市町村単位の概略の配置に依存し、北海道の単一サイトの出力から日内分散比を直接測ったものではない。夜間に偏ったドイツの陸上風力の日周形状を当てた版は、数値で引ける出典がないため作っていない。</w:t>
      </w:r>
    </w:p>
    <w:bookmarkEnd w:id="396"/>
    <w:bookmarkEnd w:id="397"/>
    <w:bookmarkEnd w:id="398"/>
    <w:bookmarkStart w:id="402" w:name="付録d-追加の表"/>
    <w:p>
      <w:pPr>
        <w:pStyle w:val="Heading1"/>
        <w:pageBreakBefore/>
      </w:pPr>
      <w:r>
        <w:rPr>
          <w:rFonts w:hint="eastAsia"/>
        </w:rPr>
        <w:t xml:space="preserve">付録D</w:t>
      </w:r>
      <w:r>
        <w:t xml:space="preserve">　</w:t>
      </w:r>
      <w:r>
        <w:rPr>
          <w:rFonts w:hint="eastAsia"/>
        </w:rPr>
        <w:t xml:space="preserve">追加の表</w:t>
      </w:r>
    </w:p>
    <w:p>
      <w:pPr>
        <w:pStyle w:val="FirstParagraph"/>
      </w:pPr>
      <w:r>
        <w:rPr>
          <w:rFonts w:hint="eastAsia"/>
        </w:rPr>
        <w:t xml:space="preserve">本付録は、本文の表を補う追加の表を、本文の章の順に示す。</w:t>
      </w:r>
    </w:p>
    <w:bookmarkStart w:id="399" w:name="d.1-記述統計と九州との比較第3章"/>
    <w:p>
      <w:pPr>
        <w:pStyle w:val="Heading2"/>
      </w:pPr>
      <w:r>
        <w:t xml:space="preserve">D.1　</w:t>
      </w:r>
      <w:r>
        <w:rPr>
          <w:rFonts w:hint="eastAsia"/>
        </w:rPr>
        <w:t xml:space="preserve">記述統計と九州との比較（第3章）</w:t>
      </w:r>
    </w:p>
    <w:p>
      <w:pPr>
        <w:pStyle w:val="FirstParagraph"/>
      </w:pPr>
      <w:r>
        <w:rPr>
          <w:rFonts w:hint="eastAsia"/>
        </w:rPr>
        <w:t xml:space="preserve">表D.1</w:t>
      </w:r>
      <w:r>
        <w:t xml:space="preserve"> </w:t>
      </w:r>
      <w:r>
        <w:rPr>
          <w:rFonts w:hint="eastAsia"/>
        </w:rPr>
        <w:t xml:space="preserve">は、年度別の完全予見粗利と下限張り付きのコマ数を北海道と九州で比べたものである。表D.2</w:t>
      </w:r>
      <w:r>
        <w:t xml:space="preserve"> </w:t>
      </w:r>
      <w:r>
        <w:rPr>
          <w:rFonts w:hint="eastAsia"/>
        </w:rPr>
        <w:t xml:space="preserve">は、表3.1</w:t>
      </w:r>
      <w:r>
        <w:t xml:space="preserve"> </w:t>
      </w:r>
      <w:r>
        <w:rPr>
          <w:rFonts w:hint="eastAsia"/>
        </w:rPr>
        <w:t xml:space="preserve">の日次の記述統計を、FY2023〜25</w:t>
      </w:r>
      <w:r>
        <w:t xml:space="preserve"> </w:t>
      </w:r>
      <w:r>
        <w:rPr>
          <w:rFonts w:hint="eastAsia"/>
        </w:rPr>
        <w:t xml:space="preserve">の季節別に分けたものである。</w:t>
      </w:r>
    </w:p>
    <w:p>
      <w:pPr>
        <w:pStyle w:val="TableCaption"/>
      </w:pPr>
      <w:r>
        <w:rPr>
          <w:rFonts w:hint="eastAsia"/>
        </w:rPr>
        <w:t xml:space="preserve">表D.1</w:t>
      </w:r>
      <w:r>
        <w:t xml:space="preserve">　</w:t>
      </w:r>
      <w:r>
        <w:rPr>
          <w:rFonts w:hint="eastAsia"/>
        </w:rPr>
        <w:t xml:space="preserve">年度別の完全予見粗利と下限張り付きコマ数（北海道・九州）</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D.1　年度別の完全予見粗利と下限張り付きコマ数（北海道・九州）"/>
      </w:tblPr>
      <w:tblGrid>
        <w:gridCol w:w="1584"/>
        <w:gridCol w:w="1584"/>
        <w:gridCol w:w="1584"/>
        <w:gridCol w:w="1584"/>
        <w:gridCol w:w="1584"/>
      </w:tblGrid>
      <w:tr>
        <w:trPr>
          <w:tblHeader w:val="on"/>
        </w:trPr>
        <w:tc>
          <w:tcPr>
            <w:tcBorders>
              <w:bottom w:val="single" w:sz="6" w:color="000000"/>
            </w:tcBorders>
          </w:tcPr>
          <w:p>
            <w:pPr>
              <w:pStyle w:val="Compact"/>
            </w:pPr>
            <w:r>
              <w:rPr>
                <w:rFonts w:hint="eastAsia"/>
                <w:sz w:val="18"/>
              </w:rPr>
              <w:t xml:space="preserve">年度</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完全予見粗利（円/kW-年）</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完全予見粗利（円/kW-年）</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下限張り付き（コマ）</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下限張り付き（コマ）</w:t>
            </w:r>
          </w:p>
        </w:tc>
      </w:tr>
      <w:tr>
        <w:tc>
          <w:tcPr/>
          <w:p>
            <w:pPr>
              <w:pStyle w:val="Compact"/>
            </w:pPr>
            <w:r>
              <w:rPr>
                <w:sz w:val="18"/>
              </w:rPr>
              <w:t xml:space="preserve">FY2023</w:t>
            </w:r>
          </w:p>
        </w:tc>
        <w:tc>
          <w:tcPr/>
          <w:p>
            <w:pPr>
              <w:pStyle w:val="Compact"/>
              <w:jc w:val="right"/>
            </w:pPr>
            <w:r>
              <w:rPr>
                <w:sz w:val="18"/>
              </w:rPr>
              <w:t xml:space="preserve">9,873</w:t>
            </w:r>
          </w:p>
        </w:tc>
        <w:tc>
          <w:tcPr/>
          <w:p>
            <w:pPr>
              <w:pStyle w:val="Compact"/>
              <w:jc w:val="right"/>
            </w:pPr>
            <w:r>
              <w:rPr>
                <w:sz w:val="18"/>
              </w:rPr>
              <w:t xml:space="preserve">12,521</w:t>
            </w:r>
          </w:p>
        </w:tc>
        <w:tc>
          <w:tcPr/>
          <w:p>
            <w:pPr>
              <w:pStyle w:val="Compact"/>
              <w:jc w:val="right"/>
            </w:pPr>
            <w:r>
              <w:rPr>
                <w:sz w:val="18"/>
              </w:rPr>
              <w:t xml:space="preserve">621</w:t>
            </w:r>
          </w:p>
        </w:tc>
        <w:tc>
          <w:tcPr/>
          <w:p>
            <w:pPr>
              <w:pStyle w:val="Compact"/>
              <w:jc w:val="right"/>
            </w:pPr>
            <w:r>
              <w:rPr>
                <w:sz w:val="18"/>
              </w:rPr>
              <w:t xml:space="preserve">2,178</w:t>
            </w:r>
          </w:p>
        </w:tc>
      </w:tr>
      <w:tr>
        <w:tc>
          <w:tcPr/>
          <w:p>
            <w:pPr>
              <w:pStyle w:val="Compact"/>
            </w:pPr>
            <w:r>
              <w:rPr>
                <w:sz w:val="18"/>
              </w:rPr>
              <w:t xml:space="preserve">FY2024</w:t>
            </w:r>
          </w:p>
        </w:tc>
        <w:tc>
          <w:tcPr/>
          <w:p>
            <w:pPr>
              <w:pStyle w:val="Compact"/>
              <w:jc w:val="right"/>
            </w:pPr>
            <w:r>
              <w:rPr>
                <w:sz w:val="18"/>
              </w:rPr>
              <w:t xml:space="preserve">9,586</w:t>
            </w:r>
          </w:p>
        </w:tc>
        <w:tc>
          <w:tcPr/>
          <w:p>
            <w:pPr>
              <w:pStyle w:val="Compact"/>
              <w:jc w:val="right"/>
            </w:pPr>
            <w:r>
              <w:rPr>
                <w:sz w:val="18"/>
              </w:rPr>
              <w:t xml:space="preserve">12,401</w:t>
            </w:r>
          </w:p>
        </w:tc>
        <w:tc>
          <w:tcPr/>
          <w:p>
            <w:pPr>
              <w:pStyle w:val="Compact"/>
              <w:jc w:val="right"/>
            </w:pPr>
            <w:r>
              <w:rPr>
                <w:sz w:val="18"/>
              </w:rPr>
              <w:t xml:space="preserve">348</w:t>
            </w:r>
          </w:p>
        </w:tc>
        <w:tc>
          <w:tcPr/>
          <w:p>
            <w:pPr>
              <w:pStyle w:val="Compact"/>
              <w:jc w:val="right"/>
            </w:pPr>
            <w:r>
              <w:rPr>
                <w:sz w:val="18"/>
              </w:rPr>
              <w:t xml:space="preserve">1,167</w:t>
            </w:r>
          </w:p>
        </w:tc>
      </w:tr>
      <w:tr>
        <w:tc>
          <w:tcPr/>
          <w:p>
            <w:pPr>
              <w:pStyle w:val="Compact"/>
            </w:pPr>
            <w:r>
              <w:rPr>
                <w:sz w:val="18"/>
              </w:rPr>
              <w:t xml:space="preserve">FY2025</w:t>
            </w:r>
          </w:p>
        </w:tc>
        <w:tc>
          <w:tcPr/>
          <w:p>
            <w:pPr>
              <w:pStyle w:val="Compact"/>
              <w:jc w:val="right"/>
            </w:pPr>
            <w:r>
              <w:rPr>
                <w:sz w:val="18"/>
              </w:rPr>
              <w:t xml:space="preserve">11,493</w:t>
            </w:r>
          </w:p>
        </w:tc>
        <w:tc>
          <w:tcPr/>
          <w:p>
            <w:pPr>
              <w:pStyle w:val="Compact"/>
              <w:jc w:val="right"/>
            </w:pPr>
            <w:r>
              <w:rPr>
                <w:sz w:val="18"/>
              </w:rPr>
              <w:t xml:space="preserve">10,366</w:t>
            </w:r>
          </w:p>
        </w:tc>
        <w:tc>
          <w:tcPr/>
          <w:p>
            <w:pPr>
              <w:pStyle w:val="Compact"/>
              <w:jc w:val="right"/>
            </w:pPr>
            <w:r>
              <w:rPr>
                <w:sz w:val="18"/>
              </w:rPr>
              <w:t xml:space="preserve">473</w:t>
            </w:r>
          </w:p>
        </w:tc>
        <w:tc>
          <w:tcPr/>
          <w:p>
            <w:pPr>
              <w:pStyle w:val="Compact"/>
              <w:jc w:val="right"/>
            </w:pPr>
            <w:r>
              <w:rPr>
                <w:sz w:val="18"/>
              </w:rPr>
              <w:t xml:space="preserve">983</w:t>
            </w:r>
          </w:p>
        </w:tc>
      </w:tr>
    </w:tbl>
    <w:p>
      <w:pPr>
        <w:pStyle w:val="TableNote"/>
      </w:pPr>
      <w:r>
        <w:rPr>
          <w:rFonts w:hint="eastAsia"/>
        </w:rPr>
        <w:t xml:space="preserve">注）完全予見粗利は4時間・往復効率0.85・60分粒度。下限張り付きは、約定価格が下限価格（0.01円/kWh）に張り付いたコマ数（30分単位、年間）。</w:t>
      </w:r>
    </w:p>
    <w:p>
      <w:pPr>
        <w:pStyle w:val="TableNote"/>
      </w:pPr>
      <w:r>
        <w:rPr>
          <w:rFonts w:hint="eastAsia"/>
        </w:rPr>
        <w:t xml:space="preserve">出所）日本卸電力取引所『スポット市場取引結果』、北海道電力ネットワーク『エリア需給実績』、九州電力送配電『エリア需給実績』より筆者作成。</w:t>
      </w:r>
    </w:p>
    <w:p>
      <w:pPr>
        <w:pStyle w:val="TableCaption"/>
      </w:pPr>
      <w:r>
        <w:rPr>
          <w:rFonts w:hint="eastAsia"/>
        </w:rPr>
        <w:t xml:space="preserve">表D.2</w:t>
      </w:r>
      <w:r>
        <w:t xml:space="preserve">　</w:t>
      </w:r>
      <w:r>
        <w:rPr>
          <w:rFonts w:hint="eastAsia"/>
        </w:rPr>
        <w:t xml:space="preserve">季節別の日次の記述統計（FY2023〜25）</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D.2　季節別の日次の記述統計（FY2023〜25）"/>
      </w:tblPr>
      <w:tblGrid>
        <w:gridCol w:w="880"/>
        <w:gridCol w:w="1173"/>
        <w:gridCol w:w="1173"/>
        <w:gridCol w:w="1173"/>
        <w:gridCol w:w="1173"/>
        <w:gridCol w:w="1173"/>
        <w:gridCol w:w="1173"/>
      </w:tblGrid>
      <w:tr>
        <w:trPr>
          <w:tblHeader w:val="on"/>
        </w:trPr>
        <w:tc>
          <w:tcPr>
            <w:tcBorders>
              <w:bottom w:val="single" w:sz="6" w:color="000000"/>
            </w:tcBorders>
          </w:tcPr>
          <w:p>
            <w:pPr>
              <w:pStyle w:val="Compact"/>
            </w:pPr>
            <w:r>
              <w:rPr>
                <w:rFonts w:hint="eastAsia"/>
                <w:sz w:val="18"/>
              </w:rPr>
              <w:t xml:space="preserve">変数</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夏</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冬</w:t>
            </w:r>
          </w:p>
        </w:tc>
        <w:tc>
          <w:tcPr>
            <w:tcBorders>
              <w:bottom w:val="single" w:sz="6" w:color="000000"/>
            </w:tcBorders>
          </w:tcPr>
          <w:p>
            <w:pPr>
              <w:pStyle w:val="Compact"/>
              <w:jc w:val="right"/>
            </w:pPr>
            <w:r>
              <w:rPr>
                <w:rFonts w:hint="eastAsia"/>
                <w:sz w:val="18"/>
              </w:rPr>
              <w:t xml:space="preserve">北海道</w:t>
            </w:r>
            <w:r>
              <w:rPr>
                <w:sz w:val="18"/>
              </w:rPr>
              <w:t xml:space="preserve"> </w:t>
            </w:r>
            <w:r>
              <w:rPr>
                <w:rFonts w:hint="eastAsia"/>
                <w:sz w:val="18"/>
              </w:rPr>
              <w:t xml:space="preserve">不需要期</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夏</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冬</w:t>
            </w:r>
          </w:p>
        </w:tc>
        <w:tc>
          <w:tcPr>
            <w:tcBorders>
              <w:bottom w:val="single" w:sz="6" w:color="000000"/>
            </w:tcBorders>
          </w:tcPr>
          <w:p>
            <w:pPr>
              <w:pStyle w:val="Compact"/>
              <w:jc w:val="right"/>
            </w:pPr>
            <w:r>
              <w:rPr>
                <w:rFonts w:hint="eastAsia"/>
                <w:sz w:val="18"/>
              </w:rPr>
              <w:t xml:space="preserve">九州</w:t>
            </w:r>
            <w:r>
              <w:rPr>
                <w:sz w:val="18"/>
              </w:rPr>
              <w:t xml:space="preserve"> </w:t>
            </w:r>
            <w:r>
              <w:rPr>
                <w:rFonts w:hint="eastAsia"/>
                <w:sz w:val="18"/>
              </w:rPr>
              <w:t xml:space="preserve">不需要期</w:t>
            </w:r>
          </w:p>
        </w:tc>
      </w:tr>
      <w:tr>
        <w:tc>
          <w:tcPr/>
          <w:p>
            <w:pPr>
              <w:pStyle w:val="Compact"/>
            </w:pPr>
            <w:r>
              <w:rPr>
                <w:rFonts w:hint="eastAsia"/>
                <w:sz w:val="18"/>
              </w:rPr>
              <w:t xml:space="preserve">日平均価格（円/kWh）</w:t>
            </w:r>
          </w:p>
        </w:tc>
        <w:tc>
          <w:tcPr/>
          <w:p>
            <w:pPr>
              <w:pStyle w:val="Compact"/>
              <w:jc w:val="right"/>
            </w:pPr>
            <w:r>
              <w:rPr>
                <w:rFonts w:hint="eastAsia"/>
                <w:sz w:val="18"/>
              </w:rPr>
              <w:t xml:space="preserve">12.86（2.41）</w:t>
            </w:r>
          </w:p>
        </w:tc>
        <w:tc>
          <w:tcPr/>
          <w:p>
            <w:pPr>
              <w:pStyle w:val="Compact"/>
              <w:jc w:val="right"/>
            </w:pPr>
            <w:r>
              <w:rPr>
                <w:rFonts w:hint="eastAsia"/>
                <w:sz w:val="18"/>
              </w:rPr>
              <w:t xml:space="preserve">12.31（2.67）</w:t>
            </w:r>
          </w:p>
        </w:tc>
        <w:tc>
          <w:tcPr/>
          <w:p>
            <w:pPr>
              <w:pStyle w:val="Compact"/>
              <w:jc w:val="right"/>
            </w:pPr>
            <w:r>
              <w:rPr>
                <w:rFonts w:hint="eastAsia"/>
                <w:sz w:val="18"/>
              </w:rPr>
              <w:t xml:space="preserve">11.28（2.83）</w:t>
            </w:r>
          </w:p>
        </w:tc>
        <w:tc>
          <w:tcPr/>
          <w:p>
            <w:pPr>
              <w:pStyle w:val="Compact"/>
              <w:jc w:val="right"/>
            </w:pPr>
            <w:r>
              <w:rPr>
                <w:rFonts w:hint="eastAsia"/>
                <w:sz w:val="18"/>
              </w:rPr>
              <w:t xml:space="preserve">11.18（2.81）</w:t>
            </w:r>
          </w:p>
        </w:tc>
        <w:tc>
          <w:tcPr/>
          <w:p>
            <w:pPr>
              <w:pStyle w:val="Compact"/>
              <w:jc w:val="right"/>
            </w:pPr>
            <w:r>
              <w:rPr>
                <w:rFonts w:hint="eastAsia"/>
                <w:sz w:val="18"/>
              </w:rPr>
              <w:t xml:space="preserve">10.47（2.28）</w:t>
            </w:r>
          </w:p>
        </w:tc>
        <w:tc>
          <w:tcPr/>
          <w:p>
            <w:pPr>
              <w:pStyle w:val="Compact"/>
              <w:jc w:val="right"/>
            </w:pPr>
            <w:r>
              <w:rPr>
                <w:rFonts w:hint="eastAsia"/>
                <w:sz w:val="18"/>
              </w:rPr>
              <w:t xml:space="preserve">9.05（2.58）</w:t>
            </w:r>
          </w:p>
        </w:tc>
      </w:tr>
      <w:tr>
        <w:tc>
          <w:tcPr/>
          <w:p>
            <w:pPr>
              <w:pStyle w:val="Compact"/>
            </w:pPr>
            <w:r>
              <w:rPr>
                <w:rFonts w:hint="eastAsia"/>
                <w:sz w:val="18"/>
              </w:rPr>
              <w:t xml:space="preserve">TB4h（円/kWh）</w:t>
            </w:r>
          </w:p>
        </w:tc>
        <w:tc>
          <w:tcPr/>
          <w:p>
            <w:pPr>
              <w:pStyle w:val="Compact"/>
              <w:jc w:val="right"/>
            </w:pPr>
            <w:r>
              <w:rPr>
                <w:rFonts w:hint="eastAsia"/>
                <w:sz w:val="18"/>
              </w:rPr>
              <w:t xml:space="preserve">11.00（5.16）</w:t>
            </w:r>
          </w:p>
        </w:tc>
        <w:tc>
          <w:tcPr/>
          <w:p>
            <w:pPr>
              <w:pStyle w:val="Compact"/>
              <w:jc w:val="right"/>
            </w:pPr>
            <w:r>
              <w:rPr>
                <w:rFonts w:hint="eastAsia"/>
                <w:sz w:val="18"/>
              </w:rPr>
              <w:t xml:space="preserve">6.53（3.95）</w:t>
            </w:r>
          </w:p>
        </w:tc>
        <w:tc>
          <w:tcPr/>
          <w:p>
            <w:pPr>
              <w:pStyle w:val="Compact"/>
              <w:jc w:val="right"/>
            </w:pPr>
            <w:r>
              <w:rPr>
                <w:rFonts w:hint="eastAsia"/>
                <w:sz w:val="18"/>
              </w:rPr>
              <w:t xml:space="preserve">10.38（4.18）</w:t>
            </w:r>
          </w:p>
        </w:tc>
        <w:tc>
          <w:tcPr/>
          <w:p>
            <w:pPr>
              <w:pStyle w:val="Compact"/>
              <w:jc w:val="right"/>
            </w:pPr>
            <w:r>
              <w:rPr>
                <w:rFonts w:hint="eastAsia"/>
                <w:sz w:val="18"/>
              </w:rPr>
              <w:t xml:space="preserve">10.94（4.19）</w:t>
            </w:r>
          </w:p>
        </w:tc>
        <w:tc>
          <w:tcPr/>
          <w:p>
            <w:pPr>
              <w:pStyle w:val="Compact"/>
              <w:jc w:val="right"/>
            </w:pPr>
            <w:r>
              <w:rPr>
                <w:rFonts w:hint="eastAsia"/>
                <w:sz w:val="18"/>
              </w:rPr>
              <w:t xml:space="preserve">8.54（3.87）</w:t>
            </w:r>
          </w:p>
        </w:tc>
        <w:tc>
          <w:tcPr/>
          <w:p>
            <w:pPr>
              <w:pStyle w:val="Compact"/>
              <w:jc w:val="right"/>
            </w:pPr>
            <w:r>
              <w:rPr>
                <w:rFonts w:hint="eastAsia"/>
                <w:sz w:val="18"/>
              </w:rPr>
              <w:t xml:space="preserve">10.90（4.17）</w:t>
            </w:r>
          </w:p>
        </w:tc>
      </w:tr>
      <w:tr>
        <w:tc>
          <w:tcPr/>
          <w:p>
            <w:pPr>
              <w:pStyle w:val="Compact"/>
            </w:pPr>
            <w:r>
              <w:rPr>
                <w:rFonts w:hint="eastAsia"/>
                <w:sz w:val="18"/>
              </w:rPr>
              <w:t xml:space="preserve">日内標準偏差（円/kWh）</w:t>
            </w:r>
          </w:p>
        </w:tc>
        <w:tc>
          <w:tcPr/>
          <w:p>
            <w:pPr>
              <w:pStyle w:val="Compact"/>
              <w:jc w:val="right"/>
            </w:pPr>
            <w:r>
              <w:rPr>
                <w:rFonts w:hint="eastAsia"/>
                <w:sz w:val="18"/>
              </w:rPr>
              <w:t xml:space="preserve">3.99（1.89）</w:t>
            </w:r>
          </w:p>
        </w:tc>
        <w:tc>
          <w:tcPr/>
          <w:p>
            <w:pPr>
              <w:pStyle w:val="Compact"/>
              <w:jc w:val="right"/>
            </w:pPr>
            <w:r>
              <w:rPr>
                <w:rFonts w:hint="eastAsia"/>
                <w:sz w:val="18"/>
              </w:rPr>
              <w:t xml:space="preserve">2.34（1.44）</w:t>
            </w:r>
          </w:p>
        </w:tc>
        <w:tc>
          <w:tcPr/>
          <w:p>
            <w:pPr>
              <w:pStyle w:val="Compact"/>
              <w:jc w:val="right"/>
            </w:pPr>
            <w:r>
              <w:rPr>
                <w:rFonts w:hint="eastAsia"/>
                <w:sz w:val="18"/>
              </w:rPr>
              <w:t xml:space="preserve">3.78（1.59）</w:t>
            </w:r>
          </w:p>
        </w:tc>
        <w:tc>
          <w:tcPr/>
          <w:p>
            <w:pPr>
              <w:pStyle w:val="Compact"/>
              <w:jc w:val="right"/>
            </w:pPr>
            <w:r>
              <w:rPr>
                <w:rFonts w:hint="eastAsia"/>
                <w:sz w:val="18"/>
              </w:rPr>
              <w:t xml:space="preserve">3.97（1.62）</w:t>
            </w:r>
          </w:p>
        </w:tc>
        <w:tc>
          <w:tcPr/>
          <w:p>
            <w:pPr>
              <w:pStyle w:val="Compact"/>
              <w:jc w:val="right"/>
            </w:pPr>
            <w:r>
              <w:rPr>
                <w:rFonts w:hint="eastAsia"/>
                <w:sz w:val="18"/>
              </w:rPr>
              <w:t xml:space="preserve">3.07（1.35）</w:t>
            </w:r>
          </w:p>
        </w:tc>
        <w:tc>
          <w:tcPr/>
          <w:p>
            <w:pPr>
              <w:pStyle w:val="Compact"/>
              <w:jc w:val="right"/>
            </w:pPr>
            <w:r>
              <w:rPr>
                <w:rFonts w:hint="eastAsia"/>
                <w:sz w:val="18"/>
              </w:rPr>
              <w:t xml:space="preserve">4.07（1.59）</w:t>
            </w:r>
          </w:p>
        </w:tc>
      </w:tr>
      <w:tr>
        <w:tc>
          <w:tcPr/>
          <w:p>
            <w:pPr>
              <w:pStyle w:val="Compact"/>
            </w:pPr>
            <w:r>
              <w:rPr>
                <w:rFonts w:hint="eastAsia"/>
                <w:sz w:val="18"/>
              </w:rPr>
              <w:t xml:space="preserve">需要（GWh/日）</w:t>
            </w:r>
          </w:p>
        </w:tc>
        <w:tc>
          <w:tcPr/>
          <w:p>
            <w:pPr>
              <w:pStyle w:val="Compact"/>
              <w:jc w:val="right"/>
            </w:pPr>
            <w:r>
              <w:rPr>
                <w:rFonts w:hint="eastAsia"/>
                <w:sz w:val="18"/>
              </w:rPr>
              <w:t xml:space="preserve">76.59（6.48）</w:t>
            </w:r>
          </w:p>
        </w:tc>
        <w:tc>
          <w:tcPr/>
          <w:p>
            <w:pPr>
              <w:pStyle w:val="Compact"/>
              <w:jc w:val="right"/>
            </w:pPr>
            <w:r>
              <w:rPr>
                <w:rFonts w:hint="eastAsia"/>
                <w:sz w:val="18"/>
              </w:rPr>
              <w:t xml:space="preserve">98.92（6.38）</w:t>
            </w:r>
          </w:p>
        </w:tc>
        <w:tc>
          <w:tcPr/>
          <w:p>
            <w:pPr>
              <w:pStyle w:val="Compact"/>
              <w:jc w:val="right"/>
            </w:pPr>
            <w:r>
              <w:rPr>
                <w:rFonts w:hint="eastAsia"/>
                <w:sz w:val="18"/>
              </w:rPr>
              <w:t xml:space="preserve">76.10（8.96）</w:t>
            </w:r>
          </w:p>
        </w:tc>
        <w:tc>
          <w:tcPr/>
          <w:p>
            <w:pPr>
              <w:pStyle w:val="Compact"/>
              <w:jc w:val="right"/>
            </w:pPr>
            <w:r>
              <w:rPr>
                <w:rFonts w:hint="eastAsia"/>
                <w:sz w:val="18"/>
              </w:rPr>
              <w:t xml:space="preserve">269.18（25.02）</w:t>
            </w:r>
          </w:p>
        </w:tc>
        <w:tc>
          <w:tcPr/>
          <w:p>
            <w:pPr>
              <w:pStyle w:val="Compact"/>
              <w:jc w:val="right"/>
            </w:pPr>
            <w:r>
              <w:rPr>
                <w:rFonts w:hint="eastAsia"/>
                <w:sz w:val="18"/>
              </w:rPr>
              <w:t xml:space="preserve">254.64（27.67）</w:t>
            </w:r>
          </w:p>
        </w:tc>
        <w:tc>
          <w:tcPr/>
          <w:p>
            <w:pPr>
              <w:pStyle w:val="Compact"/>
              <w:jc w:val="right"/>
            </w:pPr>
            <w:r>
              <w:rPr>
                <w:rFonts w:hint="eastAsia"/>
                <w:sz w:val="18"/>
              </w:rPr>
              <w:t xml:space="preserve">212.24（20.73）</w:t>
            </w:r>
          </w:p>
        </w:tc>
      </w:tr>
      <w:tr>
        <w:tc>
          <w:tcPr/>
          <w:p>
            <w:pPr>
              <w:pStyle w:val="Compact"/>
            </w:pPr>
            <w:r>
              <w:rPr>
                <w:rFonts w:hint="eastAsia"/>
                <w:sz w:val="18"/>
              </w:rPr>
              <w:t xml:space="preserve">太陽光・制御前（GWh/日）</w:t>
            </w:r>
          </w:p>
        </w:tc>
        <w:tc>
          <w:tcPr/>
          <w:p>
            <w:pPr>
              <w:pStyle w:val="Compact"/>
              <w:jc w:val="right"/>
            </w:pPr>
            <w:r>
              <w:rPr>
                <w:rFonts w:hint="eastAsia"/>
                <w:sz w:val="18"/>
              </w:rPr>
              <w:t xml:space="preserve">9.96（3.33）</w:t>
            </w:r>
          </w:p>
        </w:tc>
        <w:tc>
          <w:tcPr/>
          <w:p>
            <w:pPr>
              <w:pStyle w:val="Compact"/>
              <w:jc w:val="right"/>
            </w:pPr>
            <w:r>
              <w:rPr>
                <w:rFonts w:hint="eastAsia"/>
                <w:sz w:val="18"/>
              </w:rPr>
              <w:t xml:space="preserve">5.63（2.19）</w:t>
            </w:r>
          </w:p>
        </w:tc>
        <w:tc>
          <w:tcPr/>
          <w:p>
            <w:pPr>
              <w:pStyle w:val="Compact"/>
              <w:jc w:val="right"/>
            </w:pPr>
            <w:r>
              <w:rPr>
                <w:rFonts w:hint="eastAsia"/>
                <w:sz w:val="18"/>
              </w:rPr>
              <w:t xml:space="preserve">9.71（3.74）</w:t>
            </w:r>
          </w:p>
        </w:tc>
        <w:tc>
          <w:tcPr/>
          <w:p>
            <w:pPr>
              <w:pStyle w:val="Compact"/>
              <w:jc w:val="right"/>
            </w:pPr>
            <w:r>
              <w:rPr>
                <w:rFonts w:hint="eastAsia"/>
                <w:sz w:val="18"/>
              </w:rPr>
              <w:t xml:space="preserve">48.84（15.45）</w:t>
            </w:r>
          </w:p>
        </w:tc>
        <w:tc>
          <w:tcPr/>
          <w:p>
            <w:pPr>
              <w:pStyle w:val="Compact"/>
              <w:jc w:val="right"/>
            </w:pPr>
            <w:r>
              <w:rPr>
                <w:rFonts w:hint="eastAsia"/>
                <w:sz w:val="18"/>
              </w:rPr>
              <w:t xml:space="preserve">33.13（12.94）</w:t>
            </w:r>
          </w:p>
        </w:tc>
        <w:tc>
          <w:tcPr/>
          <w:p>
            <w:pPr>
              <w:pStyle w:val="Compact"/>
              <w:jc w:val="right"/>
            </w:pPr>
            <w:r>
              <w:rPr>
                <w:rFonts w:hint="eastAsia"/>
                <w:sz w:val="18"/>
              </w:rPr>
              <w:t xml:space="preserve">42.21（19.75）</w:t>
            </w:r>
          </w:p>
        </w:tc>
      </w:tr>
      <w:tr>
        <w:tc>
          <w:tcPr/>
          <w:p>
            <w:pPr>
              <w:pStyle w:val="Compact"/>
            </w:pPr>
            <w:r>
              <w:rPr>
                <w:rFonts w:hint="eastAsia"/>
                <w:sz w:val="18"/>
              </w:rPr>
              <w:t xml:space="preserve">風力・制御前（GWh/日）</w:t>
            </w:r>
          </w:p>
        </w:tc>
        <w:tc>
          <w:tcPr/>
          <w:p>
            <w:pPr>
              <w:pStyle w:val="Compact"/>
              <w:jc w:val="right"/>
            </w:pPr>
            <w:r>
              <w:rPr>
                <w:rFonts w:hint="eastAsia"/>
                <w:sz w:val="18"/>
              </w:rPr>
              <w:t xml:space="preserve">5.22（3.60）</w:t>
            </w:r>
          </w:p>
        </w:tc>
        <w:tc>
          <w:tcPr/>
          <w:p>
            <w:pPr>
              <w:pStyle w:val="Compact"/>
              <w:jc w:val="right"/>
            </w:pPr>
            <w:r>
              <w:rPr>
                <w:rFonts w:hint="eastAsia"/>
                <w:sz w:val="18"/>
              </w:rPr>
              <w:t xml:space="preserve">10.32（5.07）</w:t>
            </w:r>
          </w:p>
        </w:tc>
        <w:tc>
          <w:tcPr/>
          <w:p>
            <w:pPr>
              <w:pStyle w:val="Compact"/>
              <w:jc w:val="right"/>
            </w:pPr>
            <w:r>
              <w:rPr>
                <w:rFonts w:hint="eastAsia"/>
                <w:sz w:val="18"/>
              </w:rPr>
              <w:t xml:space="preserve">7.76（4.34）</w:t>
            </w:r>
          </w:p>
        </w:tc>
        <w:tc>
          <w:tcPr/>
          <w:p>
            <w:pPr>
              <w:pStyle w:val="Compact"/>
              <w:jc w:val="right"/>
            </w:pPr>
            <w:r>
              <w:rPr>
                <w:rFonts w:hint="eastAsia"/>
                <w:sz w:val="18"/>
              </w:rPr>
              <w:t xml:space="preserve">1.54（1.26）</w:t>
            </w:r>
          </w:p>
        </w:tc>
        <w:tc>
          <w:tcPr/>
          <w:p>
            <w:pPr>
              <w:pStyle w:val="Compact"/>
              <w:jc w:val="right"/>
            </w:pPr>
            <w:r>
              <w:rPr>
                <w:rFonts w:hint="eastAsia"/>
                <w:sz w:val="18"/>
              </w:rPr>
              <w:t xml:space="preserve">3.24（2.24）</w:t>
            </w:r>
          </w:p>
        </w:tc>
        <w:tc>
          <w:tcPr/>
          <w:p>
            <w:pPr>
              <w:pStyle w:val="Compact"/>
              <w:jc w:val="right"/>
            </w:pPr>
            <w:r>
              <w:rPr>
                <w:rFonts w:hint="eastAsia"/>
                <w:sz w:val="18"/>
              </w:rPr>
              <w:t xml:space="preserve">2.33（1.74）</w:t>
            </w:r>
          </w:p>
        </w:tc>
      </w:tr>
      <w:tr>
        <w:tc>
          <w:tcPr/>
          <w:p>
            <w:pPr>
              <w:pStyle w:val="Compact"/>
            </w:pPr>
            <w:r>
              <w:rPr>
                <w:rFonts w:hint="eastAsia"/>
                <w:sz w:val="18"/>
              </w:rPr>
              <w:t xml:space="preserve">下限張り付き時間（時間/日）</w:t>
            </w:r>
          </w:p>
        </w:tc>
        <w:tc>
          <w:tcPr/>
          <w:p>
            <w:pPr>
              <w:pStyle w:val="Compact"/>
              <w:jc w:val="right"/>
            </w:pPr>
            <w:r>
              <w:rPr>
                <w:rFonts w:hint="eastAsia"/>
                <w:sz w:val="18"/>
              </w:rPr>
              <w:t xml:space="preserve">0.19（0.94）</w:t>
            </w:r>
          </w:p>
        </w:tc>
        <w:tc>
          <w:tcPr/>
          <w:p>
            <w:pPr>
              <w:pStyle w:val="Compact"/>
              <w:jc w:val="right"/>
            </w:pPr>
            <w:r>
              <w:rPr>
                <w:rFonts w:hint="eastAsia"/>
                <w:sz w:val="18"/>
              </w:rPr>
              <w:t xml:space="preserve">0.02（0.23）</w:t>
            </w:r>
          </w:p>
        </w:tc>
        <w:tc>
          <w:tcPr/>
          <w:p>
            <w:pPr>
              <w:pStyle w:val="Compact"/>
              <w:jc w:val="right"/>
            </w:pPr>
            <w:r>
              <w:rPr>
                <w:rFonts w:hint="eastAsia"/>
                <w:sz w:val="18"/>
              </w:rPr>
              <w:t xml:space="preserve">1.00（2.08）</w:t>
            </w:r>
          </w:p>
        </w:tc>
        <w:tc>
          <w:tcPr/>
          <w:p>
            <w:pPr>
              <w:pStyle w:val="Compact"/>
              <w:jc w:val="right"/>
            </w:pPr>
            <w:r>
              <w:rPr>
                <w:rFonts w:hint="eastAsia"/>
                <w:sz w:val="18"/>
              </w:rPr>
              <w:t xml:space="preserve">0.48（1.58）</w:t>
            </w:r>
          </w:p>
        </w:tc>
        <w:tc>
          <w:tcPr/>
          <w:p>
            <w:pPr>
              <w:pStyle w:val="Compact"/>
              <w:jc w:val="right"/>
            </w:pPr>
            <w:r>
              <w:rPr>
                <w:rFonts w:hint="eastAsia"/>
                <w:sz w:val="18"/>
              </w:rPr>
              <w:t xml:space="preserve">0.66（1.39）</w:t>
            </w:r>
          </w:p>
        </w:tc>
        <w:tc>
          <w:tcPr/>
          <w:p>
            <w:pPr>
              <w:pStyle w:val="Compact"/>
              <w:jc w:val="right"/>
            </w:pPr>
            <w:r>
              <w:rPr>
                <w:rFonts w:hint="eastAsia"/>
                <w:sz w:val="18"/>
              </w:rPr>
              <w:t xml:space="preserve">2.99（3.34）</w:t>
            </w:r>
          </w:p>
        </w:tc>
      </w:tr>
    </w:tbl>
    <w:p>
      <w:pPr>
        <w:pStyle w:val="TableNote"/>
      </w:pPr>
      <w:r>
        <w:rPr>
          <w:rFonts w:hint="eastAsia"/>
        </w:rPr>
        <w:t xml:space="preserve">注）各セルは平均（括弧内は標準偏差）。標本と変数の定義は表3.1</w:t>
      </w:r>
      <w:r>
        <w:t xml:space="preserve"> </w:t>
      </w:r>
      <w:r>
        <w:rPr>
          <w:rFonts w:hint="eastAsia"/>
        </w:rPr>
        <w:t xml:space="preserve">と同じで、24時間がそろう日（夏276日、冬271日、不需要期549日）。季節は夏が7〜9月、冬が12〜2月、不需要期が3〜6月と10〜11月。</w:t>
      </w:r>
    </w:p>
    <w:p>
      <w:pPr>
        <w:pStyle w:val="TableNote"/>
      </w:pPr>
      <w:r>
        <w:rPr>
          <w:rFonts w:hint="eastAsia"/>
        </w:rPr>
        <w:t xml:space="preserve">出所）日本卸電力取引所『スポット市場取引結果』、北海道電力ネットワーク・九州電力送配電『エリア需給実績』より筆者作成。</w:t>
      </w:r>
    </w:p>
    <w:bookmarkEnd w:id="399"/>
    <w:bookmarkStart w:id="400" w:name="d.2-蓄電池のスポット裁定価値第6章"/>
    <w:p>
      <w:pPr>
        <w:pStyle w:val="Heading2"/>
      </w:pPr>
      <w:r>
        <w:t xml:space="preserve">D.2　</w:t>
      </w:r>
      <w:r>
        <w:rPr>
          <w:rFonts w:hint="eastAsia"/>
        </w:rPr>
        <w:t xml:space="preserve">蓄電池のスポット裁定価値（第6章）</w:t>
      </w:r>
    </w:p>
    <w:p>
      <w:pPr>
        <w:pStyle w:val="FirstParagraph"/>
      </w:pPr>
      <w:r>
        <w:rPr>
          <w:rFonts w:hint="eastAsia"/>
        </w:rPr>
        <w:t xml:space="preserve">表D.3</w:t>
      </w:r>
      <w:r>
        <w:t xml:space="preserve"> </w:t>
      </w:r>
      <w:r>
        <w:rPr>
          <w:rFonts w:hint="eastAsia"/>
        </w:rPr>
        <w:t xml:space="preserve">は、本文の図6.4</w:t>
      </w:r>
      <w:r>
        <w:t xml:space="preserve"> </w:t>
      </w:r>
      <w:r>
        <w:rPr>
          <w:rFonts w:hint="eastAsia"/>
        </w:rPr>
        <w:t xml:space="preserve">の3層分解を、全年度と、季節×風力の三分位別に示す。</w:t>
      </w:r>
    </w:p>
    <w:p>
      <w:pPr>
        <w:pStyle w:val="TableCaption"/>
      </w:pPr>
      <w:r>
        <w:rPr>
          <w:rFonts w:hint="eastAsia"/>
        </w:rPr>
        <w:t xml:space="preserve">表D.3</w:t>
      </w:r>
      <w:r>
        <w:t xml:space="preserve">　</w:t>
      </w:r>
      <w:r>
        <w:rPr>
          <w:rFonts w:hint="eastAsia"/>
        </w:rPr>
        <w:t xml:space="preserve">完全予見粗利の3層分解（全年度と、季節×風力の三分位別）</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D.3　完全予見粗利の3層分解（全年度と、季節×風力の三分位別）"/>
      </w:tblPr>
      <w:tblGrid>
        <w:gridCol w:w="879"/>
        <w:gridCol w:w="879"/>
        <w:gridCol w:w="879"/>
        <w:gridCol w:w="879"/>
        <w:gridCol w:w="879"/>
        <w:gridCol w:w="879"/>
        <w:gridCol w:w="879"/>
        <w:gridCol w:w="879"/>
        <w:gridCol w:w="879"/>
      </w:tblGrid>
      <w:tr>
        <w:trPr>
          <w:tblHeader w:val="on"/>
        </w:trPr>
        <w:tc>
          <w:tcPr>
            <w:tcBorders>
              <w:bottom w:val="single" w:sz="6" w:color="000000"/>
            </w:tcBorders>
          </w:tcPr>
          <w:p>
            <w:pPr>
              <w:pStyle w:val="Compact"/>
            </w:pPr>
            <w:r>
              <w:rPr>
                <w:rFonts w:hint="eastAsia"/>
                <w:sz w:val="18"/>
              </w:rPr>
              <w:t xml:space="preserve">区分</w:t>
            </w:r>
          </w:p>
        </w:tc>
        <w:tc>
          <w:tcPr>
            <w:tcBorders>
              <w:bottom w:val="single" w:sz="6" w:color="000000"/>
            </w:tcBorders>
          </w:tcPr>
          <w:p>
            <w:pPr>
              <w:pStyle w:val="Compact"/>
              <w:jc w:val="right"/>
            </w:pPr>
            <w:r>
              <w:rPr>
                <w:rFonts w:hint="eastAsia"/>
                <w:sz w:val="18"/>
              </w:rPr>
              <w:t xml:space="preserve">日数</w:t>
            </w:r>
          </w:p>
        </w:tc>
        <w:tc>
          <w:tcPr>
            <w:tcBorders>
              <w:bottom w:val="single" w:sz="6" w:color="000000"/>
            </w:tcBorders>
          </w:tcPr>
          <w:p>
            <w:pPr>
              <w:pStyle w:val="Compact"/>
              <w:jc w:val="right"/>
            </w:pPr>
            <w:r>
              <w:rPr>
                <w:rFonts w:hint="eastAsia"/>
                <w:sz w:val="18"/>
              </w:rPr>
              <w:t xml:space="preserve">完全予見粗利</w:t>
            </w:r>
          </w:p>
        </w:tc>
        <w:tc>
          <w:tcPr>
            <w:tcBorders>
              <w:bottom w:val="single" w:sz="6" w:color="000000"/>
            </w:tcBorders>
          </w:tcPr>
          <w:p>
            <w:pPr>
              <w:pStyle w:val="Compact"/>
              <w:jc w:val="right"/>
            </w:pPr>
            <w:r>
              <w:rPr>
                <w:sz w:val="18"/>
              </w:rPr>
              <w:t xml:space="preserve">(I) </w:t>
            </w:r>
            <w:r>
              <w:rPr>
                <w:rFonts w:hint="eastAsia"/>
                <w:sz w:val="18"/>
              </w:rPr>
              <w:t xml:space="preserve">本源的方策</w:t>
            </w:r>
          </w:p>
        </w:tc>
        <w:tc>
          <w:tcPr>
            <w:tcBorders>
              <w:bottom w:val="single" w:sz="6" w:color="000000"/>
            </w:tcBorders>
          </w:tcPr>
          <w:p>
            <w:pPr>
              <w:pStyle w:val="Compact"/>
              <w:jc w:val="right"/>
            </w:pPr>
            <w:r>
              <w:rPr>
                <w:sz w:val="18"/>
              </w:rPr>
              <w:t xml:space="preserve">(II) </w:t>
            </w:r>
            <w:r>
              <w:rPr>
                <w:rFonts w:hint="eastAsia"/>
                <w:sz w:val="18"/>
              </w:rPr>
              <w:t xml:space="preserve">休止</w:t>
            </w:r>
          </w:p>
        </w:tc>
        <w:tc>
          <w:tcPr>
            <w:tcBorders>
              <w:bottom w:val="single" w:sz="6" w:color="000000"/>
            </w:tcBorders>
          </w:tcPr>
          <w:p>
            <w:pPr>
              <w:pStyle w:val="Compact"/>
              <w:jc w:val="right"/>
            </w:pPr>
            <w:r>
              <w:rPr>
                <w:sz w:val="18"/>
              </w:rPr>
              <w:t xml:space="preserve">(III) </w:t>
            </w:r>
            <w:r>
              <w:rPr>
                <w:rFonts w:hint="eastAsia"/>
                <w:sz w:val="18"/>
              </w:rPr>
              <w:t xml:space="preserve">窓の選び直し</w:t>
            </w:r>
          </w:p>
        </w:tc>
        <w:tc>
          <w:tcPr>
            <w:tcBorders>
              <w:bottom w:val="single" w:sz="6" w:color="000000"/>
            </w:tcBorders>
          </w:tcPr>
          <w:p>
            <w:pPr>
              <w:pStyle w:val="Compact"/>
              <w:jc w:val="right"/>
            </w:pPr>
            <w:r>
              <w:rPr>
                <w:sz w:val="18"/>
              </w:rPr>
              <w:t xml:space="preserve">(I) </w:t>
            </w:r>
            <w:r>
              <w:rPr>
                <w:rFonts w:hint="eastAsia"/>
                <w:sz w:val="18"/>
              </w:rPr>
              <w:t xml:space="preserve">の比率</w:t>
            </w:r>
          </w:p>
        </w:tc>
        <w:tc>
          <w:tcPr>
            <w:tcBorders>
              <w:bottom w:val="single" w:sz="6" w:color="000000"/>
            </w:tcBorders>
          </w:tcPr>
          <w:p>
            <w:pPr>
              <w:pStyle w:val="Compact"/>
              <w:jc w:val="right"/>
            </w:pPr>
            <w:r>
              <w:rPr>
                <w:sz w:val="18"/>
              </w:rPr>
              <w:t xml:space="preserve">(II) </w:t>
            </w:r>
            <w:r>
              <w:rPr>
                <w:rFonts w:hint="eastAsia"/>
                <w:sz w:val="18"/>
              </w:rPr>
              <w:t xml:space="preserve">の比率</w:t>
            </w:r>
          </w:p>
        </w:tc>
        <w:tc>
          <w:tcPr>
            <w:tcBorders>
              <w:bottom w:val="single" w:sz="6" w:color="000000"/>
            </w:tcBorders>
          </w:tcPr>
          <w:p>
            <w:pPr>
              <w:pStyle w:val="Compact"/>
              <w:jc w:val="right"/>
            </w:pPr>
            <w:r>
              <w:rPr>
                <w:sz w:val="18"/>
              </w:rPr>
              <w:t xml:space="preserve">(III) </w:t>
            </w:r>
            <w:r>
              <w:rPr>
                <w:rFonts w:hint="eastAsia"/>
                <w:sz w:val="18"/>
              </w:rPr>
              <w:t xml:space="preserve">の比率</w:t>
            </w:r>
          </w:p>
        </w:tc>
      </w:tr>
      <w:tr>
        <w:tc>
          <w:tcPr/>
          <w:p>
            <w:pPr>
              <w:pStyle w:val="Compact"/>
            </w:pPr>
            <w:r>
              <w:rPr>
                <w:rFonts w:hint="eastAsia"/>
                <w:b/>
                <w:bCs/>
                <w:sz w:val="18"/>
              </w:rPr>
              <w:t xml:space="preserve">パネルA：年度別（円/kW-年）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8"/>
              </w:rPr>
              <w:t xml:space="preserve">FY2016</w:t>
            </w:r>
          </w:p>
        </w:tc>
        <w:tc>
          <w:tcPr/>
          <w:p>
            <w:pPr>
              <w:pStyle w:val="Compact"/>
              <w:jc w:val="right"/>
            </w:pPr>
            <w:r>
              <w:rPr>
                <w:sz w:val="18"/>
              </w:rPr>
              <w:t xml:space="preserve">355</w:t>
            </w:r>
          </w:p>
        </w:tc>
        <w:tc>
          <w:tcPr/>
          <w:p>
            <w:pPr>
              <w:pStyle w:val="Compact"/>
              <w:jc w:val="right"/>
            </w:pPr>
            <w:r>
              <w:rPr>
                <w:sz w:val="18"/>
              </w:rPr>
              <w:t xml:space="preserve">10,686</w:t>
            </w:r>
          </w:p>
        </w:tc>
        <w:tc>
          <w:tcPr/>
          <w:p>
            <w:pPr>
              <w:pStyle w:val="Compact"/>
              <w:jc w:val="right"/>
            </w:pPr>
            <w:r>
              <w:rPr>
                <w:sz w:val="18"/>
              </w:rPr>
              <w:t xml:space="preserve">9,151</w:t>
            </w:r>
          </w:p>
        </w:tc>
        <w:tc>
          <w:tcPr/>
          <w:p>
            <w:pPr>
              <w:pStyle w:val="Compact"/>
              <w:jc w:val="right"/>
            </w:pPr>
            <w:r>
              <w:rPr>
                <w:sz w:val="18"/>
              </w:rPr>
              <w:t xml:space="preserve">49</w:t>
            </w:r>
          </w:p>
        </w:tc>
        <w:tc>
          <w:tcPr/>
          <w:p>
            <w:pPr>
              <w:pStyle w:val="Compact"/>
              <w:jc w:val="right"/>
            </w:pPr>
            <w:r>
              <w:rPr>
                <w:sz w:val="18"/>
              </w:rPr>
              <w:t xml:space="preserve">1,486</w:t>
            </w:r>
          </w:p>
        </w:tc>
        <w:tc>
          <w:tcPr/>
          <w:p>
            <w:pPr>
              <w:pStyle w:val="Compact"/>
              <w:jc w:val="right"/>
            </w:pPr>
            <w:r>
              <w:rPr>
                <w:sz w:val="18"/>
              </w:rPr>
              <w:t xml:space="preserve">85.6%</w:t>
            </w:r>
          </w:p>
        </w:tc>
        <w:tc>
          <w:tcPr/>
          <w:p>
            <w:pPr>
              <w:pStyle w:val="Compact"/>
              <w:jc w:val="right"/>
            </w:pPr>
            <w:r>
              <w:rPr>
                <w:sz w:val="18"/>
              </w:rPr>
              <w:t xml:space="preserve">0.5%</w:t>
            </w:r>
          </w:p>
        </w:tc>
        <w:tc>
          <w:tcPr/>
          <w:p>
            <w:pPr>
              <w:pStyle w:val="Compact"/>
              <w:jc w:val="right"/>
            </w:pPr>
            <w:r>
              <w:rPr>
                <w:sz w:val="18"/>
              </w:rPr>
              <w:t xml:space="preserve">13.9%</w:t>
            </w:r>
          </w:p>
        </w:tc>
      </w:tr>
      <w:tr>
        <w:tc>
          <w:tcPr/>
          <w:p>
            <w:pPr>
              <w:pStyle w:val="Compact"/>
            </w:pPr>
            <w:r>
              <w:rPr>
                <w:sz w:val="18"/>
              </w:rPr>
              <w:t xml:space="preserve">FY2017</w:t>
            </w:r>
          </w:p>
        </w:tc>
        <w:tc>
          <w:tcPr/>
          <w:p>
            <w:pPr>
              <w:pStyle w:val="Compact"/>
              <w:jc w:val="right"/>
            </w:pPr>
            <w:r>
              <w:rPr>
                <w:sz w:val="18"/>
              </w:rPr>
              <w:t xml:space="preserve">365</w:t>
            </w:r>
          </w:p>
        </w:tc>
        <w:tc>
          <w:tcPr/>
          <w:p>
            <w:pPr>
              <w:pStyle w:val="Compact"/>
              <w:jc w:val="right"/>
            </w:pPr>
            <w:r>
              <w:rPr>
                <w:sz w:val="18"/>
              </w:rPr>
              <w:t xml:space="preserve">6,356</w:t>
            </w:r>
          </w:p>
        </w:tc>
        <w:tc>
          <w:tcPr/>
          <w:p>
            <w:pPr>
              <w:pStyle w:val="Compact"/>
              <w:jc w:val="right"/>
            </w:pPr>
            <w:r>
              <w:rPr>
                <w:sz w:val="18"/>
              </w:rPr>
              <w:t xml:space="preserve">5,198</w:t>
            </w:r>
          </w:p>
        </w:tc>
        <w:tc>
          <w:tcPr/>
          <w:p>
            <w:pPr>
              <w:pStyle w:val="Compact"/>
              <w:jc w:val="right"/>
            </w:pPr>
            <w:r>
              <w:rPr>
                <w:sz w:val="18"/>
              </w:rPr>
              <w:t xml:space="preserve">72</w:t>
            </w:r>
          </w:p>
        </w:tc>
        <w:tc>
          <w:tcPr/>
          <w:p>
            <w:pPr>
              <w:pStyle w:val="Compact"/>
              <w:jc w:val="right"/>
            </w:pPr>
            <w:r>
              <w:rPr>
                <w:sz w:val="18"/>
              </w:rPr>
              <w:t xml:space="preserve">1,086</w:t>
            </w:r>
          </w:p>
        </w:tc>
        <w:tc>
          <w:tcPr/>
          <w:p>
            <w:pPr>
              <w:pStyle w:val="Compact"/>
              <w:jc w:val="right"/>
            </w:pPr>
            <w:r>
              <w:rPr>
                <w:sz w:val="18"/>
              </w:rPr>
              <w:t xml:space="preserve">81.8%</w:t>
            </w:r>
          </w:p>
        </w:tc>
        <w:tc>
          <w:tcPr/>
          <w:p>
            <w:pPr>
              <w:pStyle w:val="Compact"/>
              <w:jc w:val="right"/>
            </w:pPr>
            <w:r>
              <w:rPr>
                <w:sz w:val="18"/>
              </w:rPr>
              <w:t xml:space="preserve">1.1%</w:t>
            </w:r>
          </w:p>
        </w:tc>
        <w:tc>
          <w:tcPr/>
          <w:p>
            <w:pPr>
              <w:pStyle w:val="Compact"/>
              <w:jc w:val="right"/>
            </w:pPr>
            <w:r>
              <w:rPr>
                <w:sz w:val="18"/>
              </w:rPr>
              <w:t xml:space="preserve">17.1%</w:t>
            </w:r>
          </w:p>
        </w:tc>
      </w:tr>
      <w:tr>
        <w:tc>
          <w:tcPr/>
          <w:p>
            <w:pPr>
              <w:pStyle w:val="Compact"/>
            </w:pPr>
            <w:r>
              <w:rPr>
                <w:sz w:val="18"/>
              </w:rPr>
              <w:t xml:space="preserve">FY2018</w:t>
            </w:r>
          </w:p>
        </w:tc>
        <w:tc>
          <w:tcPr/>
          <w:p>
            <w:pPr>
              <w:pStyle w:val="Compact"/>
              <w:jc w:val="right"/>
            </w:pPr>
            <w:r>
              <w:rPr>
                <w:sz w:val="18"/>
              </w:rPr>
              <w:t xml:space="preserve">345</w:t>
            </w:r>
          </w:p>
        </w:tc>
        <w:tc>
          <w:tcPr/>
          <w:p>
            <w:pPr>
              <w:pStyle w:val="Compact"/>
              <w:jc w:val="right"/>
            </w:pPr>
            <w:r>
              <w:rPr>
                <w:sz w:val="18"/>
              </w:rPr>
              <w:t xml:space="preserve">10,302</w:t>
            </w:r>
          </w:p>
        </w:tc>
        <w:tc>
          <w:tcPr/>
          <w:p>
            <w:pPr>
              <w:pStyle w:val="Compact"/>
              <w:jc w:val="right"/>
            </w:pPr>
            <w:r>
              <w:rPr>
                <w:sz w:val="18"/>
              </w:rPr>
              <w:t xml:space="preserve">8,076</w:t>
            </w:r>
          </w:p>
        </w:tc>
        <w:tc>
          <w:tcPr/>
          <w:p>
            <w:pPr>
              <w:pStyle w:val="Compact"/>
              <w:jc w:val="right"/>
            </w:pPr>
            <w:r>
              <w:rPr>
                <w:sz w:val="18"/>
              </w:rPr>
              <w:t xml:space="preserve">31</w:t>
            </w:r>
          </w:p>
        </w:tc>
        <w:tc>
          <w:tcPr/>
          <w:p>
            <w:pPr>
              <w:pStyle w:val="Compact"/>
              <w:jc w:val="right"/>
            </w:pPr>
            <w:r>
              <w:rPr>
                <w:sz w:val="18"/>
              </w:rPr>
              <w:t xml:space="preserve">2,195</w:t>
            </w:r>
          </w:p>
        </w:tc>
        <w:tc>
          <w:tcPr/>
          <w:p>
            <w:pPr>
              <w:pStyle w:val="Compact"/>
              <w:jc w:val="right"/>
            </w:pPr>
            <w:r>
              <w:rPr>
                <w:sz w:val="18"/>
              </w:rPr>
              <w:t xml:space="preserve">78.4%</w:t>
            </w:r>
          </w:p>
        </w:tc>
        <w:tc>
          <w:tcPr/>
          <w:p>
            <w:pPr>
              <w:pStyle w:val="Compact"/>
              <w:jc w:val="right"/>
            </w:pPr>
            <w:r>
              <w:rPr>
                <w:sz w:val="18"/>
              </w:rPr>
              <w:t xml:space="preserve">0.3%</w:t>
            </w:r>
          </w:p>
        </w:tc>
        <w:tc>
          <w:tcPr/>
          <w:p>
            <w:pPr>
              <w:pStyle w:val="Compact"/>
              <w:jc w:val="right"/>
            </w:pPr>
            <w:r>
              <w:rPr>
                <w:sz w:val="18"/>
              </w:rPr>
              <w:t xml:space="preserve">21.3%</w:t>
            </w:r>
          </w:p>
        </w:tc>
      </w:tr>
      <w:tr>
        <w:tc>
          <w:tcPr/>
          <w:p>
            <w:pPr>
              <w:pStyle w:val="Compact"/>
            </w:pPr>
            <w:r>
              <w:rPr>
                <w:sz w:val="18"/>
              </w:rPr>
              <w:t xml:space="preserve">FY2019</w:t>
            </w:r>
          </w:p>
        </w:tc>
        <w:tc>
          <w:tcPr/>
          <w:p>
            <w:pPr>
              <w:pStyle w:val="Compact"/>
              <w:jc w:val="right"/>
            </w:pPr>
            <w:r>
              <w:rPr>
                <w:sz w:val="18"/>
              </w:rPr>
              <w:t xml:space="preserve">366</w:t>
            </w:r>
          </w:p>
        </w:tc>
        <w:tc>
          <w:tcPr/>
          <w:p>
            <w:pPr>
              <w:pStyle w:val="Compact"/>
              <w:jc w:val="right"/>
            </w:pPr>
            <w:r>
              <w:rPr>
                <w:sz w:val="18"/>
              </w:rPr>
              <w:t xml:space="preserve">8,899</w:t>
            </w:r>
          </w:p>
        </w:tc>
        <w:tc>
          <w:tcPr/>
          <w:p>
            <w:pPr>
              <w:pStyle w:val="Compact"/>
              <w:jc w:val="right"/>
            </w:pPr>
            <w:r>
              <w:rPr>
                <w:sz w:val="18"/>
              </w:rPr>
              <w:t xml:space="preserve">7,057</w:t>
            </w:r>
          </w:p>
        </w:tc>
        <w:tc>
          <w:tcPr/>
          <w:p>
            <w:pPr>
              <w:pStyle w:val="Compact"/>
              <w:jc w:val="right"/>
            </w:pPr>
            <w:r>
              <w:rPr>
                <w:sz w:val="18"/>
              </w:rPr>
              <w:t xml:space="preserve">58</w:t>
            </w:r>
          </w:p>
        </w:tc>
        <w:tc>
          <w:tcPr/>
          <w:p>
            <w:pPr>
              <w:pStyle w:val="Compact"/>
              <w:jc w:val="right"/>
            </w:pPr>
            <w:r>
              <w:rPr>
                <w:sz w:val="18"/>
              </w:rPr>
              <w:t xml:space="preserve">1,784</w:t>
            </w:r>
          </w:p>
        </w:tc>
        <w:tc>
          <w:tcPr/>
          <w:p>
            <w:pPr>
              <w:pStyle w:val="Compact"/>
              <w:jc w:val="right"/>
            </w:pPr>
            <w:r>
              <w:rPr>
                <w:sz w:val="18"/>
              </w:rPr>
              <w:t xml:space="preserve">79.3%</w:t>
            </w:r>
          </w:p>
        </w:tc>
        <w:tc>
          <w:tcPr/>
          <w:p>
            <w:pPr>
              <w:pStyle w:val="Compact"/>
              <w:jc w:val="right"/>
            </w:pPr>
            <w:r>
              <w:rPr>
                <w:sz w:val="18"/>
              </w:rPr>
              <w:t xml:space="preserve">0.7%</w:t>
            </w:r>
          </w:p>
        </w:tc>
        <w:tc>
          <w:tcPr/>
          <w:p>
            <w:pPr>
              <w:pStyle w:val="Compact"/>
              <w:jc w:val="right"/>
            </w:pPr>
            <w:r>
              <w:rPr>
                <w:sz w:val="18"/>
              </w:rPr>
              <w:t xml:space="preserve">20.0%</w:t>
            </w:r>
          </w:p>
        </w:tc>
      </w:tr>
      <w:tr>
        <w:tc>
          <w:tcPr/>
          <w:p>
            <w:pPr>
              <w:pStyle w:val="Compact"/>
            </w:pPr>
            <w:r>
              <w:rPr>
                <w:sz w:val="18"/>
              </w:rPr>
              <w:t xml:space="preserve">FY2020</w:t>
            </w:r>
          </w:p>
        </w:tc>
        <w:tc>
          <w:tcPr/>
          <w:p>
            <w:pPr>
              <w:pStyle w:val="Compact"/>
              <w:jc w:val="right"/>
            </w:pPr>
            <w:r>
              <w:rPr>
                <w:sz w:val="18"/>
              </w:rPr>
              <w:t xml:space="preserve">365</w:t>
            </w:r>
          </w:p>
        </w:tc>
        <w:tc>
          <w:tcPr/>
          <w:p>
            <w:pPr>
              <w:pStyle w:val="Compact"/>
              <w:jc w:val="right"/>
            </w:pPr>
            <w:r>
              <w:rPr>
                <w:sz w:val="18"/>
              </w:rPr>
              <w:t xml:space="preserve">15,854</w:t>
            </w:r>
          </w:p>
        </w:tc>
        <w:tc>
          <w:tcPr/>
          <w:p>
            <w:pPr>
              <w:pStyle w:val="Compact"/>
              <w:jc w:val="right"/>
            </w:pPr>
            <w:r>
              <w:rPr>
                <w:sz w:val="18"/>
              </w:rPr>
              <w:t xml:space="preserve">12,933</w:t>
            </w:r>
          </w:p>
        </w:tc>
        <w:tc>
          <w:tcPr/>
          <w:p>
            <w:pPr>
              <w:pStyle w:val="Compact"/>
              <w:jc w:val="right"/>
            </w:pPr>
            <w:r>
              <w:rPr>
                <w:sz w:val="18"/>
              </w:rPr>
              <w:t xml:space="preserve">45</w:t>
            </w:r>
          </w:p>
        </w:tc>
        <w:tc>
          <w:tcPr/>
          <w:p>
            <w:pPr>
              <w:pStyle w:val="Compact"/>
              <w:jc w:val="right"/>
            </w:pPr>
            <w:r>
              <w:rPr>
                <w:sz w:val="18"/>
              </w:rPr>
              <w:t xml:space="preserve">2,876</w:t>
            </w:r>
          </w:p>
        </w:tc>
        <w:tc>
          <w:tcPr/>
          <w:p>
            <w:pPr>
              <w:pStyle w:val="Compact"/>
              <w:jc w:val="right"/>
            </w:pPr>
            <w:r>
              <w:rPr>
                <w:sz w:val="18"/>
              </w:rPr>
              <w:t xml:space="preserve">81.6%</w:t>
            </w:r>
          </w:p>
        </w:tc>
        <w:tc>
          <w:tcPr/>
          <w:p>
            <w:pPr>
              <w:pStyle w:val="Compact"/>
              <w:jc w:val="right"/>
            </w:pPr>
            <w:r>
              <w:rPr>
                <w:sz w:val="18"/>
              </w:rPr>
              <w:t xml:space="preserve">0.3%</w:t>
            </w:r>
          </w:p>
        </w:tc>
        <w:tc>
          <w:tcPr/>
          <w:p>
            <w:pPr>
              <w:pStyle w:val="Compact"/>
              <w:jc w:val="right"/>
            </w:pPr>
            <w:r>
              <w:rPr>
                <w:sz w:val="18"/>
              </w:rPr>
              <w:t xml:space="preserve">18.1%</w:t>
            </w:r>
          </w:p>
        </w:tc>
      </w:tr>
      <w:tr>
        <w:tc>
          <w:tcPr/>
          <w:p>
            <w:pPr>
              <w:pStyle w:val="Compact"/>
            </w:pPr>
            <w:r>
              <w:rPr>
                <w:sz w:val="18"/>
              </w:rPr>
              <w:t xml:space="preserve">FY2021</w:t>
            </w:r>
          </w:p>
        </w:tc>
        <w:tc>
          <w:tcPr/>
          <w:p>
            <w:pPr>
              <w:pStyle w:val="Compact"/>
              <w:jc w:val="right"/>
            </w:pPr>
            <w:r>
              <w:rPr>
                <w:sz w:val="18"/>
              </w:rPr>
              <w:t xml:space="preserve">365</w:t>
            </w:r>
          </w:p>
        </w:tc>
        <w:tc>
          <w:tcPr/>
          <w:p>
            <w:pPr>
              <w:pStyle w:val="Compact"/>
              <w:jc w:val="right"/>
            </w:pPr>
            <w:r>
              <w:rPr>
                <w:sz w:val="18"/>
              </w:rPr>
              <w:t xml:space="preserve">13,531</w:t>
            </w:r>
          </w:p>
        </w:tc>
        <w:tc>
          <w:tcPr/>
          <w:p>
            <w:pPr>
              <w:pStyle w:val="Compact"/>
              <w:jc w:val="right"/>
            </w:pPr>
            <w:r>
              <w:rPr>
                <w:sz w:val="18"/>
              </w:rPr>
              <w:t xml:space="preserve">10,338</w:t>
            </w:r>
          </w:p>
        </w:tc>
        <w:tc>
          <w:tcPr/>
          <w:p>
            <w:pPr>
              <w:pStyle w:val="Compact"/>
              <w:jc w:val="right"/>
            </w:pPr>
            <w:r>
              <w:rPr>
                <w:sz w:val="18"/>
              </w:rPr>
              <w:t xml:space="preserve">146</w:t>
            </w:r>
          </w:p>
        </w:tc>
        <w:tc>
          <w:tcPr/>
          <w:p>
            <w:pPr>
              <w:pStyle w:val="Compact"/>
              <w:jc w:val="right"/>
            </w:pPr>
            <w:r>
              <w:rPr>
                <w:sz w:val="18"/>
              </w:rPr>
              <w:t xml:space="preserve">3,046</w:t>
            </w:r>
          </w:p>
        </w:tc>
        <w:tc>
          <w:tcPr/>
          <w:p>
            <w:pPr>
              <w:pStyle w:val="Compact"/>
              <w:jc w:val="right"/>
            </w:pPr>
            <w:r>
              <w:rPr>
                <w:sz w:val="18"/>
              </w:rPr>
              <w:t xml:space="preserve">76.4%</w:t>
            </w:r>
          </w:p>
        </w:tc>
        <w:tc>
          <w:tcPr/>
          <w:p>
            <w:pPr>
              <w:pStyle w:val="Compact"/>
              <w:jc w:val="right"/>
            </w:pPr>
            <w:r>
              <w:rPr>
                <w:sz w:val="18"/>
              </w:rPr>
              <w:t xml:space="preserve">1.1%</w:t>
            </w:r>
          </w:p>
        </w:tc>
        <w:tc>
          <w:tcPr/>
          <w:p>
            <w:pPr>
              <w:pStyle w:val="Compact"/>
              <w:jc w:val="right"/>
            </w:pPr>
            <w:r>
              <w:rPr>
                <w:sz w:val="18"/>
              </w:rPr>
              <w:t xml:space="preserve">22.5%</w:t>
            </w:r>
          </w:p>
        </w:tc>
      </w:tr>
      <w:tr>
        <w:tc>
          <w:tcPr/>
          <w:p>
            <w:pPr>
              <w:pStyle w:val="Compact"/>
            </w:pPr>
            <w:r>
              <w:rPr>
                <w:sz w:val="18"/>
              </w:rPr>
              <w:t xml:space="preserve">FY2022</w:t>
            </w:r>
          </w:p>
        </w:tc>
        <w:tc>
          <w:tcPr/>
          <w:p>
            <w:pPr>
              <w:pStyle w:val="Compact"/>
              <w:jc w:val="right"/>
            </w:pPr>
            <w:r>
              <w:rPr>
                <w:sz w:val="18"/>
              </w:rPr>
              <w:t xml:space="preserve">365</w:t>
            </w:r>
          </w:p>
        </w:tc>
        <w:tc>
          <w:tcPr/>
          <w:p>
            <w:pPr>
              <w:pStyle w:val="Compact"/>
              <w:jc w:val="right"/>
            </w:pPr>
            <w:r>
              <w:rPr>
                <w:sz w:val="18"/>
              </w:rPr>
              <w:t xml:space="preserve">25,160</w:t>
            </w:r>
          </w:p>
        </w:tc>
        <w:tc>
          <w:tcPr/>
          <w:p>
            <w:pPr>
              <w:pStyle w:val="Compact"/>
              <w:jc w:val="right"/>
            </w:pPr>
            <w:r>
              <w:rPr>
                <w:sz w:val="18"/>
              </w:rPr>
              <w:t xml:space="preserve">21,017</w:t>
            </w:r>
          </w:p>
        </w:tc>
        <w:tc>
          <w:tcPr/>
          <w:p>
            <w:pPr>
              <w:pStyle w:val="Compact"/>
              <w:jc w:val="right"/>
            </w:pPr>
            <w:r>
              <w:rPr>
                <w:sz w:val="18"/>
              </w:rPr>
              <w:t xml:space="preserve">117</w:t>
            </w:r>
          </w:p>
        </w:tc>
        <w:tc>
          <w:tcPr/>
          <w:p>
            <w:pPr>
              <w:pStyle w:val="Compact"/>
              <w:jc w:val="right"/>
            </w:pPr>
            <w:r>
              <w:rPr>
                <w:sz w:val="18"/>
              </w:rPr>
              <w:t xml:space="preserve">4,026</w:t>
            </w:r>
          </w:p>
        </w:tc>
        <w:tc>
          <w:tcPr/>
          <w:p>
            <w:pPr>
              <w:pStyle w:val="Compact"/>
              <w:jc w:val="right"/>
            </w:pPr>
            <w:r>
              <w:rPr>
                <w:sz w:val="18"/>
              </w:rPr>
              <w:t xml:space="preserve">83.5%</w:t>
            </w:r>
          </w:p>
        </w:tc>
        <w:tc>
          <w:tcPr/>
          <w:p>
            <w:pPr>
              <w:pStyle w:val="Compact"/>
              <w:jc w:val="right"/>
            </w:pPr>
            <w:r>
              <w:rPr>
                <w:sz w:val="18"/>
              </w:rPr>
              <w:t xml:space="preserve">0.5%</w:t>
            </w:r>
          </w:p>
        </w:tc>
        <w:tc>
          <w:tcPr/>
          <w:p>
            <w:pPr>
              <w:pStyle w:val="Compact"/>
              <w:jc w:val="right"/>
            </w:pPr>
            <w:r>
              <w:rPr>
                <w:sz w:val="18"/>
              </w:rPr>
              <w:t xml:space="preserve">16.0%</w:t>
            </w:r>
          </w:p>
        </w:tc>
      </w:tr>
      <w:tr>
        <w:tc>
          <w:tcPr/>
          <w:p>
            <w:pPr>
              <w:pStyle w:val="Compact"/>
            </w:pPr>
            <w:r>
              <w:rPr>
                <w:sz w:val="18"/>
              </w:rPr>
              <w:t xml:space="preserve">FY2023</w:t>
            </w:r>
          </w:p>
        </w:tc>
        <w:tc>
          <w:tcPr/>
          <w:p>
            <w:pPr>
              <w:pStyle w:val="Compact"/>
              <w:jc w:val="right"/>
            </w:pPr>
            <w:r>
              <w:rPr>
                <w:sz w:val="18"/>
              </w:rPr>
              <w:t xml:space="preserve">366</w:t>
            </w:r>
          </w:p>
        </w:tc>
        <w:tc>
          <w:tcPr/>
          <w:p>
            <w:pPr>
              <w:pStyle w:val="Compact"/>
              <w:jc w:val="right"/>
            </w:pPr>
            <w:r>
              <w:rPr>
                <w:sz w:val="18"/>
              </w:rPr>
              <w:t xml:space="preserve">9,873</w:t>
            </w:r>
          </w:p>
        </w:tc>
        <w:tc>
          <w:tcPr/>
          <w:p>
            <w:pPr>
              <w:pStyle w:val="Compact"/>
              <w:jc w:val="right"/>
            </w:pPr>
            <w:r>
              <w:rPr>
                <w:sz w:val="18"/>
              </w:rPr>
              <w:t xml:space="preserve">8,152</w:t>
            </w:r>
          </w:p>
        </w:tc>
        <w:tc>
          <w:tcPr/>
          <w:p>
            <w:pPr>
              <w:pStyle w:val="Compact"/>
              <w:jc w:val="right"/>
            </w:pPr>
            <w:r>
              <w:rPr>
                <w:sz w:val="18"/>
              </w:rPr>
              <w:t xml:space="preserve">175</w:t>
            </w:r>
          </w:p>
        </w:tc>
        <w:tc>
          <w:tcPr/>
          <w:p>
            <w:pPr>
              <w:pStyle w:val="Compact"/>
              <w:jc w:val="right"/>
            </w:pPr>
            <w:r>
              <w:rPr>
                <w:sz w:val="18"/>
              </w:rPr>
              <w:t xml:space="preserve">1,547</w:t>
            </w:r>
          </w:p>
        </w:tc>
        <w:tc>
          <w:tcPr/>
          <w:p>
            <w:pPr>
              <w:pStyle w:val="Compact"/>
              <w:jc w:val="right"/>
            </w:pPr>
            <w:r>
              <w:rPr>
                <w:sz w:val="18"/>
              </w:rPr>
              <w:t xml:space="preserve">82.6%</w:t>
            </w:r>
          </w:p>
        </w:tc>
        <w:tc>
          <w:tcPr/>
          <w:p>
            <w:pPr>
              <w:pStyle w:val="Compact"/>
              <w:jc w:val="right"/>
            </w:pPr>
            <w:r>
              <w:rPr>
                <w:sz w:val="18"/>
              </w:rPr>
              <w:t xml:space="preserve">1.8%</w:t>
            </w:r>
          </w:p>
        </w:tc>
        <w:tc>
          <w:tcPr/>
          <w:p>
            <w:pPr>
              <w:pStyle w:val="Compact"/>
              <w:jc w:val="right"/>
            </w:pPr>
            <w:r>
              <w:rPr>
                <w:sz w:val="18"/>
              </w:rPr>
              <w:t xml:space="preserve">15.7%</w:t>
            </w:r>
          </w:p>
        </w:tc>
      </w:tr>
      <w:tr>
        <w:tc>
          <w:tcPr/>
          <w:p>
            <w:pPr>
              <w:pStyle w:val="Compact"/>
            </w:pPr>
            <w:r>
              <w:rPr>
                <w:sz w:val="18"/>
              </w:rPr>
              <w:t xml:space="preserve">FY2024</w:t>
            </w:r>
          </w:p>
        </w:tc>
        <w:tc>
          <w:tcPr/>
          <w:p>
            <w:pPr>
              <w:pStyle w:val="Compact"/>
              <w:jc w:val="right"/>
            </w:pPr>
            <w:r>
              <w:rPr>
                <w:sz w:val="18"/>
              </w:rPr>
              <w:t xml:space="preserve">365</w:t>
            </w:r>
          </w:p>
        </w:tc>
        <w:tc>
          <w:tcPr/>
          <w:p>
            <w:pPr>
              <w:pStyle w:val="Compact"/>
              <w:jc w:val="right"/>
            </w:pPr>
            <w:r>
              <w:rPr>
                <w:sz w:val="18"/>
              </w:rPr>
              <w:t xml:space="preserve">9,586</w:t>
            </w:r>
          </w:p>
        </w:tc>
        <w:tc>
          <w:tcPr/>
          <w:p>
            <w:pPr>
              <w:pStyle w:val="Compact"/>
              <w:jc w:val="right"/>
            </w:pPr>
            <w:r>
              <w:rPr>
                <w:sz w:val="18"/>
              </w:rPr>
              <w:t xml:space="preserve">7,724</w:t>
            </w:r>
          </w:p>
        </w:tc>
        <w:tc>
          <w:tcPr/>
          <w:p>
            <w:pPr>
              <w:pStyle w:val="Compact"/>
              <w:jc w:val="right"/>
            </w:pPr>
            <w:r>
              <w:rPr>
                <w:sz w:val="18"/>
              </w:rPr>
              <w:t xml:space="preserve">185</w:t>
            </w:r>
          </w:p>
        </w:tc>
        <w:tc>
          <w:tcPr/>
          <w:p>
            <w:pPr>
              <w:pStyle w:val="Compact"/>
              <w:jc w:val="right"/>
            </w:pPr>
            <w:r>
              <w:rPr>
                <w:sz w:val="18"/>
              </w:rPr>
              <w:t xml:space="preserve">1,677</w:t>
            </w:r>
          </w:p>
        </w:tc>
        <w:tc>
          <w:tcPr/>
          <w:p>
            <w:pPr>
              <w:pStyle w:val="Compact"/>
              <w:jc w:val="right"/>
            </w:pPr>
            <w:r>
              <w:rPr>
                <w:sz w:val="18"/>
              </w:rPr>
              <w:t xml:space="preserve">80.6%</w:t>
            </w:r>
          </w:p>
        </w:tc>
        <w:tc>
          <w:tcPr/>
          <w:p>
            <w:pPr>
              <w:pStyle w:val="Compact"/>
              <w:jc w:val="right"/>
            </w:pPr>
            <w:r>
              <w:rPr>
                <w:sz w:val="18"/>
              </w:rPr>
              <w:t xml:space="preserve">1.9%</w:t>
            </w:r>
          </w:p>
        </w:tc>
        <w:tc>
          <w:tcPr/>
          <w:p>
            <w:pPr>
              <w:pStyle w:val="Compact"/>
              <w:jc w:val="right"/>
            </w:pPr>
            <w:r>
              <w:rPr>
                <w:sz w:val="18"/>
              </w:rPr>
              <w:t xml:space="preserve">17.5%</w:t>
            </w:r>
          </w:p>
        </w:tc>
      </w:tr>
      <w:tr>
        <w:tc>
          <w:tcPr/>
          <w:p>
            <w:pPr>
              <w:pStyle w:val="Compact"/>
            </w:pPr>
            <w:r>
              <w:rPr>
                <w:sz w:val="18"/>
              </w:rPr>
              <w:t xml:space="preserve">FY2025</w:t>
            </w:r>
          </w:p>
        </w:tc>
        <w:tc>
          <w:tcPr/>
          <w:p>
            <w:pPr>
              <w:pStyle w:val="Compact"/>
              <w:jc w:val="right"/>
            </w:pPr>
            <w:r>
              <w:rPr>
                <w:sz w:val="18"/>
              </w:rPr>
              <w:t xml:space="preserve">365</w:t>
            </w:r>
          </w:p>
        </w:tc>
        <w:tc>
          <w:tcPr/>
          <w:p>
            <w:pPr>
              <w:pStyle w:val="Compact"/>
              <w:jc w:val="right"/>
            </w:pPr>
            <w:r>
              <w:rPr>
                <w:sz w:val="18"/>
              </w:rPr>
              <w:t xml:space="preserve">11,493</w:t>
            </w:r>
          </w:p>
        </w:tc>
        <w:tc>
          <w:tcPr/>
          <w:p>
            <w:pPr>
              <w:pStyle w:val="Compact"/>
              <w:jc w:val="right"/>
            </w:pPr>
            <w:r>
              <w:rPr>
                <w:sz w:val="18"/>
              </w:rPr>
              <w:t xml:space="preserve">9,406</w:t>
            </w:r>
          </w:p>
        </w:tc>
        <w:tc>
          <w:tcPr/>
          <w:p>
            <w:pPr>
              <w:pStyle w:val="Compact"/>
              <w:jc w:val="right"/>
            </w:pPr>
            <w:r>
              <w:rPr>
                <w:sz w:val="18"/>
              </w:rPr>
              <w:t xml:space="preserve">264</w:t>
            </w:r>
          </w:p>
        </w:tc>
        <w:tc>
          <w:tcPr/>
          <w:p>
            <w:pPr>
              <w:pStyle w:val="Compact"/>
              <w:jc w:val="right"/>
            </w:pPr>
            <w:r>
              <w:rPr>
                <w:sz w:val="18"/>
              </w:rPr>
              <w:t xml:space="preserve">1,822</w:t>
            </w:r>
          </w:p>
        </w:tc>
        <w:tc>
          <w:tcPr/>
          <w:p>
            <w:pPr>
              <w:pStyle w:val="Compact"/>
              <w:jc w:val="right"/>
            </w:pPr>
            <w:r>
              <w:rPr>
                <w:sz w:val="18"/>
              </w:rPr>
              <w:t xml:space="preserve">81.8%</w:t>
            </w:r>
          </w:p>
        </w:tc>
        <w:tc>
          <w:tcPr/>
          <w:p>
            <w:pPr>
              <w:pStyle w:val="Compact"/>
              <w:jc w:val="right"/>
            </w:pPr>
            <w:r>
              <w:rPr>
                <w:sz w:val="18"/>
              </w:rPr>
              <w:t xml:space="preserve">2.3%</w:t>
            </w:r>
          </w:p>
        </w:tc>
        <w:tc>
          <w:tcPr/>
          <w:p>
            <w:pPr>
              <w:pStyle w:val="Compact"/>
              <w:jc w:val="right"/>
            </w:pPr>
            <w:r>
              <w:rPr>
                <w:sz w:val="18"/>
              </w:rPr>
              <w:t xml:space="preserve">15.9%</w:t>
            </w:r>
          </w:p>
        </w:tc>
      </w:tr>
      <w:tr>
        <w:tc>
          <w:tcPr/>
          <w:p>
            <w:pPr>
              <w:pStyle w:val="Compact"/>
            </w:pPr>
            <w:r>
              <w:rPr>
                <w:sz w:val="18"/>
              </w:rPr>
              <w:t xml:space="preserve">FY2023〜25 </w:t>
            </w:r>
            <w:r>
              <w:rPr>
                <w:rFonts w:hint="eastAsia"/>
                <w:sz w:val="18"/>
              </w:rPr>
              <w:t xml:space="preserve">平均</w:t>
            </w:r>
          </w:p>
        </w:tc>
        <w:tc>
          <w:tcPr/>
          <w:p>
            <w:pPr>
              <w:pStyle w:val="Compact"/>
            </w:pPr>
          </w:p>
        </w:tc>
        <w:tc>
          <w:tcPr/>
          <w:p>
            <w:pPr>
              <w:pStyle w:val="Compact"/>
              <w:jc w:val="right"/>
            </w:pPr>
            <w:r>
              <w:rPr>
                <w:sz w:val="18"/>
              </w:rPr>
              <w:t xml:space="preserve">10,317</w:t>
            </w:r>
          </w:p>
        </w:tc>
        <w:tc>
          <w:tcPr/>
          <w:p>
            <w:pPr>
              <w:pStyle w:val="Compact"/>
              <w:jc w:val="right"/>
            </w:pPr>
            <w:r>
              <w:rPr>
                <w:sz w:val="18"/>
              </w:rPr>
              <w:t xml:space="preserve">8,427</w:t>
            </w:r>
          </w:p>
        </w:tc>
        <w:tc>
          <w:tcPr/>
          <w:p>
            <w:pPr>
              <w:pStyle w:val="Compact"/>
              <w:jc w:val="right"/>
            </w:pPr>
            <w:r>
              <w:rPr>
                <w:sz w:val="18"/>
              </w:rPr>
              <w:t xml:space="preserve">208</w:t>
            </w:r>
          </w:p>
        </w:tc>
        <w:tc>
          <w:tcPr/>
          <w:p>
            <w:pPr>
              <w:pStyle w:val="Compact"/>
              <w:jc w:val="right"/>
            </w:pPr>
            <w:r>
              <w:rPr>
                <w:sz w:val="18"/>
              </w:rPr>
              <w:t xml:space="preserve">1,682</w:t>
            </w:r>
          </w:p>
        </w:tc>
        <w:tc>
          <w:tcPr/>
          <w:p>
            <w:pPr>
              <w:pStyle w:val="Compact"/>
              <w:jc w:val="right"/>
            </w:pPr>
            <w:r>
              <w:rPr>
                <w:sz w:val="18"/>
              </w:rPr>
              <w:t xml:space="preserve">81.7%</w:t>
            </w:r>
          </w:p>
        </w:tc>
        <w:tc>
          <w:tcPr/>
          <w:p>
            <w:pPr>
              <w:pStyle w:val="Compact"/>
              <w:jc w:val="right"/>
            </w:pPr>
            <w:r>
              <w:rPr>
                <w:sz w:val="18"/>
              </w:rPr>
              <w:t xml:space="preserve">2.0%</w:t>
            </w:r>
          </w:p>
        </w:tc>
        <w:tc>
          <w:tcPr/>
          <w:p>
            <w:pPr>
              <w:pStyle w:val="Compact"/>
              <w:jc w:val="right"/>
            </w:pPr>
            <w:r>
              <w:rPr>
                <w:sz w:val="18"/>
              </w:rPr>
              <w:t xml:space="preserve">16.3%</w:t>
            </w:r>
          </w:p>
        </w:tc>
      </w:tr>
      <w:tr>
        <w:tc>
          <w:tcPr/>
          <w:p>
            <w:pPr>
              <w:pStyle w:val="Compact"/>
            </w:pPr>
            <w:r>
              <w:rPr>
                <w:sz w:val="18"/>
              </w:rPr>
              <w:t xml:space="preserve">FY2016〜25 </w:t>
            </w:r>
            <w:r>
              <w:rPr>
                <w:rFonts w:hint="eastAsia"/>
                <w:sz w:val="18"/>
              </w:rPr>
              <w:t xml:space="preserve">平均</w:t>
            </w:r>
          </w:p>
        </w:tc>
        <w:tc>
          <w:tcPr/>
          <w:p>
            <w:pPr>
              <w:pStyle w:val="Compact"/>
            </w:pPr>
          </w:p>
        </w:tc>
        <w:tc>
          <w:tcPr/>
          <w:p>
            <w:pPr>
              <w:pStyle w:val="Compact"/>
              <w:jc w:val="right"/>
            </w:pPr>
            <w:r>
              <w:rPr>
                <w:sz w:val="18"/>
              </w:rPr>
              <w:t xml:space="preserve">12,174</w:t>
            </w:r>
          </w:p>
        </w:tc>
        <w:tc>
          <w:tcPr/>
          <w:p>
            <w:pPr>
              <w:pStyle w:val="Compact"/>
              <w:jc w:val="right"/>
            </w:pPr>
            <w:r>
              <w:rPr>
                <w:sz w:val="18"/>
              </w:rPr>
              <w:t xml:space="preserve">9,905</w:t>
            </w:r>
          </w:p>
        </w:tc>
        <w:tc>
          <w:tcPr/>
          <w:p>
            <w:pPr>
              <w:pStyle w:val="Compact"/>
              <w:jc w:val="right"/>
            </w:pPr>
            <w:r>
              <w:rPr>
                <w:sz w:val="18"/>
              </w:rPr>
              <w:t xml:space="preserve">114</w:t>
            </w:r>
          </w:p>
        </w:tc>
        <w:tc>
          <w:tcPr/>
          <w:p>
            <w:pPr>
              <w:pStyle w:val="Compact"/>
              <w:jc w:val="right"/>
            </w:pPr>
            <w:r>
              <w:rPr>
                <w:sz w:val="18"/>
              </w:rPr>
              <w:t xml:space="preserve">2,155</w:t>
            </w:r>
          </w:p>
        </w:tc>
        <w:tc>
          <w:tcPr/>
          <w:p>
            <w:pPr>
              <w:pStyle w:val="Compact"/>
              <w:jc w:val="right"/>
            </w:pPr>
            <w:r>
              <w:rPr>
                <w:sz w:val="18"/>
              </w:rPr>
              <w:t xml:space="preserve">81.4%</w:t>
            </w:r>
          </w:p>
        </w:tc>
        <w:tc>
          <w:tcPr/>
          <w:p>
            <w:pPr>
              <w:pStyle w:val="Compact"/>
              <w:jc w:val="right"/>
            </w:pPr>
            <w:r>
              <w:rPr>
                <w:sz w:val="18"/>
              </w:rPr>
              <w:t xml:space="preserve">0.9%</w:t>
            </w:r>
          </w:p>
        </w:tc>
        <w:tc>
          <w:tcPr/>
          <w:p>
            <w:pPr>
              <w:pStyle w:val="Compact"/>
              <w:jc w:val="right"/>
            </w:pPr>
            <w:r>
              <w:rPr>
                <w:sz w:val="18"/>
              </w:rPr>
              <w:t xml:space="preserve">17.7%</w:t>
            </w:r>
          </w:p>
        </w:tc>
      </w:tr>
      <w:tr>
        <w:tc>
          <w:tcPr/>
          <w:p>
            <w:pPr>
              <w:pStyle w:val="Compact"/>
            </w:pPr>
            <w:r>
              <w:rPr>
                <w:rFonts w:hint="eastAsia"/>
                <w:b/>
                <w:bCs/>
                <w:sz w:val="18"/>
              </w:rPr>
              <w:t xml:space="preserve">パネルB：FY2023〜25</w:t>
            </w:r>
            <w:r>
              <w:rPr>
                <w:b/>
                <w:bCs/>
                <w:sz w:val="18"/>
              </w:rPr>
              <w:t xml:space="preserve"> </w:t>
            </w:r>
            <w:r>
              <w:rPr>
                <w:rFonts w:hint="eastAsia"/>
                <w:b/>
                <w:bCs/>
                <w:sz w:val="18"/>
              </w:rPr>
              <w:t xml:space="preserve">の季節×風力の三分位（円/kW-日の日平均）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sz w:val="18"/>
              </w:rPr>
              <w:t xml:space="preserve">夏・全体</w:t>
            </w:r>
          </w:p>
        </w:tc>
        <w:tc>
          <w:tcPr/>
          <w:p>
            <w:pPr>
              <w:pStyle w:val="Compact"/>
              <w:jc w:val="right"/>
            </w:pPr>
            <w:r>
              <w:rPr>
                <w:sz w:val="18"/>
              </w:rPr>
              <w:t xml:space="preserve">276</w:t>
            </w:r>
          </w:p>
        </w:tc>
        <w:tc>
          <w:tcPr/>
          <w:p>
            <w:pPr>
              <w:pStyle w:val="Compact"/>
              <w:jc w:val="right"/>
            </w:pPr>
            <w:r>
              <w:rPr>
                <w:sz w:val="18"/>
              </w:rPr>
              <w:t xml:space="preserve">32.38</w:t>
            </w:r>
          </w:p>
        </w:tc>
        <w:tc>
          <w:tcPr/>
          <w:p>
            <w:pPr>
              <w:pStyle w:val="Compact"/>
              <w:jc w:val="right"/>
            </w:pPr>
            <w:r>
              <w:rPr>
                <w:sz w:val="18"/>
              </w:rPr>
              <w:t xml:space="preserve">27.89</w:t>
            </w:r>
          </w:p>
        </w:tc>
        <w:tc>
          <w:tcPr/>
          <w:p>
            <w:pPr>
              <w:pStyle w:val="Compact"/>
              <w:jc w:val="right"/>
            </w:pPr>
            <w:r>
              <w:rPr>
                <w:sz w:val="18"/>
              </w:rPr>
              <w:t xml:space="preserve">0.06</w:t>
            </w:r>
          </w:p>
        </w:tc>
        <w:tc>
          <w:tcPr/>
          <w:p>
            <w:pPr>
              <w:pStyle w:val="Compact"/>
              <w:jc w:val="right"/>
            </w:pPr>
            <w:r>
              <w:rPr>
                <w:sz w:val="18"/>
              </w:rPr>
              <w:t xml:space="preserve">4.43</w:t>
            </w:r>
          </w:p>
        </w:tc>
        <w:tc>
          <w:tcPr/>
          <w:p>
            <w:pPr>
              <w:pStyle w:val="Compact"/>
              <w:jc w:val="right"/>
            </w:pPr>
            <w:r>
              <w:rPr>
                <w:sz w:val="18"/>
              </w:rPr>
              <w:t xml:space="preserve">86.1%</w:t>
            </w:r>
          </w:p>
        </w:tc>
        <w:tc>
          <w:tcPr/>
          <w:p>
            <w:pPr>
              <w:pStyle w:val="Compact"/>
              <w:jc w:val="right"/>
            </w:pPr>
            <w:r>
              <w:rPr>
                <w:sz w:val="18"/>
              </w:rPr>
              <w:t xml:space="preserve">0.2%</w:t>
            </w:r>
          </w:p>
        </w:tc>
        <w:tc>
          <w:tcPr/>
          <w:p>
            <w:pPr>
              <w:pStyle w:val="Compact"/>
              <w:jc w:val="right"/>
            </w:pPr>
            <w:r>
              <w:rPr>
                <w:sz w:val="18"/>
              </w:rPr>
              <w:t xml:space="preserve">13.7%</w:t>
            </w:r>
          </w:p>
        </w:tc>
      </w:tr>
      <w:tr>
        <w:tc>
          <w:tcPr/>
          <w:p>
            <w:pPr>
              <w:pStyle w:val="Compact"/>
            </w:pPr>
            <w:r>
              <w:rPr>
                <w:rFonts w:hint="eastAsia"/>
                <w:sz w:val="18"/>
              </w:rPr>
              <w:t xml:space="preserve">夏・風力小</w:t>
            </w:r>
          </w:p>
        </w:tc>
        <w:tc>
          <w:tcPr/>
          <w:p>
            <w:pPr>
              <w:pStyle w:val="Compact"/>
              <w:jc w:val="right"/>
            </w:pPr>
            <w:r>
              <w:rPr>
                <w:sz w:val="18"/>
              </w:rPr>
              <w:t xml:space="preserve">92</w:t>
            </w:r>
          </w:p>
        </w:tc>
        <w:tc>
          <w:tcPr/>
          <w:p>
            <w:pPr>
              <w:pStyle w:val="Compact"/>
              <w:jc w:val="right"/>
            </w:pPr>
            <w:r>
              <w:rPr>
                <w:sz w:val="18"/>
              </w:rPr>
              <w:t xml:space="preserve">31.64</w:t>
            </w:r>
          </w:p>
        </w:tc>
        <w:tc>
          <w:tcPr/>
          <w:p>
            <w:pPr>
              <w:pStyle w:val="Compact"/>
              <w:jc w:val="right"/>
            </w:pPr>
            <w:r>
              <w:rPr>
                <w:sz w:val="18"/>
              </w:rPr>
              <w:t xml:space="preserve">27.27</w:t>
            </w:r>
          </w:p>
        </w:tc>
        <w:tc>
          <w:tcPr/>
          <w:p>
            <w:pPr>
              <w:pStyle w:val="Compact"/>
              <w:jc w:val="right"/>
            </w:pPr>
            <w:r>
              <w:rPr>
                <w:sz w:val="18"/>
              </w:rPr>
              <w:t xml:space="preserve">0.08</w:t>
            </w:r>
          </w:p>
        </w:tc>
        <w:tc>
          <w:tcPr/>
          <w:p>
            <w:pPr>
              <w:pStyle w:val="Compact"/>
              <w:jc w:val="right"/>
            </w:pPr>
            <w:r>
              <w:rPr>
                <w:sz w:val="18"/>
              </w:rPr>
              <w:t xml:space="preserve">4.29</w:t>
            </w:r>
          </w:p>
        </w:tc>
        <w:tc>
          <w:tcPr/>
          <w:p>
            <w:pPr>
              <w:pStyle w:val="Compact"/>
              <w:jc w:val="right"/>
            </w:pPr>
            <w:r>
              <w:rPr>
                <w:sz w:val="18"/>
              </w:rPr>
              <w:t xml:space="preserve">86.2%</w:t>
            </w:r>
          </w:p>
        </w:tc>
        <w:tc>
          <w:tcPr/>
          <w:p>
            <w:pPr>
              <w:pStyle w:val="Compact"/>
              <w:jc w:val="right"/>
            </w:pPr>
            <w:r>
              <w:rPr>
                <w:sz w:val="18"/>
              </w:rPr>
              <w:t xml:space="preserve">0.3%</w:t>
            </w:r>
          </w:p>
        </w:tc>
        <w:tc>
          <w:tcPr/>
          <w:p>
            <w:pPr>
              <w:pStyle w:val="Compact"/>
              <w:jc w:val="right"/>
            </w:pPr>
            <w:r>
              <w:rPr>
                <w:sz w:val="18"/>
              </w:rPr>
              <w:t xml:space="preserve">13.6%</w:t>
            </w:r>
          </w:p>
        </w:tc>
      </w:tr>
      <w:tr>
        <w:tc>
          <w:tcPr/>
          <w:p>
            <w:pPr>
              <w:pStyle w:val="Compact"/>
            </w:pPr>
            <w:r>
              <w:rPr>
                <w:rFonts w:hint="eastAsia"/>
                <w:sz w:val="18"/>
              </w:rPr>
              <w:t xml:space="preserve">夏・風力中</w:t>
            </w:r>
          </w:p>
        </w:tc>
        <w:tc>
          <w:tcPr/>
          <w:p>
            <w:pPr>
              <w:pStyle w:val="Compact"/>
              <w:jc w:val="right"/>
            </w:pPr>
            <w:r>
              <w:rPr>
                <w:sz w:val="18"/>
              </w:rPr>
              <w:t xml:space="preserve">92</w:t>
            </w:r>
          </w:p>
        </w:tc>
        <w:tc>
          <w:tcPr/>
          <w:p>
            <w:pPr>
              <w:pStyle w:val="Compact"/>
              <w:jc w:val="right"/>
            </w:pPr>
            <w:r>
              <w:rPr>
                <w:sz w:val="18"/>
              </w:rPr>
              <w:t xml:space="preserve">31.66</w:t>
            </w:r>
          </w:p>
        </w:tc>
        <w:tc>
          <w:tcPr/>
          <w:p>
            <w:pPr>
              <w:pStyle w:val="Compact"/>
              <w:jc w:val="right"/>
            </w:pPr>
            <w:r>
              <w:rPr>
                <w:sz w:val="18"/>
              </w:rPr>
              <w:t xml:space="preserve">26.76</w:t>
            </w:r>
          </w:p>
        </w:tc>
        <w:tc>
          <w:tcPr/>
          <w:p>
            <w:pPr>
              <w:pStyle w:val="Compact"/>
              <w:jc w:val="right"/>
            </w:pPr>
            <w:r>
              <w:rPr>
                <w:sz w:val="18"/>
              </w:rPr>
              <w:t xml:space="preserve">0.00</w:t>
            </w:r>
          </w:p>
        </w:tc>
        <w:tc>
          <w:tcPr/>
          <w:p>
            <w:pPr>
              <w:pStyle w:val="Compact"/>
              <w:jc w:val="right"/>
            </w:pPr>
            <w:r>
              <w:rPr>
                <w:sz w:val="18"/>
              </w:rPr>
              <w:t xml:space="preserve">4.90</w:t>
            </w:r>
          </w:p>
        </w:tc>
        <w:tc>
          <w:tcPr/>
          <w:p>
            <w:pPr>
              <w:pStyle w:val="Compact"/>
              <w:jc w:val="right"/>
            </w:pPr>
            <w:r>
              <w:rPr>
                <w:sz w:val="18"/>
              </w:rPr>
              <w:t xml:space="preserve">84.5%</w:t>
            </w:r>
          </w:p>
        </w:tc>
        <w:tc>
          <w:tcPr/>
          <w:p>
            <w:pPr>
              <w:pStyle w:val="Compact"/>
              <w:jc w:val="right"/>
            </w:pPr>
            <w:r>
              <w:rPr>
                <w:sz w:val="18"/>
              </w:rPr>
              <w:t xml:space="preserve">0.0%</w:t>
            </w:r>
          </w:p>
        </w:tc>
        <w:tc>
          <w:tcPr/>
          <w:p>
            <w:pPr>
              <w:pStyle w:val="Compact"/>
              <w:jc w:val="right"/>
            </w:pPr>
            <w:r>
              <w:rPr>
                <w:sz w:val="18"/>
              </w:rPr>
              <w:t xml:space="preserve">15.5%</w:t>
            </w:r>
          </w:p>
        </w:tc>
      </w:tr>
      <w:tr>
        <w:tc>
          <w:tcPr/>
          <w:p>
            <w:pPr>
              <w:pStyle w:val="Compact"/>
            </w:pPr>
            <w:r>
              <w:rPr>
                <w:rFonts w:hint="eastAsia"/>
                <w:sz w:val="18"/>
              </w:rPr>
              <w:t xml:space="preserve">夏・風力大</w:t>
            </w:r>
          </w:p>
        </w:tc>
        <w:tc>
          <w:tcPr/>
          <w:p>
            <w:pPr>
              <w:pStyle w:val="Compact"/>
              <w:jc w:val="right"/>
            </w:pPr>
            <w:r>
              <w:rPr>
                <w:sz w:val="18"/>
              </w:rPr>
              <w:t xml:space="preserve">92</w:t>
            </w:r>
          </w:p>
        </w:tc>
        <w:tc>
          <w:tcPr/>
          <w:p>
            <w:pPr>
              <w:pStyle w:val="Compact"/>
              <w:jc w:val="right"/>
            </w:pPr>
            <w:r>
              <w:rPr>
                <w:sz w:val="18"/>
              </w:rPr>
              <w:t xml:space="preserve">33.84</w:t>
            </w:r>
          </w:p>
        </w:tc>
        <w:tc>
          <w:tcPr/>
          <w:p>
            <w:pPr>
              <w:pStyle w:val="Compact"/>
              <w:jc w:val="right"/>
            </w:pPr>
            <w:r>
              <w:rPr>
                <w:sz w:val="18"/>
              </w:rPr>
              <w:t xml:space="preserve">29.63</w:t>
            </w:r>
          </w:p>
        </w:tc>
        <w:tc>
          <w:tcPr/>
          <w:p>
            <w:pPr>
              <w:pStyle w:val="Compact"/>
              <w:jc w:val="right"/>
            </w:pPr>
            <w:r>
              <w:rPr>
                <w:sz w:val="18"/>
              </w:rPr>
              <w:t xml:space="preserve">0.10</w:t>
            </w:r>
          </w:p>
        </w:tc>
        <w:tc>
          <w:tcPr/>
          <w:p>
            <w:pPr>
              <w:pStyle w:val="Compact"/>
              <w:jc w:val="right"/>
            </w:pPr>
            <w:r>
              <w:rPr>
                <w:sz w:val="18"/>
              </w:rPr>
              <w:t xml:space="preserve">4.10</w:t>
            </w:r>
          </w:p>
        </w:tc>
        <w:tc>
          <w:tcPr/>
          <w:p>
            <w:pPr>
              <w:pStyle w:val="Compact"/>
              <w:jc w:val="right"/>
            </w:pPr>
            <w:r>
              <w:rPr>
                <w:sz w:val="18"/>
              </w:rPr>
              <w:t xml:space="preserve">87.6%</w:t>
            </w:r>
          </w:p>
        </w:tc>
        <w:tc>
          <w:tcPr/>
          <w:p>
            <w:pPr>
              <w:pStyle w:val="Compact"/>
              <w:jc w:val="right"/>
            </w:pPr>
            <w:r>
              <w:rPr>
                <w:sz w:val="18"/>
              </w:rPr>
              <w:t xml:space="preserve">0.3%</w:t>
            </w:r>
          </w:p>
        </w:tc>
        <w:tc>
          <w:tcPr/>
          <w:p>
            <w:pPr>
              <w:pStyle w:val="Compact"/>
              <w:jc w:val="right"/>
            </w:pPr>
            <w:r>
              <w:rPr>
                <w:sz w:val="18"/>
              </w:rPr>
              <w:t xml:space="preserve">12.1%</w:t>
            </w:r>
          </w:p>
        </w:tc>
      </w:tr>
      <w:tr>
        <w:tc>
          <w:tcPr/>
          <w:p>
            <w:pPr>
              <w:pStyle w:val="Compact"/>
            </w:pPr>
            <w:r>
              <w:rPr>
                <w:rFonts w:hint="eastAsia"/>
                <w:sz w:val="18"/>
              </w:rPr>
              <w:t xml:space="preserve">冬・全体</w:t>
            </w:r>
          </w:p>
        </w:tc>
        <w:tc>
          <w:tcPr/>
          <w:p>
            <w:pPr>
              <w:pStyle w:val="Compact"/>
              <w:jc w:val="right"/>
            </w:pPr>
            <w:r>
              <w:rPr>
                <w:sz w:val="18"/>
              </w:rPr>
              <w:t xml:space="preserve">271</w:t>
            </w:r>
          </w:p>
        </w:tc>
        <w:tc>
          <w:tcPr/>
          <w:p>
            <w:pPr>
              <w:pStyle w:val="Compact"/>
              <w:jc w:val="right"/>
            </w:pPr>
            <w:r>
              <w:rPr>
                <w:sz w:val="18"/>
              </w:rPr>
              <w:t xml:space="preserve">16.81</w:t>
            </w:r>
          </w:p>
        </w:tc>
        <w:tc>
          <w:tcPr/>
          <w:p>
            <w:pPr>
              <w:pStyle w:val="Compact"/>
              <w:jc w:val="right"/>
            </w:pPr>
            <w:r>
              <w:rPr>
                <w:sz w:val="18"/>
              </w:rPr>
              <w:t xml:space="preserve">10.31</w:t>
            </w:r>
          </w:p>
        </w:tc>
        <w:tc>
          <w:tcPr/>
          <w:p>
            <w:pPr>
              <w:pStyle w:val="Compact"/>
              <w:jc w:val="right"/>
            </w:pPr>
            <w:r>
              <w:rPr>
                <w:sz w:val="18"/>
              </w:rPr>
              <w:t xml:space="preserve">1.21</w:t>
            </w:r>
          </w:p>
        </w:tc>
        <w:tc>
          <w:tcPr/>
          <w:p>
            <w:pPr>
              <w:pStyle w:val="Compact"/>
              <w:jc w:val="right"/>
            </w:pPr>
            <w:r>
              <w:rPr>
                <w:sz w:val="18"/>
              </w:rPr>
              <w:t xml:space="preserve">5.30</w:t>
            </w:r>
          </w:p>
        </w:tc>
        <w:tc>
          <w:tcPr/>
          <w:p>
            <w:pPr>
              <w:pStyle w:val="Compact"/>
              <w:jc w:val="right"/>
            </w:pPr>
            <w:r>
              <w:rPr>
                <w:sz w:val="18"/>
              </w:rPr>
              <w:t xml:space="preserve">61.3%</w:t>
            </w:r>
          </w:p>
        </w:tc>
        <w:tc>
          <w:tcPr/>
          <w:p>
            <w:pPr>
              <w:pStyle w:val="Compact"/>
              <w:jc w:val="right"/>
            </w:pPr>
            <w:r>
              <w:rPr>
                <w:sz w:val="18"/>
              </w:rPr>
              <w:t xml:space="preserve">7.2%</w:t>
            </w:r>
          </w:p>
        </w:tc>
        <w:tc>
          <w:tcPr/>
          <w:p>
            <w:pPr>
              <w:pStyle w:val="Compact"/>
              <w:jc w:val="right"/>
            </w:pPr>
            <w:r>
              <w:rPr>
                <w:sz w:val="18"/>
              </w:rPr>
              <w:t xml:space="preserve">31.5%</w:t>
            </w:r>
          </w:p>
        </w:tc>
      </w:tr>
      <w:tr>
        <w:tc>
          <w:tcPr/>
          <w:p>
            <w:pPr>
              <w:pStyle w:val="Compact"/>
            </w:pPr>
            <w:r>
              <w:rPr>
                <w:rFonts w:hint="eastAsia"/>
                <w:sz w:val="18"/>
              </w:rPr>
              <w:t xml:space="preserve">冬・風力小</w:t>
            </w:r>
          </w:p>
        </w:tc>
        <w:tc>
          <w:tcPr/>
          <w:p>
            <w:pPr>
              <w:pStyle w:val="Compact"/>
              <w:jc w:val="right"/>
            </w:pPr>
            <w:r>
              <w:rPr>
                <w:sz w:val="18"/>
              </w:rPr>
              <w:t xml:space="preserve">91</w:t>
            </w:r>
          </w:p>
        </w:tc>
        <w:tc>
          <w:tcPr/>
          <w:p>
            <w:pPr>
              <w:pStyle w:val="Compact"/>
              <w:jc w:val="right"/>
            </w:pPr>
            <w:r>
              <w:rPr>
                <w:sz w:val="18"/>
              </w:rPr>
              <w:t xml:space="preserve">18.98</w:t>
            </w:r>
          </w:p>
        </w:tc>
        <w:tc>
          <w:tcPr/>
          <w:p>
            <w:pPr>
              <w:pStyle w:val="Compact"/>
              <w:jc w:val="right"/>
            </w:pPr>
            <w:r>
              <w:rPr>
                <w:sz w:val="18"/>
              </w:rPr>
              <w:t xml:space="preserve">11.49</w:t>
            </w:r>
          </w:p>
        </w:tc>
        <w:tc>
          <w:tcPr/>
          <w:p>
            <w:pPr>
              <w:pStyle w:val="Compact"/>
              <w:jc w:val="right"/>
            </w:pPr>
            <w:r>
              <w:rPr>
                <w:sz w:val="18"/>
              </w:rPr>
              <w:t xml:space="preserve">1.30</w:t>
            </w:r>
          </w:p>
        </w:tc>
        <w:tc>
          <w:tcPr/>
          <w:p>
            <w:pPr>
              <w:pStyle w:val="Compact"/>
              <w:jc w:val="right"/>
            </w:pPr>
            <w:r>
              <w:rPr>
                <w:sz w:val="18"/>
              </w:rPr>
              <w:t xml:space="preserve">6.19</w:t>
            </w:r>
          </w:p>
        </w:tc>
        <w:tc>
          <w:tcPr/>
          <w:p>
            <w:pPr>
              <w:pStyle w:val="Compact"/>
              <w:jc w:val="right"/>
            </w:pPr>
            <w:r>
              <w:rPr>
                <w:sz w:val="18"/>
              </w:rPr>
              <w:t xml:space="preserve">60.5%</w:t>
            </w:r>
          </w:p>
        </w:tc>
        <w:tc>
          <w:tcPr/>
          <w:p>
            <w:pPr>
              <w:pStyle w:val="Compact"/>
              <w:jc w:val="right"/>
            </w:pPr>
            <w:r>
              <w:rPr>
                <w:sz w:val="18"/>
              </w:rPr>
              <w:t xml:space="preserve">6.9%</w:t>
            </w:r>
          </w:p>
        </w:tc>
        <w:tc>
          <w:tcPr/>
          <w:p>
            <w:pPr>
              <w:pStyle w:val="Compact"/>
              <w:jc w:val="right"/>
            </w:pPr>
            <w:r>
              <w:rPr>
                <w:sz w:val="18"/>
              </w:rPr>
              <w:t xml:space="preserve">32.6%</w:t>
            </w:r>
          </w:p>
        </w:tc>
      </w:tr>
      <w:tr>
        <w:tc>
          <w:tcPr/>
          <w:p>
            <w:pPr>
              <w:pStyle w:val="Compact"/>
            </w:pPr>
            <w:r>
              <w:rPr>
                <w:rFonts w:hint="eastAsia"/>
                <w:sz w:val="18"/>
              </w:rPr>
              <w:t xml:space="preserve">冬・風力中</w:t>
            </w:r>
          </w:p>
        </w:tc>
        <w:tc>
          <w:tcPr/>
          <w:p>
            <w:pPr>
              <w:pStyle w:val="Compact"/>
              <w:jc w:val="right"/>
            </w:pPr>
            <w:r>
              <w:rPr>
                <w:sz w:val="18"/>
              </w:rPr>
              <w:t xml:space="preserve">89</w:t>
            </w:r>
          </w:p>
        </w:tc>
        <w:tc>
          <w:tcPr/>
          <w:p>
            <w:pPr>
              <w:pStyle w:val="Compact"/>
              <w:jc w:val="right"/>
            </w:pPr>
            <w:r>
              <w:rPr>
                <w:sz w:val="18"/>
              </w:rPr>
              <w:t xml:space="preserve">16.14</w:t>
            </w:r>
          </w:p>
        </w:tc>
        <w:tc>
          <w:tcPr/>
          <w:p>
            <w:pPr>
              <w:pStyle w:val="Compact"/>
              <w:jc w:val="right"/>
            </w:pPr>
            <w:r>
              <w:rPr>
                <w:sz w:val="18"/>
              </w:rPr>
              <w:t xml:space="preserve">9.08</w:t>
            </w:r>
          </w:p>
        </w:tc>
        <w:tc>
          <w:tcPr/>
          <w:p>
            <w:pPr>
              <w:pStyle w:val="Compact"/>
              <w:jc w:val="right"/>
            </w:pPr>
            <w:r>
              <w:rPr>
                <w:sz w:val="18"/>
              </w:rPr>
              <w:t xml:space="preserve">1.65</w:t>
            </w:r>
          </w:p>
        </w:tc>
        <w:tc>
          <w:tcPr/>
          <w:p>
            <w:pPr>
              <w:pStyle w:val="Compact"/>
              <w:jc w:val="right"/>
            </w:pPr>
            <w:r>
              <w:rPr>
                <w:sz w:val="18"/>
              </w:rPr>
              <w:t xml:space="preserve">5.42</w:t>
            </w:r>
          </w:p>
        </w:tc>
        <w:tc>
          <w:tcPr/>
          <w:p>
            <w:pPr>
              <w:pStyle w:val="Compact"/>
              <w:jc w:val="right"/>
            </w:pPr>
            <w:r>
              <w:rPr>
                <w:sz w:val="18"/>
              </w:rPr>
              <w:t xml:space="preserve">56.2%</w:t>
            </w:r>
          </w:p>
        </w:tc>
        <w:tc>
          <w:tcPr/>
          <w:p>
            <w:pPr>
              <w:pStyle w:val="Compact"/>
              <w:jc w:val="right"/>
            </w:pPr>
            <w:r>
              <w:rPr>
                <w:sz w:val="18"/>
              </w:rPr>
              <w:t xml:space="preserve">10.2%</w:t>
            </w:r>
          </w:p>
        </w:tc>
        <w:tc>
          <w:tcPr/>
          <w:p>
            <w:pPr>
              <w:pStyle w:val="Compact"/>
              <w:jc w:val="right"/>
            </w:pPr>
            <w:r>
              <w:rPr>
                <w:sz w:val="18"/>
              </w:rPr>
              <w:t xml:space="preserve">33.6%</w:t>
            </w:r>
          </w:p>
        </w:tc>
      </w:tr>
      <w:tr>
        <w:tc>
          <w:tcPr/>
          <w:p>
            <w:pPr>
              <w:pStyle w:val="Compact"/>
            </w:pPr>
            <w:r>
              <w:rPr>
                <w:rFonts w:hint="eastAsia"/>
                <w:sz w:val="18"/>
              </w:rPr>
              <w:t xml:space="preserve">冬・風力大</w:t>
            </w:r>
          </w:p>
        </w:tc>
        <w:tc>
          <w:tcPr/>
          <w:p>
            <w:pPr>
              <w:pStyle w:val="Compact"/>
              <w:jc w:val="right"/>
            </w:pPr>
            <w:r>
              <w:rPr>
                <w:sz w:val="18"/>
              </w:rPr>
              <w:t xml:space="preserve">91</w:t>
            </w:r>
          </w:p>
        </w:tc>
        <w:tc>
          <w:tcPr/>
          <w:p>
            <w:pPr>
              <w:pStyle w:val="Compact"/>
              <w:jc w:val="right"/>
            </w:pPr>
            <w:r>
              <w:rPr>
                <w:sz w:val="18"/>
              </w:rPr>
              <w:t xml:space="preserve">15.29</w:t>
            </w:r>
          </w:p>
        </w:tc>
        <w:tc>
          <w:tcPr/>
          <w:p>
            <w:pPr>
              <w:pStyle w:val="Compact"/>
              <w:jc w:val="right"/>
            </w:pPr>
            <w:r>
              <w:rPr>
                <w:sz w:val="18"/>
              </w:rPr>
              <w:t xml:space="preserve">10.33</w:t>
            </w:r>
          </w:p>
        </w:tc>
        <w:tc>
          <w:tcPr/>
          <w:p>
            <w:pPr>
              <w:pStyle w:val="Compact"/>
              <w:jc w:val="right"/>
            </w:pPr>
            <w:r>
              <w:rPr>
                <w:sz w:val="18"/>
              </w:rPr>
              <w:t xml:space="preserve">0.68</w:t>
            </w:r>
          </w:p>
        </w:tc>
        <w:tc>
          <w:tcPr/>
          <w:p>
            <w:pPr>
              <w:pStyle w:val="Compact"/>
              <w:jc w:val="right"/>
            </w:pPr>
            <w:r>
              <w:rPr>
                <w:sz w:val="18"/>
              </w:rPr>
              <w:t xml:space="preserve">4.29</w:t>
            </w:r>
          </w:p>
        </w:tc>
        <w:tc>
          <w:tcPr/>
          <w:p>
            <w:pPr>
              <w:pStyle w:val="Compact"/>
              <w:jc w:val="right"/>
            </w:pPr>
            <w:r>
              <w:rPr>
                <w:sz w:val="18"/>
              </w:rPr>
              <w:t xml:space="preserve">67.5%</w:t>
            </w:r>
          </w:p>
        </w:tc>
        <w:tc>
          <w:tcPr/>
          <w:p>
            <w:pPr>
              <w:pStyle w:val="Compact"/>
              <w:jc w:val="right"/>
            </w:pPr>
            <w:r>
              <w:rPr>
                <w:sz w:val="18"/>
              </w:rPr>
              <w:t xml:space="preserve">4.4%</w:t>
            </w:r>
          </w:p>
        </w:tc>
        <w:tc>
          <w:tcPr/>
          <w:p>
            <w:pPr>
              <w:pStyle w:val="Compact"/>
              <w:jc w:val="right"/>
            </w:pPr>
            <w:r>
              <w:rPr>
                <w:sz w:val="18"/>
              </w:rPr>
              <w:t xml:space="preserve">28.0%</w:t>
            </w:r>
          </w:p>
        </w:tc>
      </w:tr>
      <w:tr>
        <w:tc>
          <w:tcPr/>
          <w:p>
            <w:pPr>
              <w:pStyle w:val="Compact"/>
            </w:pPr>
            <w:r>
              <w:rPr>
                <w:rFonts w:hint="eastAsia"/>
                <w:sz w:val="18"/>
              </w:rPr>
              <w:t xml:space="preserve">不需要期・全体</w:t>
            </w:r>
          </w:p>
        </w:tc>
        <w:tc>
          <w:tcPr/>
          <w:p>
            <w:pPr>
              <w:pStyle w:val="Compact"/>
              <w:jc w:val="right"/>
            </w:pPr>
            <w:r>
              <w:rPr>
                <w:sz w:val="18"/>
              </w:rPr>
              <w:t xml:space="preserve">549</w:t>
            </w:r>
          </w:p>
        </w:tc>
        <w:tc>
          <w:tcPr/>
          <w:p>
            <w:pPr>
              <w:pStyle w:val="Compact"/>
              <w:jc w:val="right"/>
            </w:pPr>
            <w:r>
              <w:rPr>
                <w:sz w:val="18"/>
              </w:rPr>
              <w:t xml:space="preserve">31.80</w:t>
            </w:r>
          </w:p>
        </w:tc>
        <w:tc>
          <w:tcPr/>
          <w:p>
            <w:pPr>
              <w:pStyle w:val="Compact"/>
              <w:jc w:val="right"/>
            </w:pPr>
            <w:r>
              <w:rPr>
                <w:sz w:val="18"/>
              </w:rPr>
              <w:t xml:space="preserve">26.94</w:t>
            </w:r>
          </w:p>
        </w:tc>
        <w:tc>
          <w:tcPr/>
          <w:p>
            <w:pPr>
              <w:pStyle w:val="Compact"/>
              <w:jc w:val="right"/>
            </w:pPr>
            <w:r>
              <w:rPr>
                <w:sz w:val="18"/>
              </w:rPr>
              <w:t xml:space="preserve">0.51</w:t>
            </w:r>
          </w:p>
        </w:tc>
        <w:tc>
          <w:tcPr/>
          <w:p>
            <w:pPr>
              <w:pStyle w:val="Compact"/>
              <w:jc w:val="right"/>
            </w:pPr>
            <w:r>
              <w:rPr>
                <w:sz w:val="18"/>
              </w:rPr>
              <w:t xml:space="preserve">4.35</w:t>
            </w:r>
          </w:p>
        </w:tc>
        <w:tc>
          <w:tcPr/>
          <w:p>
            <w:pPr>
              <w:pStyle w:val="Compact"/>
              <w:jc w:val="right"/>
            </w:pPr>
            <w:r>
              <w:rPr>
                <w:sz w:val="18"/>
              </w:rPr>
              <w:t xml:space="preserve">84.7%</w:t>
            </w:r>
          </w:p>
        </w:tc>
        <w:tc>
          <w:tcPr/>
          <w:p>
            <w:pPr>
              <w:pStyle w:val="Compact"/>
              <w:jc w:val="right"/>
            </w:pPr>
            <w:r>
              <w:rPr>
                <w:sz w:val="18"/>
              </w:rPr>
              <w:t xml:space="preserve">1.6%</w:t>
            </w:r>
          </w:p>
        </w:tc>
        <w:tc>
          <w:tcPr/>
          <w:p>
            <w:pPr>
              <w:pStyle w:val="Compact"/>
              <w:jc w:val="right"/>
            </w:pPr>
            <w:r>
              <w:rPr>
                <w:sz w:val="18"/>
              </w:rPr>
              <w:t xml:space="preserve">13.7%</w:t>
            </w:r>
          </w:p>
        </w:tc>
      </w:tr>
      <w:tr>
        <w:tc>
          <w:tcPr/>
          <w:p>
            <w:pPr>
              <w:pStyle w:val="Compact"/>
            </w:pPr>
            <w:r>
              <w:rPr>
                <w:rFonts w:hint="eastAsia"/>
                <w:sz w:val="18"/>
              </w:rPr>
              <w:t xml:space="preserve">不需要期・風力小</w:t>
            </w:r>
          </w:p>
        </w:tc>
        <w:tc>
          <w:tcPr/>
          <w:p>
            <w:pPr>
              <w:pStyle w:val="Compact"/>
              <w:jc w:val="right"/>
            </w:pPr>
            <w:r>
              <w:rPr>
                <w:sz w:val="18"/>
              </w:rPr>
              <w:t xml:space="preserve">183</w:t>
            </w:r>
          </w:p>
        </w:tc>
        <w:tc>
          <w:tcPr/>
          <w:p>
            <w:pPr>
              <w:pStyle w:val="Compact"/>
              <w:jc w:val="right"/>
            </w:pPr>
            <w:r>
              <w:rPr>
                <w:sz w:val="18"/>
              </w:rPr>
              <w:t xml:space="preserve">32.14</w:t>
            </w:r>
          </w:p>
        </w:tc>
        <w:tc>
          <w:tcPr/>
          <w:p>
            <w:pPr>
              <w:pStyle w:val="Compact"/>
              <w:jc w:val="right"/>
            </w:pPr>
            <w:r>
              <w:rPr>
                <w:sz w:val="18"/>
              </w:rPr>
              <w:t xml:space="preserve">27.07</w:t>
            </w:r>
          </w:p>
        </w:tc>
        <w:tc>
          <w:tcPr/>
          <w:p>
            <w:pPr>
              <w:pStyle w:val="Compact"/>
              <w:jc w:val="right"/>
            </w:pPr>
            <w:r>
              <w:rPr>
                <w:sz w:val="18"/>
              </w:rPr>
              <w:t xml:space="preserve">0.44</w:t>
            </w:r>
          </w:p>
        </w:tc>
        <w:tc>
          <w:tcPr/>
          <w:p>
            <w:pPr>
              <w:pStyle w:val="Compact"/>
              <w:jc w:val="right"/>
            </w:pPr>
            <w:r>
              <w:rPr>
                <w:sz w:val="18"/>
              </w:rPr>
              <w:t xml:space="preserve">4.63</w:t>
            </w:r>
          </w:p>
        </w:tc>
        <w:tc>
          <w:tcPr/>
          <w:p>
            <w:pPr>
              <w:pStyle w:val="Compact"/>
              <w:jc w:val="right"/>
            </w:pPr>
            <w:r>
              <w:rPr>
                <w:sz w:val="18"/>
              </w:rPr>
              <w:t xml:space="preserve">84.2%</w:t>
            </w:r>
          </w:p>
        </w:tc>
        <w:tc>
          <w:tcPr/>
          <w:p>
            <w:pPr>
              <w:pStyle w:val="Compact"/>
              <w:jc w:val="right"/>
            </w:pPr>
            <w:r>
              <w:rPr>
                <w:sz w:val="18"/>
              </w:rPr>
              <w:t xml:space="preserve">1.4%</w:t>
            </w:r>
          </w:p>
        </w:tc>
        <w:tc>
          <w:tcPr/>
          <w:p>
            <w:pPr>
              <w:pStyle w:val="Compact"/>
              <w:jc w:val="right"/>
            </w:pPr>
            <w:r>
              <w:rPr>
                <w:sz w:val="18"/>
              </w:rPr>
              <w:t xml:space="preserve">14.4%</w:t>
            </w:r>
          </w:p>
        </w:tc>
      </w:tr>
      <w:tr>
        <w:tc>
          <w:tcPr/>
          <w:p>
            <w:pPr>
              <w:pStyle w:val="Compact"/>
            </w:pPr>
            <w:r>
              <w:rPr>
                <w:rFonts w:hint="eastAsia"/>
                <w:sz w:val="18"/>
              </w:rPr>
              <w:t xml:space="preserve">不需要期・風力中</w:t>
            </w:r>
          </w:p>
        </w:tc>
        <w:tc>
          <w:tcPr/>
          <w:p>
            <w:pPr>
              <w:pStyle w:val="Compact"/>
              <w:jc w:val="right"/>
            </w:pPr>
            <w:r>
              <w:rPr>
                <w:sz w:val="18"/>
              </w:rPr>
              <w:t xml:space="preserve">183</w:t>
            </w:r>
          </w:p>
        </w:tc>
        <w:tc>
          <w:tcPr/>
          <w:p>
            <w:pPr>
              <w:pStyle w:val="Compact"/>
              <w:jc w:val="right"/>
            </w:pPr>
            <w:r>
              <w:rPr>
                <w:sz w:val="18"/>
              </w:rPr>
              <w:t xml:space="preserve">31.70</w:t>
            </w:r>
          </w:p>
        </w:tc>
        <w:tc>
          <w:tcPr/>
          <w:p>
            <w:pPr>
              <w:pStyle w:val="Compact"/>
              <w:jc w:val="right"/>
            </w:pPr>
            <w:r>
              <w:rPr>
                <w:sz w:val="18"/>
              </w:rPr>
              <w:t xml:space="preserve">26.85</w:t>
            </w:r>
          </w:p>
        </w:tc>
        <w:tc>
          <w:tcPr/>
          <w:p>
            <w:pPr>
              <w:pStyle w:val="Compact"/>
              <w:jc w:val="right"/>
            </w:pPr>
            <w:r>
              <w:rPr>
                <w:sz w:val="18"/>
              </w:rPr>
              <w:t xml:space="preserve">0.60</w:t>
            </w:r>
          </w:p>
        </w:tc>
        <w:tc>
          <w:tcPr/>
          <w:p>
            <w:pPr>
              <w:pStyle w:val="Compact"/>
              <w:jc w:val="right"/>
            </w:pPr>
            <w:r>
              <w:rPr>
                <w:sz w:val="18"/>
              </w:rPr>
              <w:t xml:space="preserve">4.24</w:t>
            </w:r>
          </w:p>
        </w:tc>
        <w:tc>
          <w:tcPr/>
          <w:p>
            <w:pPr>
              <w:pStyle w:val="Compact"/>
              <w:jc w:val="right"/>
            </w:pPr>
            <w:r>
              <w:rPr>
                <w:sz w:val="18"/>
              </w:rPr>
              <w:t xml:space="preserve">84.7%</w:t>
            </w:r>
          </w:p>
        </w:tc>
        <w:tc>
          <w:tcPr/>
          <w:p>
            <w:pPr>
              <w:pStyle w:val="Compact"/>
              <w:jc w:val="right"/>
            </w:pPr>
            <w:r>
              <w:rPr>
                <w:sz w:val="18"/>
              </w:rPr>
              <w:t xml:space="preserve">1.9%</w:t>
            </w:r>
          </w:p>
        </w:tc>
        <w:tc>
          <w:tcPr/>
          <w:p>
            <w:pPr>
              <w:pStyle w:val="Compact"/>
              <w:jc w:val="right"/>
            </w:pPr>
            <w:r>
              <w:rPr>
                <w:sz w:val="18"/>
              </w:rPr>
              <w:t xml:space="preserve">13.4%</w:t>
            </w:r>
          </w:p>
        </w:tc>
      </w:tr>
      <w:tr>
        <w:tc>
          <w:tcPr/>
          <w:p>
            <w:pPr>
              <w:pStyle w:val="Compact"/>
            </w:pPr>
            <w:r>
              <w:rPr>
                <w:rFonts w:hint="eastAsia"/>
                <w:sz w:val="18"/>
              </w:rPr>
              <w:t xml:space="preserve">不需要期・風力大</w:t>
            </w:r>
          </w:p>
        </w:tc>
        <w:tc>
          <w:tcPr/>
          <w:p>
            <w:pPr>
              <w:pStyle w:val="Compact"/>
              <w:jc w:val="right"/>
            </w:pPr>
            <w:r>
              <w:rPr>
                <w:sz w:val="18"/>
              </w:rPr>
              <w:t xml:space="preserve">183</w:t>
            </w:r>
          </w:p>
        </w:tc>
        <w:tc>
          <w:tcPr/>
          <w:p>
            <w:pPr>
              <w:pStyle w:val="Compact"/>
              <w:jc w:val="right"/>
            </w:pPr>
            <w:r>
              <w:rPr>
                <w:sz w:val="18"/>
              </w:rPr>
              <w:t xml:space="preserve">31.57</w:t>
            </w:r>
          </w:p>
        </w:tc>
        <w:tc>
          <w:tcPr/>
          <w:p>
            <w:pPr>
              <w:pStyle w:val="Compact"/>
              <w:jc w:val="right"/>
            </w:pPr>
            <w:r>
              <w:rPr>
                <w:sz w:val="18"/>
              </w:rPr>
              <w:t xml:space="preserve">26.91</w:t>
            </w:r>
          </w:p>
        </w:tc>
        <w:tc>
          <w:tcPr/>
          <w:p>
            <w:pPr>
              <w:pStyle w:val="Compact"/>
              <w:jc w:val="right"/>
            </w:pPr>
            <w:r>
              <w:rPr>
                <w:sz w:val="18"/>
              </w:rPr>
              <w:t xml:space="preserve">0.49</w:t>
            </w:r>
          </w:p>
        </w:tc>
        <w:tc>
          <w:tcPr/>
          <w:p>
            <w:pPr>
              <w:pStyle w:val="Compact"/>
              <w:jc w:val="right"/>
            </w:pPr>
            <w:r>
              <w:rPr>
                <w:sz w:val="18"/>
              </w:rPr>
              <w:t xml:space="preserve">4.18</w:t>
            </w:r>
          </w:p>
        </w:tc>
        <w:tc>
          <w:tcPr/>
          <w:p>
            <w:pPr>
              <w:pStyle w:val="Compact"/>
              <w:jc w:val="right"/>
            </w:pPr>
            <w:r>
              <w:rPr>
                <w:sz w:val="18"/>
              </w:rPr>
              <w:t xml:space="preserve">85.2%</w:t>
            </w:r>
          </w:p>
        </w:tc>
        <w:tc>
          <w:tcPr/>
          <w:p>
            <w:pPr>
              <w:pStyle w:val="Compact"/>
              <w:jc w:val="right"/>
            </w:pPr>
            <w:r>
              <w:rPr>
                <w:sz w:val="18"/>
              </w:rPr>
              <w:t xml:space="preserve">1.5%</w:t>
            </w:r>
          </w:p>
        </w:tc>
        <w:tc>
          <w:tcPr/>
          <w:p>
            <w:pPr>
              <w:pStyle w:val="Compact"/>
              <w:jc w:val="right"/>
            </w:pPr>
            <w:r>
              <w:rPr>
                <w:sz w:val="18"/>
              </w:rPr>
              <w:t xml:space="preserve">13.2%</w:t>
            </w:r>
          </w:p>
        </w:tc>
      </w:tr>
      <w:tr>
        <w:tc>
          <w:tcPr/>
          <w:p>
            <w:pPr>
              <w:pStyle w:val="Compact"/>
            </w:pPr>
            <w:r>
              <w:rPr>
                <w:rFonts w:hint="eastAsia"/>
                <w:sz w:val="18"/>
              </w:rPr>
              <w:t xml:space="preserve">通年・全体</w:t>
            </w:r>
          </w:p>
        </w:tc>
        <w:tc>
          <w:tcPr/>
          <w:p>
            <w:pPr>
              <w:pStyle w:val="Compact"/>
              <w:jc w:val="right"/>
            </w:pPr>
            <w:r>
              <w:rPr>
                <w:sz w:val="18"/>
              </w:rPr>
              <w:t xml:space="preserve">1,096</w:t>
            </w:r>
          </w:p>
        </w:tc>
        <w:tc>
          <w:tcPr/>
          <w:p>
            <w:pPr>
              <w:pStyle w:val="Compact"/>
              <w:jc w:val="right"/>
            </w:pPr>
            <w:r>
              <w:rPr>
                <w:sz w:val="18"/>
              </w:rPr>
              <w:t xml:space="preserve">28.24</w:t>
            </w:r>
          </w:p>
        </w:tc>
        <w:tc>
          <w:tcPr/>
          <w:p>
            <w:pPr>
              <w:pStyle w:val="Compact"/>
              <w:jc w:val="right"/>
            </w:pPr>
            <w:r>
              <w:rPr>
                <w:sz w:val="18"/>
              </w:rPr>
              <w:t xml:space="preserve">23.07</w:t>
            </w:r>
          </w:p>
        </w:tc>
        <w:tc>
          <w:tcPr/>
          <w:p>
            <w:pPr>
              <w:pStyle w:val="Compact"/>
              <w:jc w:val="right"/>
            </w:pPr>
            <w:r>
              <w:rPr>
                <w:sz w:val="18"/>
              </w:rPr>
              <w:t xml:space="preserve">0.57</w:t>
            </w:r>
          </w:p>
        </w:tc>
        <w:tc>
          <w:tcPr/>
          <w:p>
            <w:pPr>
              <w:pStyle w:val="Compact"/>
              <w:jc w:val="right"/>
            </w:pPr>
            <w:r>
              <w:rPr>
                <w:sz w:val="18"/>
              </w:rPr>
              <w:t xml:space="preserve">4.60</w:t>
            </w:r>
          </w:p>
        </w:tc>
        <w:tc>
          <w:tcPr/>
          <w:p>
            <w:pPr>
              <w:pStyle w:val="Compact"/>
              <w:jc w:val="right"/>
            </w:pPr>
            <w:r>
              <w:rPr>
                <w:sz w:val="18"/>
              </w:rPr>
              <w:t xml:space="preserve">81.7%</w:t>
            </w:r>
          </w:p>
        </w:tc>
        <w:tc>
          <w:tcPr/>
          <w:p>
            <w:pPr>
              <w:pStyle w:val="Compact"/>
              <w:jc w:val="right"/>
            </w:pPr>
            <w:r>
              <w:rPr>
                <w:sz w:val="18"/>
              </w:rPr>
              <w:t xml:space="preserve">2.0%</w:t>
            </w:r>
          </w:p>
        </w:tc>
        <w:tc>
          <w:tcPr/>
          <w:p>
            <w:pPr>
              <w:pStyle w:val="Compact"/>
              <w:jc w:val="right"/>
            </w:pPr>
            <w:r>
              <w:rPr>
                <w:sz w:val="18"/>
              </w:rPr>
              <w:t xml:space="preserve">16.3%</w:t>
            </w:r>
          </w:p>
        </w:tc>
      </w:tr>
    </w:tbl>
    <w:p>
      <w:pPr>
        <w:pStyle w:val="TableNote"/>
      </w:pPr>
      <w:r>
        <w:rPr>
          <w:rFonts w:hint="eastAsia"/>
        </w:rPr>
        <w:t xml:space="preserve">注）北海道、4時間・往復効率0.85・60分粒度、ランク法。層の定義は本文の式(6.2)による。(II)</w:t>
      </w:r>
      <w:r>
        <w:t xml:space="preserve"> </w:t>
      </w:r>
      <w:r>
        <w:rPr>
          <w:rFonts w:hint="eastAsia"/>
        </w:rPr>
        <w:t xml:space="preserve">は事後の符号で判定した休止の価値、(II)+(III)</w:t>
      </w:r>
      <w:r>
        <w:t xml:space="preserve"> </w:t>
      </w:r>
      <w:r>
        <w:rPr>
          <w:rFonts w:hint="eastAsia"/>
        </w:rPr>
        <w:t xml:space="preserve">は固定窓に対する完全情報の価値で、前日約定後に時間前市場でスポットと同じ価格で組み替えた場合の上限にあたる。パネルAは戦略</w:t>
      </w:r>
      <w:r>
        <w:t xml:space="preserve"> c </w:t>
      </w:r>
      <w:r>
        <w:rPr>
          <w:rFonts w:hint="eastAsia"/>
        </w:rPr>
        <w:t xml:space="preserve">のある日を共通標本とする年度合計で、FY2016</w:t>
      </w:r>
      <w:r>
        <w:t xml:space="preserve"> </w:t>
      </w:r>
      <w:r>
        <w:rPr>
          <w:rFonts w:hint="eastAsia"/>
        </w:rPr>
        <w:t xml:space="preserve">は系列の冒頭で戦略</w:t>
      </w:r>
      <w:r>
        <w:t xml:space="preserve"> c </w:t>
      </w:r>
      <w:r>
        <w:rPr>
          <w:rFonts w:hint="eastAsia"/>
        </w:rPr>
        <w:t xml:space="preserve">の信号を作れない10日を除く355日（全365日を分母とする実現率は84.3%）、FY2018</w:t>
      </w:r>
      <w:r>
        <w:t xml:space="preserve"> </w:t>
      </w:r>
      <w:r>
        <w:rPr>
          <w:rFonts w:hint="eastAsia"/>
        </w:rPr>
        <w:t xml:space="preserve">は北海道胆振東部地震による欠測日を除く345日（年換算していない）。端数処理のため、内訳の和が合計と1円ずれる年度がある。パネルBの三分位は、各季節内の3年プールで日次の風力発電量（出力制御前）により分ける（本文の表6.2</w:t>
      </w:r>
      <w:r>
        <w:t xml:space="preserve"> </w:t>
      </w:r>
      <w:r>
        <w:rPr>
          <w:rFonts w:hint="eastAsia"/>
        </w:rPr>
        <w:t xml:space="preserve">と同じ）。季節別の年間への寄与は、夏2,979、冬1,519、不需要期5,820円/kW-年である。</w:t>
      </w:r>
    </w:p>
    <w:p>
      <w:pPr>
        <w:pStyle w:val="TableNote"/>
      </w:pPr>
      <w:r>
        <w:rPr>
          <w:rFonts w:hint="eastAsia"/>
        </w:rPr>
        <w:t xml:space="preserve">出所）日本卸電力取引所『スポット市場取引結果』、北海道電力ネットワーク『エリア需給実績』より筆者作成。</w:t>
      </w:r>
    </w:p>
    <w:bookmarkEnd w:id="400"/>
    <w:bookmarkStart w:id="401" w:name="d.3-均衡からの乖離と契約の評価第8章"/>
    <w:p>
      <w:pPr>
        <w:pStyle w:val="Heading2"/>
      </w:pPr>
      <w:r>
        <w:t xml:space="preserve">D.3　</w:t>
      </w:r>
      <w:r>
        <w:rPr>
          <w:rFonts w:hint="eastAsia"/>
        </w:rPr>
        <w:t xml:space="preserve">均衡からの乖離と契約の評価（第8章）</w:t>
      </w:r>
    </w:p>
    <w:p>
      <w:pPr>
        <w:pStyle w:val="FirstParagraph"/>
      </w:pPr>
      <w:r>
        <w:rPr>
          <w:rFonts w:hint="eastAsia"/>
        </w:rPr>
        <w:t xml:space="preserve">表D.4</w:t>
      </w:r>
      <w:r>
        <w:t xml:space="preserve"> </w:t>
      </w:r>
      <w:r>
        <w:rPr>
          <w:rFonts w:hint="eastAsia"/>
        </w:rPr>
        <w:t xml:space="preserve">と表D.5</w:t>
      </w:r>
      <w:r>
        <w:t xml:space="preserve"> </w:t>
      </w:r>
      <w:r>
        <w:rPr>
          <w:rFonts w:hint="eastAsia"/>
        </w:rPr>
        <w:t xml:space="preserve">は、第8章の抑制と価格の対応（付録C.4.2）の根拠となる、5円/kWh</w:t>
      </w:r>
      <w:r>
        <w:t xml:space="preserve"> </w:t>
      </w:r>
      <w:r>
        <w:rPr>
          <w:rFonts w:hint="eastAsia"/>
        </w:rPr>
        <w:t xml:space="preserve">を超える風力の抑制の分類と、ローカル系統の混雑による出力制御の一覧である。</w:t>
      </w:r>
    </w:p>
    <w:p>
      <w:pPr>
        <w:pStyle w:val="TableCaption"/>
      </w:pPr>
      <w:r>
        <w:rPr>
          <w:rFonts w:hint="eastAsia"/>
        </w:rPr>
        <w:t xml:space="preserve">表D.4</w:t>
      </w:r>
      <w:r>
        <w:t xml:space="preserve">　</w:t>
      </w:r>
      <w:r>
        <w:rPr>
          <w:rFonts w:hint="eastAsia"/>
        </w:rPr>
        <w:t xml:space="preserve">5円超の風力の抑制の分類（北海道）</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D.4　5円超の風力の抑制の分類（北海道）"/>
      </w:tblPr>
      <w:tblGrid>
        <w:gridCol w:w="1033"/>
        <w:gridCol w:w="1377"/>
        <w:gridCol w:w="1377"/>
        <w:gridCol w:w="1377"/>
        <w:gridCol w:w="1377"/>
        <w:gridCol w:w="1377"/>
      </w:tblGrid>
      <w:tr>
        <w:trPr>
          <w:tblHeader w:val="on"/>
        </w:trPr>
        <w:tc>
          <w:tcPr>
            <w:tcBorders>
              <w:bottom w:val="single" w:sz="6" w:color="000000"/>
            </w:tcBorders>
          </w:tcPr>
          <w:p>
            <w:pPr>
              <w:pStyle w:val="Compact"/>
            </w:pPr>
            <w:r>
              <w:rPr>
                <w:rFonts w:hint="eastAsia"/>
                <w:sz w:val="18"/>
              </w:rPr>
              <w:t xml:space="preserve">分類</w:t>
            </w:r>
          </w:p>
        </w:tc>
        <w:tc>
          <w:tcPr>
            <w:tcBorders>
              <w:bottom w:val="single" w:sz="6" w:color="000000"/>
            </w:tcBorders>
          </w:tcPr>
          <w:p>
            <w:pPr>
              <w:pStyle w:val="Compact"/>
              <w:jc w:val="right"/>
            </w:pPr>
            <w:r>
              <w:rPr>
                <w:rFonts w:hint="eastAsia"/>
                <w:sz w:val="18"/>
              </w:rPr>
              <w:t xml:space="preserve">時間</w:t>
            </w:r>
          </w:p>
        </w:tc>
        <w:tc>
          <w:tcPr>
            <w:tcBorders>
              <w:bottom w:val="single" w:sz="6" w:color="000000"/>
            </w:tcBorders>
          </w:tcPr>
          <w:p>
            <w:pPr>
              <w:pStyle w:val="Compact"/>
              <w:jc w:val="right"/>
            </w:pPr>
            <w:r>
              <w:rPr>
                <w:rFonts w:hint="eastAsia"/>
                <w:sz w:val="18"/>
              </w:rPr>
              <w:t xml:space="preserve">時間の割合（5円超に対する%）</w:t>
            </w:r>
          </w:p>
        </w:tc>
        <w:tc>
          <w:tcPr>
            <w:tcBorders>
              <w:bottom w:val="single" w:sz="6" w:color="000000"/>
            </w:tcBorders>
          </w:tcPr>
          <w:p>
            <w:pPr>
              <w:pStyle w:val="Compact"/>
              <w:jc w:val="right"/>
            </w:pPr>
            <w:r>
              <w:rPr>
                <w:rFonts w:hint="eastAsia"/>
                <w:sz w:val="18"/>
              </w:rPr>
              <w:t xml:space="preserve">電力量（MWh）</w:t>
            </w:r>
          </w:p>
        </w:tc>
        <w:tc>
          <w:tcPr>
            <w:tcBorders>
              <w:bottom w:val="single" w:sz="6" w:color="000000"/>
            </w:tcBorders>
          </w:tcPr>
          <w:p>
            <w:pPr>
              <w:pStyle w:val="Compact"/>
              <w:jc w:val="right"/>
            </w:pPr>
            <w:r>
              <w:rPr>
                <w:rFonts w:hint="eastAsia"/>
                <w:sz w:val="18"/>
              </w:rPr>
              <w:t xml:space="preserve">電力量の割合（5円超に対する%）</w:t>
            </w:r>
          </w:p>
        </w:tc>
        <w:tc>
          <w:tcPr>
            <w:tcBorders>
              <w:bottom w:val="single" w:sz="6" w:color="000000"/>
            </w:tcBorders>
          </w:tcPr>
          <w:p>
            <w:pPr>
              <w:pStyle w:val="Compact"/>
              <w:jc w:val="right"/>
            </w:pPr>
            <w:r>
              <w:rPr>
                <w:rFonts w:hint="eastAsia"/>
                <w:sz w:val="18"/>
              </w:rPr>
              <w:t xml:space="preserve">電力量の割合（風力の抑制全体に対する%）</w:t>
            </w:r>
          </w:p>
        </w:tc>
      </w:tr>
      <w:tr>
        <w:tc>
          <w:tcPr/>
          <w:p>
            <w:pPr>
              <w:pStyle w:val="Compact"/>
            </w:pPr>
            <w:r>
              <w:rPr>
                <w:rFonts w:hint="eastAsia"/>
                <w:sz w:val="18"/>
              </w:rPr>
              <w:t xml:space="preserve">5円超の抑制（計）</w:t>
            </w:r>
          </w:p>
        </w:tc>
        <w:tc>
          <w:tcPr/>
          <w:p>
            <w:pPr>
              <w:pStyle w:val="Compact"/>
              <w:jc w:val="right"/>
            </w:pPr>
            <w:r>
              <w:rPr>
                <w:sz w:val="18"/>
              </w:rPr>
              <w:t xml:space="preserve">44</w:t>
            </w:r>
          </w:p>
        </w:tc>
        <w:tc>
          <w:tcPr/>
          <w:p>
            <w:pPr>
              <w:pStyle w:val="Compact"/>
              <w:jc w:val="right"/>
            </w:pPr>
            <w:r>
              <w:rPr>
                <w:sz w:val="18"/>
              </w:rPr>
              <w:t xml:space="preserve">100.0</w:t>
            </w:r>
          </w:p>
        </w:tc>
        <w:tc>
          <w:tcPr/>
          <w:p>
            <w:pPr>
              <w:pStyle w:val="Compact"/>
              <w:jc w:val="right"/>
            </w:pPr>
            <w:r>
              <w:rPr>
                <w:sz w:val="18"/>
              </w:rPr>
              <w:t xml:space="preserve">1,443.5</w:t>
            </w:r>
          </w:p>
        </w:tc>
        <w:tc>
          <w:tcPr/>
          <w:p>
            <w:pPr>
              <w:pStyle w:val="Compact"/>
              <w:jc w:val="right"/>
            </w:pPr>
            <w:r>
              <w:rPr>
                <w:sz w:val="18"/>
              </w:rPr>
              <w:t xml:space="preserve">100.0</w:t>
            </w:r>
          </w:p>
        </w:tc>
        <w:tc>
          <w:tcPr/>
          <w:p>
            <w:pPr>
              <w:pStyle w:val="Compact"/>
              <w:jc w:val="right"/>
            </w:pPr>
            <w:r>
              <w:rPr>
                <w:sz w:val="18"/>
              </w:rPr>
              <w:t xml:space="preserve">10.9</w:t>
            </w:r>
          </w:p>
        </w:tc>
      </w:tr>
      <w:tr>
        <w:tc>
          <w:tcPr/>
          <w:p>
            <w:pPr>
              <w:pStyle w:val="Compact"/>
            </w:pPr>
            <w:r>
              <w:rPr>
                <w:sz w:val="18"/>
              </w:rPr>
              <w:t xml:space="preserve">(i) </w:t>
            </w:r>
            <w:r>
              <w:rPr>
                <w:rFonts w:hint="eastAsia"/>
                <w:sz w:val="18"/>
              </w:rPr>
              <w:t xml:space="preserve">太陽光の抑制が同じ時間にある</w:t>
            </w:r>
          </w:p>
        </w:tc>
        <w:tc>
          <w:tcPr/>
          <w:p>
            <w:pPr>
              <w:pStyle w:val="Compact"/>
              <w:jc w:val="right"/>
            </w:pPr>
            <w:r>
              <w:rPr>
                <w:sz w:val="18"/>
              </w:rPr>
              <w:t xml:space="preserve">41</w:t>
            </w:r>
          </w:p>
        </w:tc>
        <w:tc>
          <w:tcPr/>
          <w:p>
            <w:pPr>
              <w:pStyle w:val="Compact"/>
              <w:jc w:val="right"/>
            </w:pPr>
            <w:r>
              <w:rPr>
                <w:sz w:val="18"/>
              </w:rPr>
              <w:t xml:space="preserve">93.2</w:t>
            </w:r>
          </w:p>
        </w:tc>
        <w:tc>
          <w:tcPr/>
          <w:p>
            <w:pPr>
              <w:pStyle w:val="Compact"/>
              <w:jc w:val="right"/>
            </w:pPr>
            <w:r>
              <w:rPr>
                <w:sz w:val="18"/>
              </w:rPr>
              <w:t xml:space="preserve">1,279.5</w:t>
            </w:r>
          </w:p>
        </w:tc>
        <w:tc>
          <w:tcPr/>
          <w:p>
            <w:pPr>
              <w:pStyle w:val="Compact"/>
              <w:jc w:val="right"/>
            </w:pPr>
            <w:r>
              <w:rPr>
                <w:sz w:val="18"/>
              </w:rPr>
              <w:t xml:space="preserve">88.6</w:t>
            </w:r>
          </w:p>
        </w:tc>
        <w:tc>
          <w:tcPr/>
          <w:p>
            <w:pPr>
              <w:pStyle w:val="Compact"/>
              <w:jc w:val="right"/>
            </w:pPr>
            <w:r>
              <w:rPr>
                <w:sz w:val="18"/>
              </w:rPr>
              <w:t xml:space="preserve">9.7</w:t>
            </w:r>
          </w:p>
        </w:tc>
      </w:tr>
      <w:tr>
        <w:tc>
          <w:tcPr/>
          <w:p>
            <w:pPr>
              <w:pStyle w:val="Compact"/>
            </w:pPr>
            <w:r>
              <w:rPr>
                <w:sz w:val="18"/>
              </w:rPr>
              <w:t xml:space="preserve">(ii) </w:t>
            </w:r>
            <w:r>
              <w:rPr>
                <w:rFonts w:hint="eastAsia"/>
                <w:sz w:val="18"/>
              </w:rPr>
              <w:t xml:space="preserve">同じ日に下限張り付きの時間がある</w:t>
            </w:r>
          </w:p>
        </w:tc>
        <w:tc>
          <w:tcPr/>
          <w:p>
            <w:pPr>
              <w:pStyle w:val="Compact"/>
              <w:jc w:val="right"/>
            </w:pPr>
            <w:r>
              <w:rPr>
                <w:sz w:val="18"/>
              </w:rPr>
              <w:t xml:space="preserve">18</w:t>
            </w:r>
          </w:p>
        </w:tc>
        <w:tc>
          <w:tcPr/>
          <w:p>
            <w:pPr>
              <w:pStyle w:val="Compact"/>
              <w:jc w:val="right"/>
            </w:pPr>
            <w:r>
              <w:rPr>
                <w:sz w:val="18"/>
              </w:rPr>
              <w:t xml:space="preserve">40.9</w:t>
            </w:r>
          </w:p>
        </w:tc>
        <w:tc>
          <w:tcPr/>
          <w:p>
            <w:pPr>
              <w:pStyle w:val="Compact"/>
              <w:jc w:val="right"/>
            </w:pPr>
            <w:r>
              <w:rPr>
                <w:sz w:val="18"/>
              </w:rPr>
              <w:t xml:space="preserve">324.0</w:t>
            </w:r>
          </w:p>
        </w:tc>
        <w:tc>
          <w:tcPr/>
          <w:p>
            <w:pPr>
              <w:pStyle w:val="Compact"/>
              <w:jc w:val="right"/>
            </w:pPr>
            <w:r>
              <w:rPr>
                <w:sz w:val="18"/>
              </w:rPr>
              <w:t xml:space="preserve">22.4</w:t>
            </w:r>
          </w:p>
        </w:tc>
        <w:tc>
          <w:tcPr/>
          <w:p>
            <w:pPr>
              <w:pStyle w:val="Compact"/>
              <w:jc w:val="right"/>
            </w:pPr>
            <w:r>
              <w:rPr>
                <w:sz w:val="18"/>
              </w:rPr>
              <w:t xml:space="preserve">2.5</w:t>
            </w:r>
          </w:p>
        </w:tc>
      </w:tr>
      <w:tr>
        <w:tc>
          <w:tcPr/>
          <w:p>
            <w:pPr>
              <w:pStyle w:val="Compact"/>
            </w:pPr>
            <w:r>
              <w:rPr>
                <w:sz w:val="18"/>
              </w:rPr>
              <w:t xml:space="preserve">(iii) </w:t>
            </w:r>
            <w:r>
              <w:rPr>
                <w:rFonts w:hint="eastAsia"/>
                <w:sz w:val="18"/>
              </w:rPr>
              <w:t xml:space="preserve">再エネの抑制が続いた時間帯の最初か最後</w:t>
            </w:r>
          </w:p>
        </w:tc>
        <w:tc>
          <w:tcPr/>
          <w:p>
            <w:pPr>
              <w:pStyle w:val="Compact"/>
              <w:jc w:val="right"/>
            </w:pPr>
            <w:r>
              <w:rPr>
                <w:sz w:val="18"/>
              </w:rPr>
              <w:t xml:space="preserve">28</w:t>
            </w:r>
          </w:p>
        </w:tc>
        <w:tc>
          <w:tcPr/>
          <w:p>
            <w:pPr>
              <w:pStyle w:val="Compact"/>
              <w:jc w:val="right"/>
            </w:pPr>
            <w:r>
              <w:rPr>
                <w:sz w:val="18"/>
              </w:rPr>
              <w:t xml:space="preserve">63.6</w:t>
            </w:r>
          </w:p>
        </w:tc>
        <w:tc>
          <w:tcPr/>
          <w:p>
            <w:pPr>
              <w:pStyle w:val="Compact"/>
              <w:jc w:val="right"/>
            </w:pPr>
            <w:r>
              <w:rPr>
                <w:sz w:val="18"/>
              </w:rPr>
              <w:t xml:space="preserve">868.0</w:t>
            </w:r>
          </w:p>
        </w:tc>
        <w:tc>
          <w:tcPr/>
          <w:p>
            <w:pPr>
              <w:pStyle w:val="Compact"/>
              <w:jc w:val="right"/>
            </w:pPr>
            <w:r>
              <w:rPr>
                <w:sz w:val="18"/>
              </w:rPr>
              <w:t xml:space="preserve">60.1</w:t>
            </w:r>
          </w:p>
        </w:tc>
        <w:tc>
          <w:tcPr/>
          <w:p>
            <w:pPr>
              <w:pStyle w:val="Compact"/>
              <w:jc w:val="right"/>
            </w:pPr>
            <w:r>
              <w:rPr>
                <w:sz w:val="18"/>
              </w:rPr>
              <w:t xml:space="preserve">6.6</w:t>
            </w:r>
          </w:p>
        </w:tc>
      </w:tr>
      <w:tr>
        <w:tc>
          <w:tcPr/>
          <w:p>
            <w:pPr>
              <w:pStyle w:val="Compact"/>
            </w:pPr>
            <w:r>
              <w:rPr>
                <w:sz w:val="18"/>
              </w:rPr>
              <w:t xml:space="preserve">(i)〜(iii) のいずれか</w:t>
            </w:r>
          </w:p>
        </w:tc>
        <w:tc>
          <w:tcPr/>
          <w:p>
            <w:pPr>
              <w:pStyle w:val="Compact"/>
              <w:jc w:val="right"/>
            </w:pPr>
            <w:r>
              <w:rPr>
                <w:sz w:val="18"/>
              </w:rPr>
              <w:t xml:space="preserve">44</w:t>
            </w:r>
          </w:p>
        </w:tc>
        <w:tc>
          <w:tcPr/>
          <w:p>
            <w:pPr>
              <w:pStyle w:val="Compact"/>
              <w:jc w:val="right"/>
            </w:pPr>
            <w:r>
              <w:rPr>
                <w:sz w:val="18"/>
              </w:rPr>
              <w:t xml:space="preserve">100.0</w:t>
            </w:r>
          </w:p>
        </w:tc>
        <w:tc>
          <w:tcPr/>
          <w:p>
            <w:pPr>
              <w:pStyle w:val="Compact"/>
              <w:jc w:val="right"/>
            </w:pPr>
            <w:r>
              <w:rPr>
                <w:sz w:val="18"/>
              </w:rPr>
              <w:t xml:space="preserve">1,443.5</w:t>
            </w:r>
          </w:p>
        </w:tc>
        <w:tc>
          <w:tcPr/>
          <w:p>
            <w:pPr>
              <w:pStyle w:val="Compact"/>
              <w:jc w:val="right"/>
            </w:pPr>
            <w:r>
              <w:rPr>
                <w:sz w:val="18"/>
              </w:rPr>
              <w:t xml:space="preserve">100.0</w:t>
            </w:r>
          </w:p>
        </w:tc>
        <w:tc>
          <w:tcPr/>
          <w:p>
            <w:pPr>
              <w:pStyle w:val="Compact"/>
              <w:jc w:val="right"/>
            </w:pPr>
            <w:r>
              <w:rPr>
                <w:sz w:val="18"/>
              </w:rPr>
              <w:t xml:space="preserve">10.9</w:t>
            </w:r>
          </w:p>
        </w:tc>
      </w:tr>
      <w:tr>
        <w:tc>
          <w:tcPr/>
          <w:p>
            <w:pPr>
              <w:pStyle w:val="Compact"/>
            </w:pPr>
            <w:r>
              <w:rPr>
                <w:sz w:val="18"/>
              </w:rPr>
              <w:t xml:space="preserve">(i)〜(iii) </w:t>
            </w:r>
            <w:r>
              <w:rPr>
                <w:rFonts w:hint="eastAsia"/>
                <w:sz w:val="18"/>
              </w:rPr>
              <w:t xml:space="preserve">のどれにも当たらない</w:t>
            </w:r>
          </w:p>
        </w:tc>
        <w:tc>
          <w:tcPr/>
          <w:p>
            <w:pPr>
              <w:pStyle w:val="Compact"/>
              <w:jc w:val="right"/>
            </w:pPr>
            <w:r>
              <w:rPr>
                <w:sz w:val="18"/>
              </w:rPr>
              <w:t xml:space="preserve">0</w:t>
            </w:r>
          </w:p>
        </w:tc>
        <w:tc>
          <w:tcPr/>
          <w:p>
            <w:pPr>
              <w:pStyle w:val="Compact"/>
              <w:jc w:val="right"/>
            </w:pPr>
            <w:r>
              <w:rPr>
                <w:sz w:val="18"/>
              </w:rPr>
              <w:t xml:space="preserve">0.0</w:t>
            </w:r>
          </w:p>
        </w:tc>
        <w:tc>
          <w:tcPr/>
          <w:p>
            <w:pPr>
              <w:pStyle w:val="Compact"/>
              <w:jc w:val="right"/>
            </w:pPr>
            <w:r>
              <w:rPr>
                <w:sz w:val="18"/>
              </w:rPr>
              <w:t xml:space="preserve">0.0</w:t>
            </w:r>
          </w:p>
        </w:tc>
        <w:tc>
          <w:tcPr/>
          <w:p>
            <w:pPr>
              <w:pStyle w:val="Compact"/>
              <w:jc w:val="right"/>
            </w:pPr>
            <w:r>
              <w:rPr>
                <w:sz w:val="18"/>
              </w:rPr>
              <w:t xml:space="preserve">0.0</w:t>
            </w:r>
          </w:p>
        </w:tc>
        <w:tc>
          <w:tcPr/>
          <w:p>
            <w:pPr>
              <w:pStyle w:val="Compact"/>
              <w:jc w:val="right"/>
            </w:pPr>
            <w:r>
              <w:rPr>
                <w:sz w:val="18"/>
              </w:rPr>
              <w:t xml:space="preserve">0.0</w:t>
            </w:r>
          </w:p>
        </w:tc>
      </w:tr>
      <w:tr>
        <w:tc>
          <w:tcPr/>
          <w:p>
            <w:pPr>
              <w:pStyle w:val="Compact"/>
            </w:pPr>
            <w:r>
              <w:rPr>
                <w:sz w:val="18"/>
              </w:rPr>
              <w:t xml:space="preserve">(iv) </w:t>
            </w:r>
            <w:r>
              <w:rPr>
                <w:rFonts w:hint="eastAsia"/>
                <w:sz w:val="18"/>
              </w:rPr>
              <w:t xml:space="preserve">ローカル制御の公表された日時にあたる</w:t>
            </w:r>
          </w:p>
        </w:tc>
        <w:tc>
          <w:tcPr/>
          <w:p>
            <w:pPr>
              <w:pStyle w:val="Compact"/>
              <w:jc w:val="right"/>
            </w:pPr>
            <w:r>
              <w:rPr>
                <w:sz w:val="18"/>
              </w:rPr>
              <w:t xml:space="preserve">7</w:t>
            </w:r>
          </w:p>
        </w:tc>
        <w:tc>
          <w:tcPr/>
          <w:p>
            <w:pPr>
              <w:pStyle w:val="Compact"/>
              <w:jc w:val="right"/>
            </w:pPr>
            <w:r>
              <w:rPr>
                <w:sz w:val="18"/>
              </w:rPr>
              <w:t xml:space="preserve">15.9</w:t>
            </w:r>
          </w:p>
        </w:tc>
        <w:tc>
          <w:tcPr/>
          <w:p>
            <w:pPr>
              <w:pStyle w:val="Compact"/>
              <w:jc w:val="right"/>
            </w:pPr>
            <w:r>
              <w:rPr>
                <w:sz w:val="18"/>
              </w:rPr>
              <w:t xml:space="preserve">223.5</w:t>
            </w:r>
          </w:p>
        </w:tc>
        <w:tc>
          <w:tcPr/>
          <w:p>
            <w:pPr>
              <w:pStyle w:val="Compact"/>
              <w:jc w:val="right"/>
            </w:pPr>
            <w:r>
              <w:rPr>
                <w:sz w:val="18"/>
              </w:rPr>
              <w:t xml:space="preserve">15.5</w:t>
            </w:r>
          </w:p>
        </w:tc>
        <w:tc>
          <w:tcPr/>
          <w:p>
            <w:pPr>
              <w:pStyle w:val="Compact"/>
              <w:jc w:val="right"/>
            </w:pPr>
            <w:r>
              <w:rPr>
                <w:sz w:val="18"/>
              </w:rPr>
              <w:t xml:space="preserve">1.7</w:t>
            </w:r>
          </w:p>
        </w:tc>
      </w:tr>
      <w:tr>
        <w:tc>
          <w:tcPr/>
          <w:p>
            <w:pPr>
              <w:pStyle w:val="Compact"/>
            </w:pPr>
            <w:r>
              <w:rPr>
                <w:rFonts w:hint="eastAsia"/>
                <w:sz w:val="18"/>
              </w:rPr>
              <w:t xml:space="preserve">頑健性：(iii)</w:t>
            </w:r>
            <w:r>
              <w:rPr>
                <w:sz w:val="18"/>
              </w:rPr>
              <w:t xml:space="preserve"> </w:t>
            </w:r>
            <w:r>
              <w:rPr>
                <w:rFonts w:hint="eastAsia"/>
                <w:sz w:val="18"/>
              </w:rPr>
              <w:t xml:space="preserve">の判定から2.5MW</w:t>
            </w:r>
            <w:r>
              <w:rPr>
                <w:sz w:val="18"/>
              </w:rPr>
              <w:t xml:space="preserve"> </w:t>
            </w:r>
            <w:r>
              <w:rPr>
                <w:rFonts w:hint="eastAsia"/>
                <w:sz w:val="18"/>
              </w:rPr>
              <w:t xml:space="preserve">以下の太陽光の抑制（ローカル制御の規模）を除く</w:t>
            </w:r>
          </w:p>
        </w:tc>
        <w:tc>
          <w:tcPr/>
          <w:p>
            <w:pPr>
              <w:pStyle w:val="Compact"/>
              <w:jc w:val="right"/>
            </w:pPr>
            <w:r>
              <w:rPr>
                <w:sz w:val="18"/>
              </w:rPr>
              <w:t xml:space="preserve">32</w:t>
            </w:r>
          </w:p>
        </w:tc>
        <w:tc>
          <w:tcPr/>
          <w:p>
            <w:pPr>
              <w:pStyle w:val="Compact"/>
              <w:jc w:val="right"/>
            </w:pPr>
            <w:r>
              <w:rPr>
                <w:sz w:val="18"/>
              </w:rPr>
              <w:t xml:space="preserve">72.7</w:t>
            </w:r>
          </w:p>
        </w:tc>
        <w:tc>
          <w:tcPr/>
          <w:p>
            <w:pPr>
              <w:pStyle w:val="Compact"/>
              <w:jc w:val="right"/>
            </w:pPr>
            <w:r>
              <w:rPr>
                <w:sz w:val="18"/>
              </w:rPr>
              <w:t xml:space="preserve">1,051.5</w:t>
            </w:r>
          </w:p>
        </w:tc>
        <w:tc>
          <w:tcPr/>
          <w:p>
            <w:pPr>
              <w:pStyle w:val="Compact"/>
              <w:jc w:val="right"/>
            </w:pPr>
            <w:r>
              <w:rPr>
                <w:sz w:val="18"/>
              </w:rPr>
              <w:t xml:space="preserve">72.8</w:t>
            </w:r>
          </w:p>
        </w:tc>
        <w:tc>
          <w:tcPr/>
          <w:p>
            <w:pPr>
              <w:pStyle w:val="Compact"/>
              <w:jc w:val="right"/>
            </w:pPr>
            <w:r>
              <w:rPr>
                <w:sz w:val="18"/>
              </w:rPr>
              <w:t xml:space="preserve">—</w:t>
            </w:r>
          </w:p>
        </w:tc>
      </w:tr>
      <w:tr>
        <w:tc>
          <w:tcPr/>
          <w:p>
            <w:pPr>
              <w:pStyle w:val="Compact"/>
            </w:pPr>
            <w:r>
              <w:rPr>
                <w:rFonts w:hint="eastAsia"/>
                <w:sz w:val="18"/>
              </w:rPr>
              <w:t xml:space="preserve">参考：30分値で下限のコマを含む</w:t>
            </w:r>
          </w:p>
        </w:tc>
        <w:tc>
          <w:tcPr/>
          <w:p>
            <w:pPr>
              <w:pStyle w:val="Compact"/>
              <w:jc w:val="right"/>
            </w:pPr>
            <w:r>
              <w:rPr>
                <w:sz w:val="18"/>
              </w:rPr>
              <w:t xml:space="preserve">0</w:t>
            </w:r>
          </w:p>
        </w:tc>
        <w:tc>
          <w:tcPr/>
          <w:p>
            <w:pPr>
              <w:pStyle w:val="Compact"/>
              <w:jc w:val="right"/>
            </w:pPr>
            <w:r>
              <w:rPr>
                <w:sz w:val="18"/>
              </w:rPr>
              <w:t xml:space="preserve">0.0</w:t>
            </w:r>
          </w:p>
        </w:tc>
        <w:tc>
          <w:tcPr/>
          <w:p>
            <w:pPr>
              <w:pStyle w:val="Compact"/>
              <w:jc w:val="right"/>
            </w:pPr>
            <w:r>
              <w:rPr>
                <w:sz w:val="18"/>
              </w:rPr>
              <w:t xml:space="preserve">0.0</w:t>
            </w:r>
          </w:p>
        </w:tc>
        <w:tc>
          <w:tcPr/>
          <w:p>
            <w:pPr>
              <w:pStyle w:val="Compact"/>
              <w:jc w:val="right"/>
            </w:pPr>
            <w:r>
              <w:rPr>
                <w:sz w:val="18"/>
              </w:rPr>
              <w:t xml:space="preserve">0.0</w:t>
            </w:r>
          </w:p>
        </w:tc>
        <w:tc>
          <w:tcPr/>
          <w:p>
            <w:pPr>
              <w:pStyle w:val="Compact"/>
              <w:jc w:val="right"/>
            </w:pPr>
            <w:r>
              <w:rPr>
                <w:sz w:val="18"/>
              </w:rPr>
              <w:t xml:space="preserve">0.0</w:t>
            </w:r>
          </w:p>
        </w:tc>
      </w:tr>
      <w:tr>
        <w:tc>
          <w:tcPr/>
          <w:p>
            <w:pPr>
              <w:pStyle w:val="Compact"/>
            </w:pPr>
            <w:r>
              <w:rPr>
                <w:rFonts w:hint="eastAsia"/>
                <w:sz w:val="18"/>
              </w:rPr>
              <w:t xml:space="preserve">参考：風力の抑制が8MW</w:t>
            </w:r>
            <w:r>
              <w:rPr>
                <w:sz w:val="18"/>
              </w:rPr>
              <w:t xml:space="preserve"> </w:t>
            </w:r>
            <w:r>
              <w:rPr>
                <w:rFonts w:hint="eastAsia"/>
                <w:sz w:val="18"/>
              </w:rPr>
              <w:t xml:space="preserve">を超える</w:t>
            </w:r>
          </w:p>
        </w:tc>
        <w:tc>
          <w:tcPr/>
          <w:p>
            <w:pPr>
              <w:pStyle w:val="Compact"/>
              <w:jc w:val="right"/>
            </w:pPr>
            <w:r>
              <w:rPr>
                <w:sz w:val="18"/>
              </w:rPr>
              <w:t xml:space="preserve">28</w:t>
            </w:r>
          </w:p>
        </w:tc>
        <w:tc>
          <w:tcPr/>
          <w:p>
            <w:pPr>
              <w:pStyle w:val="Compact"/>
              <w:jc w:val="right"/>
            </w:pPr>
            <w:r>
              <w:rPr>
                <w:sz w:val="18"/>
              </w:rPr>
              <w:t xml:space="preserve">63.6</w:t>
            </w:r>
          </w:p>
        </w:tc>
        <w:tc>
          <w:tcPr/>
          <w:p>
            <w:pPr>
              <w:pStyle w:val="Compact"/>
              <w:jc w:val="right"/>
            </w:pPr>
            <w:r>
              <w:rPr>
                <w:sz w:val="18"/>
              </w:rPr>
              <w:t xml:space="preserve">1,396.0</w:t>
            </w:r>
          </w:p>
        </w:tc>
        <w:tc>
          <w:tcPr/>
          <w:p>
            <w:pPr>
              <w:pStyle w:val="Compact"/>
              <w:jc w:val="right"/>
            </w:pPr>
            <w:r>
              <w:rPr>
                <w:sz w:val="18"/>
              </w:rPr>
              <w:t xml:space="preserve">96.7</w:t>
            </w:r>
          </w:p>
        </w:tc>
        <w:tc>
          <w:tcPr/>
          <w:p>
            <w:pPr>
              <w:pStyle w:val="Compact"/>
              <w:jc w:val="right"/>
            </w:pPr>
            <w:r>
              <w:rPr>
                <w:sz w:val="18"/>
              </w:rPr>
              <w:t xml:space="preserve">10.6</w:t>
            </w:r>
          </w:p>
        </w:tc>
      </w:tr>
    </w:tbl>
    <w:p>
      <w:pPr>
        <w:pStyle w:val="TableNote"/>
      </w:pPr>
      <w:r>
        <w:rPr>
          <w:rFonts w:hint="eastAsia"/>
        </w:rPr>
        <w:t xml:space="preserve">注）2025年4月〜2026年6月の時間値。風力の抑制は計344時間・13,183.5MWh</w:t>
      </w:r>
      <w:r>
        <w:t xml:space="preserve"> </w:t>
      </w:r>
      <w:r>
        <w:rPr>
          <w:rFonts w:hint="eastAsia"/>
        </w:rPr>
        <w:t xml:space="preserve">で、うちエリアプライスが5円/kWh</w:t>
      </w:r>
      <w:r>
        <w:t xml:space="preserve"> </w:t>
      </w:r>
      <w:r>
        <w:rPr>
          <w:rFonts w:hint="eastAsia"/>
        </w:rPr>
        <w:t xml:space="preserve">を超える時間は44時間・1,443.5MWh。分類</w:t>
      </w:r>
      <w:r>
        <w:t xml:space="preserve"> (i)〜(iii) </w:t>
      </w:r>
      <w:r>
        <w:rPr>
          <w:rFonts w:hint="eastAsia"/>
        </w:rPr>
        <w:t xml:space="preserve">は重複する。(iii)</w:t>
      </w:r>
      <w:r>
        <w:t xml:space="preserve"> </w:t>
      </w:r>
      <w:r>
        <w:rPr>
          <w:rFonts w:hint="eastAsia"/>
        </w:rPr>
        <w:t xml:space="preserve">の「抑制が続いた時間帯」は、太陽光または風力の抑制が連続する時間の列。(iv)</w:t>
      </w:r>
      <w:r>
        <w:t xml:space="preserve"> </w:t>
      </w:r>
      <w:r>
        <w:rPr>
          <w:rFonts w:hint="eastAsia"/>
        </w:rPr>
        <w:t xml:space="preserve">は表D.5</w:t>
      </w:r>
      <w:r>
        <w:t xml:space="preserve"> </w:t>
      </w:r>
      <w:r>
        <w:rPr>
          <w:rFonts w:hint="eastAsia"/>
        </w:rPr>
        <w:t xml:space="preserve">の系統・日・時間帯にあたる時間で、両系統とも風力の連系はない。比較として、5円以下の抑制300時間のうち、続いた時間帯の最初か最後にあたるのは57時間（19.0%。頑健性の定義では65時間・21.7%）。2025年11月以降の全日をローカル制御の日とみなすと、5円超の42時間・1,303.0MWh（電力量の90.3%）がその日にあたる。</w:t>
      </w:r>
    </w:p>
    <w:p>
      <w:pPr>
        <w:pStyle w:val="TableNote"/>
      </w:pPr>
      <w:r>
        <w:rPr>
          <w:rFonts w:hint="eastAsia"/>
        </w:rPr>
        <w:t xml:space="preserve">出所）日本卸電力取引所『スポット市場取引結果』、北海道電力ネットワーク『エリア需給実績』、電力広域的運営推進機関『流通設備混雑による再生可能エネルギー発電設備（自然変動電源）の出力抑制の検証結果』より筆者作成。</w:t>
      </w:r>
    </w:p>
    <w:p>
      <w:pPr>
        <w:pStyle w:val="TableCaption"/>
      </w:pPr>
      <w:r>
        <w:rPr>
          <w:rFonts w:hint="eastAsia"/>
        </w:rPr>
        <w:t xml:space="preserve">表D.5</w:t>
      </w:r>
      <w:r>
        <w:t xml:space="preserve">　</w:t>
      </w:r>
      <w:r>
        <w:rPr>
          <w:rFonts w:hint="eastAsia"/>
        </w:rPr>
        <w:t xml:space="preserve">ローカル系統の混雑による出力制御の一覧（北海道）</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D.5　ローカル系統の混雑による出力制御の一覧（北海道）"/>
      </w:tblPr>
      <w:tblGrid>
        <w:gridCol w:w="848"/>
        <w:gridCol w:w="848"/>
        <w:gridCol w:w="848"/>
        <w:gridCol w:w="1131"/>
        <w:gridCol w:w="848"/>
        <w:gridCol w:w="1131"/>
        <w:gridCol w:w="1131"/>
        <w:gridCol w:w="1131"/>
      </w:tblGrid>
      <w:tr>
        <w:trPr>
          <w:tblHeader w:val="on"/>
        </w:trPr>
        <w:tc>
          <w:tcPr>
            <w:tcBorders>
              <w:bottom w:val="single" w:sz="6" w:color="000000"/>
            </w:tcBorders>
          </w:tcPr>
          <w:p>
            <w:pPr>
              <w:pStyle w:val="Compact"/>
            </w:pPr>
            <w:r>
              <w:rPr>
                <w:rFonts w:hint="eastAsia"/>
                <w:sz w:val="18"/>
              </w:rPr>
              <w:t xml:space="preserve">年月</w:t>
            </w:r>
          </w:p>
        </w:tc>
        <w:tc>
          <w:tcPr>
            <w:tcBorders>
              <w:bottom w:val="single" w:sz="6" w:color="000000"/>
            </w:tcBorders>
          </w:tcPr>
          <w:p>
            <w:pPr>
              <w:pStyle w:val="Compact"/>
            </w:pPr>
            <w:r>
              <w:rPr>
                <w:rFonts w:hint="eastAsia"/>
                <w:sz w:val="18"/>
              </w:rPr>
              <w:t xml:space="preserve">系統</w:t>
            </w:r>
          </w:p>
        </w:tc>
        <w:tc>
          <w:tcPr>
            <w:tcBorders>
              <w:bottom w:val="single" w:sz="6" w:color="000000"/>
            </w:tcBorders>
          </w:tcPr>
          <w:p>
            <w:pPr>
              <w:pStyle w:val="Compact"/>
            </w:pPr>
            <w:r>
              <w:rPr>
                <w:rFonts w:hint="eastAsia"/>
                <w:sz w:val="18"/>
              </w:rPr>
              <w:t xml:space="preserve">日区分</w:t>
            </w:r>
          </w:p>
        </w:tc>
        <w:tc>
          <w:tcPr>
            <w:tcBorders>
              <w:bottom w:val="single" w:sz="6" w:color="000000"/>
            </w:tcBorders>
          </w:tcPr>
          <w:p>
            <w:pPr>
              <w:pStyle w:val="Compact"/>
              <w:jc w:val="right"/>
            </w:pPr>
            <w:r>
              <w:rPr>
                <w:rFonts w:hint="eastAsia"/>
                <w:sz w:val="18"/>
              </w:rPr>
              <w:t xml:space="preserve">日数</w:t>
            </w:r>
          </w:p>
        </w:tc>
        <w:tc>
          <w:tcPr>
            <w:tcBorders>
              <w:bottom w:val="single" w:sz="6" w:color="000000"/>
            </w:tcBorders>
          </w:tcPr>
          <w:p>
            <w:pPr>
              <w:pStyle w:val="Compact"/>
            </w:pPr>
            <w:r>
              <w:rPr>
                <w:rFonts w:hint="eastAsia"/>
                <w:sz w:val="18"/>
              </w:rPr>
              <w:t xml:space="preserve">時間帯</w:t>
            </w:r>
          </w:p>
        </w:tc>
        <w:tc>
          <w:tcPr>
            <w:tcBorders>
              <w:bottom w:val="single" w:sz="6" w:color="000000"/>
            </w:tcBorders>
          </w:tcPr>
          <w:p>
            <w:pPr>
              <w:pStyle w:val="Compact"/>
              <w:jc w:val="right"/>
            </w:pPr>
            <w:r>
              <w:rPr>
                <w:rFonts w:hint="eastAsia"/>
                <w:sz w:val="18"/>
              </w:rPr>
              <w:t xml:space="preserve">自然変動電源の最大抑制量（万kW）</w:t>
            </w:r>
          </w:p>
        </w:tc>
        <w:tc>
          <w:tcPr>
            <w:tcBorders>
              <w:bottom w:val="single" w:sz="6" w:color="000000"/>
            </w:tcBorders>
          </w:tcPr>
          <w:p>
            <w:pPr>
              <w:pStyle w:val="Compact"/>
              <w:jc w:val="right"/>
            </w:pPr>
            <w:r>
              <w:rPr>
                <w:rFonts w:hint="eastAsia"/>
                <w:sz w:val="18"/>
              </w:rPr>
              <w:t xml:space="preserve">抑制必要量（万kW）</w:t>
            </w:r>
          </w:p>
        </w:tc>
        <w:tc>
          <w:tcPr>
            <w:tcBorders>
              <w:bottom w:val="single" w:sz="6" w:color="000000"/>
            </w:tcBorders>
          </w:tcPr>
          <w:p>
            <w:pPr>
              <w:pStyle w:val="Compact"/>
              <w:jc w:val="right"/>
            </w:pPr>
            <w:r>
              <w:rPr>
                <w:rFonts w:hint="eastAsia"/>
                <w:sz w:val="18"/>
              </w:rPr>
              <w:t xml:space="preserve">電力量の上限（MWh）</w:t>
            </w:r>
          </w:p>
        </w:tc>
      </w:tr>
      <w:tr>
        <w:tc>
          <w:tcPr/>
          <w:p>
            <w:pPr>
              <w:pStyle w:val="Compact"/>
            </w:pPr>
            <w:r>
              <w:rPr>
                <w:rFonts w:hint="eastAsia"/>
                <w:sz w:val="18"/>
              </w:rPr>
              <w:t xml:space="preserve">2025年11月</w:t>
            </w:r>
          </w:p>
        </w:tc>
        <w:tc>
          <w:tcPr/>
          <w:p>
            <w:pPr>
              <w:pStyle w:val="Compact"/>
            </w:pPr>
            <w:r>
              <w:rPr>
                <w:sz w:val="18"/>
              </w:rPr>
              <w:t xml:space="preserve">66kV </w:t>
            </w:r>
            <w:r>
              <w:rPr>
                <w:rFonts w:hint="eastAsia"/>
                <w:sz w:val="18"/>
              </w:rPr>
              <w:t xml:space="preserve">岩松線</w:t>
            </w:r>
          </w:p>
        </w:tc>
        <w:tc>
          <w:tcPr/>
          <w:p>
            <w:pPr>
              <w:pStyle w:val="Compact"/>
            </w:pPr>
            <w:r>
              <w:rPr>
                <w:rFonts w:hint="eastAsia"/>
                <w:sz w:val="18"/>
              </w:rPr>
              <w:t xml:space="preserve">平日</w:t>
            </w:r>
          </w:p>
        </w:tc>
        <w:tc>
          <w:tcPr/>
          <w:p>
            <w:pPr>
              <w:pStyle w:val="Compact"/>
              <w:jc w:val="right"/>
            </w:pPr>
            <w:r>
              <w:rPr>
                <w:sz w:val="18"/>
              </w:rPr>
              <w:t xml:space="preserve">18</w:t>
            </w:r>
          </w:p>
        </w:tc>
        <w:tc>
          <w:tcPr/>
          <w:p>
            <w:pPr>
              <w:pStyle w:val="Compact"/>
            </w:pPr>
            <w:r>
              <w:rPr>
                <w:sz w:val="18"/>
              </w:rPr>
              <w:t xml:space="preserve">12:00〜13:00</w:t>
            </w:r>
          </w:p>
        </w:tc>
        <w:tc>
          <w:tcPr/>
          <w:p>
            <w:pPr>
              <w:pStyle w:val="Compact"/>
              <w:jc w:val="right"/>
            </w:pPr>
            <w:r>
              <w:rPr>
                <w:sz w:val="18"/>
              </w:rPr>
              <w:t xml:space="preserve">0.04</w:t>
            </w:r>
          </w:p>
        </w:tc>
        <w:tc>
          <w:tcPr/>
          <w:p>
            <w:pPr>
              <w:pStyle w:val="Compact"/>
              <w:jc w:val="right"/>
            </w:pPr>
            <w:r>
              <w:rPr>
                <w:sz w:val="18"/>
              </w:rPr>
              <w:t xml:space="preserve">0.04</w:t>
            </w:r>
          </w:p>
        </w:tc>
        <w:tc>
          <w:tcPr/>
          <w:p>
            <w:pPr>
              <w:pStyle w:val="Compact"/>
              <w:jc w:val="right"/>
            </w:pPr>
            <w:r>
              <w:rPr>
                <w:sz w:val="18"/>
              </w:rPr>
              <w:t xml:space="preserve">7.2</w:t>
            </w:r>
          </w:p>
        </w:tc>
      </w:tr>
      <w:tr>
        <w:tc>
          <w:tcPr/>
          <w:p>
            <w:pPr>
              <w:pStyle w:val="Compact"/>
            </w:pPr>
            <w:r>
              <w:rPr>
                <w:rFonts w:hint="eastAsia"/>
                <w:sz w:val="18"/>
              </w:rPr>
              <w:t xml:space="preserve">2025年11月</w:t>
            </w:r>
          </w:p>
        </w:tc>
        <w:tc>
          <w:tcPr/>
          <w:p>
            <w:pPr>
              <w:pStyle w:val="Compact"/>
            </w:pPr>
            <w:r>
              <w:rPr>
                <w:sz w:val="18"/>
              </w:rPr>
              <w:t xml:space="preserve">66kV </w:t>
            </w:r>
            <w:r>
              <w:rPr>
                <w:rFonts w:hint="eastAsia"/>
                <w:sz w:val="18"/>
              </w:rPr>
              <w:t xml:space="preserve">岩松線</w:t>
            </w:r>
          </w:p>
        </w:tc>
        <w:tc>
          <w:tcPr/>
          <w:p>
            <w:pPr>
              <w:pStyle w:val="Compact"/>
            </w:pPr>
            <w:r>
              <w:rPr>
                <w:rFonts w:hint="eastAsia"/>
                <w:sz w:val="18"/>
              </w:rPr>
              <w:t xml:space="preserve">日祝日</w:t>
            </w:r>
          </w:p>
        </w:tc>
        <w:tc>
          <w:tcPr/>
          <w:p>
            <w:pPr>
              <w:pStyle w:val="Compact"/>
              <w:jc w:val="right"/>
            </w:pPr>
            <w:r>
              <w:rPr>
                <w:sz w:val="18"/>
              </w:rPr>
              <w:t xml:space="preserve">7</w:t>
            </w:r>
          </w:p>
        </w:tc>
        <w:tc>
          <w:tcPr/>
          <w:p>
            <w:pPr>
              <w:pStyle w:val="Compact"/>
            </w:pPr>
            <w:r>
              <w:rPr>
                <w:sz w:val="18"/>
              </w:rPr>
              <w:t xml:space="preserve">10:00〜11:00</w:t>
            </w:r>
          </w:p>
        </w:tc>
        <w:tc>
          <w:tcPr/>
          <w:p>
            <w:pPr>
              <w:pStyle w:val="Compact"/>
              <w:jc w:val="right"/>
            </w:pPr>
            <w:r>
              <w:rPr>
                <w:sz w:val="18"/>
              </w:rPr>
              <w:t xml:space="preserve">0.02</w:t>
            </w:r>
          </w:p>
        </w:tc>
        <w:tc>
          <w:tcPr/>
          <w:p>
            <w:pPr>
              <w:pStyle w:val="Compact"/>
              <w:jc w:val="right"/>
            </w:pPr>
            <w:r>
              <w:rPr>
                <w:sz w:val="18"/>
              </w:rPr>
              <w:t xml:space="preserve">0.02</w:t>
            </w:r>
          </w:p>
        </w:tc>
        <w:tc>
          <w:tcPr/>
          <w:p>
            <w:pPr>
              <w:pStyle w:val="Compact"/>
              <w:jc w:val="right"/>
            </w:pPr>
            <w:r>
              <w:rPr>
                <w:sz w:val="18"/>
              </w:rPr>
              <w:t xml:space="preserve">1.4</w:t>
            </w:r>
          </w:p>
        </w:tc>
      </w:tr>
      <w:tr>
        <w:tc>
          <w:tcPr/>
          <w:p>
            <w:pPr>
              <w:pStyle w:val="Compact"/>
            </w:pPr>
            <w:r>
              <w:rPr>
                <w:rFonts w:hint="eastAsia"/>
                <w:sz w:val="18"/>
              </w:rPr>
              <w:t xml:space="preserve">2026年5月</w:t>
            </w:r>
          </w:p>
        </w:tc>
        <w:tc>
          <w:tcPr/>
          <w:p>
            <w:pPr>
              <w:pStyle w:val="Compact"/>
            </w:pPr>
            <w:r>
              <w:rPr>
                <w:sz w:val="18"/>
              </w:rPr>
              <w:t xml:space="preserve">66kV </w:t>
            </w:r>
            <w:r>
              <w:rPr>
                <w:rFonts w:hint="eastAsia"/>
                <w:sz w:val="18"/>
              </w:rPr>
              <w:t xml:space="preserve">岩松線</w:t>
            </w:r>
          </w:p>
        </w:tc>
        <w:tc>
          <w:tcPr/>
          <w:p>
            <w:pPr>
              <w:pStyle w:val="Compact"/>
            </w:pPr>
            <w:r>
              <w:rPr>
                <w:rFonts w:hint="eastAsia"/>
                <w:sz w:val="18"/>
              </w:rPr>
              <w:t xml:space="preserve">平日</w:t>
            </w:r>
          </w:p>
        </w:tc>
        <w:tc>
          <w:tcPr/>
          <w:p>
            <w:pPr>
              <w:pStyle w:val="Compact"/>
              <w:jc w:val="right"/>
            </w:pPr>
            <w:r>
              <w:rPr>
                <w:sz w:val="18"/>
              </w:rPr>
              <w:t xml:space="preserve">18</w:t>
            </w:r>
          </w:p>
        </w:tc>
        <w:tc>
          <w:tcPr/>
          <w:p>
            <w:pPr>
              <w:pStyle w:val="Compact"/>
            </w:pPr>
            <w:r>
              <w:rPr>
                <w:sz w:val="18"/>
              </w:rPr>
              <w:t xml:space="preserve">7:00〜14:00</w:t>
            </w:r>
          </w:p>
        </w:tc>
        <w:tc>
          <w:tcPr/>
          <w:p>
            <w:pPr>
              <w:pStyle w:val="Compact"/>
              <w:jc w:val="right"/>
            </w:pPr>
            <w:r>
              <w:rPr>
                <w:sz w:val="18"/>
              </w:rPr>
              <w:t xml:space="preserve">0.20</w:t>
            </w:r>
          </w:p>
        </w:tc>
        <w:tc>
          <w:tcPr/>
          <w:p>
            <w:pPr>
              <w:pStyle w:val="Compact"/>
              <w:jc w:val="right"/>
            </w:pPr>
            <w:r>
              <w:rPr>
                <w:sz w:val="18"/>
              </w:rPr>
              <w:t xml:space="preserve">0.74</w:t>
            </w:r>
          </w:p>
        </w:tc>
        <w:tc>
          <w:tcPr/>
          <w:p>
            <w:pPr>
              <w:pStyle w:val="Compact"/>
              <w:jc w:val="right"/>
            </w:pPr>
            <w:r>
              <w:rPr>
                <w:sz w:val="18"/>
              </w:rPr>
              <w:t xml:space="preserve">252.0</w:t>
            </w:r>
          </w:p>
        </w:tc>
      </w:tr>
      <w:tr>
        <w:tc>
          <w:tcPr/>
          <w:p>
            <w:pPr>
              <w:pStyle w:val="Compact"/>
            </w:pPr>
            <w:r>
              <w:rPr>
                <w:rFonts w:hint="eastAsia"/>
                <w:sz w:val="18"/>
              </w:rPr>
              <w:t xml:space="preserve">2026年5月</w:t>
            </w:r>
          </w:p>
        </w:tc>
        <w:tc>
          <w:tcPr/>
          <w:p>
            <w:pPr>
              <w:pStyle w:val="Compact"/>
            </w:pPr>
            <w:r>
              <w:rPr>
                <w:sz w:val="18"/>
              </w:rPr>
              <w:t xml:space="preserve">66kV </w:t>
            </w:r>
            <w:r>
              <w:rPr>
                <w:rFonts w:hint="eastAsia"/>
                <w:sz w:val="18"/>
              </w:rPr>
              <w:t xml:space="preserve">岩松線</w:t>
            </w:r>
          </w:p>
        </w:tc>
        <w:tc>
          <w:tcPr/>
          <w:p>
            <w:pPr>
              <w:pStyle w:val="Compact"/>
            </w:pPr>
            <w:r>
              <w:rPr>
                <w:rFonts w:hint="eastAsia"/>
                <w:sz w:val="18"/>
              </w:rPr>
              <w:t xml:space="preserve">日祝日</w:t>
            </w:r>
          </w:p>
        </w:tc>
        <w:tc>
          <w:tcPr/>
          <w:p>
            <w:pPr>
              <w:pStyle w:val="Compact"/>
              <w:jc w:val="right"/>
            </w:pPr>
            <w:r>
              <w:rPr>
                <w:sz w:val="18"/>
              </w:rPr>
              <w:t xml:space="preserve">8</w:t>
            </w:r>
          </w:p>
        </w:tc>
        <w:tc>
          <w:tcPr/>
          <w:p>
            <w:pPr>
              <w:pStyle w:val="Compact"/>
            </w:pPr>
            <w:r>
              <w:rPr>
                <w:sz w:val="18"/>
              </w:rPr>
              <w:t xml:space="preserve">7:00〜16:00</w:t>
            </w:r>
          </w:p>
        </w:tc>
        <w:tc>
          <w:tcPr/>
          <w:p>
            <w:pPr>
              <w:pStyle w:val="Compact"/>
              <w:jc w:val="right"/>
            </w:pPr>
            <w:r>
              <w:rPr>
                <w:sz w:val="18"/>
              </w:rPr>
              <w:t xml:space="preserve">0.20</w:t>
            </w:r>
          </w:p>
        </w:tc>
        <w:tc>
          <w:tcPr/>
          <w:p>
            <w:pPr>
              <w:pStyle w:val="Compact"/>
              <w:jc w:val="right"/>
            </w:pPr>
            <w:r>
              <w:rPr>
                <w:sz w:val="18"/>
              </w:rPr>
              <w:t xml:space="preserve">0.80</w:t>
            </w:r>
          </w:p>
        </w:tc>
        <w:tc>
          <w:tcPr/>
          <w:p>
            <w:pPr>
              <w:pStyle w:val="Compact"/>
              <w:jc w:val="right"/>
            </w:pPr>
            <w:r>
              <w:rPr>
                <w:sz w:val="18"/>
              </w:rPr>
              <w:t xml:space="preserve">144.0</w:t>
            </w:r>
          </w:p>
        </w:tc>
      </w:tr>
      <w:tr>
        <w:tc>
          <w:tcPr/>
          <w:p>
            <w:pPr>
              <w:pStyle w:val="Compact"/>
            </w:pPr>
            <w:r>
              <w:rPr>
                <w:rFonts w:hint="eastAsia"/>
                <w:sz w:val="18"/>
              </w:rPr>
              <w:t xml:space="preserve">2026年5月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平日</w:t>
            </w:r>
          </w:p>
        </w:tc>
        <w:tc>
          <w:tcPr/>
          <w:p>
            <w:pPr>
              <w:pStyle w:val="Compact"/>
              <w:jc w:val="right"/>
            </w:pPr>
            <w:r>
              <w:rPr>
                <w:sz w:val="18"/>
              </w:rPr>
              <w:t xml:space="preserve">18</w:t>
            </w:r>
          </w:p>
        </w:tc>
        <w:tc>
          <w:tcPr/>
          <w:p>
            <w:pPr>
              <w:pStyle w:val="Compact"/>
            </w:pPr>
            <w:r>
              <w:rPr>
                <w:sz w:val="18"/>
              </w:rPr>
              <w:t xml:space="preserve">10:00〜13:00</w:t>
            </w:r>
          </w:p>
        </w:tc>
        <w:tc>
          <w:tcPr/>
          <w:p>
            <w:pPr>
              <w:pStyle w:val="Compact"/>
              <w:jc w:val="right"/>
            </w:pPr>
            <w:r>
              <w:rPr>
                <w:sz w:val="18"/>
              </w:rPr>
              <w:t xml:space="preserve">0.18</w:t>
            </w:r>
          </w:p>
        </w:tc>
        <w:tc>
          <w:tcPr/>
          <w:p>
            <w:pPr>
              <w:pStyle w:val="Compact"/>
              <w:jc w:val="right"/>
            </w:pPr>
            <w:r>
              <w:rPr>
                <w:sz w:val="18"/>
              </w:rPr>
              <w:t xml:space="preserve">0.18</w:t>
            </w:r>
          </w:p>
        </w:tc>
        <w:tc>
          <w:tcPr/>
          <w:p>
            <w:pPr>
              <w:pStyle w:val="Compact"/>
              <w:jc w:val="right"/>
            </w:pPr>
            <w:r>
              <w:rPr>
                <w:sz w:val="18"/>
              </w:rPr>
              <w:t xml:space="preserve">97.2</w:t>
            </w:r>
          </w:p>
        </w:tc>
      </w:tr>
      <w:tr>
        <w:tc>
          <w:tcPr/>
          <w:p>
            <w:pPr>
              <w:pStyle w:val="Compact"/>
            </w:pPr>
            <w:r>
              <w:rPr>
                <w:rFonts w:hint="eastAsia"/>
                <w:sz w:val="18"/>
              </w:rPr>
              <w:t xml:space="preserve">2026年5月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土曜</w:t>
            </w:r>
          </w:p>
        </w:tc>
        <w:tc>
          <w:tcPr/>
          <w:p>
            <w:pPr>
              <w:pStyle w:val="Compact"/>
              <w:jc w:val="right"/>
            </w:pPr>
            <w:r>
              <w:rPr>
                <w:sz w:val="18"/>
              </w:rPr>
              <w:t xml:space="preserve">5</w:t>
            </w:r>
          </w:p>
        </w:tc>
        <w:tc>
          <w:tcPr/>
          <w:p>
            <w:pPr>
              <w:pStyle w:val="Compact"/>
            </w:pPr>
            <w:r>
              <w:rPr>
                <w:sz w:val="18"/>
              </w:rPr>
              <w:t xml:space="preserve">10:00〜13:00</w:t>
            </w:r>
          </w:p>
        </w:tc>
        <w:tc>
          <w:tcPr/>
          <w:p>
            <w:pPr>
              <w:pStyle w:val="Compact"/>
              <w:jc w:val="right"/>
            </w:pPr>
            <w:r>
              <w:rPr>
                <w:sz w:val="18"/>
              </w:rPr>
              <w:t xml:space="preserve">0.17</w:t>
            </w:r>
          </w:p>
        </w:tc>
        <w:tc>
          <w:tcPr/>
          <w:p>
            <w:pPr>
              <w:pStyle w:val="Compact"/>
              <w:jc w:val="right"/>
            </w:pPr>
            <w:r>
              <w:rPr>
                <w:sz w:val="18"/>
              </w:rPr>
              <w:t xml:space="preserve">0.17</w:t>
            </w:r>
          </w:p>
        </w:tc>
        <w:tc>
          <w:tcPr/>
          <w:p>
            <w:pPr>
              <w:pStyle w:val="Compact"/>
              <w:jc w:val="right"/>
            </w:pPr>
            <w:r>
              <w:rPr>
                <w:sz w:val="18"/>
              </w:rPr>
              <w:t xml:space="preserve">25.5</w:t>
            </w:r>
          </w:p>
        </w:tc>
      </w:tr>
      <w:tr>
        <w:tc>
          <w:tcPr/>
          <w:p>
            <w:pPr>
              <w:pStyle w:val="Compact"/>
            </w:pPr>
            <w:r>
              <w:rPr>
                <w:rFonts w:hint="eastAsia"/>
                <w:sz w:val="18"/>
              </w:rPr>
              <w:t xml:space="preserve">2026年5月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日祝日</w:t>
            </w:r>
          </w:p>
        </w:tc>
        <w:tc>
          <w:tcPr/>
          <w:p>
            <w:pPr>
              <w:pStyle w:val="Compact"/>
              <w:jc w:val="right"/>
            </w:pPr>
            <w:r>
              <w:rPr>
                <w:sz w:val="18"/>
              </w:rPr>
              <w:t xml:space="preserve">8</w:t>
            </w:r>
          </w:p>
        </w:tc>
        <w:tc>
          <w:tcPr/>
          <w:p>
            <w:pPr>
              <w:pStyle w:val="Compact"/>
            </w:pPr>
            <w:r>
              <w:rPr>
                <w:sz w:val="18"/>
              </w:rPr>
              <w:t xml:space="preserve">9:00〜14:00</w:t>
            </w:r>
          </w:p>
        </w:tc>
        <w:tc>
          <w:tcPr/>
          <w:p>
            <w:pPr>
              <w:pStyle w:val="Compact"/>
              <w:jc w:val="right"/>
            </w:pPr>
            <w:r>
              <w:rPr>
                <w:sz w:val="18"/>
              </w:rPr>
              <w:t xml:space="preserve">0.25</w:t>
            </w:r>
          </w:p>
        </w:tc>
        <w:tc>
          <w:tcPr/>
          <w:p>
            <w:pPr>
              <w:pStyle w:val="Compact"/>
              <w:jc w:val="right"/>
            </w:pPr>
            <w:r>
              <w:rPr>
                <w:sz w:val="18"/>
              </w:rPr>
              <w:t xml:space="preserve">0.25</w:t>
            </w:r>
          </w:p>
        </w:tc>
        <w:tc>
          <w:tcPr/>
          <w:p>
            <w:pPr>
              <w:pStyle w:val="Compact"/>
              <w:jc w:val="right"/>
            </w:pPr>
            <w:r>
              <w:rPr>
                <w:sz w:val="18"/>
              </w:rPr>
              <w:t xml:space="preserve">100.0</w:t>
            </w:r>
          </w:p>
        </w:tc>
      </w:tr>
      <w:tr>
        <w:tc>
          <w:tcPr/>
          <w:p>
            <w:pPr>
              <w:pStyle w:val="Compact"/>
            </w:pPr>
            <w:r>
              <w:rPr>
                <w:rFonts w:hint="eastAsia"/>
                <w:sz w:val="18"/>
              </w:rPr>
              <w:t xml:space="preserve">2026年6月</w:t>
            </w:r>
          </w:p>
        </w:tc>
        <w:tc>
          <w:tcPr/>
          <w:p>
            <w:pPr>
              <w:pStyle w:val="Compact"/>
            </w:pPr>
            <w:r>
              <w:rPr>
                <w:sz w:val="18"/>
              </w:rPr>
              <w:t xml:space="preserve">66kV </w:t>
            </w:r>
            <w:r>
              <w:rPr>
                <w:rFonts w:hint="eastAsia"/>
                <w:sz w:val="18"/>
              </w:rPr>
              <w:t xml:space="preserve">岩松線</w:t>
            </w:r>
          </w:p>
        </w:tc>
        <w:tc>
          <w:tcPr/>
          <w:p>
            <w:pPr>
              <w:pStyle w:val="Compact"/>
            </w:pPr>
            <w:r>
              <w:rPr>
                <w:rFonts w:hint="eastAsia"/>
                <w:sz w:val="18"/>
              </w:rPr>
              <w:t xml:space="preserve">平日</w:t>
            </w:r>
          </w:p>
        </w:tc>
        <w:tc>
          <w:tcPr/>
          <w:p>
            <w:pPr>
              <w:pStyle w:val="Compact"/>
              <w:jc w:val="right"/>
            </w:pPr>
            <w:r>
              <w:rPr>
                <w:sz w:val="18"/>
              </w:rPr>
              <w:t xml:space="preserve">22</w:t>
            </w:r>
          </w:p>
        </w:tc>
        <w:tc>
          <w:tcPr/>
          <w:p>
            <w:pPr>
              <w:pStyle w:val="Compact"/>
            </w:pPr>
            <w:r>
              <w:rPr>
                <w:sz w:val="18"/>
              </w:rPr>
              <w:t xml:space="preserve">7:00〜13:00</w:t>
            </w:r>
          </w:p>
        </w:tc>
        <w:tc>
          <w:tcPr/>
          <w:p>
            <w:pPr>
              <w:pStyle w:val="Compact"/>
              <w:jc w:val="right"/>
            </w:pPr>
            <w:r>
              <w:rPr>
                <w:sz w:val="18"/>
              </w:rPr>
              <w:t xml:space="preserve">0.13</w:t>
            </w:r>
          </w:p>
        </w:tc>
        <w:tc>
          <w:tcPr/>
          <w:p>
            <w:pPr>
              <w:pStyle w:val="Compact"/>
              <w:jc w:val="right"/>
            </w:pPr>
            <w:r>
              <w:rPr>
                <w:sz w:val="18"/>
              </w:rPr>
              <w:t xml:space="preserve">0.13</w:t>
            </w:r>
          </w:p>
        </w:tc>
        <w:tc>
          <w:tcPr/>
          <w:p>
            <w:pPr>
              <w:pStyle w:val="Compact"/>
              <w:jc w:val="right"/>
            </w:pPr>
            <w:r>
              <w:rPr>
                <w:sz w:val="18"/>
              </w:rPr>
              <w:t xml:space="preserve">171.6</w:t>
            </w:r>
          </w:p>
        </w:tc>
      </w:tr>
      <w:tr>
        <w:tc>
          <w:tcPr/>
          <w:p>
            <w:pPr>
              <w:pStyle w:val="Compact"/>
            </w:pPr>
            <w:r>
              <w:rPr>
                <w:rFonts w:hint="eastAsia"/>
                <w:sz w:val="18"/>
              </w:rPr>
              <w:t xml:space="preserve">2026年6月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平日</w:t>
            </w:r>
          </w:p>
        </w:tc>
        <w:tc>
          <w:tcPr/>
          <w:p>
            <w:pPr>
              <w:pStyle w:val="Compact"/>
              <w:jc w:val="right"/>
            </w:pPr>
            <w:r>
              <w:rPr>
                <w:sz w:val="18"/>
              </w:rPr>
              <w:t xml:space="preserve">22</w:t>
            </w:r>
          </w:p>
        </w:tc>
        <w:tc>
          <w:tcPr/>
          <w:p>
            <w:pPr>
              <w:pStyle w:val="Compact"/>
            </w:pPr>
            <w:r>
              <w:rPr>
                <w:sz w:val="18"/>
              </w:rPr>
              <w:t xml:space="preserve">12:00〜13:00</w:t>
            </w:r>
          </w:p>
        </w:tc>
        <w:tc>
          <w:tcPr/>
          <w:p>
            <w:pPr>
              <w:pStyle w:val="Compact"/>
              <w:jc w:val="right"/>
            </w:pPr>
            <w:r>
              <w:rPr>
                <w:sz w:val="18"/>
              </w:rPr>
              <w:t xml:space="preserve">0.09</w:t>
            </w:r>
          </w:p>
        </w:tc>
        <w:tc>
          <w:tcPr/>
          <w:p>
            <w:pPr>
              <w:pStyle w:val="Compact"/>
              <w:jc w:val="right"/>
            </w:pPr>
            <w:r>
              <w:rPr>
                <w:sz w:val="18"/>
              </w:rPr>
              <w:t xml:space="preserve">0.09</w:t>
            </w:r>
          </w:p>
        </w:tc>
        <w:tc>
          <w:tcPr/>
          <w:p>
            <w:pPr>
              <w:pStyle w:val="Compact"/>
              <w:jc w:val="right"/>
            </w:pPr>
            <w:r>
              <w:rPr>
                <w:sz w:val="18"/>
              </w:rPr>
              <w:t xml:space="preserve">19.8</w:t>
            </w:r>
          </w:p>
        </w:tc>
      </w:tr>
      <w:tr>
        <w:tc>
          <w:tcPr/>
          <w:p>
            <w:pPr>
              <w:pStyle w:val="Compact"/>
            </w:pPr>
            <w:r>
              <w:rPr>
                <w:rFonts w:hint="eastAsia"/>
                <w:sz w:val="18"/>
              </w:rPr>
              <w:t xml:space="preserve">2026年6月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土曜</w:t>
            </w:r>
          </w:p>
        </w:tc>
        <w:tc>
          <w:tcPr/>
          <w:p>
            <w:pPr>
              <w:pStyle w:val="Compact"/>
              <w:jc w:val="right"/>
            </w:pPr>
            <w:r>
              <w:rPr>
                <w:sz w:val="18"/>
              </w:rPr>
              <w:t xml:space="preserve">4</w:t>
            </w:r>
          </w:p>
        </w:tc>
        <w:tc>
          <w:tcPr/>
          <w:p>
            <w:pPr>
              <w:pStyle w:val="Compact"/>
            </w:pPr>
            <w:r>
              <w:rPr>
                <w:sz w:val="18"/>
              </w:rPr>
              <w:t xml:space="preserve">10:00〜13:00</w:t>
            </w:r>
          </w:p>
        </w:tc>
        <w:tc>
          <w:tcPr/>
          <w:p>
            <w:pPr>
              <w:pStyle w:val="Compact"/>
              <w:jc w:val="right"/>
            </w:pPr>
            <w:r>
              <w:rPr>
                <w:sz w:val="18"/>
              </w:rPr>
              <w:t xml:space="preserve">0.16</w:t>
            </w:r>
          </w:p>
        </w:tc>
        <w:tc>
          <w:tcPr/>
          <w:p>
            <w:pPr>
              <w:pStyle w:val="Compact"/>
              <w:jc w:val="right"/>
            </w:pPr>
            <w:r>
              <w:rPr>
                <w:sz w:val="18"/>
              </w:rPr>
              <w:t xml:space="preserve">0.16</w:t>
            </w:r>
          </w:p>
        </w:tc>
        <w:tc>
          <w:tcPr/>
          <w:p>
            <w:pPr>
              <w:pStyle w:val="Compact"/>
              <w:jc w:val="right"/>
            </w:pPr>
            <w:r>
              <w:rPr>
                <w:sz w:val="18"/>
              </w:rPr>
              <w:t xml:space="preserve">19.2</w:t>
            </w:r>
          </w:p>
        </w:tc>
      </w:tr>
      <w:tr>
        <w:tc>
          <w:tcPr/>
          <w:p>
            <w:pPr>
              <w:pStyle w:val="Compact"/>
            </w:pPr>
            <w:r>
              <w:rPr>
                <w:rFonts w:hint="eastAsia"/>
                <w:sz w:val="18"/>
              </w:rPr>
              <w:t xml:space="preserve">2026年6月</w:t>
            </w:r>
          </w:p>
        </w:tc>
        <w:tc>
          <w:tcPr/>
          <w:p>
            <w:pPr>
              <w:pStyle w:val="Compact"/>
            </w:pPr>
            <w:r>
              <w:rPr>
                <w:sz w:val="18"/>
              </w:rPr>
              <w:t xml:space="preserve">66kV </w:t>
            </w:r>
            <w:r>
              <w:rPr>
                <w:rFonts w:hint="eastAsia"/>
                <w:sz w:val="18"/>
              </w:rPr>
              <w:t xml:space="preserve">富川線</w:t>
            </w:r>
          </w:p>
        </w:tc>
        <w:tc>
          <w:tcPr/>
          <w:p>
            <w:pPr>
              <w:pStyle w:val="Compact"/>
            </w:pPr>
            <w:r>
              <w:rPr>
                <w:rFonts w:hint="eastAsia"/>
                <w:sz w:val="18"/>
              </w:rPr>
              <w:t xml:space="preserve">日祝日</w:t>
            </w:r>
          </w:p>
        </w:tc>
        <w:tc>
          <w:tcPr/>
          <w:p>
            <w:pPr>
              <w:pStyle w:val="Compact"/>
              <w:jc w:val="right"/>
            </w:pPr>
            <w:r>
              <w:rPr>
                <w:sz w:val="18"/>
              </w:rPr>
              <w:t xml:space="preserve">4</w:t>
            </w:r>
          </w:p>
        </w:tc>
        <w:tc>
          <w:tcPr/>
          <w:p>
            <w:pPr>
              <w:pStyle w:val="Compact"/>
            </w:pPr>
            <w:r>
              <w:rPr>
                <w:sz w:val="18"/>
              </w:rPr>
              <w:t xml:space="preserve">8:00〜14:00</w:t>
            </w:r>
          </w:p>
        </w:tc>
        <w:tc>
          <w:tcPr/>
          <w:p>
            <w:pPr>
              <w:pStyle w:val="Compact"/>
              <w:jc w:val="right"/>
            </w:pPr>
            <w:r>
              <w:rPr>
                <w:sz w:val="18"/>
              </w:rPr>
              <w:t xml:space="preserve">0.25</w:t>
            </w:r>
          </w:p>
        </w:tc>
        <w:tc>
          <w:tcPr/>
          <w:p>
            <w:pPr>
              <w:pStyle w:val="Compact"/>
              <w:jc w:val="right"/>
            </w:pPr>
            <w:r>
              <w:rPr>
                <w:sz w:val="18"/>
              </w:rPr>
              <w:t xml:space="preserve">0.25</w:t>
            </w:r>
          </w:p>
        </w:tc>
        <w:tc>
          <w:tcPr/>
          <w:p>
            <w:pPr>
              <w:pStyle w:val="Compact"/>
              <w:jc w:val="right"/>
            </w:pPr>
            <w:r>
              <w:rPr>
                <w:sz w:val="18"/>
              </w:rPr>
              <w:t xml:space="preserve">60.0</w:t>
            </w:r>
          </w:p>
        </w:tc>
      </w:tr>
    </w:tbl>
    <w:p>
      <w:pPr>
        <w:pStyle w:val="TableNote"/>
      </w:pPr>
      <w:r>
        <w:rPr>
          <w:rFonts w:hint="eastAsia"/>
        </w:rPr>
        <w:t xml:space="preserve">注）北海道電力ネットワークの系統について、検証結果の本体と別紙1〜3</w:t>
      </w:r>
      <w:r>
        <w:t xml:space="preserve"> </w:t>
      </w:r>
      <w:r>
        <w:rPr>
          <w:rFonts w:hint="eastAsia"/>
        </w:rPr>
        <w:t xml:space="preserve">から転記した。抑制の対象は両系統とも太陽光（別紙2</w:t>
      </w:r>
      <w:r>
        <w:t xml:space="preserve"> </w:t>
      </w:r>
      <w:r>
        <w:rPr>
          <w:rFonts w:hint="eastAsia"/>
        </w:rPr>
        <w:t xml:space="preserve">の区分</w:t>
      </w:r>
      <w:r>
        <w:t xml:space="preserve"> F </w:t>
      </w:r>
      <w:r>
        <w:rPr>
          <w:rFonts w:hint="eastAsia"/>
        </w:rPr>
        <w:t xml:space="preserve">のノンファーム電源）で、区分</w:t>
      </w:r>
      <w:r>
        <w:t xml:space="preserve"> </w:t>
      </w:r>
      <w:r>
        <w:rPr>
          <w:rFonts w:hint="eastAsia"/>
        </w:rPr>
        <w:t xml:space="preserve">G（風力）は「―」（風力の連系なし）である。日区分ごとに同じ時間帯・同じ抑制量で制御している。最大抑制量は別紙2</w:t>
      </w:r>
      <w:r>
        <w:t xml:space="preserve"> </w:t>
      </w:r>
      <w:r>
        <w:rPr>
          <w:rFonts w:hint="eastAsia"/>
        </w:rPr>
        <w:t xml:space="preserve">の「自然変動電源の最大抑制量」、抑制必要量は「誤差量を織り込んだ抑制必要量（予想潮流−運用容量）」。電力量の上限は最大抑制量×時間数×日数で、計897.9MWh（両系統で重なる時間を1回と数えると406時間）は、同じ期間（2025年11月〜2026年6月）の太陽光の出力制御量60,442.5MWh</w:t>
      </w:r>
      <w:r>
        <w:t xml:space="preserve"> の1.49% </w:t>
      </w:r>
      <w:r>
        <w:rPr>
          <w:rFonts w:hint="eastAsia"/>
        </w:rPr>
        <w:t xml:space="preserve">にあたる。公表は制御を実施した月ごとで、2025年12月〜2026年4月分の公表は確認できない（2026年10月21日閲覧）。</w:t>
      </w:r>
    </w:p>
    <w:p>
      <w:pPr>
        <w:pStyle w:val="TableNote"/>
      </w:pPr>
      <w:r>
        <w:rPr>
          <w:rFonts w:hint="eastAsia"/>
        </w:rPr>
        <w:t xml:space="preserve">出所）電力広域的運営推進機関『流通設備混雑による再生可能エネルギー発電設備（自然変動電源）の出力抑制の検証結果』（2025年11月分、2026年5月分、2026年6月分）、北海道電力ネットワーク『エリア需給実績』より筆者作成。</w:t>
      </w:r>
    </w:p>
    <w:bookmarkEnd w:id="401"/>
    <w:bookmarkEnd w:id="402"/>
    <w:bookmarkStart w:id="407" w:name="付録e-再現のための資料"/>
    <w:p>
      <w:pPr>
        <w:pStyle w:val="Heading1"/>
        <w:pageBreakBefore/>
      </w:pPr>
      <w:r>
        <w:rPr>
          <w:rFonts w:hint="eastAsia"/>
        </w:rPr>
        <w:t xml:space="preserve">付録E</w:t>
      </w:r>
      <w:r>
        <w:t xml:space="preserve">　</w:t>
      </w:r>
      <w:r>
        <w:rPr>
          <w:rFonts w:hint="eastAsia"/>
        </w:rPr>
        <w:t xml:space="preserve">再現のための資料</w:t>
      </w:r>
    </w:p>
    <w:p>
      <w:pPr>
        <w:pStyle w:val="FirstParagraph"/>
      </w:pPr>
      <w:r>
        <w:rPr>
          <w:rFonts w:hint="eastAsia"/>
        </w:rPr>
        <w:t xml:space="preserve">本付録は、本論文の数値と図表を再現するための資料をまとめる。付録E.1</w:t>
      </w:r>
      <w:r>
        <w:t xml:space="preserve"> </w:t>
      </w:r>
      <w:r>
        <w:rPr>
          <w:rFonts w:hint="eastAsia"/>
        </w:rPr>
        <w:t xml:space="preserve">はデータ台帳、付録E.2</w:t>
      </w:r>
      <w:r>
        <w:t xml:space="preserve"> </w:t>
      </w:r>
      <w:r>
        <w:rPr>
          <w:rFonts w:hint="eastAsia"/>
        </w:rPr>
        <w:t xml:space="preserve">は解析スクリプトの一覧と実行の順序、付録E.3</w:t>
      </w:r>
      <w:r>
        <w:t xml:space="preserve"> </w:t>
      </w:r>
      <w:r>
        <w:rPr>
          <w:rFonts w:hint="eastAsia"/>
        </w:rPr>
        <w:t xml:space="preserve">は図表と出力ファイルの対応、付録E.4</w:t>
      </w:r>
      <w:r>
        <w:t xml:space="preserve"> </w:t>
      </w:r>
      <w:r>
        <w:rPr>
          <w:rFonts w:hint="eastAsia"/>
        </w:rPr>
        <w:t xml:space="preserve">はデータの処理上の注意である。パスは筆者のリポジトリの最上位からの相対パスで示し、原データは</w:t>
      </w:r>
      <w:r>
        <w:t xml:space="preserve"> </w:t>
      </w:r>
      <w:r>
        <w:rPr>
          <w:rStyle w:val="VerbatimChar"/>
        </w:rPr>
        <w:t xml:space="preserve">data/raw/</w:t>
      </w:r>
      <w:r>
        <w:rPr>
          <w:rFonts w:hint="eastAsia"/>
        </w:rPr>
        <w:t xml:space="preserve">、処理後のデータは</w:t>
      </w:r>
      <w:r>
        <w:t xml:space="preserve"> </w:t>
      </w:r>
      <w:r>
        <w:rPr>
          <w:rStyle w:val="VerbatimChar"/>
        </w:rPr>
        <w:t xml:space="preserve">data/processed/</w:t>
      </w:r>
      <w:r>
        <w:rPr>
          <w:rFonts w:hint="eastAsia"/>
        </w:rPr>
        <w:t xml:space="preserve">、解析スクリプトは</w:t>
      </w:r>
      <w:r>
        <w:t xml:space="preserve"> </w:t>
      </w:r>
      <w:r>
        <w:rPr>
          <w:rStyle w:val="VerbatimChar"/>
        </w:rPr>
        <w:t xml:space="preserve">analysis/</w:t>
      </w:r>
      <w:r>
        <w:rPr>
          <w:rFonts w:hint="eastAsia"/>
        </w:rPr>
        <w:t xml:space="preserve">、図は</w:t>
      </w:r>
      <w:r>
        <w:t xml:space="preserve"> </w:t>
      </w:r>
      <w:r>
        <w:rPr>
          <w:rStyle w:val="VerbatimChar"/>
        </w:rPr>
        <w:t xml:space="preserve">figures/hokkaido/</w:t>
      </w:r>
      <w:r>
        <w:t xml:space="preserve"> </w:t>
      </w:r>
      <w:r>
        <w:rPr>
          <w:rFonts w:hint="eastAsia"/>
        </w:rPr>
        <w:t xml:space="preserve">に置く。表の中では、スクリプトをファイル名の先頭の2桁の番号（例：</w:t>
      </w:r>
      <w:r>
        <w:rPr>
          <w:rStyle w:val="VerbatimChar"/>
        </w:rPr>
        <w:t xml:space="preserve">41</w:t>
      </w:r>
      <w:r>
        <w:t xml:space="preserve"> </w:t>
      </w:r>
      <w:r>
        <w:t xml:space="preserve">は</w:t>
      </w:r>
      <w:r>
        <w:t xml:space="preserve"> </w:t>
      </w:r>
      <w:r>
        <w:rPr>
          <w:rStyle w:val="VerbatimChar"/>
        </w:rPr>
        <w:t xml:space="preserve">analysis/41_equilibrium_v3.py</w:t>
      </w:r>
      <w:r>
        <w:rPr>
          <w:rFonts w:hint="eastAsia"/>
        </w:rPr>
        <w:t xml:space="preserve">）で示す。原データは各提供機関の利用条件に従って取得したものであり、再配布しない。処理後のデータとスクリプトを電子付録として配布できるかは【要確認】である。</w:t>
      </w:r>
    </w:p>
    <w:bookmarkStart w:id="403" w:name="e.1-データ台帳"/>
    <w:p>
      <w:pPr>
        <w:pStyle w:val="Heading2"/>
      </w:pPr>
      <w:r>
        <w:t xml:space="preserve">E.1　</w:t>
      </w:r>
      <w:r>
        <w:rPr>
          <w:rFonts w:hint="eastAsia"/>
        </w:rPr>
        <w:t xml:space="preserve">データ台帳</w:t>
      </w:r>
    </w:p>
    <w:p>
      <w:pPr>
        <w:pStyle w:val="FirstParagraph"/>
      </w:pPr>
      <w:r>
        <w:rPr>
          <w:rFonts w:hint="eastAsia"/>
        </w:rPr>
        <w:t xml:space="preserve">データの提供機関・期間・取得日は表A.1</w:t>
      </w:r>
      <w:r>
        <w:t xml:space="preserve"> </w:t>
      </w:r>
      <w:r>
        <w:rPr>
          <w:rFonts w:hint="eastAsia"/>
        </w:rPr>
        <w:t xml:space="preserve">に示した。表E.1</w:t>
      </w:r>
      <w:r>
        <w:t xml:space="preserve"> </w:t>
      </w:r>
      <w:r>
        <w:rPr>
          <w:rFonts w:hint="eastAsia"/>
        </w:rPr>
        <w:t xml:space="preserve">は、原データの格納場所、処理後のファイル、それを作るスクリプトの対応である。</w:t>
      </w:r>
    </w:p>
    <w:p>
      <w:pPr>
        <w:pStyle w:val="TableCaption"/>
      </w:pPr>
      <w:r>
        <w:rPr>
          <w:rFonts w:hint="eastAsia"/>
        </w:rPr>
        <w:t xml:space="preserve">表E.1</w:t>
      </w:r>
      <w:r>
        <w:t xml:space="preserve">　</w:t>
      </w:r>
      <w:r>
        <w:rPr>
          <w:rFonts w:hint="eastAsia"/>
        </w:rPr>
        <w:t xml:space="preserve">データ台帳（原データと処理後のファイル）</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E.1　データ台帳（原データと処理後のファイル）"/>
      </w:tblPr>
      <w:tblGrid>
        <w:gridCol w:w="1980"/>
        <w:gridCol w:w="1980"/>
        <w:gridCol w:w="1980"/>
        <w:gridCol w:w="1980"/>
      </w:tblGrid>
      <w:tr>
        <w:trPr>
          <w:tblHeader w:val="on"/>
        </w:trPr>
        <w:tc>
          <w:tcPr>
            <w:tcBorders>
              <w:bottom w:val="single" w:sz="6" w:color="000000"/>
            </w:tcBorders>
          </w:tcPr>
          <w:p>
            <w:pPr>
              <w:pStyle w:val="Compact"/>
            </w:pPr>
            <w:r>
              <w:rPr>
                <w:rFonts w:hint="eastAsia"/>
                <w:sz w:val="18"/>
              </w:rPr>
              <w:t xml:space="preserve">区分</w:t>
            </w:r>
          </w:p>
        </w:tc>
        <w:tc>
          <w:tcPr>
            <w:tcBorders>
              <w:bottom w:val="single" w:sz="6" w:color="000000"/>
            </w:tcBorders>
          </w:tcPr>
          <w:p>
            <w:pPr>
              <w:pStyle w:val="Compact"/>
            </w:pPr>
            <w:r>
              <w:rPr>
                <w:rFonts w:hint="eastAsia"/>
                <w:sz w:val="18"/>
              </w:rPr>
              <w:t xml:space="preserve">原データ（</w:t>
            </w:r>
            <w:r>
              <w:rPr>
                <w:rStyle w:val="VerbatimChar"/>
                <w:sz w:val="18"/>
              </w:rPr>
              <w:t xml:space="preserve">data/raw/</w:t>
            </w:r>
            <w:r>
              <w:rPr>
                <w:rFonts w:hint="eastAsia"/>
                <w:sz w:val="18"/>
              </w:rPr>
              <w:t xml:space="preserve">）</w:t>
            </w:r>
          </w:p>
        </w:tc>
        <w:tc>
          <w:tcPr>
            <w:tcBorders>
              <w:bottom w:val="single" w:sz="6" w:color="000000"/>
            </w:tcBorders>
          </w:tcPr>
          <w:p>
            <w:pPr>
              <w:pStyle w:val="Compact"/>
            </w:pPr>
            <w:r>
              <w:rPr>
                <w:rFonts w:hint="eastAsia"/>
                <w:sz w:val="18"/>
              </w:rPr>
              <w:t xml:space="preserve">処理後のファイル（</w:t>
            </w:r>
            <w:r>
              <w:rPr>
                <w:rStyle w:val="VerbatimChar"/>
                <w:sz w:val="18"/>
              </w:rPr>
              <w:t xml:space="preserve">data/processed/</w:t>
            </w:r>
            <w:r>
              <w:rPr>
                <w:rFonts w:hint="eastAsia"/>
                <w:sz w:val="18"/>
              </w:rPr>
              <w:t xml:space="preserve">）</w:t>
            </w:r>
          </w:p>
        </w:tc>
        <w:tc>
          <w:tcPr>
            <w:tcBorders>
              <w:bottom w:val="single" w:sz="6" w:color="000000"/>
            </w:tcBorders>
          </w:tcPr>
          <w:p>
            <w:pPr>
              <w:pStyle w:val="Compact"/>
            </w:pPr>
            <w:r>
              <w:rPr>
                <w:rFonts w:hint="eastAsia"/>
                <w:sz w:val="18"/>
              </w:rPr>
              <w:t xml:space="preserve">スクリプト・記録</w:t>
            </w:r>
          </w:p>
        </w:tc>
      </w:tr>
      <w:tr>
        <w:tc>
          <w:tcPr/>
          <w:p>
            <w:pPr>
              <w:pStyle w:val="Compact"/>
            </w:pPr>
            <w:r>
              <w:rPr>
                <w:rFonts w:hint="eastAsia"/>
                <w:sz w:val="18"/>
              </w:rPr>
              <w:t xml:space="preserve">スポット市場の約定結果</w:t>
            </w:r>
          </w:p>
        </w:tc>
        <w:tc>
          <w:tcPr/>
          <w:p>
            <w:pPr>
              <w:pStyle w:val="Compact"/>
            </w:pPr>
            <w:r>
              <w:rPr>
                <w:rStyle w:val="VerbatimChar"/>
                <w:sz w:val="18"/>
              </w:rPr>
              <w:t xml:space="preserve">jepx/spot_summary_2016.csv</w:t>
            </w:r>
            <w:r>
              <w:rPr>
                <w:sz w:val="18"/>
              </w:rPr>
              <w:t xml:space="preserve">〜</w:t>
            </w:r>
            <w:r>
              <w:rPr>
                <w:rStyle w:val="VerbatimChar"/>
                <w:sz w:val="18"/>
              </w:rPr>
              <w:t xml:space="preserve">spot_summary_2026.csv</w:t>
            </w:r>
            <w:r>
              <w:rPr>
                <w:rFonts w:hint="eastAsia"/>
                <w:sz w:val="18"/>
              </w:rPr>
              <w:t xml:space="preserve">（年度別の11本）</w:t>
            </w:r>
          </w:p>
        </w:tc>
        <w:tc>
          <w:tcPr/>
          <w:p>
            <w:pPr>
              <w:pStyle w:val="Compact"/>
            </w:pPr>
            <w:r>
              <w:rPr>
                <w:rStyle w:val="VerbatimChar"/>
                <w:sz w:val="18"/>
              </w:rPr>
              <w:t xml:space="preserve">jepx_kyushu_30min.csv</w:t>
            </w:r>
            <w:r>
              <w:rPr>
                <w:rFonts w:hint="eastAsia"/>
                <w:sz w:val="18"/>
              </w:rPr>
              <w:t xml:space="preserve">、各エリアの時間パネルの価格の列</w:t>
            </w:r>
          </w:p>
        </w:tc>
        <w:tc>
          <w:tcPr/>
          <w:p>
            <w:pPr>
              <w:pStyle w:val="Compact"/>
            </w:pPr>
            <w:r>
              <w:rPr>
                <w:rStyle w:val="VerbatimChar"/>
                <w:sz w:val="18"/>
              </w:rPr>
              <w:t xml:space="preserve">01</w:t>
            </w:r>
            <w:r>
              <w:rPr>
                <w:sz w:val="18"/>
              </w:rPr>
              <w:t xml:space="preserve">、</w:t>
            </w:r>
            <w:r>
              <w:rPr>
                <w:rStyle w:val="VerbatimChar"/>
                <w:sz w:val="18"/>
              </w:rPr>
              <w:t xml:space="preserve">11</w:t>
            </w:r>
            <w:r>
              <w:rPr>
                <w:rFonts w:hint="eastAsia"/>
                <w:sz w:val="18"/>
              </w:rPr>
              <w:t xml:space="preserve">。市場分断の分類（</w:t>
            </w:r>
            <w:r>
              <w:rPr>
                <w:rStyle w:val="VerbatimChar"/>
                <w:sz w:val="18"/>
              </w:rPr>
              <w:t xml:space="preserve">46</w:t>
            </w:r>
            <w:r>
              <w:rPr>
                <w:rFonts w:hint="eastAsia"/>
                <w:sz w:val="18"/>
              </w:rPr>
              <w:t xml:space="preserve">）、30分値で下限のコマを含むかの判定（</w:t>
            </w:r>
            <w:r>
              <w:rPr>
                <w:rStyle w:val="VerbatimChar"/>
                <w:sz w:val="18"/>
              </w:rPr>
              <w:t xml:space="preserve">50</w:t>
            </w:r>
            <w:r>
              <w:rPr>
                <w:rFonts w:hint="eastAsia"/>
                <w:sz w:val="18"/>
              </w:rPr>
              <w:t xml:space="preserve">）、東京エリアプライス（</w:t>
            </w:r>
            <w:r>
              <w:rPr>
                <w:rStyle w:val="VerbatimChar"/>
                <w:sz w:val="18"/>
              </w:rPr>
              <w:t xml:space="preserve">40</w:t>
            </w:r>
            <w:r>
              <w:rPr>
                <w:rFonts w:hint="eastAsia"/>
                <w:sz w:val="18"/>
              </w:rPr>
              <w:t xml:space="preserve">）は</w:t>
            </w:r>
            <w:r>
              <w:rPr>
                <w:sz w:val="18"/>
              </w:rPr>
              <w:t xml:space="preserve"> </w:t>
            </w:r>
            <w:r>
              <w:rPr>
                <w:rStyle w:val="VerbatimChar"/>
                <w:sz w:val="18"/>
              </w:rPr>
              <w:t xml:space="preserve">data/raw/jepx/</w:t>
            </w:r>
            <w:r>
              <w:rPr>
                <w:sz w:val="18"/>
              </w:rPr>
              <w:t xml:space="preserve"> </w:t>
            </w:r>
            <w:r>
              <w:rPr>
                <w:rFonts w:hint="eastAsia"/>
                <w:sz w:val="18"/>
              </w:rPr>
              <w:t xml:space="preserve">の30分コマを直接読む</w:t>
            </w:r>
          </w:p>
        </w:tc>
      </w:tr>
      <w:tr>
        <w:tc>
          <w:tcPr/>
          <w:p>
            <w:pPr>
              <w:pStyle w:val="Compact"/>
            </w:pPr>
            <w:r>
              <w:rPr>
                <w:rFonts w:hint="eastAsia"/>
                <w:sz w:val="18"/>
              </w:rPr>
              <w:t xml:space="preserve">九州の需給実績</w:t>
            </w:r>
          </w:p>
        </w:tc>
        <w:tc>
          <w:tcPr/>
          <w:p>
            <w:pPr>
              <w:pStyle w:val="Compact"/>
            </w:pPr>
            <w:r>
              <w:rPr>
                <w:rStyle w:val="VerbatimChar"/>
                <w:sz w:val="18"/>
              </w:rPr>
              <w:t xml:space="preserve">kyushu/</w:t>
            </w:r>
            <w:r>
              <w:rPr>
                <w:rFonts w:hint="eastAsia"/>
                <w:sz w:val="18"/>
              </w:rPr>
              <w:t xml:space="preserve">（旧様式の四半期ファイル32本、新様式の月次ファイル29本）</w:t>
            </w:r>
          </w:p>
        </w:tc>
        <w:tc>
          <w:tcPr/>
          <w:p>
            <w:pPr>
              <w:pStyle w:val="Compact"/>
            </w:pPr>
            <w:r>
              <w:rPr>
                <w:rStyle w:val="VerbatimChar"/>
                <w:sz w:val="18"/>
              </w:rPr>
              <w:t xml:space="preserve">kyushu_hourly_panel.csv</w:t>
            </w:r>
            <w:r>
              <w:rPr>
                <w:sz w:val="18"/>
              </w:rPr>
              <w:t xml:space="preserve">、</w:t>
            </w:r>
            <w:r>
              <w:rPr>
                <w:rStyle w:val="VerbatimChar"/>
                <w:sz w:val="18"/>
              </w:rPr>
              <w:t xml:space="preserve">kyushu_daily_metrics.csv</w:t>
            </w:r>
            <w:r>
              <w:rPr>
                <w:sz w:val="18"/>
              </w:rPr>
              <w:t xml:space="preserve">、</w:t>
            </w:r>
            <w:r>
              <w:rPr>
                <w:rStyle w:val="VerbatimChar"/>
                <w:sz w:val="18"/>
              </w:rPr>
              <w:t xml:space="preserve">kyushu_battery_backtest_daily.csv</w:t>
            </w:r>
          </w:p>
        </w:tc>
        <w:tc>
          <w:tcPr/>
          <w:p>
            <w:pPr>
              <w:pStyle w:val="Compact"/>
            </w:pPr>
            <w:r>
              <w:rPr>
                <w:rStyle w:val="VerbatimChar"/>
                <w:sz w:val="18"/>
              </w:rPr>
              <w:t xml:space="preserve">01</w:t>
            </w:r>
            <w:r>
              <w:rPr>
                <w:sz w:val="18"/>
              </w:rPr>
              <w:t xml:space="preserve">、</w:t>
            </w:r>
            <w:r>
              <w:rPr>
                <w:rStyle w:val="VerbatimChar"/>
                <w:sz w:val="18"/>
              </w:rPr>
              <w:t xml:space="preserve">03</w:t>
            </w:r>
          </w:p>
        </w:tc>
      </w:tr>
      <w:tr>
        <w:tc>
          <w:tcPr/>
          <w:p>
            <w:pPr>
              <w:pStyle w:val="Compact"/>
            </w:pPr>
            <w:r>
              <w:rPr>
                <w:rFonts w:hint="eastAsia"/>
                <w:sz w:val="18"/>
              </w:rPr>
              <w:t xml:space="preserve">北海道・東北の需給実績</w:t>
            </w:r>
          </w:p>
        </w:tc>
        <w:tc>
          <w:tcPr/>
          <w:p>
            <w:pPr>
              <w:pStyle w:val="Compact"/>
            </w:pPr>
            <w:r>
              <w:rPr>
                <w:rStyle w:val="VerbatimChar"/>
                <w:sz w:val="18"/>
              </w:rPr>
              <w:t xml:space="preserve">hokkaido/</w:t>
            </w:r>
            <w:r>
              <w:rPr>
                <w:rFonts w:hint="eastAsia"/>
                <w:sz w:val="18"/>
              </w:rPr>
              <w:t xml:space="preserve">（59本）、</w:t>
            </w:r>
            <w:r>
              <w:rPr>
                <w:rStyle w:val="VerbatimChar"/>
                <w:sz w:val="18"/>
              </w:rPr>
              <w:t xml:space="preserve">tohoku/</w:t>
            </w:r>
            <w:r>
              <w:rPr>
                <w:rFonts w:hint="eastAsia"/>
                <w:sz w:val="18"/>
              </w:rPr>
              <w:t xml:space="preserve">（61本）</w:t>
            </w:r>
          </w:p>
        </w:tc>
        <w:tc>
          <w:tcPr/>
          <w:p>
            <w:pPr>
              <w:pStyle w:val="Compact"/>
            </w:pPr>
            <w:r>
              <w:rPr>
                <w:rStyle w:val="VerbatimChar"/>
                <w:sz w:val="18"/>
              </w:rPr>
              <w:t xml:space="preserve">hokkaido_hourly_panel.csv</w:t>
            </w:r>
            <w:r>
              <w:rPr>
                <w:sz w:val="18"/>
              </w:rPr>
              <w:t xml:space="preserve">、</w:t>
            </w:r>
            <w:r>
              <w:rPr>
                <w:rStyle w:val="VerbatimChar"/>
                <w:sz w:val="18"/>
              </w:rPr>
              <w:t xml:space="preserve">tohoku_hourly_panel.csv</w:t>
            </w:r>
          </w:p>
        </w:tc>
        <w:tc>
          <w:tcPr/>
          <w:p>
            <w:pPr>
              <w:pStyle w:val="Compact"/>
            </w:pPr>
            <w:r>
              <w:rPr>
                <w:rStyle w:val="VerbatimChar"/>
                <w:sz w:val="18"/>
              </w:rPr>
              <w:t xml:space="preserve">11</w:t>
            </w:r>
          </w:p>
        </w:tc>
      </w:tr>
      <w:tr>
        <w:tc>
          <w:tcPr/>
          <w:p>
            <w:pPr>
              <w:pStyle w:val="Compact"/>
            </w:pPr>
            <w:r>
              <w:rPr>
                <w:rFonts w:hint="eastAsia"/>
                <w:sz w:val="18"/>
              </w:rPr>
              <w:t xml:space="preserve">太陽光・風力の導入容量（表B）</w:t>
            </w:r>
          </w:p>
        </w:tc>
        <w:tc>
          <w:tcPr/>
          <w:p>
            <w:pPr>
              <w:pStyle w:val="Compact"/>
            </w:pPr>
            <w:r>
              <w:rPr>
                <w:rStyle w:val="VerbatimChar"/>
                <w:sz w:val="18"/>
              </w:rPr>
              <w:t xml:space="preserve">fit_b/</w:t>
            </w:r>
            <w:r>
              <w:rPr>
                <w:rFonts w:hint="eastAsia"/>
                <w:sz w:val="18"/>
              </w:rPr>
              <w:t xml:space="preserve">（市町村別の四半期ファイル44本と、都道府県別の</w:t>
            </w:r>
            <w:r>
              <w:rPr>
                <w:sz w:val="18"/>
              </w:rPr>
              <w:t xml:space="preserve"> </w:t>
            </w:r>
            <w:r>
              <w:rPr>
                <w:rStyle w:val="VerbatimChar"/>
                <w:sz w:val="18"/>
              </w:rPr>
              <w:t xml:space="preserve">B_pref202103.xlsx</w:t>
            </w:r>
            <w:r>
              <w:rPr>
                <w:rFonts w:hint="eastAsia"/>
                <w:sz w:val="18"/>
              </w:rPr>
              <w:t xml:space="preserve">）</w:t>
            </w:r>
          </w:p>
        </w:tc>
        <w:tc>
          <w:tcPr/>
          <w:p>
            <w:pPr>
              <w:pStyle w:val="Compact"/>
            </w:pPr>
            <w:r>
              <w:rPr>
                <w:rStyle w:val="VerbatimChar"/>
                <w:sz w:val="18"/>
              </w:rPr>
              <w:t xml:space="preserve">fit_capacity_pref_quarterly.csv</w:t>
            </w:r>
            <w:r>
              <w:rPr>
                <w:sz w:val="18"/>
              </w:rPr>
              <w:t xml:space="preserve">、</w:t>
            </w:r>
            <w:r>
              <w:rPr>
                <w:rStyle w:val="VerbatimChar"/>
                <w:sz w:val="18"/>
              </w:rPr>
              <w:t xml:space="preserve">area_capacity_series.csv</w:t>
            </w:r>
            <w:r>
              <w:rPr>
                <w:sz w:val="18"/>
              </w:rPr>
              <w:t xml:space="preserve">、</w:t>
            </w:r>
            <w:r>
              <w:rPr>
                <w:rStyle w:val="VerbatimChar"/>
                <w:sz w:val="18"/>
              </w:rPr>
              <w:t xml:space="preserve">hokkaido_cf_series.csv</w:t>
            </w:r>
            <w:r>
              <w:rPr>
                <w:sz w:val="18"/>
              </w:rPr>
              <w:t xml:space="preserve">、</w:t>
            </w:r>
            <w:r>
              <w:rPr>
                <w:rStyle w:val="VerbatimChar"/>
                <w:sz w:val="18"/>
              </w:rPr>
              <w:t xml:space="preserve">hokkaido_cf_series_corrected.csv</w:t>
            </w:r>
            <w:r>
              <w:rPr>
                <w:rFonts w:hint="eastAsia"/>
                <w:sz w:val="18"/>
              </w:rPr>
              <w:t xml:space="preserve">（計上時期を補正した系列。感応度にだけ用いる）</w:t>
            </w:r>
          </w:p>
        </w:tc>
        <w:tc>
          <w:tcPr/>
          <w:p>
            <w:pPr>
              <w:pStyle w:val="Compact"/>
            </w:pPr>
            <w:r>
              <w:rPr>
                <w:rStyle w:val="VerbatimChar"/>
                <w:sz w:val="18"/>
              </w:rPr>
              <w:t xml:space="preserve">12</w:t>
            </w:r>
            <w:r>
              <w:rPr>
                <w:sz w:val="18"/>
              </w:rPr>
              <w:t xml:space="preserve">、</w:t>
            </w:r>
            <w:r>
              <w:rPr>
                <w:rStyle w:val="VerbatimChar"/>
                <w:sz w:val="18"/>
              </w:rPr>
              <w:t xml:space="preserve">51</w:t>
            </w:r>
          </w:p>
        </w:tc>
      </w:tr>
      <w:tr>
        <w:tc>
          <w:tcPr/>
          <w:p>
            <w:pPr>
              <w:pStyle w:val="Compact"/>
            </w:pPr>
            <w:r>
              <w:rPr>
                <w:rFonts w:hint="eastAsia"/>
                <w:sz w:val="18"/>
              </w:rPr>
              <w:t xml:space="preserve">長期脱炭素電源オークション</w:t>
            </w:r>
          </w:p>
        </w:tc>
        <w:tc>
          <w:tcPr/>
          <w:p>
            <w:pPr>
              <w:pStyle w:val="Compact"/>
            </w:pPr>
            <w:r>
              <w:rPr>
                <w:rStyle w:val="VerbatimChar"/>
                <w:sz w:val="18"/>
              </w:rPr>
              <w:t xml:space="preserve">ltda/</w:t>
            </w:r>
            <w:r>
              <w:rPr>
                <w:rFonts w:hint="eastAsia"/>
                <w:sz w:val="18"/>
              </w:rPr>
              <w:t xml:space="preserve">（第1〜3回の約定結果の本文と別紙）</w:t>
            </w:r>
          </w:p>
        </w:tc>
        <w:tc>
          <w:tcPr/>
          <w:p>
            <w:pPr>
              <w:pStyle w:val="Compact"/>
            </w:pPr>
            <w:r>
              <w:rPr>
                <w:rStyle w:val="VerbatimChar"/>
                <w:sz w:val="18"/>
              </w:rPr>
              <w:t xml:space="preserve">ltda_battery_projects.csv</w:t>
            </w:r>
            <w:r>
              <w:rPr>
                <w:sz w:val="18"/>
              </w:rPr>
              <w:t xml:space="preserve">、</w:t>
            </w:r>
            <w:r>
              <w:rPr>
                <w:rStyle w:val="VerbatimChar"/>
                <w:sz w:val="18"/>
              </w:rPr>
              <w:t xml:space="preserve">ltda_area_reconciliation.csv</w:t>
            </w:r>
            <w:r>
              <w:rPr>
                <w:sz w:val="18"/>
              </w:rPr>
              <w:t xml:space="preserve">、</w:t>
            </w:r>
            <w:r>
              <w:rPr>
                <w:rStyle w:val="VerbatimChar"/>
                <w:sz w:val="18"/>
              </w:rPr>
              <w:t xml:space="preserve">ltda_hokkaido_summary.csv</w:t>
            </w:r>
          </w:p>
        </w:tc>
        <w:tc>
          <w:tcPr/>
          <w:p>
            <w:pPr>
              <w:pStyle w:val="Compact"/>
            </w:pPr>
            <w:r>
              <w:rPr>
                <w:rStyle w:val="VerbatimChar"/>
                <w:sz w:val="18"/>
              </w:rPr>
              <w:t xml:space="preserve">49</w:t>
            </w:r>
          </w:p>
        </w:tc>
      </w:tr>
      <w:tr>
        <w:tc>
          <w:tcPr/>
          <w:p>
            <w:pPr>
              <w:pStyle w:val="Compact"/>
            </w:pPr>
            <w:r>
              <w:rPr>
                <w:rFonts w:hint="eastAsia"/>
                <w:sz w:val="18"/>
              </w:rPr>
              <w:t xml:space="preserve">容量市場の需要曲線・調整係数</w:t>
            </w:r>
          </w:p>
        </w:tc>
        <w:tc>
          <w:tcPr/>
          <w:p>
            <w:pPr>
              <w:pStyle w:val="Compact"/>
            </w:pPr>
            <w:r>
              <w:rPr>
                <w:rStyle w:val="VerbatimChar"/>
                <w:sz w:val="18"/>
              </w:rPr>
              <w:t xml:space="preserve">capacity_demand_curve/</w:t>
            </w:r>
            <w:r>
              <w:rPr>
                <w:sz w:val="18"/>
              </w:rPr>
              <w:t xml:space="preserve">、</w:t>
            </w:r>
            <w:r>
              <w:rPr>
                <w:rStyle w:val="VerbatimChar"/>
                <w:sz w:val="18"/>
              </w:rPr>
              <w:t xml:space="preserve">capacity_chouseikeisu/</w:t>
            </w:r>
          </w:p>
        </w:tc>
        <w:tc>
          <w:tcPr/>
          <w:p>
            <w:pPr>
              <w:pStyle w:val="Compact"/>
            </w:pPr>
            <w:r>
              <w:rPr>
                <w:rStyle w:val="VerbatimChar"/>
                <w:sz w:val="18"/>
              </w:rPr>
              <w:t xml:space="preserve">capacity_adjustment_coefficients.csv</w:t>
            </w:r>
          </w:p>
        </w:tc>
        <w:tc>
          <w:tcPr/>
          <w:p>
            <w:pPr>
              <w:pStyle w:val="Compact"/>
            </w:pPr>
            <w:r>
              <w:rPr>
                <w:rStyle w:val="VerbatimChar"/>
                <w:sz w:val="18"/>
              </w:rPr>
              <w:t xml:space="preserve">42</w:t>
            </w:r>
            <w:r>
              <w:rPr>
                <w:rFonts w:hint="eastAsia"/>
                <w:sz w:val="18"/>
              </w:rPr>
              <w:t xml:space="preserve">（2030年度向けの4点の折れ線はコードに置く。数量の軸は2029年度向けで代用）</w:t>
            </w:r>
          </w:p>
        </w:tc>
      </w:tr>
      <w:tr>
        <w:tc>
          <w:tcPr/>
          <w:p>
            <w:pPr>
              <w:pStyle w:val="Compact"/>
            </w:pPr>
            <w:r>
              <w:rPr>
                <w:rFonts w:hint="eastAsia"/>
                <w:sz w:val="18"/>
              </w:rPr>
              <w:t xml:space="preserve">蓄電池の資本費・再エネの費用の想定</w:t>
            </w:r>
          </w:p>
        </w:tc>
        <w:tc>
          <w:tcPr/>
          <w:p>
            <w:pPr>
              <w:pStyle w:val="Compact"/>
            </w:pPr>
            <w:r>
              <w:rPr>
                <w:rStyle w:val="VerbatimChar"/>
                <w:sz w:val="18"/>
              </w:rPr>
              <w:t xml:space="preserve">storage_system/</w:t>
            </w:r>
            <w:r>
              <w:rPr>
                <w:sz w:val="18"/>
              </w:rPr>
              <w:t xml:space="preserve">、</w:t>
            </w:r>
            <w:r>
              <w:rPr>
                <w:rStyle w:val="VerbatimChar"/>
                <w:sz w:val="18"/>
              </w:rPr>
              <w:t xml:space="preserve">santeii/</w:t>
            </w:r>
          </w:p>
        </w:tc>
        <w:tc>
          <w:tcPr/>
          <w:p>
            <w:pPr>
              <w:pStyle w:val="Compact"/>
            </w:pPr>
            <w:r>
              <w:rPr>
                <w:rStyle w:val="VerbatimChar"/>
                <w:sz w:val="18"/>
              </w:rPr>
              <w:t xml:space="preserve">battery_capex_series.csv</w:t>
            </w:r>
            <w:r>
              <w:rPr>
                <w:sz w:val="18"/>
              </w:rPr>
              <w:t xml:space="preserve">、</w:t>
            </w:r>
            <w:r>
              <w:rPr>
                <w:rStyle w:val="VerbatimChar"/>
                <w:sz w:val="18"/>
              </w:rPr>
              <w:t xml:space="preserve">santeii_cost_assumptions.csv</w:t>
            </w:r>
          </w:p>
        </w:tc>
        <w:tc>
          <w:tcPr/>
          <w:p>
            <w:pPr>
              <w:pStyle w:val="Compact"/>
            </w:pPr>
            <w:r>
              <w:rPr>
                <w:rFonts w:hint="eastAsia"/>
                <w:sz w:val="18"/>
              </w:rPr>
              <w:t xml:space="preserve">公表資料の値を転記</w:t>
            </w:r>
          </w:p>
        </w:tc>
      </w:tr>
      <w:tr>
        <w:tc>
          <w:tcPr/>
          <w:p>
            <w:pPr>
              <w:pStyle w:val="Compact"/>
            </w:pPr>
            <w:r>
              <w:rPr>
                <w:rFonts w:hint="eastAsia"/>
                <w:sz w:val="18"/>
              </w:rPr>
              <w:t xml:space="preserve">風力の導入実績（突合用）</w:t>
            </w:r>
          </w:p>
        </w:tc>
        <w:tc>
          <w:tcPr/>
          <w:p>
            <w:pPr>
              <w:pStyle w:val="Compact"/>
            </w:pPr>
            <w:r>
              <w:rPr>
                <w:rStyle w:val="VerbatimChar"/>
                <w:sz w:val="18"/>
              </w:rPr>
              <w:t xml:space="preserve">jwpa/</w:t>
            </w:r>
          </w:p>
        </w:tc>
        <w:tc>
          <w:tcPr/>
          <w:p>
            <w:pPr>
              <w:pStyle w:val="Compact"/>
            </w:pPr>
            <w:r>
              <w:rPr>
                <w:sz w:val="18"/>
              </w:rPr>
              <w:t xml:space="preserve">—</w:t>
            </w:r>
          </w:p>
        </w:tc>
        <w:tc>
          <w:tcPr/>
          <w:p>
            <w:pPr>
              <w:pStyle w:val="Compact"/>
            </w:pPr>
            <w:r>
              <w:rPr>
                <w:rFonts w:hint="eastAsia"/>
                <w:sz w:val="18"/>
              </w:rPr>
              <w:t xml:space="preserve">付録A.5</w:t>
            </w:r>
            <w:r>
              <w:rPr>
                <w:sz w:val="18"/>
              </w:rPr>
              <w:t xml:space="preserve"> </w:t>
            </w:r>
            <w:r>
              <w:rPr>
                <w:rFonts w:hint="eastAsia"/>
                <w:sz w:val="18"/>
              </w:rPr>
              <w:t xml:space="preserve">の突合に用いる</w:t>
            </w:r>
          </w:p>
        </w:tc>
      </w:tr>
      <w:tr>
        <w:tc>
          <w:tcPr/>
          <w:p>
            <w:pPr>
              <w:pStyle w:val="Compact"/>
            </w:pPr>
            <w:r>
              <w:rPr>
                <w:rFonts w:hint="eastAsia"/>
                <w:sz w:val="18"/>
              </w:rPr>
              <w:t xml:space="preserve">系統用蓄電池の接続・補助・案件</w:t>
            </w:r>
          </w:p>
        </w:tc>
        <w:tc>
          <w:tcPr/>
          <w:p>
            <w:pPr>
              <w:pStyle w:val="Compact"/>
            </w:pPr>
            <w:r>
              <w:rPr>
                <w:rFonts w:hint="eastAsia"/>
                <w:sz w:val="18"/>
              </w:rPr>
              <w:t xml:space="preserve">公表資料（北海道電力ネットワーク、環境共創イニシアチブの交付決定一覧、事業者の発表と報道）</w:t>
            </w:r>
          </w:p>
        </w:tc>
        <w:tc>
          <w:tcPr/>
          <w:p>
            <w:pPr>
              <w:pStyle w:val="Compact"/>
            </w:pPr>
            <w:r>
              <w:rPr>
                <w:rStyle w:val="VerbatimChar"/>
                <w:sz w:val="18"/>
              </w:rPr>
              <w:t xml:space="preserve">gap_ledger_projects.csv</w:t>
            </w:r>
            <w:r>
              <w:rPr>
                <w:sz w:val="18"/>
              </w:rPr>
              <w:t xml:space="preserve">、</w:t>
            </w:r>
            <w:r>
              <w:rPr>
                <w:rStyle w:val="VerbatimChar"/>
                <w:sz w:val="18"/>
              </w:rPr>
              <w:t xml:space="preserve">gap_ledger_summary.csv</w:t>
            </w:r>
          </w:p>
        </w:tc>
        <w:tc>
          <w:tcPr/>
          <w:p>
            <w:pPr>
              <w:pStyle w:val="Compact"/>
            </w:pPr>
            <w:r>
              <w:rPr>
                <w:rStyle w:val="VerbatimChar"/>
                <w:sz w:val="18"/>
              </w:rPr>
              <w:t xml:space="preserve">49</w:t>
            </w:r>
          </w:p>
        </w:tc>
      </w:tr>
      <w:tr>
        <w:tc>
          <w:tcPr/>
          <w:p>
            <w:pPr>
              <w:pStyle w:val="Compact"/>
            </w:pPr>
            <w:r>
              <w:rPr>
                <w:rFonts w:hint="eastAsia"/>
                <w:sz w:val="18"/>
              </w:rPr>
              <w:t xml:space="preserve">ローカル系統の出力制御</w:t>
            </w:r>
          </w:p>
        </w:tc>
        <w:tc>
          <w:tcPr/>
          <w:p>
            <w:pPr>
              <w:pStyle w:val="Compact"/>
            </w:pPr>
            <w:r>
              <w:rPr>
                <w:rFonts w:hint="eastAsia"/>
                <w:sz w:val="18"/>
              </w:rPr>
              <w:t xml:space="preserve">電力広域的運営推進機関の検証結果の本体と別紙1〜3（2025年11月分、2026年5月分、2026年6月分）</w:t>
            </w:r>
          </w:p>
        </w:tc>
        <w:tc>
          <w:tcPr/>
          <w:p>
            <w:pPr>
              <w:pStyle w:val="Compact"/>
            </w:pPr>
            <w:r>
              <w:rPr>
                <w:rStyle w:val="VerbatimChar"/>
                <w:sz w:val="18"/>
              </w:rPr>
              <w:t xml:space="preserve">local_congestion_control_occto.csv</w:t>
            </w:r>
          </w:p>
        </w:tc>
        <w:tc>
          <w:tcPr/>
          <w:p>
            <w:pPr>
              <w:pStyle w:val="Compact"/>
            </w:pPr>
            <w:r>
              <w:rPr>
                <w:rFonts w:hint="eastAsia"/>
                <w:sz w:val="18"/>
              </w:rPr>
              <w:t xml:space="preserve">値は</w:t>
            </w:r>
            <w:r>
              <w:rPr>
                <w:sz w:val="18"/>
              </w:rPr>
              <w:t xml:space="preserve"> </w:t>
            </w:r>
            <w:r>
              <w:rPr>
                <w:rStyle w:val="VerbatimChar"/>
                <w:sz w:val="18"/>
              </w:rPr>
              <w:t xml:space="preserve">50</w:t>
            </w:r>
            <w:r>
              <w:rPr>
                <w:sz w:val="18"/>
              </w:rPr>
              <w:t xml:space="preserve"> </w:t>
            </w:r>
            <w:r>
              <w:rPr>
                <w:rFonts w:hint="eastAsia"/>
                <w:sz w:val="18"/>
              </w:rPr>
              <w:t xml:space="preserve">のコードに転記</w:t>
            </w:r>
          </w:p>
        </w:tc>
      </w:tr>
      <w:tr>
        <w:tc>
          <w:tcPr/>
          <w:p>
            <w:pPr>
              <w:pStyle w:val="Compact"/>
            </w:pPr>
            <w:r>
              <w:rPr>
                <w:rFonts w:hint="eastAsia"/>
                <w:sz w:val="18"/>
              </w:rPr>
              <w:t xml:space="preserve">資本コスト・契約・ヘッジの諸元</w:t>
            </w:r>
          </w:p>
        </w:tc>
        <w:tc>
          <w:tcPr/>
          <w:p>
            <w:pPr>
              <w:pStyle w:val="Compact"/>
            </w:pPr>
            <w:r>
              <w:rPr>
                <w:rFonts w:hint="eastAsia"/>
                <w:sz w:val="18"/>
              </w:rPr>
              <w:t xml:space="preserve">公表資料（財務省、長期脱炭素電源オークションの募集要綱、電力先物の商品概要、系統連系保証金の資料）</w:t>
            </w:r>
          </w:p>
        </w:tc>
        <w:tc>
          <w:tcPr/>
          <w:p>
            <w:pPr>
              <w:pStyle w:val="Compact"/>
            </w:pPr>
            <w:r>
              <w:rPr>
                <w:rStyle w:val="VerbatimChar"/>
                <w:sz w:val="18"/>
              </w:rPr>
              <w:t xml:space="preserve">irr_cost_of_capital.csv</w:t>
            </w:r>
            <w:r>
              <w:rPr>
                <w:sz w:val="18"/>
              </w:rPr>
              <w:t xml:space="preserve">、</w:t>
            </w:r>
            <w:r>
              <w:rPr>
                <w:rStyle w:val="VerbatimChar"/>
                <w:sz w:val="18"/>
              </w:rPr>
              <w:t xml:space="preserve">apv_decomposition.csv</w:t>
            </w:r>
            <w:r>
              <w:rPr>
                <w:sz w:val="18"/>
              </w:rPr>
              <w:t xml:space="preserve">、</w:t>
            </w:r>
            <w:r>
              <w:rPr>
                <w:rStyle w:val="VerbatimChar"/>
                <w:sz w:val="18"/>
              </w:rPr>
              <w:t xml:space="preserve">hedge_tenor_share.csv</w:t>
            </w:r>
            <w:r>
              <w:rPr>
                <w:sz w:val="18"/>
              </w:rPr>
              <w:t xml:space="preserve">、</w:t>
            </w:r>
            <w:r>
              <w:rPr>
                <w:rStyle w:val="VerbatimChar"/>
                <w:sz w:val="18"/>
              </w:rPr>
              <w:t xml:space="preserve">real_option_waiting_value.csv</w:t>
            </w:r>
          </w:p>
        </w:tc>
        <w:tc>
          <w:tcPr/>
          <w:p>
            <w:pPr>
              <w:pStyle w:val="Compact"/>
            </w:pPr>
            <w:r>
              <w:rPr>
                <w:rStyle w:val="VerbatimChar"/>
                <w:sz w:val="18"/>
              </w:rPr>
              <w:t xml:space="preserve">38</w:t>
            </w:r>
            <w:r>
              <w:rPr>
                <w:sz w:val="18"/>
              </w:rPr>
              <w:t xml:space="preserve">、</w:t>
            </w:r>
            <w:r>
              <w:rPr>
                <w:rStyle w:val="VerbatimChar"/>
                <w:sz w:val="18"/>
              </w:rPr>
              <w:t xml:space="preserve">39</w:t>
            </w:r>
            <w:r>
              <w:rPr>
                <w:sz w:val="18"/>
              </w:rPr>
              <w:t xml:space="preserve">、</w:t>
            </w:r>
            <w:r>
              <w:rPr>
                <w:rStyle w:val="VerbatimChar"/>
                <w:sz w:val="18"/>
              </w:rPr>
              <w:t xml:space="preserve">40</w:t>
            </w:r>
          </w:p>
        </w:tc>
      </w:tr>
    </w:tbl>
    <w:p>
      <w:pPr>
        <w:pStyle w:val="TableNote"/>
      </w:pPr>
      <w:r>
        <w:rPr>
          <w:rFonts w:hint="eastAsia"/>
        </w:rPr>
        <w:t xml:space="preserve">注）原データの取得の記録と検証の結果は</w:t>
      </w:r>
      <w:r>
        <w:t xml:space="preserve"> </w:t>
      </w:r>
      <w:r>
        <w:rPr>
          <w:rStyle w:val="VerbatimChar"/>
        </w:rPr>
        <w:t xml:space="preserve">data/README.md</w:t>
      </w:r>
      <w:r>
        <w:t xml:space="preserve"> </w:t>
      </w:r>
      <w:r>
        <w:t xml:space="preserve">にある。</w:t>
      </w:r>
    </w:p>
    <w:p>
      <w:pPr>
        <w:pStyle w:val="TableNote"/>
      </w:pPr>
      <w:r>
        <w:rPr>
          <w:rFonts w:hint="eastAsia"/>
        </w:rPr>
        <w:t xml:space="preserve">出所）筆者作成。</w:t>
      </w:r>
    </w:p>
    <w:bookmarkEnd w:id="403"/>
    <w:bookmarkStart w:id="404" w:name="e.2-解析スクリプトの一覧"/>
    <w:p>
      <w:pPr>
        <w:pStyle w:val="Heading2"/>
      </w:pPr>
      <w:r>
        <w:t xml:space="preserve">E.2　</w:t>
      </w:r>
      <w:r>
        <w:rPr>
          <w:rFonts w:hint="eastAsia"/>
        </w:rPr>
        <w:t xml:space="preserve">解析スクリプトの一覧</w:t>
      </w:r>
    </w:p>
    <w:p>
      <w:pPr>
        <w:pStyle w:val="FirstParagraph"/>
      </w:pPr>
      <w:r>
        <w:rPr>
          <w:rFonts w:hint="eastAsia"/>
        </w:rPr>
        <w:t xml:space="preserve">表E.2</w:t>
      </w:r>
      <w:r>
        <w:t xml:space="preserve"> は</w:t>
      </w:r>
      <w:r>
        <w:t xml:space="preserve"> </w:t>
      </w:r>
      <w:r>
        <w:rPr>
          <w:rStyle w:val="VerbatimChar"/>
        </w:rPr>
        <w:t xml:space="preserve">analysis/</w:t>
      </w:r>
      <w:r>
        <w:t xml:space="preserve"> </w:t>
      </w:r>
      <w:r>
        <w:rPr>
          <w:rFonts w:hint="eastAsia"/>
        </w:rPr>
        <w:t xml:space="preserve">のスクリプトの内容と、本論文での用途である。</w:t>
      </w:r>
      <w:r>
        <w:rPr>
          <w:rStyle w:val="VerbatimChar"/>
        </w:rPr>
        <w:t xml:space="preserve">01</w:t>
      </w:r>
      <w:r>
        <w:t xml:space="preserve">〜</w:t>
      </w:r>
      <w:r>
        <w:rPr>
          <w:rStyle w:val="VerbatimChar"/>
        </w:rPr>
        <w:t xml:space="preserve">10</w:t>
      </w:r>
      <w:r>
        <w:t xml:space="preserve"> </w:t>
      </w:r>
      <w:r>
        <w:rPr>
          <w:rFonts w:hint="eastAsia"/>
        </w:rPr>
        <w:t xml:space="preserve">は九州の比較対象の分析で、本論文の数値には</w:t>
      </w:r>
      <w:r>
        <w:t xml:space="preserve"> </w:t>
      </w:r>
      <w:r>
        <w:rPr>
          <w:rStyle w:val="VerbatimChar"/>
        </w:rPr>
        <w:t xml:space="preserve">01</w:t>
      </w:r>
      <w:r>
        <w:t xml:space="preserve">・</w:t>
      </w:r>
      <w:r>
        <w:rPr>
          <w:rStyle w:val="VerbatimChar"/>
        </w:rPr>
        <w:t xml:space="preserve">03</w:t>
      </w:r>
      <w:r>
        <w:t xml:space="preserve">・</w:t>
      </w:r>
      <w:r>
        <w:rPr>
          <w:rStyle w:val="VerbatimChar"/>
        </w:rPr>
        <w:t xml:space="preserve">10</w:t>
      </w:r>
      <w:r>
        <w:t xml:space="preserve"> </w:t>
      </w:r>
      <w:r>
        <w:rPr>
          <w:rFonts w:hint="eastAsia"/>
        </w:rPr>
        <w:t xml:space="preserve">の出力だけを用いる。「用いない」としたスクリプトは、分析の設計の段階の予備的な計算か、本論文の現行の計算に置き換えた計算である。</w:t>
      </w:r>
    </w:p>
    <w:p>
      <w:pPr>
        <w:pStyle w:val="TableCaption"/>
      </w:pPr>
      <w:r>
        <w:rPr>
          <w:rFonts w:hint="eastAsia"/>
        </w:rPr>
        <w:t xml:space="preserve">表E.2</w:t>
      </w:r>
      <w:r>
        <w:t xml:space="preserve">　</w:t>
      </w:r>
      <w:r>
        <w:rPr>
          <w:rFonts w:hint="eastAsia"/>
        </w:rPr>
        <w:t xml:space="preserve">解析スクリプトの一覧（</w:t>
      </w:r>
      <w:r>
        <w:rPr>
          <w:rStyle w:val="VerbatimChar"/>
        </w:rPr>
        <w:t xml:space="preserve">analysis/</w:t>
      </w:r>
      <w:r>
        <w:rPr>
          <w:rFonts w:hint="eastAsia"/>
        </w:rPr>
        <w:t xml:space="preserve">）</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E.2　解析スクリプトの一覧（analysis/）"/>
      </w:tblPr>
      <w:tblGrid>
        <w:gridCol w:w="2640"/>
        <w:gridCol w:w="2640"/>
        <w:gridCol w:w="2640"/>
      </w:tblGrid>
      <w:tr>
        <w:trPr>
          <w:tblHeader w:val="on"/>
        </w:trPr>
        <w:tc>
          <w:tcPr>
            <w:tcBorders>
              <w:bottom w:val="single" w:sz="6" w:color="000000"/>
            </w:tcBorders>
          </w:tcPr>
          <w:p>
            <w:pPr>
              <w:pStyle w:val="Compact"/>
            </w:pPr>
            <w:r>
              <w:rPr>
                <w:sz w:val="18"/>
              </w:rPr>
              <w:t xml:space="preserve">スクリプト</w:t>
            </w:r>
          </w:p>
        </w:tc>
        <w:tc>
          <w:tcPr>
            <w:tcBorders>
              <w:bottom w:val="single" w:sz="6" w:color="000000"/>
            </w:tcBorders>
          </w:tcPr>
          <w:p>
            <w:pPr>
              <w:pStyle w:val="Compact"/>
            </w:pPr>
            <w:r>
              <w:rPr>
                <w:rFonts w:hint="eastAsia"/>
                <w:sz w:val="18"/>
              </w:rPr>
              <w:t xml:space="preserve">内容</w:t>
            </w:r>
          </w:p>
        </w:tc>
        <w:tc>
          <w:tcPr>
            <w:tcBorders>
              <w:bottom w:val="single" w:sz="6" w:color="000000"/>
            </w:tcBorders>
          </w:tcPr>
          <w:p>
            <w:pPr>
              <w:pStyle w:val="Compact"/>
            </w:pPr>
            <w:r>
              <w:rPr>
                <w:rFonts w:hint="eastAsia"/>
                <w:sz w:val="18"/>
              </w:rPr>
              <w:t xml:space="preserve">本論文での用途</w:t>
            </w:r>
          </w:p>
        </w:tc>
      </w:tr>
      <w:tr>
        <w:tc>
          <w:tcPr/>
          <w:p>
            <w:pPr>
              <w:pStyle w:val="Compact"/>
            </w:pPr>
            <w:r>
              <w:rPr>
                <w:rStyle w:val="VerbatimChar"/>
                <w:sz w:val="18"/>
              </w:rPr>
              <w:t xml:space="preserve">01_build_panel.py</w:t>
            </w:r>
          </w:p>
        </w:tc>
        <w:tc>
          <w:tcPr/>
          <w:p>
            <w:pPr>
              <w:pStyle w:val="Compact"/>
            </w:pPr>
            <w:r>
              <w:rPr>
                <w:rFonts w:hint="eastAsia"/>
                <w:sz w:val="18"/>
              </w:rPr>
              <w:t xml:space="preserve">九州の需給実績と</w:t>
            </w:r>
            <w:r>
              <w:rPr>
                <w:sz w:val="18"/>
              </w:rPr>
              <w:t xml:space="preserve"> JEPX </w:t>
            </w:r>
            <w:r>
              <w:rPr>
                <w:rFonts w:hint="eastAsia"/>
                <w:sz w:val="18"/>
              </w:rPr>
              <w:t xml:space="preserve">の価格から時間パネルを構築する（旧様式と新様式の統合、連系線の符号の統一、見出しの名前による列の対応）</w:t>
            </w:r>
          </w:p>
        </w:tc>
        <w:tc>
          <w:tcPr/>
          <w:p>
            <w:pPr>
              <w:pStyle w:val="Compact"/>
            </w:pPr>
            <w:r>
              <w:rPr>
                <w:rFonts w:hint="eastAsia"/>
                <w:sz w:val="18"/>
              </w:rPr>
              <w:t xml:space="preserve">第3章、付録A.2</w:t>
            </w:r>
          </w:p>
        </w:tc>
      </w:tr>
      <w:tr>
        <w:tc>
          <w:tcPr/>
          <w:p>
            <w:pPr>
              <w:pStyle w:val="Compact"/>
            </w:pPr>
            <w:r>
              <w:rPr>
                <w:rStyle w:val="VerbatimChar"/>
                <w:sz w:val="18"/>
              </w:rPr>
              <w:t xml:space="preserve">02_descriptive_figures.py</w:t>
            </w:r>
          </w:p>
        </w:tc>
        <w:tc>
          <w:tcPr/>
          <w:p>
            <w:pPr>
              <w:pStyle w:val="Compact"/>
            </w:pPr>
            <w:r>
              <w:rPr>
                <w:rFonts w:hint="eastAsia"/>
                <w:sz w:val="18"/>
              </w:rPr>
              <w:t xml:space="preserve">九州の記述統計の図表</w:t>
            </w:r>
          </w:p>
        </w:tc>
        <w:tc>
          <w:tcPr/>
          <w:p>
            <w:pPr>
              <w:pStyle w:val="Compact"/>
            </w:pPr>
            <w:r>
              <w:rPr>
                <w:rFonts w:hint="eastAsia"/>
                <w:sz w:val="18"/>
              </w:rPr>
              <w:t xml:space="preserve">用いない</w:t>
            </w:r>
          </w:p>
        </w:tc>
      </w:tr>
      <w:tr>
        <w:tc>
          <w:tcPr/>
          <w:p>
            <w:pPr>
              <w:pStyle w:val="Compact"/>
            </w:pPr>
            <w:r>
              <w:rPr>
                <w:rStyle w:val="VerbatimChar"/>
                <w:sz w:val="18"/>
              </w:rPr>
              <w:t xml:space="preserve">03_battery_backtest.py</w:t>
            </w:r>
          </w:p>
        </w:tc>
        <w:tc>
          <w:tcPr/>
          <w:p>
            <w:pPr>
              <w:pStyle w:val="Compact"/>
            </w:pPr>
            <w:r>
              <w:rPr>
                <w:rFonts w:hint="eastAsia"/>
                <w:sz w:val="18"/>
              </w:rPr>
              <w:t xml:space="preserve">九州の4時間蓄電池の日次の裁定価値の計算</w:t>
            </w:r>
          </w:p>
        </w:tc>
        <w:tc>
          <w:tcPr/>
          <w:p>
            <w:pPr>
              <w:pStyle w:val="Compact"/>
            </w:pPr>
            <w:r>
              <w:rPr>
                <w:rFonts w:hint="eastAsia"/>
                <w:sz w:val="18"/>
              </w:rPr>
              <w:t xml:space="preserve">表D.1</w:t>
            </w:r>
            <w:r>
              <w:rPr>
                <w:sz w:val="18"/>
              </w:rPr>
              <w:t xml:space="preserve"> </w:t>
            </w:r>
            <w:r>
              <w:rPr>
                <w:rFonts w:hint="eastAsia"/>
                <w:sz w:val="18"/>
              </w:rPr>
              <w:t xml:space="preserve">の九州の完全予見粗利</w:t>
            </w:r>
          </w:p>
        </w:tc>
      </w:tr>
      <w:tr>
        <w:tc>
          <w:tcPr/>
          <w:p>
            <w:pPr>
              <w:pStyle w:val="Compact"/>
            </w:pPr>
            <w:r>
              <w:rPr>
                <w:rStyle w:val="VerbatimChar"/>
                <w:sz w:val="18"/>
              </w:rPr>
              <w:t xml:space="preserve">04_spread_montecarlo.py</w:t>
            </w:r>
          </w:p>
        </w:tc>
        <w:tc>
          <w:tcPr/>
          <w:p>
            <w:pPr>
              <w:pStyle w:val="Compact"/>
            </w:pPr>
            <w:r>
              <w:rPr>
                <w:rFonts w:hint="eastAsia"/>
                <w:sz w:val="18"/>
              </w:rPr>
              <w:t xml:space="preserve">日次スプレッドの確率モデルと年間価値の分布</w:t>
            </w:r>
          </w:p>
        </w:tc>
        <w:tc>
          <w:tcPr/>
          <w:p>
            <w:pPr>
              <w:pStyle w:val="Compact"/>
            </w:pPr>
            <w:r>
              <w:rPr>
                <w:rFonts w:hint="eastAsia"/>
                <w:sz w:val="18"/>
              </w:rPr>
              <w:t xml:space="preserve">用いない</w:t>
            </w:r>
          </w:p>
        </w:tc>
      </w:tr>
      <w:tr>
        <w:tc>
          <w:tcPr/>
          <w:p>
            <w:pPr>
              <w:pStyle w:val="Compact"/>
            </w:pPr>
            <w:r>
              <w:rPr>
                <w:rStyle w:val="VerbatimChar"/>
                <w:sz w:val="18"/>
              </w:rPr>
              <w:t xml:space="preserve">05_normalized_metrics.py</w:t>
            </w:r>
          </w:p>
        </w:tc>
        <w:tc>
          <w:tcPr/>
          <w:p>
            <w:pPr>
              <w:pStyle w:val="Compact"/>
            </w:pPr>
            <w:r>
              <w:rPr>
                <w:rFonts w:hint="eastAsia"/>
                <w:sz w:val="18"/>
              </w:rPr>
              <w:t xml:space="preserve">価格水準で規格化した指標</w:t>
            </w:r>
          </w:p>
        </w:tc>
        <w:tc>
          <w:tcPr/>
          <w:p>
            <w:pPr>
              <w:pStyle w:val="Compact"/>
            </w:pPr>
            <w:r>
              <w:rPr>
                <w:rFonts w:hint="eastAsia"/>
                <w:sz w:val="18"/>
              </w:rPr>
              <w:t xml:space="preserve">用いない</w:t>
            </w:r>
          </w:p>
        </w:tc>
      </w:tr>
      <w:tr>
        <w:tc>
          <w:tcPr/>
          <w:p>
            <w:pPr>
              <w:pStyle w:val="Compact"/>
            </w:pPr>
            <w:r>
              <w:rPr>
                <w:rStyle w:val="VerbatimChar"/>
                <w:sz w:val="18"/>
              </w:rPr>
              <w:t xml:space="preserve">06_factor_decomposition.py</w:t>
            </w:r>
          </w:p>
        </w:tc>
        <w:tc>
          <w:tcPr/>
          <w:p>
            <w:pPr>
              <w:pStyle w:val="Compact"/>
            </w:pPr>
            <w:r>
              <w:rPr>
                <w:rFonts w:hint="eastAsia"/>
                <w:sz w:val="18"/>
              </w:rPr>
              <w:t xml:space="preserve">九州の</w:t>
            </w:r>
            <w:r>
              <w:rPr>
                <w:sz w:val="18"/>
              </w:rPr>
              <w:t xml:space="preserve"> FY2023〜25 </w:t>
            </w:r>
            <w:r>
              <w:rPr>
                <w:rFonts w:hint="eastAsia"/>
                <w:sz w:val="18"/>
              </w:rPr>
              <w:t xml:space="preserve">の下限張り付きとスプレッドの変化の要因分解</w:t>
            </w:r>
          </w:p>
        </w:tc>
        <w:tc>
          <w:tcPr/>
          <w:p>
            <w:pPr>
              <w:pStyle w:val="Compact"/>
            </w:pPr>
            <w:r>
              <w:rPr>
                <w:rFonts w:hint="eastAsia"/>
                <w:sz w:val="18"/>
              </w:rPr>
              <w:t xml:space="preserve">用いない</w:t>
            </w:r>
          </w:p>
        </w:tc>
      </w:tr>
      <w:tr>
        <w:tc>
          <w:tcPr/>
          <w:p>
            <w:pPr>
              <w:pStyle w:val="Compact"/>
            </w:pPr>
            <w:r>
              <w:rPr>
                <w:rStyle w:val="VerbatimChar"/>
                <w:sz w:val="18"/>
              </w:rPr>
              <w:t xml:space="preserve">07_counterfactual.py</w:t>
            </w:r>
          </w:p>
        </w:tc>
        <w:tc>
          <w:tcPr/>
          <w:p>
            <w:pPr>
              <w:pStyle w:val="Compact"/>
            </w:pPr>
            <w:r>
              <w:rPr>
                <w:rFonts w:hint="eastAsia"/>
                <w:sz w:val="18"/>
              </w:rPr>
              <w:t xml:space="preserve">九州の需要増と原子力の稼働変動の反実仮想</w:t>
            </w:r>
          </w:p>
        </w:tc>
        <w:tc>
          <w:tcPr/>
          <w:p>
            <w:pPr>
              <w:pStyle w:val="Compact"/>
            </w:pPr>
            <w:r>
              <w:rPr>
                <w:rFonts w:hint="eastAsia"/>
                <w:sz w:val="18"/>
              </w:rPr>
              <w:t xml:space="preserve">用いない</w:t>
            </w:r>
          </w:p>
        </w:tc>
      </w:tr>
      <w:tr>
        <w:tc>
          <w:tcPr/>
          <w:p>
            <w:pPr>
              <w:pStyle w:val="Compact"/>
            </w:pPr>
            <w:r>
              <w:rPr>
                <w:rStyle w:val="VerbatimChar"/>
                <w:sz w:val="18"/>
              </w:rPr>
              <w:t xml:space="preserve">08_wind_timescale.py</w:t>
            </w:r>
          </w:p>
        </w:tc>
        <w:tc>
          <w:tcPr/>
          <w:p>
            <w:pPr>
              <w:pStyle w:val="Compact"/>
            </w:pPr>
            <w:r>
              <w:rPr>
                <w:rFonts w:hint="eastAsia"/>
                <w:sz w:val="18"/>
              </w:rPr>
              <w:t xml:space="preserve">九州のフリート集約の風力出力の時間スケール構造</w:t>
            </w:r>
          </w:p>
        </w:tc>
        <w:tc>
          <w:tcPr/>
          <w:p>
            <w:pPr>
              <w:pStyle w:val="Compact"/>
            </w:pPr>
            <w:r>
              <w:rPr>
                <w:rFonts w:hint="eastAsia"/>
                <w:sz w:val="18"/>
              </w:rPr>
              <w:t xml:space="preserve">用いない</w:t>
            </w:r>
          </w:p>
        </w:tc>
      </w:tr>
      <w:tr>
        <w:tc>
          <w:tcPr/>
          <w:p>
            <w:pPr>
              <w:pStyle w:val="Compact"/>
            </w:pPr>
            <w:r>
              <w:rPr>
                <w:rStyle w:val="VerbatimChar"/>
                <w:sz w:val="18"/>
              </w:rPr>
              <w:t xml:space="preserve">09_export_figures_xlsx.py</w:t>
            </w:r>
          </w:p>
        </w:tc>
        <w:tc>
          <w:tcPr/>
          <w:p>
            <w:pPr>
              <w:pStyle w:val="Compact"/>
            </w:pPr>
            <w:r>
              <w:rPr>
                <w:rFonts w:hint="eastAsia"/>
                <w:sz w:val="18"/>
              </w:rPr>
              <w:t xml:space="preserve">図表データの</w:t>
            </w:r>
            <w:r>
              <w:rPr>
                <w:sz w:val="18"/>
              </w:rPr>
              <w:t xml:space="preserve"> Excel </w:t>
            </w:r>
            <w:r>
              <w:rPr>
                <w:rFonts w:hint="eastAsia"/>
                <w:sz w:val="18"/>
              </w:rPr>
              <w:t xml:space="preserve">への書き出し</w:t>
            </w:r>
          </w:p>
        </w:tc>
        <w:tc>
          <w:tcPr/>
          <w:p>
            <w:pPr>
              <w:pStyle w:val="Compact"/>
            </w:pPr>
            <w:r>
              <w:rPr>
                <w:sz w:val="18"/>
              </w:rPr>
              <w:t xml:space="preserve">—</w:t>
            </w:r>
          </w:p>
        </w:tc>
      </w:tr>
      <w:tr>
        <w:tc>
          <w:tcPr/>
          <w:p>
            <w:pPr>
              <w:pStyle w:val="Compact"/>
            </w:pPr>
            <w:r>
              <w:rPr>
                <w:rStyle w:val="VerbatimChar"/>
                <w:sz w:val="18"/>
              </w:rPr>
              <w:t xml:space="preserve">10_hokkaido_quick_xlsx.py</w:t>
            </w:r>
          </w:p>
        </w:tc>
        <w:tc>
          <w:tcPr/>
          <w:p>
            <w:pPr>
              <w:pStyle w:val="Compact"/>
            </w:pPr>
            <w:r>
              <w:rPr>
                <w:rFonts w:hint="eastAsia"/>
                <w:sz w:val="18"/>
              </w:rPr>
              <w:t xml:space="preserve">北海道のエリアプライスによる簡易集計</w:t>
            </w:r>
          </w:p>
        </w:tc>
        <w:tc>
          <w:tcPr/>
          <w:p>
            <w:pPr>
              <w:pStyle w:val="Compact"/>
            </w:pPr>
            <w:r>
              <w:rPr>
                <w:rFonts w:hint="eastAsia"/>
                <w:sz w:val="18"/>
              </w:rPr>
              <w:t xml:space="preserve">表D.1</w:t>
            </w:r>
            <w:r>
              <w:rPr>
                <w:sz w:val="18"/>
              </w:rPr>
              <w:t xml:space="preserve"> </w:t>
            </w:r>
            <w:r>
              <w:rPr>
                <w:rFonts w:hint="eastAsia"/>
                <w:sz w:val="18"/>
              </w:rPr>
              <w:t xml:space="preserve">の下限張り付きコマ数</w:t>
            </w:r>
          </w:p>
        </w:tc>
      </w:tr>
      <w:tr>
        <w:tc>
          <w:tcPr/>
          <w:p>
            <w:pPr>
              <w:pStyle w:val="Compact"/>
            </w:pPr>
            <w:r>
              <w:rPr>
                <w:rStyle w:val="VerbatimChar"/>
                <w:sz w:val="18"/>
              </w:rPr>
              <w:t xml:space="preserve">11_build_area_panels.py</w:t>
            </w:r>
          </w:p>
        </w:tc>
        <w:tc>
          <w:tcPr/>
          <w:p>
            <w:pPr>
              <w:pStyle w:val="Compact"/>
            </w:pPr>
            <w:r>
              <w:rPr>
                <w:rFonts w:hint="eastAsia"/>
                <w:sz w:val="18"/>
              </w:rPr>
              <w:t xml:space="preserve">北海道・東北の時間パネルの構築（</w:t>
            </w:r>
            <w:r>
              <w:rPr>
                <w:rStyle w:val="VerbatimChar"/>
                <w:sz w:val="18"/>
              </w:rPr>
              <w:t xml:space="preserve">01</w:t>
            </w:r>
            <w:r>
              <w:rPr>
                <w:sz w:val="18"/>
              </w:rPr>
              <w:t xml:space="preserve"> </w:t>
            </w:r>
            <w:r>
              <w:rPr>
                <w:rFonts w:hint="eastAsia"/>
                <w:sz w:val="18"/>
              </w:rPr>
              <w:t xml:space="preserve">のエリアへの一般化）</w:t>
            </w:r>
          </w:p>
        </w:tc>
        <w:tc>
          <w:tcPr/>
          <w:p>
            <w:pPr>
              <w:pStyle w:val="Compact"/>
            </w:pPr>
            <w:r>
              <w:rPr>
                <w:rFonts w:hint="eastAsia"/>
                <w:sz w:val="18"/>
              </w:rPr>
              <w:t xml:space="preserve">第3章、付録A.2</w:t>
            </w:r>
          </w:p>
        </w:tc>
      </w:tr>
      <w:tr>
        <w:tc>
          <w:tcPr/>
          <w:p>
            <w:pPr>
              <w:pStyle w:val="Compact"/>
            </w:pPr>
            <w:r>
              <w:rPr>
                <w:rStyle w:val="VerbatimChar"/>
                <w:sz w:val="18"/>
              </w:rPr>
              <w:t xml:space="preserve">12_fit_capacity_series.py</w:t>
            </w:r>
          </w:p>
        </w:tc>
        <w:tc>
          <w:tcPr/>
          <w:p>
            <w:pPr>
              <w:pStyle w:val="Compact"/>
            </w:pPr>
            <w:r>
              <w:rPr>
                <w:rFonts w:hint="eastAsia"/>
                <w:sz w:val="18"/>
              </w:rPr>
              <w:t xml:space="preserve">表B</w:t>
            </w:r>
            <w:r>
              <w:rPr>
                <w:sz w:val="18"/>
              </w:rPr>
              <w:t xml:space="preserve"> </w:t>
            </w:r>
            <w:r>
              <w:rPr>
                <w:rFonts w:hint="eastAsia"/>
                <w:sz w:val="18"/>
              </w:rPr>
              <w:t xml:space="preserve">から都道府県別・エリア別の太陽光・風力の導入容量の四半期系列を構築する</w:t>
            </w:r>
          </w:p>
        </w:tc>
        <w:tc>
          <w:tcPr/>
          <w:p>
            <w:pPr>
              <w:pStyle w:val="Compact"/>
            </w:pPr>
            <w:r>
              <w:rPr>
                <w:rFonts w:hint="eastAsia"/>
                <w:sz w:val="18"/>
              </w:rPr>
              <w:t xml:space="preserve">第3章、付録A.4</w:t>
            </w:r>
          </w:p>
        </w:tc>
      </w:tr>
      <w:tr>
        <w:tc>
          <w:tcPr/>
          <w:p>
            <w:pPr>
              <w:pStyle w:val="Compact"/>
            </w:pPr>
            <w:r>
              <w:rPr>
                <w:rStyle w:val="VerbatimChar"/>
                <w:sz w:val="18"/>
              </w:rPr>
              <w:t xml:space="preserve">13_price_process_v1.py</w:t>
            </w:r>
          </w:p>
        </w:tc>
        <w:tc>
          <w:tcPr/>
          <w:p>
            <w:pPr>
              <w:pStyle w:val="Compact"/>
            </w:pPr>
            <w:r>
              <w:rPr>
                <w:rFonts w:hint="eastAsia"/>
                <w:sz w:val="18"/>
              </w:rPr>
              <w:t xml:space="preserve">価格過程の基本仕様（仕様A</w:t>
            </w:r>
            <w:r>
              <w:rPr>
                <w:sz w:val="18"/>
              </w:rPr>
              <w:t xml:space="preserve"> </w:t>
            </w:r>
            <w:r>
              <w:rPr>
                <w:rFonts w:hint="eastAsia"/>
                <w:sz w:val="18"/>
              </w:rPr>
              <w:t xml:space="preserve">と分断混合仕様、水準固定）</w:t>
            </w:r>
          </w:p>
        </w:tc>
        <w:tc>
          <w:tcPr/>
          <w:p>
            <w:pPr>
              <w:pStyle w:val="Compact"/>
            </w:pPr>
            <w:r>
              <w:rPr>
                <w:rFonts w:hint="eastAsia"/>
                <w:sz w:val="18"/>
              </w:rPr>
              <w:t xml:space="preserve">表C.21、表C.23。</w:t>
            </w:r>
            <w:r>
              <w:rPr>
                <w:rStyle w:val="VerbatimChar"/>
                <w:sz w:val="18"/>
              </w:rPr>
              <w:t xml:space="preserve">18</w:t>
            </w:r>
            <w:r>
              <w:rPr>
                <w:sz w:val="18"/>
              </w:rPr>
              <w:t xml:space="preserve">・</w:t>
            </w:r>
            <w:r>
              <w:rPr>
                <w:rStyle w:val="VerbatimChar"/>
                <w:sz w:val="18"/>
              </w:rPr>
              <w:t xml:space="preserve">23</w:t>
            </w:r>
            <w:r>
              <w:rPr>
                <w:sz w:val="18"/>
              </w:rPr>
              <w:t xml:space="preserve">・</w:t>
            </w:r>
            <w:r>
              <w:rPr>
                <w:rStyle w:val="VerbatimChar"/>
                <w:sz w:val="18"/>
              </w:rPr>
              <w:t xml:space="preserve">33</w:t>
            </w:r>
            <w:r>
              <w:rPr>
                <w:sz w:val="18"/>
              </w:rPr>
              <w:t xml:space="preserve">・</w:t>
            </w:r>
            <w:r>
              <w:rPr>
                <w:rStyle w:val="VerbatimChar"/>
                <w:sz w:val="18"/>
              </w:rPr>
              <w:t xml:space="preserve">41</w:t>
            </w:r>
            <w:r>
              <w:rPr>
                <w:sz w:val="18"/>
              </w:rPr>
              <w:t xml:space="preserve">・</w:t>
            </w:r>
            <w:r>
              <w:rPr>
                <w:rStyle w:val="VerbatimChar"/>
                <w:sz w:val="18"/>
              </w:rPr>
              <w:t xml:space="preserve">48</w:t>
            </w:r>
            <w:r>
              <w:rPr>
                <w:sz w:val="18"/>
              </w:rPr>
              <w:t xml:space="preserve">・</w:t>
            </w:r>
            <w:r>
              <w:rPr>
                <w:rStyle w:val="VerbatimChar"/>
                <w:sz w:val="18"/>
              </w:rPr>
              <w:t xml:space="preserve">51</w:t>
            </w:r>
            <w:r>
              <w:rPr>
                <w:sz w:val="18"/>
              </w:rPr>
              <w:t xml:space="preserve"> </w:t>
            </w:r>
            <w:r>
              <w:rPr>
                <w:rFonts w:hint="eastAsia"/>
                <w:sz w:val="18"/>
              </w:rPr>
              <w:t xml:space="preserve">が部品として読み込む</w:t>
            </w:r>
          </w:p>
        </w:tc>
      </w:tr>
      <w:tr>
        <w:tc>
          <w:tcPr/>
          <w:p>
            <w:pPr>
              <w:pStyle w:val="Compact"/>
            </w:pPr>
            <w:r>
              <w:rPr>
                <w:rStyle w:val="VerbatimChar"/>
                <w:sz w:val="18"/>
              </w:rPr>
              <w:t xml:space="preserve">14_export_progress_figures.py</w:t>
            </w:r>
          </w:p>
        </w:tc>
        <w:tc>
          <w:tcPr/>
          <w:p>
            <w:pPr>
              <w:pStyle w:val="Compact"/>
            </w:pPr>
            <w:r>
              <w:rPr>
                <w:rFonts w:hint="eastAsia"/>
                <w:sz w:val="18"/>
              </w:rPr>
              <w:t xml:space="preserve">図表データの</w:t>
            </w:r>
            <w:r>
              <w:rPr>
                <w:sz w:val="18"/>
              </w:rPr>
              <w:t xml:space="preserve"> Excel </w:t>
            </w:r>
            <w:r>
              <w:rPr>
                <w:rFonts w:hint="eastAsia"/>
                <w:sz w:val="18"/>
              </w:rPr>
              <w:t xml:space="preserve">への書き出し</w:t>
            </w:r>
          </w:p>
        </w:tc>
        <w:tc>
          <w:tcPr/>
          <w:p>
            <w:pPr>
              <w:pStyle w:val="Compact"/>
            </w:pPr>
            <w:r>
              <w:rPr>
                <w:rFonts w:hint="eastAsia"/>
                <w:sz w:val="18"/>
              </w:rPr>
              <w:t xml:space="preserve">表C.23</w:t>
            </w:r>
            <w:r>
              <w:rPr>
                <w:sz w:val="18"/>
              </w:rPr>
              <w:t xml:space="preserve"> </w:t>
            </w:r>
            <w:r>
              <w:rPr>
                <w:rFonts w:hint="eastAsia"/>
                <w:sz w:val="18"/>
              </w:rPr>
              <w:t xml:space="preserve">に関する3年平均の値</w:t>
            </w:r>
          </w:p>
        </w:tc>
      </w:tr>
      <w:tr>
        <w:tc>
          <w:tcPr/>
          <w:p>
            <w:pPr>
              <w:pStyle w:val="Compact"/>
            </w:pPr>
            <w:r>
              <w:rPr>
                <w:rStyle w:val="VerbatimChar"/>
                <w:sz w:val="18"/>
              </w:rPr>
              <w:t xml:space="preserve">15_price_curve_shapes.py</w:t>
            </w:r>
          </w:p>
        </w:tc>
        <w:tc>
          <w:tcPr/>
          <w:p>
            <w:pPr>
              <w:pStyle w:val="Compact"/>
            </w:pPr>
            <w:r>
              <w:rPr>
                <w:rFonts w:hint="eastAsia"/>
                <w:sz w:val="18"/>
              </w:rPr>
              <w:t xml:space="preserve">太陽光の多寡別の時刻別価格カーブ</w:t>
            </w:r>
          </w:p>
        </w:tc>
        <w:tc>
          <w:tcPr/>
          <w:p>
            <w:pPr>
              <w:pStyle w:val="Compact"/>
            </w:pPr>
            <w:r>
              <w:rPr>
                <w:rFonts w:hint="eastAsia"/>
                <w:sz w:val="18"/>
              </w:rPr>
              <w:t xml:space="preserve">図5.1</w:t>
            </w:r>
          </w:p>
        </w:tc>
      </w:tr>
      <w:tr>
        <w:tc>
          <w:tcPr/>
          <w:p>
            <w:pPr>
              <w:pStyle w:val="Compact"/>
            </w:pPr>
            <w:r>
              <w:rPr>
                <w:rStyle w:val="VerbatimChar"/>
                <w:sz w:val="18"/>
              </w:rPr>
              <w:t xml:space="preserve">16_strategy_decomposition.py</w:t>
            </w:r>
          </w:p>
        </w:tc>
        <w:tc>
          <w:tcPr/>
          <w:p>
            <w:pPr>
              <w:pStyle w:val="Compact"/>
            </w:pPr>
            <w:r>
              <w:rPr>
                <w:rFonts w:hint="eastAsia"/>
                <w:sz w:val="18"/>
              </w:rPr>
              <w:t xml:space="preserve">戦略</w:t>
            </w:r>
            <w:r>
              <w:rPr>
                <w:sz w:val="18"/>
              </w:rPr>
              <w:t xml:space="preserve"> b </w:t>
            </w:r>
            <w:r>
              <w:rPr>
                <w:rFonts w:hint="eastAsia"/>
                <w:sz w:val="18"/>
              </w:rPr>
              <w:t xml:space="preserve">の改善の分解（予測か、平均化によるノイズの除去か）</w:t>
            </w:r>
          </w:p>
        </w:tc>
        <w:tc>
          <w:tcPr/>
          <w:p>
            <w:pPr>
              <w:pStyle w:val="Compact"/>
            </w:pPr>
            <w:r>
              <w:rPr>
                <w:rFonts w:hint="eastAsia"/>
                <w:sz w:val="18"/>
              </w:rPr>
              <w:t xml:space="preserve">用いない</w:t>
            </w:r>
          </w:p>
        </w:tc>
      </w:tr>
      <w:tr>
        <w:tc>
          <w:tcPr/>
          <w:p>
            <w:pPr>
              <w:pStyle w:val="Compact"/>
            </w:pPr>
            <w:r>
              <w:rPr>
                <w:rStyle w:val="VerbatimChar"/>
                <w:sz w:val="18"/>
              </w:rPr>
              <w:t xml:space="preserve">17_wind_battery_deepdive.py</w:t>
            </w:r>
          </w:p>
        </w:tc>
        <w:tc>
          <w:tcPr/>
          <w:p>
            <w:pPr>
              <w:pStyle w:val="Compact"/>
            </w:pPr>
            <w:r>
              <w:rPr>
                <w:rFonts w:hint="eastAsia"/>
                <w:sz w:val="18"/>
              </w:rPr>
              <w:t xml:space="preserve">風力の多寡別の時刻別価格カーブ</w:t>
            </w:r>
          </w:p>
        </w:tc>
        <w:tc>
          <w:tcPr/>
          <w:p>
            <w:pPr>
              <w:pStyle w:val="Compact"/>
            </w:pPr>
            <w:r>
              <w:rPr>
                <w:rFonts w:hint="eastAsia"/>
                <w:sz w:val="18"/>
              </w:rPr>
              <w:t xml:space="preserve">図5.2</w:t>
            </w:r>
          </w:p>
        </w:tc>
      </w:tr>
      <w:tr>
        <w:tc>
          <w:tcPr/>
          <w:p>
            <w:pPr>
              <w:pStyle w:val="Compact"/>
            </w:pPr>
            <w:r>
              <w:rPr>
                <w:rStyle w:val="VerbatimChar"/>
                <w:sz w:val="18"/>
              </w:rPr>
              <w:t xml:space="preserve">18_kwind_sweep.py</w:t>
            </w:r>
          </w:p>
        </w:tc>
        <w:tc>
          <w:tcPr/>
          <w:p>
            <w:pPr>
              <w:pStyle w:val="Compact"/>
            </w:pPr>
            <w:r>
              <w:rPr>
                <w:rFonts w:hint="eastAsia"/>
                <w:sz w:val="18"/>
              </w:rPr>
              <w:t xml:space="preserve">風力導入量を0.5〜3倍に振ったときの蓄電池の価値（基本仕様の価格過程）</w:t>
            </w:r>
          </w:p>
        </w:tc>
        <w:tc>
          <w:tcPr/>
          <w:p>
            <w:pPr>
              <w:pStyle w:val="Compact"/>
            </w:pPr>
            <w:r>
              <w:rPr>
                <w:rFonts w:hint="eastAsia"/>
                <w:sz w:val="18"/>
              </w:rPr>
              <w:t xml:space="preserve">図7.1</w:t>
            </w:r>
          </w:p>
        </w:tc>
      </w:tr>
      <w:tr>
        <w:tc>
          <w:tcPr/>
          <w:p>
            <w:pPr>
              <w:pStyle w:val="Compact"/>
            </w:pPr>
            <w:r>
              <w:rPr>
                <w:rStyle w:val="VerbatimChar"/>
                <w:sz w:val="18"/>
              </w:rPr>
              <w:t xml:space="preserve">19_hokkaido_extra_figs.py</w:t>
            </w:r>
          </w:p>
        </w:tc>
        <w:tc>
          <w:tcPr/>
          <w:p>
            <w:pPr>
              <w:pStyle w:val="Compact"/>
            </w:pPr>
            <w:r>
              <w:rPr>
                <w:rFonts w:hint="eastAsia"/>
                <w:sz w:val="18"/>
              </w:rPr>
              <w:t xml:space="preserve">北海道の帯域分解と年間粗利の図</w:t>
            </w:r>
          </w:p>
        </w:tc>
        <w:tc>
          <w:tcPr/>
          <w:p>
            <w:pPr>
              <w:pStyle w:val="Compact"/>
            </w:pPr>
            <w:r>
              <w:rPr>
                <w:rFonts w:hint="eastAsia"/>
                <w:sz w:val="18"/>
              </w:rPr>
              <w:t xml:space="preserve">図5.3、図6.2</w:t>
            </w:r>
          </w:p>
        </w:tc>
      </w:tr>
      <w:tr>
        <w:tc>
          <w:tcPr/>
          <w:p>
            <w:pPr>
              <w:pStyle w:val="Compact"/>
            </w:pPr>
            <w:r>
              <w:rPr>
                <w:rStyle w:val="VerbatimChar"/>
                <w:sz w:val="18"/>
              </w:rPr>
              <w:t xml:space="preserve">20_btm_case.py</w:t>
            </w:r>
          </w:p>
        </w:tc>
        <w:tc>
          <w:tcPr/>
          <w:p>
            <w:pPr>
              <w:pStyle w:val="Compact"/>
            </w:pPr>
            <w:r>
              <w:rPr>
                <w:rFonts w:hint="eastAsia"/>
                <w:sz w:val="18"/>
              </w:rPr>
              <w:t xml:space="preserve">併設蓄電池を対象に加える根拠のデータ整理</w:t>
            </w:r>
          </w:p>
        </w:tc>
        <w:tc>
          <w:tcPr/>
          <w:p>
            <w:pPr>
              <w:pStyle w:val="Compact"/>
            </w:pPr>
            <w:r>
              <w:rPr>
                <w:rFonts w:hint="eastAsia"/>
                <w:sz w:val="18"/>
              </w:rPr>
              <w:t xml:space="preserve">用いない（補助図）</w:t>
            </w:r>
          </w:p>
        </w:tc>
      </w:tr>
      <w:tr>
        <w:tc>
          <w:tcPr/>
          <w:p>
            <w:pPr>
              <w:pStyle w:val="Compact"/>
            </w:pPr>
            <w:r>
              <w:rPr>
                <w:rStyle w:val="VerbatimChar"/>
                <w:sz w:val="18"/>
              </w:rPr>
              <w:t xml:space="preserve">21_band_comparison.py</w:t>
            </w:r>
          </w:p>
        </w:tc>
        <w:tc>
          <w:tcPr/>
          <w:p>
            <w:pPr>
              <w:pStyle w:val="Compact"/>
            </w:pPr>
            <w:r>
              <w:rPr>
                <w:rFonts w:hint="eastAsia"/>
                <w:sz w:val="18"/>
              </w:rPr>
              <w:t xml:space="preserve">北海道の風力と九州の太陽光の帯域分解の比較（発電量の系列）</w:t>
            </w:r>
          </w:p>
        </w:tc>
        <w:tc>
          <w:tcPr/>
          <w:p>
            <w:pPr>
              <w:pStyle w:val="Compact"/>
            </w:pPr>
            <w:r>
              <w:rPr>
                <w:rFonts w:hint="eastAsia"/>
                <w:sz w:val="18"/>
              </w:rPr>
              <w:t xml:space="preserve">付録C.1.1</w:t>
            </w:r>
            <w:r>
              <w:rPr>
                <w:sz w:val="18"/>
              </w:rPr>
              <w:t xml:space="preserve"> </w:t>
            </w:r>
            <w:r>
              <w:rPr>
                <w:rFonts w:hint="eastAsia"/>
                <w:sz w:val="18"/>
              </w:rPr>
              <w:t xml:space="preserve">の発電量の系列による帯域分解</w:t>
            </w:r>
          </w:p>
        </w:tc>
      </w:tr>
      <w:tr>
        <w:tc>
          <w:tcPr/>
          <w:p>
            <w:pPr>
              <w:pStyle w:val="Compact"/>
            </w:pPr>
            <w:r>
              <w:rPr>
                <w:rStyle w:val="VerbatimChar"/>
                <w:sz w:val="18"/>
              </w:rPr>
              <w:t xml:space="preserve">22_wind_vs_price_shape.py</w:t>
            </w:r>
          </w:p>
        </w:tc>
        <w:tc>
          <w:tcPr/>
          <w:p>
            <w:pPr>
              <w:pStyle w:val="Compact"/>
            </w:pPr>
            <w:r>
              <w:rPr>
                <w:rFonts w:hint="eastAsia"/>
                <w:sz w:val="18"/>
              </w:rPr>
              <w:t xml:space="preserve">発電量と価格の水準・日内形状の関係（季節別、区間なし）</w:t>
            </w:r>
          </w:p>
        </w:tc>
        <w:tc>
          <w:tcPr/>
          <w:p>
            <w:pPr>
              <w:pStyle w:val="Compact"/>
            </w:pPr>
            <w:r>
              <w:rPr>
                <w:rFonts w:hint="eastAsia"/>
                <w:sz w:val="18"/>
              </w:rPr>
              <w:t xml:space="preserve">用いない（</w:t>
            </w:r>
            <w:r>
              <w:rPr>
                <w:rStyle w:val="VerbatimChar"/>
                <w:sz w:val="18"/>
              </w:rPr>
              <w:t xml:space="preserve">46</w:t>
            </w:r>
            <w:r>
              <w:rPr>
                <w:sz w:val="18"/>
              </w:rPr>
              <w:t xml:space="preserve"> </w:t>
            </w:r>
            <w:r>
              <w:rPr>
                <w:rFonts w:hint="eastAsia"/>
                <w:sz w:val="18"/>
              </w:rPr>
              <w:t xml:space="preserve">に置き換え）</w:t>
            </w:r>
          </w:p>
        </w:tc>
      </w:tr>
      <w:tr>
        <w:tc>
          <w:tcPr/>
          <w:p>
            <w:pPr>
              <w:pStyle w:val="Compact"/>
            </w:pPr>
            <w:r>
              <w:rPr>
                <w:rStyle w:val="VerbatimChar"/>
                <w:sz w:val="18"/>
              </w:rPr>
              <w:t xml:space="preserve">23_pi_k_curve.py</w:t>
            </w:r>
          </w:p>
        </w:tc>
        <w:tc>
          <w:tcPr/>
          <w:p>
            <w:pPr>
              <w:pStyle w:val="Compact"/>
            </w:pPr>
            <w:r>
              <w:rPr>
                <w:rFonts w:hint="eastAsia"/>
                <w:sz w:val="18"/>
              </w:rPr>
              <w:t xml:space="preserve">フリートを内生化した</w:t>
            </w:r>
            <w:r>
              <w:rPr>
                <w:sz w:val="18"/>
              </w:rPr>
              <w:t xml:space="preserve"> </w:t>
            </w:r>
            <m:oMath>
              <m:r>
                <m:t>π</m:t>
              </m:r>
              <m:r>
                <m:rPr>
                  <m:sty m:val="p"/>
                </m:rPr>
                <m:t>(</m:t>
              </m:r>
              <m:r>
                <m:t>K</m:t>
              </m:r>
              <m:r>
                <m:rPr>
                  <m:sty m:val="p"/>
                </m:rPr>
                <m:t>)</m:t>
              </m:r>
            </m:oMath>
            <w:r>
              <w:rPr>
                <w:sz w:val="18"/>
              </w:rPr>
              <w:t xml:space="preserve"> </w:t>
            </w:r>
            <w:r>
              <w:rPr>
                <w:rFonts w:hint="eastAsia"/>
                <w:sz w:val="18"/>
              </w:rPr>
              <w:t xml:space="preserve">の初期の計算</w:t>
            </w:r>
          </w:p>
        </w:tc>
        <w:tc>
          <w:tcPr/>
          <w:p>
            <w:pPr>
              <w:pStyle w:val="Compact"/>
            </w:pPr>
            <w:r>
              <w:rPr>
                <w:rFonts w:hint="eastAsia"/>
                <w:sz w:val="18"/>
              </w:rPr>
              <w:t xml:space="preserve">用いない（</w:t>
            </w:r>
            <w:r>
              <w:rPr>
                <w:rStyle w:val="VerbatimChar"/>
                <w:sz w:val="18"/>
              </w:rPr>
              <w:t xml:space="preserve">41</w:t>
            </w:r>
            <w:r>
              <w:rPr>
                <w:sz w:val="18"/>
              </w:rPr>
              <w:t xml:space="preserve"> </w:t>
            </w:r>
            <w:r>
              <w:rPr>
                <w:rFonts w:hint="eastAsia"/>
                <w:sz w:val="18"/>
              </w:rPr>
              <w:t xml:space="preserve">に置き換え）</w:t>
            </w:r>
          </w:p>
        </w:tc>
      </w:tr>
      <w:tr>
        <w:tc>
          <w:tcPr/>
          <w:p>
            <w:pPr>
              <w:pStyle w:val="Compact"/>
            </w:pPr>
            <w:r>
              <w:rPr>
                <w:rStyle w:val="VerbatimChar"/>
                <w:sz w:val="18"/>
              </w:rPr>
              <w:t xml:space="preserve">24_vol_verification.py</w:t>
            </w:r>
          </w:p>
        </w:tc>
        <w:tc>
          <w:tcPr/>
          <w:p>
            <w:pPr>
              <w:pStyle w:val="Compact"/>
            </w:pPr>
            <w:r>
              <w:rPr>
                <w:rFonts w:hint="eastAsia"/>
                <w:sz w:val="18"/>
              </w:rPr>
              <w:t xml:space="preserve">日次回帰（式(5.2)）の推定（北海道・九州、風力を加えた</w:t>
            </w:r>
            <w:r>
              <w:rPr>
                <w:sz w:val="18"/>
              </w:rPr>
              <w:t xml:space="preserve"> Fuke and Ohashi </w:t>
            </w:r>
            <w:r>
              <w:rPr>
                <w:rFonts w:hint="eastAsia"/>
                <w:sz w:val="18"/>
              </w:rPr>
              <w:t xml:space="preserve">型の拡張）</w:t>
            </w:r>
          </w:p>
        </w:tc>
        <w:tc>
          <w:tcPr/>
          <w:p>
            <w:pPr>
              <w:pStyle w:val="Compact"/>
            </w:pPr>
            <w:r>
              <w:rPr>
                <w:rFonts w:hint="eastAsia"/>
                <w:sz w:val="18"/>
              </w:rPr>
              <w:t xml:space="preserve">表5.2、表C.14</w:t>
            </w:r>
          </w:p>
        </w:tc>
      </w:tr>
      <w:tr>
        <w:tc>
          <w:tcPr/>
          <w:p>
            <w:pPr>
              <w:pStyle w:val="Compact"/>
            </w:pPr>
            <w:r>
              <w:rPr>
                <w:rStyle w:val="VerbatimChar"/>
                <w:sz w:val="18"/>
              </w:rPr>
              <w:t xml:space="preserve">25_fo_replication.py</w:t>
            </w:r>
          </w:p>
        </w:tc>
        <w:tc>
          <w:tcPr/>
          <w:p>
            <w:pPr>
              <w:pStyle w:val="Compact"/>
            </w:pPr>
            <w:r>
              <w:rPr>
                <w:sz w:val="18"/>
              </w:rPr>
              <w:t xml:space="preserve">Fuke and </w:t>
            </w:r>
            <w:r>
              <w:rPr>
                <w:rFonts w:hint="eastAsia"/>
                <w:sz w:val="18"/>
              </w:rPr>
              <w:t xml:space="preserve">Ohashi（2025）の仕様の再現と、TB4h</w:t>
            </w:r>
            <w:r>
              <w:rPr>
                <w:sz w:val="18"/>
              </w:rPr>
              <w:t xml:space="preserve"> </w:t>
            </w:r>
            <w:r>
              <w:rPr>
                <w:rFonts w:hint="eastAsia"/>
                <w:sz w:val="18"/>
              </w:rPr>
              <w:t xml:space="preserve">との対比</w:t>
            </w:r>
          </w:p>
        </w:tc>
        <w:tc>
          <w:tcPr/>
          <w:p>
            <w:pPr>
              <w:pStyle w:val="Compact"/>
            </w:pPr>
            <w:r>
              <w:rPr>
                <w:rFonts w:hint="eastAsia"/>
                <w:sz w:val="18"/>
              </w:rPr>
              <w:t xml:space="preserve">表5.5、表C.11〜表C.13</w:t>
            </w:r>
          </w:p>
        </w:tc>
      </w:tr>
      <w:tr>
        <w:tc>
          <w:tcPr/>
          <w:p>
            <w:pPr>
              <w:pStyle w:val="Compact"/>
            </w:pPr>
            <w:r>
              <w:rPr>
                <w:rStyle w:val="VerbatimChar"/>
                <w:sz w:val="18"/>
              </w:rPr>
              <w:t xml:space="preserve">26_price_process_v2.py</w:t>
            </w:r>
          </w:p>
        </w:tc>
        <w:tc>
          <w:tcPr/>
          <w:p>
            <w:pPr>
              <w:pStyle w:val="Compact"/>
            </w:pPr>
            <w:r>
              <w:rPr>
                <w:rFonts w:hint="eastAsia"/>
                <w:sz w:val="18"/>
              </w:rPr>
              <w:t xml:space="preserve">年度別の水準係数を入れた価格過程</w:t>
            </w:r>
          </w:p>
        </w:tc>
        <w:tc>
          <w:tcPr/>
          <w:p>
            <w:pPr>
              <w:pStyle w:val="Compact"/>
            </w:pPr>
            <w:r>
              <w:rPr>
                <w:rFonts w:hint="eastAsia"/>
                <w:sz w:val="18"/>
              </w:rPr>
              <w:t xml:space="preserve">表7.1。</w:t>
            </w:r>
            <w:r>
              <w:rPr>
                <w:rStyle w:val="VerbatimChar"/>
                <w:sz w:val="18"/>
              </w:rPr>
              <w:t xml:space="preserve">27</w:t>
            </w:r>
            <w:r>
              <w:rPr>
                <w:sz w:val="18"/>
              </w:rPr>
              <w:t xml:space="preserve">・</w:t>
            </w:r>
            <w:r>
              <w:rPr>
                <w:rStyle w:val="VerbatimChar"/>
                <w:sz w:val="18"/>
              </w:rPr>
              <w:t xml:space="preserve">28</w:t>
            </w:r>
            <w:r>
              <w:rPr>
                <w:sz w:val="18"/>
              </w:rPr>
              <w:t xml:space="preserve">・</w:t>
            </w:r>
            <w:r>
              <w:rPr>
                <w:rStyle w:val="VerbatimChar"/>
                <w:sz w:val="18"/>
              </w:rPr>
              <w:t xml:space="preserve">29</w:t>
            </w:r>
            <w:r>
              <w:rPr>
                <w:sz w:val="18"/>
              </w:rPr>
              <w:t xml:space="preserve">・</w:t>
            </w:r>
            <w:r>
              <w:rPr>
                <w:rStyle w:val="VerbatimChar"/>
                <w:sz w:val="18"/>
              </w:rPr>
              <w:t xml:space="preserve">38</w:t>
            </w:r>
            <w:r>
              <w:rPr>
                <w:sz w:val="18"/>
              </w:rPr>
              <w:t xml:space="preserve">・</w:t>
            </w:r>
            <w:r>
              <w:rPr>
                <w:rStyle w:val="VerbatimChar"/>
                <w:sz w:val="18"/>
              </w:rPr>
              <w:t xml:space="preserve">41</w:t>
            </w:r>
            <w:r>
              <w:rPr>
                <w:sz w:val="18"/>
              </w:rPr>
              <w:t xml:space="preserve">・</w:t>
            </w:r>
            <w:r>
              <w:rPr>
                <w:rStyle w:val="VerbatimChar"/>
                <w:sz w:val="18"/>
              </w:rPr>
              <w:t xml:space="preserve">47</w:t>
            </w:r>
            <w:r>
              <w:rPr>
                <w:sz w:val="18"/>
              </w:rPr>
              <w:t xml:space="preserve">・</w:t>
            </w:r>
            <w:r>
              <w:rPr>
                <w:rStyle w:val="VerbatimChar"/>
                <w:sz w:val="18"/>
              </w:rPr>
              <w:t xml:space="preserve">48</w:t>
            </w:r>
            <w:r>
              <w:rPr>
                <w:sz w:val="18"/>
              </w:rPr>
              <w:t xml:space="preserve">・</w:t>
            </w:r>
            <w:r>
              <w:rPr>
                <w:rStyle w:val="VerbatimChar"/>
                <w:sz w:val="18"/>
              </w:rPr>
              <w:t xml:space="preserve">51</w:t>
            </w:r>
            <w:r>
              <w:rPr>
                <w:sz w:val="18"/>
              </w:rPr>
              <w:t xml:space="preserve"> </w:t>
            </w:r>
            <w:r>
              <w:rPr>
                <w:rFonts w:hint="eastAsia"/>
                <w:sz w:val="18"/>
              </w:rPr>
              <w:t xml:space="preserve">が部品として読み込む</w:t>
            </w:r>
          </w:p>
        </w:tc>
      </w:tr>
      <w:tr>
        <w:tc>
          <w:tcPr/>
          <w:p>
            <w:pPr>
              <w:pStyle w:val="Compact"/>
            </w:pPr>
            <w:r>
              <w:rPr>
                <w:rStyle w:val="VerbatimChar"/>
                <w:sz w:val="18"/>
              </w:rPr>
              <w:t xml:space="preserve">27_pi_k_curve_v2.py</w:t>
            </w:r>
          </w:p>
        </w:tc>
        <w:tc>
          <w:tcPr/>
          <w:p>
            <w:pPr>
              <w:pStyle w:val="Compact"/>
            </w:pPr>
            <w:r>
              <w:rPr>
                <w:rFonts w:hint="eastAsia"/>
                <w:sz w:val="18"/>
              </w:rPr>
              <w:t xml:space="preserve">水準係数付きの価格過程の上の</w:t>
            </w:r>
            <w:r>
              <w:rPr>
                <w:sz w:val="18"/>
              </w:rPr>
              <w:t xml:space="preserve"> </w:t>
            </w:r>
            <m:oMath>
              <m:r>
                <m:t>π</m:t>
              </m:r>
              <m:r>
                <m:rPr>
                  <m:sty m:val="p"/>
                </m:rPr>
                <m:t>(</m:t>
              </m:r>
              <m:r>
                <m:t>K</m:t>
              </m:r>
              <m:r>
                <m:rPr>
                  <m:sty m:val="p"/>
                </m:rPr>
                <m:t>)</m:t>
              </m:r>
            </m:oMath>
            <w:r>
              <w:rPr>
                <w:sz w:val="18"/>
              </w:rPr>
              <w:t xml:space="preserve"> </w:t>
            </w:r>
            <w:r>
              <w:rPr>
                <w:rFonts w:hint="eastAsia"/>
                <w:sz w:val="18"/>
              </w:rPr>
              <w:t xml:space="preserve">の計算</w:t>
            </w:r>
          </w:p>
        </w:tc>
        <w:tc>
          <w:tcPr/>
          <w:p>
            <w:pPr>
              <w:pStyle w:val="Compact"/>
            </w:pPr>
            <w:r>
              <w:rPr>
                <w:rFonts w:hint="eastAsia"/>
                <w:sz w:val="18"/>
              </w:rPr>
              <w:t xml:space="preserve">用いない（</w:t>
            </w:r>
            <w:r>
              <w:rPr>
                <w:rStyle w:val="VerbatimChar"/>
                <w:sz w:val="18"/>
              </w:rPr>
              <w:t xml:space="preserve">41</w:t>
            </w:r>
            <w:r>
              <w:rPr>
                <w:sz w:val="18"/>
              </w:rPr>
              <w:t xml:space="preserve"> </w:t>
            </w:r>
            <w:r>
              <w:rPr>
                <w:rFonts w:hint="eastAsia"/>
                <w:sz w:val="18"/>
              </w:rPr>
              <w:t xml:space="preserve">に置き換え）</w:t>
            </w:r>
          </w:p>
        </w:tc>
      </w:tr>
      <w:tr>
        <w:tc>
          <w:tcPr/>
          <w:p>
            <w:pPr>
              <w:pStyle w:val="Compact"/>
            </w:pPr>
            <w:r>
              <w:rPr>
                <w:rStyle w:val="VerbatimChar"/>
                <w:sz w:val="18"/>
              </w:rPr>
              <w:t xml:space="preserve">28_equilibrium_surface.py</w:t>
            </w:r>
          </w:p>
        </w:tc>
        <w:tc>
          <w:tcPr/>
          <w:p>
            <w:pPr>
              <w:pStyle w:val="Compact"/>
            </w:pPr>
            <w:r>
              <w:rPr>
                <w:rFonts w:hint="eastAsia"/>
                <w:sz w:val="18"/>
              </w:rPr>
              <w:t xml:space="preserve">2次元の感応度面・損益分岐面と需給調整市場のレントの上限（ΔkW</w:t>
            </w:r>
            <w:r>
              <w:rPr>
                <w:sz w:val="18"/>
              </w:rPr>
              <w:t xml:space="preserve"> </w:t>
            </w:r>
            <w:r>
              <w:rPr>
                <w:rFonts w:hint="eastAsia"/>
                <w:sz w:val="18"/>
              </w:rPr>
              <w:t xml:space="preserve">価格の単位を</w:t>
            </w:r>
            <w:r>
              <w:rPr>
                <w:sz w:val="18"/>
              </w:rPr>
              <w:t xml:space="preserve"> </w:t>
            </w:r>
            <w:r>
              <w:rPr>
                <w:rFonts w:hint="eastAsia"/>
                <w:sz w:val="18"/>
              </w:rPr>
              <w:t xml:space="preserve">円/ΔkW·h</w:t>
            </w:r>
            <w:r>
              <w:rPr>
                <w:sz w:val="18"/>
              </w:rPr>
              <w:t xml:space="preserve"> </w:t>
            </w:r>
            <w:r>
              <w:rPr>
                <w:rFonts w:hint="eastAsia"/>
                <w:sz w:val="18"/>
              </w:rPr>
              <w:t xml:space="preserve">とみなした旧い計算）</w:t>
            </w:r>
          </w:p>
        </w:tc>
        <w:tc>
          <w:tcPr/>
          <w:p>
            <w:pPr>
              <w:pStyle w:val="Compact"/>
            </w:pPr>
            <w:r>
              <w:rPr>
                <w:rFonts w:hint="eastAsia"/>
                <w:sz w:val="18"/>
              </w:rPr>
              <w:t xml:space="preserve">用いない（レントの上限は</w:t>
            </w:r>
            <w:r>
              <w:rPr>
                <w:sz w:val="18"/>
              </w:rPr>
              <w:t xml:space="preserve"> </w:t>
            </w:r>
            <w:r>
              <w:rPr>
                <w:rStyle w:val="VerbatimChar"/>
                <w:sz w:val="18"/>
              </w:rPr>
              <w:t xml:space="preserve">52</w:t>
            </w:r>
            <w:r>
              <w:rPr>
                <w:rFonts w:hint="eastAsia"/>
                <w:sz w:val="18"/>
              </w:rPr>
              <w:t xml:space="preserve">）。他は</w:t>
            </w:r>
            <w:r>
              <w:rPr>
                <w:sz w:val="18"/>
              </w:rPr>
              <w:t xml:space="preserve"> </w:t>
            </w:r>
            <w:r>
              <w:rPr>
                <w:rStyle w:val="VerbatimChar"/>
                <w:sz w:val="18"/>
              </w:rPr>
              <w:t xml:space="preserve">42</w:t>
            </w:r>
            <w:r>
              <w:rPr>
                <w:sz w:val="18"/>
              </w:rPr>
              <w:t xml:space="preserve"> </w:t>
            </w:r>
            <w:r>
              <w:rPr>
                <w:rFonts w:hint="eastAsia"/>
                <w:sz w:val="18"/>
              </w:rPr>
              <w:t xml:space="preserve">に置き換え</w:t>
            </w:r>
          </w:p>
        </w:tc>
      </w:tr>
      <w:tr>
        <w:tc>
          <w:tcPr/>
          <w:p>
            <w:pPr>
              <w:pStyle w:val="Compact"/>
            </w:pPr>
            <w:r>
              <w:rPr>
                <w:rStyle w:val="VerbatimChar"/>
                <w:sz w:val="18"/>
              </w:rPr>
              <w:t xml:space="preserve">52_eprx_rent_cap_v2.py</w:t>
            </w:r>
          </w:p>
        </w:tc>
        <w:tc>
          <w:tcPr/>
          <w:p>
            <w:pPr>
              <w:pStyle w:val="Compact"/>
            </w:pPr>
            <w:r>
              <w:rPr>
                <w:rFonts w:hint="eastAsia"/>
                <w:sz w:val="18"/>
              </w:rPr>
              <w:t xml:space="preserve">需給調整市場のレントの上限（ΔkW</w:t>
            </w:r>
            <w:r>
              <w:rPr>
                <w:sz w:val="18"/>
              </w:rPr>
              <w:t xml:space="preserve"> </w:t>
            </w:r>
            <w:r>
              <w:rPr>
                <w:rFonts w:hint="eastAsia"/>
                <w:sz w:val="18"/>
              </w:rPr>
              <w:t xml:space="preserve">価格を</w:t>
            </w:r>
            <w:r>
              <w:rPr>
                <w:sz w:val="18"/>
              </w:rPr>
              <w:t xml:space="preserve"> </w:t>
            </w:r>
            <w:r>
              <w:rPr>
                <w:rFonts w:hint="eastAsia"/>
                <w:sz w:val="18"/>
              </w:rPr>
              <w:t xml:space="preserve">円/ΔkW・30分</w:t>
            </w:r>
            <w:r>
              <w:rPr>
                <w:sz w:val="18"/>
              </w:rPr>
              <w:t xml:space="preserve"> </w:t>
            </w:r>
            <w:r>
              <w:rPr>
                <w:rFonts w:hint="eastAsia"/>
                <w:sz w:val="18"/>
              </w:rPr>
              <w:t xml:space="preserve">として年額に換算）</w:t>
            </w:r>
          </w:p>
        </w:tc>
        <w:tc>
          <w:tcPr/>
          <w:p>
            <w:pPr>
              <w:pStyle w:val="Compact"/>
            </w:pPr>
            <w:r>
              <w:rPr>
                <w:rFonts w:hint="eastAsia"/>
                <w:sz w:val="18"/>
              </w:rPr>
              <w:t xml:space="preserve">表7.3</w:t>
            </w:r>
            <w:r>
              <w:rPr>
                <w:sz w:val="18"/>
              </w:rPr>
              <w:t xml:space="preserve"> </w:t>
            </w:r>
            <w:r>
              <w:rPr>
                <w:rFonts w:hint="eastAsia"/>
                <w:sz w:val="18"/>
              </w:rPr>
              <w:t xml:space="preserve">の需給調整市場のレントの行、表C.28</w:t>
            </w:r>
          </w:p>
        </w:tc>
      </w:tr>
      <w:tr>
        <w:tc>
          <w:tcPr/>
          <w:p>
            <w:pPr>
              <w:pStyle w:val="Compact"/>
            </w:pPr>
            <w:r>
              <w:rPr>
                <w:rStyle w:val="VerbatimChar"/>
                <w:sz w:val="18"/>
              </w:rPr>
              <w:t xml:space="preserve">29_spatial_dispersion.py</w:t>
            </w:r>
          </w:p>
        </w:tc>
        <w:tc>
          <w:tcPr/>
          <w:p>
            <w:pPr>
              <w:pStyle w:val="Compact"/>
            </w:pPr>
            <w:r>
              <w:rPr>
                <w:rFonts w:hint="eastAsia"/>
                <w:sz w:val="18"/>
              </w:rPr>
              <w:t xml:space="preserve">集中立地の反実仮想の初期の計算（加法による増幅）</w:t>
            </w:r>
          </w:p>
        </w:tc>
        <w:tc>
          <w:tcPr/>
          <w:p>
            <w:pPr>
              <w:pStyle w:val="Compact"/>
            </w:pPr>
            <w:r>
              <w:rPr>
                <w:rFonts w:hint="eastAsia"/>
                <w:sz w:val="18"/>
              </w:rPr>
              <w:t xml:space="preserve">用いない（</w:t>
            </w:r>
            <w:r>
              <w:rPr>
                <w:rStyle w:val="VerbatimChar"/>
                <w:sz w:val="18"/>
              </w:rPr>
              <w:t xml:space="preserve">47</w:t>
            </w:r>
            <w:r>
              <w:rPr>
                <w:sz w:val="18"/>
              </w:rPr>
              <w:t xml:space="preserve"> </w:t>
            </w:r>
            <w:r>
              <w:rPr>
                <w:rFonts w:hint="eastAsia"/>
                <w:sz w:val="18"/>
              </w:rPr>
              <w:t xml:space="preserve">に置き換え）</w:t>
            </w:r>
          </w:p>
        </w:tc>
      </w:tr>
      <w:tr>
        <w:tc>
          <w:tcPr/>
          <w:p>
            <w:pPr>
              <w:pStyle w:val="Compact"/>
            </w:pPr>
            <w:r>
              <w:rPr>
                <w:rStyle w:val="VerbatimChar"/>
                <w:sz w:val="18"/>
              </w:rPr>
              <w:t xml:space="preserve">30_btm_avoidable.py</w:t>
            </w:r>
          </w:p>
        </w:tc>
        <w:tc>
          <w:tcPr/>
          <w:p>
            <w:pPr>
              <w:pStyle w:val="Compact"/>
            </w:pPr>
            <w:r>
              <w:rPr>
                <w:rFonts w:hint="eastAsia"/>
                <w:sz w:val="18"/>
              </w:rPr>
              <w:t xml:space="preserve">併設蓄電池の容量制約の下での抑制回避可能率</w:t>
            </w:r>
          </w:p>
        </w:tc>
        <w:tc>
          <w:tcPr/>
          <w:p>
            <w:pPr>
              <w:pStyle w:val="Compact"/>
            </w:pPr>
            <w:r>
              <w:rPr>
                <w:rFonts w:hint="eastAsia"/>
                <w:sz w:val="18"/>
              </w:rPr>
              <w:t xml:space="preserve">表C.36</w:t>
            </w:r>
          </w:p>
        </w:tc>
      </w:tr>
      <w:tr>
        <w:tc>
          <w:tcPr/>
          <w:p>
            <w:pPr>
              <w:pStyle w:val="Compact"/>
            </w:pPr>
            <w:r>
              <w:rPr>
                <w:rStyle w:val="VerbatimChar"/>
                <w:sz w:val="18"/>
              </w:rPr>
              <w:t xml:space="preserve">31_export_new_sheets.py</w:t>
            </w:r>
          </w:p>
        </w:tc>
        <w:tc>
          <w:tcPr/>
          <w:p>
            <w:pPr>
              <w:pStyle w:val="Compact"/>
            </w:pPr>
            <w:r>
              <w:rPr>
                <w:rFonts w:hint="eastAsia"/>
                <w:sz w:val="18"/>
              </w:rPr>
              <w:t xml:space="preserve">図表データの</w:t>
            </w:r>
            <w:r>
              <w:rPr>
                <w:sz w:val="18"/>
              </w:rPr>
              <w:t xml:space="preserve"> Excel </w:t>
            </w:r>
            <w:r>
              <w:rPr>
                <w:rFonts w:hint="eastAsia"/>
                <w:sz w:val="18"/>
              </w:rPr>
              <w:t xml:space="preserve">への追記</w:t>
            </w:r>
          </w:p>
        </w:tc>
        <w:tc>
          <w:tcPr/>
          <w:p>
            <w:pPr>
              <w:pStyle w:val="Compact"/>
            </w:pPr>
            <w:r>
              <w:rPr>
                <w:sz w:val="18"/>
              </w:rPr>
              <w:t xml:space="preserve">—</w:t>
            </w:r>
          </w:p>
        </w:tc>
      </w:tr>
      <w:tr>
        <w:tc>
          <w:tcPr/>
          <w:p>
            <w:pPr>
              <w:pStyle w:val="Compact"/>
            </w:pPr>
            <w:r>
              <w:rPr>
                <w:rStyle w:val="VerbatimChar"/>
                <w:sz w:val="18"/>
              </w:rPr>
              <w:t xml:space="preserve">32_negative_price.py</w:t>
            </w:r>
          </w:p>
        </w:tc>
        <w:tc>
          <w:tcPr/>
          <w:p>
            <w:pPr>
              <w:pStyle w:val="Compact"/>
            </w:pPr>
            <w:r>
              <w:rPr>
                <w:rFonts w:hint="eastAsia"/>
                <w:sz w:val="18"/>
              </w:rPr>
              <w:t xml:space="preserve">下限価格のシナリオの初期の計算</w:t>
            </w:r>
          </w:p>
        </w:tc>
        <w:tc>
          <w:tcPr/>
          <w:p>
            <w:pPr>
              <w:pStyle w:val="Compact"/>
            </w:pPr>
            <w:r>
              <w:rPr>
                <w:rFonts w:hint="eastAsia"/>
                <w:sz w:val="18"/>
              </w:rPr>
              <w:t xml:space="preserve">表C.50。シナリオの定義を</w:t>
            </w:r>
            <w:r>
              <w:rPr>
                <w:sz w:val="18"/>
              </w:rPr>
              <w:t xml:space="preserve"> </w:t>
            </w:r>
            <w:r>
              <w:rPr>
                <w:rStyle w:val="VerbatimChar"/>
                <w:sz w:val="18"/>
              </w:rPr>
              <w:t xml:space="preserve">43</w:t>
            </w:r>
            <w:r>
              <w:rPr>
                <w:sz w:val="18"/>
              </w:rPr>
              <w:t xml:space="preserve">・</w:t>
            </w:r>
            <w:r>
              <w:rPr>
                <w:rStyle w:val="VerbatimChar"/>
                <w:sz w:val="18"/>
              </w:rPr>
              <w:t xml:space="preserve">50</w:t>
            </w:r>
            <w:r>
              <w:rPr>
                <w:sz w:val="18"/>
              </w:rPr>
              <w:t xml:space="preserve"> </w:t>
            </w:r>
            <w:r>
              <w:rPr>
                <w:rFonts w:hint="eastAsia"/>
                <w:sz w:val="18"/>
              </w:rPr>
              <w:t xml:space="preserve">が読む。他は</w:t>
            </w:r>
            <w:r>
              <w:rPr>
                <w:sz w:val="18"/>
              </w:rPr>
              <w:t xml:space="preserve"> </w:t>
            </w:r>
            <w:r>
              <w:rPr>
                <w:rStyle w:val="VerbatimChar"/>
                <w:sz w:val="18"/>
              </w:rPr>
              <w:t xml:space="preserve">43</w:t>
            </w:r>
            <w:r>
              <w:rPr>
                <w:sz w:val="18"/>
              </w:rPr>
              <w:t xml:space="preserve"> </w:t>
            </w:r>
            <w:r>
              <w:rPr>
                <w:rFonts w:hint="eastAsia"/>
                <w:sz w:val="18"/>
              </w:rPr>
              <w:t xml:space="preserve">に置き換え</w:t>
            </w:r>
          </w:p>
        </w:tc>
      </w:tr>
      <w:tr>
        <w:tc>
          <w:tcPr/>
          <w:p>
            <w:pPr>
              <w:pStyle w:val="Compact"/>
            </w:pPr>
            <w:r>
              <w:rPr>
                <w:rStyle w:val="VerbatimChar"/>
                <w:sz w:val="18"/>
              </w:rPr>
              <w:t xml:space="preserve">33_price_curve_sensitivity.py</w:t>
            </w:r>
          </w:p>
        </w:tc>
        <w:tc>
          <w:tcPr/>
          <w:p>
            <w:pPr>
              <w:pStyle w:val="Compact"/>
            </w:pPr>
            <w:r>
              <w:rPr>
                <w:rFonts w:hint="eastAsia"/>
                <w:sz w:val="18"/>
              </w:rPr>
              <w:t xml:space="preserve">供給曲線とベースロードの一律減の分解、下限価格の機構の検証</w:t>
            </w:r>
          </w:p>
        </w:tc>
        <w:tc>
          <w:tcPr/>
          <w:p>
            <w:pPr>
              <w:pStyle w:val="Compact"/>
            </w:pPr>
            <w:r>
              <w:rPr>
                <w:rFonts w:hint="eastAsia"/>
                <w:sz w:val="18"/>
              </w:rPr>
              <w:t xml:space="preserve">図7.4、図7.5、表7.4、表C.29</w:t>
            </w:r>
          </w:p>
        </w:tc>
      </w:tr>
      <w:tr>
        <w:tc>
          <w:tcPr/>
          <w:p>
            <w:pPr>
              <w:pStyle w:val="Compact"/>
            </w:pPr>
            <w:r>
              <w:rPr>
                <w:rStyle w:val="VerbatimChar"/>
                <w:sz w:val="18"/>
              </w:rPr>
              <w:t xml:space="preserve">34_price_curve_pca.py</w:t>
            </w:r>
          </w:p>
        </w:tc>
        <w:tc>
          <w:tcPr/>
          <w:p>
            <w:pPr>
              <w:pStyle w:val="Compact"/>
            </w:pPr>
            <w:r>
              <w:rPr>
                <w:rFonts w:hint="eastAsia"/>
                <w:sz w:val="18"/>
              </w:rPr>
              <w:t xml:space="preserve">24時間の価格カーブの主成分分解と、完全予見粗利の因子エクスポージャー</w:t>
            </w:r>
          </w:p>
        </w:tc>
        <w:tc>
          <w:tcPr/>
          <w:p>
            <w:pPr>
              <w:pStyle w:val="Compact"/>
            </w:pPr>
            <w:r>
              <w:rPr>
                <w:rFonts w:hint="eastAsia"/>
                <w:sz w:val="18"/>
              </w:rPr>
              <w:t xml:space="preserve">5.7節の寄与率・負荷、6.4.2項、付録C.2.3</w:t>
            </w:r>
          </w:p>
        </w:tc>
      </w:tr>
      <w:tr>
        <w:tc>
          <w:tcPr/>
          <w:p>
            <w:pPr>
              <w:pStyle w:val="Compact"/>
            </w:pPr>
            <w:r>
              <w:rPr>
                <w:rStyle w:val="VerbatimChar"/>
                <w:sz w:val="18"/>
              </w:rPr>
              <w:t xml:space="preserve">35_option_layers.py</w:t>
            </w:r>
          </w:p>
        </w:tc>
        <w:tc>
          <w:tcPr/>
          <w:p>
            <w:pPr>
              <w:pStyle w:val="Compact"/>
            </w:pPr>
            <w:r>
              <w:rPr>
                <w:rFonts w:hint="eastAsia"/>
                <w:sz w:val="18"/>
              </w:rPr>
              <w:t xml:space="preserve">完全予見粗利の3層分解</w:t>
            </w:r>
          </w:p>
        </w:tc>
        <w:tc>
          <w:tcPr/>
          <w:p>
            <w:pPr>
              <w:pStyle w:val="Compact"/>
            </w:pPr>
            <w:r>
              <w:rPr>
                <w:rFonts w:hint="eastAsia"/>
                <w:sz w:val="18"/>
              </w:rPr>
              <w:t xml:space="preserve">表6.2、図6.4、表D.1、表D.3</w:t>
            </w:r>
          </w:p>
        </w:tc>
      </w:tr>
      <w:tr>
        <w:tc>
          <w:tcPr/>
          <w:p>
            <w:pPr>
              <w:pStyle w:val="Compact"/>
            </w:pPr>
            <w:r>
              <w:rPr>
                <w:rStyle w:val="VerbatimChar"/>
                <w:sz w:val="18"/>
              </w:rPr>
              <w:t xml:space="preserve">36_strategy_tests.py</w:t>
            </w:r>
          </w:p>
        </w:tc>
        <w:tc>
          <w:tcPr/>
          <w:p>
            <w:pPr>
              <w:pStyle w:val="Compact"/>
            </w:pPr>
            <w:r>
              <w:rPr>
                <w:rFonts w:hint="eastAsia"/>
                <w:sz w:val="18"/>
              </w:rPr>
              <w:t xml:space="preserve">実行可能戦略の予測評価と取引ルールの検定（DM</w:t>
            </w:r>
            <w:r>
              <w:rPr>
                <w:sz w:val="18"/>
              </w:rPr>
              <w:t xml:space="preserve"> </w:t>
            </w:r>
            <w:r>
              <w:rPr>
                <w:rFonts w:hint="eastAsia"/>
                <w:sz w:val="18"/>
              </w:rPr>
              <w:t xml:space="preserve">検定、SPA</w:t>
            </w:r>
            <w:r>
              <w:rPr>
                <w:sz w:val="18"/>
              </w:rPr>
              <w:t xml:space="preserve"> </w:t>
            </w:r>
            <w:r>
              <w:rPr>
                <w:rFonts w:hint="eastAsia"/>
                <w:sz w:val="18"/>
              </w:rPr>
              <w:t xml:space="preserve">検定、実現率の区間）</w:t>
            </w:r>
          </w:p>
        </w:tc>
        <w:tc>
          <w:tcPr/>
          <w:p>
            <w:pPr>
              <w:pStyle w:val="Compact"/>
            </w:pPr>
            <w:r>
              <w:rPr>
                <w:rFonts w:hint="eastAsia"/>
                <w:sz w:val="18"/>
              </w:rPr>
              <w:t xml:space="preserve">表6.3、図6.3、表C.18〜表C.20</w:t>
            </w:r>
          </w:p>
        </w:tc>
      </w:tr>
      <w:tr>
        <w:tc>
          <w:tcPr/>
          <w:p>
            <w:pPr>
              <w:pStyle w:val="Compact"/>
            </w:pPr>
            <w:r>
              <w:rPr>
                <w:rStyle w:val="VerbatimChar"/>
                <w:sz w:val="18"/>
              </w:rPr>
              <w:t xml:space="preserve">37_robust_inference.py</w:t>
            </w:r>
          </w:p>
        </w:tc>
        <w:tc>
          <w:tcPr/>
          <w:p>
            <w:pPr>
              <w:pStyle w:val="Compact"/>
            </w:pPr>
            <w:r>
              <w:rPr>
                <w:rFonts w:hint="eastAsia"/>
                <w:sz w:val="18"/>
              </w:rPr>
              <w:t xml:space="preserve">日次回帰の系列相関に頑健な推論、同月内の識別、冬の</w:t>
            </w:r>
            <w:r>
              <w:rPr>
                <w:sz w:val="18"/>
              </w:rPr>
              <w:t xml:space="preserve"> TB4h </w:t>
            </w:r>
            <w:r>
              <w:rPr>
                <w:rFonts w:hint="eastAsia"/>
                <w:sz w:val="18"/>
              </w:rPr>
              <w:t xml:space="preserve">の上位・下位4時間への分解</w:t>
            </w:r>
          </w:p>
        </w:tc>
        <w:tc>
          <w:tcPr/>
          <w:p>
            <w:pPr>
              <w:pStyle w:val="Compact"/>
            </w:pPr>
            <w:r>
              <w:rPr>
                <w:rFonts w:hint="eastAsia"/>
                <w:sz w:val="18"/>
              </w:rPr>
              <w:t xml:space="preserve">表5.2</w:t>
            </w:r>
            <w:r>
              <w:rPr>
                <w:sz w:val="18"/>
              </w:rPr>
              <w:t xml:space="preserve"> </w:t>
            </w:r>
            <w:r>
              <w:rPr>
                <w:rFonts w:hint="eastAsia"/>
                <w:sz w:val="18"/>
              </w:rPr>
              <w:t xml:space="preserve">の推論、表5.6、図5.8、表C.1、表C.14、表C.15</w:t>
            </w:r>
          </w:p>
        </w:tc>
      </w:tr>
      <w:tr>
        <w:tc>
          <w:tcPr/>
          <w:p>
            <w:pPr>
              <w:pStyle w:val="Compact"/>
            </w:pPr>
            <w:r>
              <w:rPr>
                <w:rStyle w:val="VerbatimChar"/>
                <w:sz w:val="18"/>
              </w:rPr>
              <w:t xml:space="preserve">38_real_option_threshold.py</w:t>
            </w:r>
          </w:p>
        </w:tc>
        <w:tc>
          <w:tcPr/>
          <w:p>
            <w:pPr>
              <w:pStyle w:val="Compact"/>
            </w:pPr>
            <w:r>
              <w:rPr>
                <w:rFonts w:hint="eastAsia"/>
                <w:sz w:val="18"/>
              </w:rPr>
              <w:t xml:space="preserve">静学の損益分岐と待機を考慮した参入閾値、参入が開く確率、接続枠の待機価値</w:t>
            </w:r>
          </w:p>
        </w:tc>
        <w:tc>
          <w:tcPr/>
          <w:p>
            <w:pPr>
              <w:pStyle w:val="Compact"/>
            </w:pPr>
            <w:r>
              <w:rPr>
                <w:rFonts w:hint="eastAsia"/>
                <w:sz w:val="18"/>
              </w:rPr>
              <w:t xml:space="preserve">図7.6、表C.17</w:t>
            </w:r>
            <w:r>
              <w:rPr>
                <w:sz w:val="18"/>
              </w:rPr>
              <w:t xml:space="preserve"> </w:t>
            </w:r>
            <w:r>
              <w:rPr>
                <w:rFonts w:hint="eastAsia"/>
                <w:sz w:val="18"/>
              </w:rPr>
              <w:t xml:space="preserve">の競争均衡の閾値の比、表C.31〜表C.35、付録C.4.4</w:t>
            </w:r>
          </w:p>
        </w:tc>
      </w:tr>
      <w:tr>
        <w:tc>
          <w:tcPr/>
          <w:p>
            <w:pPr>
              <w:pStyle w:val="Compact"/>
            </w:pPr>
            <w:r>
              <w:rPr>
                <w:rStyle w:val="VerbatimChar"/>
                <w:sz w:val="18"/>
              </w:rPr>
              <w:t xml:space="preserve">39_irr_cost_of_capital.py</w:t>
            </w:r>
          </w:p>
        </w:tc>
        <w:tc>
          <w:tcPr/>
          <w:p>
            <w:pPr>
              <w:pStyle w:val="Compact"/>
            </w:pPr>
            <w:r>
              <w:rPr>
                <w:rFonts w:hint="eastAsia"/>
                <w:sz w:val="18"/>
              </w:rPr>
              <w:t xml:space="preserve">事業</w:t>
            </w:r>
            <w:r>
              <w:rPr>
                <w:sz w:val="18"/>
              </w:rPr>
              <w:t xml:space="preserve"> </w:t>
            </w:r>
            <w:r>
              <w:rPr>
                <w:rFonts w:hint="eastAsia"/>
                <w:sz w:val="18"/>
              </w:rPr>
              <w:t xml:space="preserve">IRR、資産の資本コストと</w:t>
            </w:r>
            <w:r>
              <w:rPr>
                <w:sz w:val="18"/>
              </w:rPr>
              <w:t xml:space="preserve"> </w:t>
            </w:r>
            <m:oMath>
              <m:sSup>
                <m:e>
                  <m:r>
                    <m:t>θ</m:t>
                  </m:r>
                </m:e>
                <m:sup>
                  <m:r>
                    <m:rPr>
                      <m:sty m:val="p"/>
                    </m:rPr>
                    <m:t>*</m:t>
                  </m:r>
                </m:sup>
              </m:sSup>
            </m:oMath>
            <w:r>
              <w:rPr>
                <w:sz w:val="18"/>
              </w:rPr>
              <w:t xml:space="preserve">、APV </w:t>
            </w:r>
            <w:r>
              <w:rPr>
                <w:rFonts w:hint="eastAsia"/>
                <w:sz w:val="18"/>
              </w:rPr>
              <w:t xml:space="preserve">による分解、確実性等価</w:t>
            </w:r>
          </w:p>
        </w:tc>
        <w:tc>
          <w:tcPr/>
          <w:p>
            <w:pPr>
              <w:pStyle w:val="Compact"/>
            </w:pPr>
            <w:r>
              <w:rPr>
                <w:rFonts w:hint="eastAsia"/>
                <w:sz w:val="18"/>
              </w:rPr>
              <w:t xml:space="preserve">表8.2、図8.4、表C.41〜表C.45</w:t>
            </w:r>
          </w:p>
        </w:tc>
      </w:tr>
      <w:tr>
        <w:tc>
          <w:tcPr/>
          <w:p>
            <w:pPr>
              <w:pStyle w:val="Compact"/>
            </w:pPr>
            <w:r>
              <w:rPr>
                <w:rStyle w:val="VerbatimChar"/>
                <w:sz w:val="18"/>
              </w:rPr>
              <w:t xml:space="preserve">40_cfar_hedging.py</w:t>
            </w:r>
          </w:p>
        </w:tc>
        <w:tc>
          <w:tcPr/>
          <w:p>
            <w:pPr>
              <w:pStyle w:val="Compact"/>
            </w:pPr>
            <w:r>
              <w:rPr>
                <w:rFonts w:hint="eastAsia"/>
                <w:sz w:val="18"/>
              </w:rPr>
              <w:t xml:space="preserve">多因子</w:t>
            </w:r>
            <w:r>
              <w:rPr>
                <w:sz w:val="18"/>
              </w:rPr>
              <w:t xml:space="preserve"> CFaR </w:t>
            </w:r>
            <w:r>
              <w:rPr>
                <w:rFonts w:hint="eastAsia"/>
                <w:sz w:val="18"/>
              </w:rPr>
              <w:t xml:space="preserve">と、上場先物によるヘッジ有効性</w:t>
            </w:r>
          </w:p>
        </w:tc>
        <w:tc>
          <w:tcPr/>
          <w:p>
            <w:pPr>
              <w:pStyle w:val="Compact"/>
            </w:pPr>
            <w:r>
              <w:rPr>
                <w:rFonts w:hint="eastAsia"/>
                <w:sz w:val="18"/>
              </w:rPr>
              <w:t xml:space="preserve">表8.3、図8.5、表C.46〜表C.48</w:t>
            </w:r>
          </w:p>
        </w:tc>
      </w:tr>
      <w:tr>
        <w:tc>
          <w:tcPr/>
          <w:p>
            <w:pPr>
              <w:pStyle w:val="Compact"/>
            </w:pPr>
            <w:r>
              <w:rPr>
                <w:rStyle w:val="VerbatimChar"/>
                <w:sz w:val="18"/>
              </w:rPr>
              <w:t xml:space="preserve">41_equilibrium_v3.py</w:t>
            </w:r>
          </w:p>
        </w:tc>
        <w:tc>
          <w:tcPr/>
          <w:p>
            <w:pPr>
              <w:pStyle w:val="Compact"/>
            </w:pPr>
            <w:r>
              <w:rPr>
                <w:rFonts w:hint="eastAsia"/>
                <w:sz w:val="18"/>
              </w:rPr>
              <w:t xml:space="preserve">戦略</w:t>
            </w:r>
            <w:r>
              <w:rPr>
                <w:sz w:val="18"/>
              </w:rPr>
              <w:t xml:space="preserve"> c </w:t>
            </w:r>
            <w:r>
              <w:rPr>
                <w:rFonts w:hint="eastAsia"/>
                <w:sz w:val="18"/>
              </w:rPr>
              <w:t xml:space="preserve">の粗利を直接計算した</w:t>
            </w:r>
            <w:r>
              <w:rPr>
                <w:sz w:val="18"/>
              </w:rPr>
              <w:t xml:space="preserve"> </w:t>
            </w:r>
            <m:oMath>
              <m:r>
                <m:t>π</m:t>
              </m:r>
              <m:r>
                <m:rPr>
                  <m:sty m:val="p"/>
                </m:rPr>
                <m:t>(</m:t>
              </m:r>
              <m:r>
                <m:t>K</m:t>
              </m:r>
              <m:r>
                <m:rPr>
                  <m:sty m:val="p"/>
                </m:rPr>
                <m:t>)</m:t>
              </m:r>
            </m:oMath>
            <w:r>
              <w:rPr>
                <w:rFonts w:hint="eastAsia"/>
                <w:sz w:val="18"/>
              </w:rPr>
              <w:t xml:space="preserve">、損益分岐の</w:t>
            </w:r>
            <w:r>
              <w:rPr>
                <w:sz w:val="18"/>
              </w:rPr>
              <w:t xml:space="preserve"> </w:t>
            </w:r>
            <m:oMath>
              <m:sSup>
                <m:e>
                  <m:r>
                    <m:t>θ</m:t>
                  </m:r>
                </m:e>
                <m:sup>
                  <m:r>
                    <m:rPr>
                      <m:sty m:val="p"/>
                    </m:rPr>
                    <m:t>*</m:t>
                  </m:r>
                </m:sup>
              </m:sSup>
            </m:oMath>
            <w:r>
              <w:rPr>
                <w:rFonts w:hint="eastAsia"/>
                <w:sz w:val="18"/>
              </w:rPr>
              <w:t xml:space="preserve">、価格過程の条件付き応答の検証</w:t>
            </w:r>
          </w:p>
        </w:tc>
        <w:tc>
          <w:tcPr/>
          <w:p>
            <w:pPr>
              <w:pStyle w:val="Compact"/>
            </w:pPr>
            <w:r>
              <w:rPr>
                <w:rFonts w:hint="eastAsia"/>
                <w:sz w:val="18"/>
              </w:rPr>
              <w:t xml:space="preserve">表7.2、表7.3、図7.2、表C.22〜表C.25</w:t>
            </w:r>
          </w:p>
        </w:tc>
      </w:tr>
      <w:tr>
        <w:tc>
          <w:tcPr/>
          <w:p>
            <w:pPr>
              <w:pStyle w:val="Compact"/>
            </w:pPr>
            <w:r>
              <w:rPr>
                <w:rStyle w:val="VerbatimChar"/>
                <w:sz w:val="18"/>
              </w:rPr>
              <w:t xml:space="preserve">42_breakeven_surface_v3.py</w:t>
            </w:r>
          </w:p>
        </w:tc>
        <w:tc>
          <w:tcPr/>
          <w:p>
            <w:pPr>
              <w:pStyle w:val="Compact"/>
            </w:pPr>
            <w:r>
              <w:rPr>
                <w:rFonts w:hint="eastAsia"/>
                <w:sz w:val="18"/>
              </w:rPr>
              <w:t xml:space="preserve">損益分岐面と均衡容量の格子、容量市場価格の</w:t>
            </w:r>
            <w:r>
              <w:rPr>
                <w:sz w:val="18"/>
              </w:rPr>
              <w:t xml:space="preserve"> </w:t>
            </w:r>
            <m:oMath>
              <m:r>
                <m:t>K</m:t>
              </m:r>
            </m:oMath>
            <w:r>
              <w:rPr>
                <w:sz w:val="18"/>
              </w:rPr>
              <w:t xml:space="preserve"> </w:t>
            </w:r>
            <w:r>
              <w:rPr>
                <w:rFonts w:hint="eastAsia"/>
                <w:sz w:val="18"/>
              </w:rPr>
              <w:t xml:space="preserve">依存</w:t>
            </w:r>
          </w:p>
        </w:tc>
        <w:tc>
          <w:tcPr/>
          <w:p>
            <w:pPr>
              <w:pStyle w:val="Compact"/>
            </w:pPr>
            <w:r>
              <w:rPr>
                <w:rFonts w:hint="eastAsia"/>
                <w:sz w:val="18"/>
              </w:rPr>
              <w:t xml:space="preserve">表7.3、図7.3、図8.3、表C.25〜表C.27、表C.39、表C.40</w:t>
            </w:r>
          </w:p>
        </w:tc>
      </w:tr>
      <w:tr>
        <w:tc>
          <w:tcPr/>
          <w:p>
            <w:pPr>
              <w:pStyle w:val="Compact"/>
            </w:pPr>
            <w:r>
              <w:rPr>
                <w:rStyle w:val="VerbatimChar"/>
                <w:sz w:val="18"/>
              </w:rPr>
              <w:t xml:space="preserve">43_negative_price_v3.py</w:t>
            </w:r>
          </w:p>
        </w:tc>
        <w:tc>
          <w:tcPr/>
          <w:p>
            <w:pPr>
              <w:pStyle w:val="Compact"/>
            </w:pPr>
            <w:r>
              <w:rPr>
                <w:rFonts w:hint="eastAsia"/>
                <w:sz w:val="18"/>
              </w:rPr>
              <w:t xml:space="preserve">段差モデルの</w:t>
            </w:r>
            <w:r>
              <w:rPr>
                <w:sz w:val="18"/>
              </w:rPr>
              <w:t xml:space="preserve"> </w:t>
            </w:r>
            <m:oMath>
              <m:r>
                <m:t>π</m:t>
              </m:r>
              <m:r>
                <m:rPr>
                  <m:sty m:val="p"/>
                </m:rPr>
                <m:t>(</m:t>
              </m:r>
              <m:r>
                <m:t>K</m:t>
              </m:r>
              <m:r>
                <m:rPr>
                  <m:sty m:val="p"/>
                </m:rPr>
                <m:t>)</m:t>
              </m:r>
            </m:oMath>
            <w:r>
              <w:rPr>
                <w:sz w:val="18"/>
              </w:rPr>
              <w:t xml:space="preserve"> </w:t>
            </w:r>
            <w:r>
              <w:rPr>
                <w:sz w:val="18"/>
              </w:rPr>
              <w:t xml:space="preserve">と</w:t>
            </w:r>
            <w:r>
              <w:rPr>
                <w:sz w:val="18"/>
              </w:rPr>
              <w:t xml:space="preserve"> </w:t>
            </w:r>
            <m:oMath>
              <m:sSup>
                <m:e>
                  <m:r>
                    <m:t>θ</m:t>
                  </m:r>
                </m:e>
                <m:sup>
                  <m:r>
                    <m:rPr>
                      <m:sty m:val="p"/>
                    </m:rPr>
                    <m:t>*</m:t>
                  </m:r>
                </m:sup>
              </m:sSup>
            </m:oMath>
            <w:r>
              <w:rPr>
                <w:sz w:val="18"/>
              </w:rPr>
              <w:t xml:space="preserve"> </w:t>
            </w:r>
            <w:r>
              <w:rPr>
                <w:rFonts w:hint="eastAsia"/>
                <w:sz w:val="18"/>
              </w:rPr>
              <w:t xml:space="preserve">の直接解、下限張り付き時間の感応度、実績価格での直接計算、線形外挿との比較</w:t>
            </w:r>
          </w:p>
        </w:tc>
        <w:tc>
          <w:tcPr/>
          <w:p>
            <w:pPr>
              <w:pStyle w:val="Compact"/>
            </w:pPr>
            <w:r>
              <w:rPr>
                <w:rFonts w:hint="eastAsia"/>
                <w:sz w:val="18"/>
              </w:rPr>
              <w:t xml:space="preserve">7.7節の負の価格の深さ、表9.1〜表9.3、図9.1、表C.49</w:t>
            </w:r>
          </w:p>
        </w:tc>
      </w:tr>
      <w:tr>
        <w:tc>
          <w:tcPr/>
          <w:p>
            <w:pPr>
              <w:pStyle w:val="Compact"/>
            </w:pPr>
            <w:r>
              <w:rPr>
                <w:rStyle w:val="VerbatimChar"/>
                <w:sz w:val="18"/>
              </w:rPr>
              <w:t xml:space="preserve">44_regression_robustness_v3.py</w:t>
            </w:r>
          </w:p>
        </w:tc>
        <w:tc>
          <w:tcPr/>
          <w:p>
            <w:pPr>
              <w:pStyle w:val="Compact"/>
            </w:pPr>
            <w:r>
              <w:rPr>
                <w:rFonts w:hint="eastAsia"/>
                <w:sz w:val="18"/>
              </w:rPr>
              <w:t xml:space="preserve">日次回帰の頑健化（区間と上限、暦月の4季節、比の集合と検出力、Fuke</w:t>
            </w:r>
            <w:r>
              <w:rPr>
                <w:sz w:val="18"/>
              </w:rPr>
              <w:t xml:space="preserve"> and Ohashi </w:t>
            </w:r>
            <w:r>
              <w:rPr>
                <w:rFonts w:hint="eastAsia"/>
                <w:sz w:val="18"/>
              </w:rPr>
              <w:t xml:space="preserve">型の推論、九州の原子力、相対価格、主成分分解の</w:t>
            </w:r>
            <w:r>
              <w:rPr>
                <w:sz w:val="18"/>
              </w:rPr>
              <w:t xml:space="preserve"> EWC </w:t>
            </w:r>
            <w:r>
              <w:rPr>
                <w:rFonts w:hint="eastAsia"/>
                <w:sz w:val="18"/>
              </w:rPr>
              <w:t xml:space="preserve">と2021年1月の除外）</w:t>
            </w:r>
          </w:p>
        </w:tc>
        <w:tc>
          <w:tcPr/>
          <w:p>
            <w:pPr>
              <w:pStyle w:val="Compact"/>
            </w:pPr>
            <w:r>
              <w:rPr>
                <w:rFonts w:hint="eastAsia"/>
                <w:sz w:val="18"/>
              </w:rPr>
              <w:t xml:space="preserve">表5.2</w:t>
            </w:r>
            <w:r>
              <w:rPr>
                <w:sz w:val="18"/>
              </w:rPr>
              <w:t xml:space="preserve"> </w:t>
            </w:r>
            <w:r>
              <w:rPr>
                <w:rFonts w:hint="eastAsia"/>
                <w:sz w:val="18"/>
              </w:rPr>
              <w:t xml:space="preserve">の区間、表5.5、図5.7、表C.1、表C.9、表C.10、表C.12〜表C.14、表C.16、表C.30</w:t>
            </w:r>
          </w:p>
        </w:tc>
      </w:tr>
      <w:tr>
        <w:tc>
          <w:tcPr/>
          <w:p>
            <w:pPr>
              <w:pStyle w:val="Compact"/>
            </w:pPr>
            <w:r>
              <w:rPr>
                <w:rStyle w:val="VerbatimChar"/>
                <w:sz w:val="18"/>
              </w:rPr>
              <w:t xml:space="preserve">45_quantile_moe_v3.py</w:t>
            </w:r>
          </w:p>
        </w:tc>
        <w:tc>
          <w:tcPr/>
          <w:p>
            <w:pPr>
              <w:pStyle w:val="Compact"/>
            </w:pPr>
            <w:r>
              <w:rPr>
                <w:rFonts w:hint="eastAsia"/>
                <w:sz w:val="18"/>
              </w:rPr>
              <w:t xml:space="preserve">分位点回帰による風力のメリットオーダー効果の期間比較（</w:t>
            </w:r>
            <w:r>
              <w:rPr>
                <w:rStyle w:val="VerbatimChar"/>
                <w:sz w:val="18"/>
              </w:rPr>
              <w:t xml:space="preserve">--subperiods</w:t>
            </w:r>
            <w:r>
              <w:rPr>
                <w:sz w:val="18"/>
              </w:rPr>
              <w:t xml:space="preserve"> </w:t>
            </w:r>
            <w:r>
              <w:rPr>
                <w:rFonts w:hint="eastAsia"/>
                <w:sz w:val="18"/>
              </w:rPr>
              <w:t xml:space="preserve">で感応度の期間）</w:t>
            </w:r>
          </w:p>
        </w:tc>
        <w:tc>
          <w:tcPr/>
          <w:p>
            <w:pPr>
              <w:pStyle w:val="Compact"/>
            </w:pPr>
            <w:r>
              <w:rPr>
                <w:rFonts w:hint="eastAsia"/>
                <w:sz w:val="18"/>
              </w:rPr>
              <w:t xml:space="preserve">図5.5、表C.2、表C.3</w:t>
            </w:r>
          </w:p>
        </w:tc>
      </w:tr>
      <w:tr>
        <w:tc>
          <w:tcPr/>
          <w:p>
            <w:pPr>
              <w:pStyle w:val="Compact"/>
            </w:pPr>
            <w:r>
              <w:rPr>
                <w:rStyle w:val="VerbatimChar"/>
                <w:sz w:val="18"/>
              </w:rPr>
              <w:t xml:space="preserve">46_market_split_v3.py</w:t>
            </w:r>
          </w:p>
        </w:tc>
        <w:tc>
          <w:tcPr/>
          <w:p>
            <w:pPr>
              <w:pStyle w:val="Compact"/>
            </w:pPr>
            <w:r>
              <w:rPr>
                <w:rFonts w:hint="eastAsia"/>
                <w:sz w:val="18"/>
              </w:rPr>
              <w:t xml:space="preserve">市場分断の分類と記述統計</w:t>
            </w:r>
          </w:p>
        </w:tc>
        <w:tc>
          <w:tcPr/>
          <w:p>
            <w:pPr>
              <w:pStyle w:val="Compact"/>
            </w:pPr>
            <w:r>
              <w:rPr>
                <w:rFonts w:hint="eastAsia"/>
                <w:sz w:val="18"/>
              </w:rPr>
              <w:t xml:space="preserve">表3.1、表5.1、表5.3、図5.4、表6.2</w:t>
            </w:r>
            <w:r>
              <w:rPr>
                <w:sz w:val="18"/>
              </w:rPr>
              <w:t xml:space="preserve"> </w:t>
            </w:r>
            <w:r>
              <w:rPr>
                <w:rFonts w:hint="eastAsia"/>
                <w:sz w:val="18"/>
              </w:rPr>
              <w:t xml:space="preserve">の分断の列、表D.2</w:t>
            </w:r>
          </w:p>
        </w:tc>
      </w:tr>
      <w:tr>
        <w:tc>
          <w:tcPr/>
          <w:p>
            <w:pPr>
              <w:pStyle w:val="Compact"/>
            </w:pPr>
            <w:r>
              <w:rPr>
                <w:rStyle w:val="VerbatimChar"/>
                <w:sz w:val="18"/>
              </w:rPr>
              <w:t xml:space="preserve">47_spatial_dispersion_v3.py</w:t>
            </w:r>
          </w:p>
        </w:tc>
        <w:tc>
          <w:tcPr/>
          <w:p>
            <w:pPr>
              <w:pStyle w:val="Compact"/>
            </w:pPr>
            <w:r>
              <w:rPr>
                <w:rFonts w:hint="eastAsia"/>
                <w:sz w:val="18"/>
              </w:rPr>
              <w:t xml:space="preserve">集中立地の反実仮想（校正、実現分散比による増幅、日周の位相、価格過程の感応度の検証と補正）</w:t>
            </w:r>
          </w:p>
        </w:tc>
        <w:tc>
          <w:tcPr/>
          <w:p>
            <w:pPr>
              <w:pStyle w:val="Compact"/>
            </w:pPr>
            <w:r>
              <w:rPr>
                <w:rFonts w:hint="eastAsia"/>
                <w:sz w:val="18"/>
              </w:rPr>
              <w:t xml:space="preserve">表5.4、図5.6、表C.4〜表C.8</w:t>
            </w:r>
          </w:p>
        </w:tc>
      </w:tr>
      <w:tr>
        <w:tc>
          <w:tcPr/>
          <w:p>
            <w:pPr>
              <w:pStyle w:val="Compact"/>
            </w:pPr>
            <w:r>
              <w:rPr>
                <w:rStyle w:val="VerbatimChar"/>
                <w:sz w:val="18"/>
              </w:rPr>
              <w:t xml:space="preserve">48_duration_legs.py</w:t>
            </w:r>
          </w:p>
        </w:tc>
        <w:tc>
          <w:tcPr/>
          <w:p>
            <w:pPr>
              <w:pStyle w:val="Compact"/>
            </w:pPr>
            <w:r>
              <w:rPr>
                <w:rFonts w:hint="eastAsia"/>
                <w:sz w:val="18"/>
              </w:rPr>
              <w:t xml:space="preserve">北海道と九州の脚の比較と、duration</w:t>
            </w:r>
            <w:r>
              <w:rPr>
                <w:sz w:val="18"/>
              </w:rPr>
              <w:t xml:space="preserve"> </w:t>
            </w:r>
            <w:r>
              <w:rPr>
                <w:rFonts w:hint="eastAsia"/>
                <w:sz w:val="18"/>
              </w:rPr>
              <w:t xml:space="preserve">別の参入閾値</w:t>
            </w:r>
          </w:p>
        </w:tc>
        <w:tc>
          <w:tcPr/>
          <w:p>
            <w:pPr>
              <w:pStyle w:val="Compact"/>
            </w:pPr>
            <w:r>
              <w:rPr>
                <w:rFonts w:hint="eastAsia"/>
                <w:sz w:val="18"/>
              </w:rPr>
              <w:t xml:space="preserve">表6.1、図6.1、6.5節、表C.17</w:t>
            </w:r>
          </w:p>
        </w:tc>
      </w:tr>
      <w:tr>
        <w:tc>
          <w:tcPr/>
          <w:p>
            <w:pPr>
              <w:pStyle w:val="Compact"/>
            </w:pPr>
            <w:r>
              <w:rPr>
                <w:rStyle w:val="VerbatimChar"/>
                <w:sz w:val="18"/>
              </w:rPr>
              <w:t xml:space="preserve">49_gap_ledger.py</w:t>
            </w:r>
          </w:p>
        </w:tc>
        <w:tc>
          <w:tcPr/>
          <w:p>
            <w:pPr>
              <w:pStyle w:val="Compact"/>
            </w:pPr>
            <w:r>
              <w:rPr>
                <w:sz w:val="18"/>
              </w:rPr>
              <w:t xml:space="preserve">LTDA </w:t>
            </w:r>
            <w:r>
              <w:rPr>
                <w:rFonts w:hint="eastAsia"/>
                <w:sz w:val="18"/>
              </w:rPr>
              <w:t xml:space="preserve">の落札蓄電池の所在エリアの照合と乖離の勘定</w:t>
            </w:r>
          </w:p>
        </w:tc>
        <w:tc>
          <w:tcPr/>
          <w:p>
            <w:pPr>
              <w:pStyle w:val="Compact"/>
            </w:pPr>
            <w:r>
              <w:rPr>
                <w:rFonts w:hint="eastAsia"/>
                <w:sz w:val="18"/>
              </w:rPr>
              <w:t xml:space="preserve">表8.1、図8.1、付録A.6</w:t>
            </w:r>
          </w:p>
        </w:tc>
      </w:tr>
      <w:tr>
        <w:tc>
          <w:tcPr/>
          <w:p>
            <w:pPr>
              <w:pStyle w:val="Compact"/>
            </w:pPr>
            <w:r>
              <w:rPr>
                <w:rStyle w:val="VerbatimChar"/>
                <w:sz w:val="18"/>
              </w:rPr>
              <w:t xml:space="preserve">50_colocation_v3.py</w:t>
            </w:r>
          </w:p>
        </w:tc>
        <w:tc>
          <w:tcPr/>
          <w:p>
            <w:pPr>
              <w:pStyle w:val="Compact"/>
            </w:pPr>
            <w:r>
              <w:rPr>
                <w:rFonts w:hint="eastAsia"/>
                <w:sz w:val="18"/>
              </w:rPr>
              <w:t xml:space="preserve">併設蓄電池の価値、5円超の抑制の分類、併設の参入条件、負の価格の移転、</w:t>
            </w:r>
            <m:oMath>
              <m:r>
                <m:t>π</m:t>
              </m:r>
              <m:r>
                <m:rPr>
                  <m:sty m:val="p"/>
                </m:rPr>
                <m:t>(</m:t>
              </m:r>
              <m:r>
                <m:t>K</m:t>
              </m:r>
              <m:r>
                <m:rPr>
                  <m:sty m:val="p"/>
                </m:rPr>
                <m:t>)</m:t>
              </m:r>
            </m:oMath>
            <w:r>
              <w:rPr>
                <w:sz w:val="18"/>
              </w:rPr>
              <w:t xml:space="preserve"> </w:t>
            </w:r>
            <w:r>
              <w:rPr>
                <w:rFonts w:hint="eastAsia"/>
                <w:sz w:val="18"/>
              </w:rPr>
              <w:t xml:space="preserve">の傾き</w:t>
            </w:r>
          </w:p>
        </w:tc>
        <w:tc>
          <w:tcPr/>
          <w:p>
            <w:pPr>
              <w:pStyle w:val="Compact"/>
            </w:pPr>
            <w:r>
              <w:rPr>
                <w:rFonts w:hint="eastAsia"/>
                <w:sz w:val="18"/>
              </w:rPr>
              <w:t xml:space="preserve">図8.2、表9.2、表C.37、表C.38、表C.50、表D.4、表D.5、9.5節の脚注</w:t>
            </w:r>
          </w:p>
        </w:tc>
      </w:tr>
      <w:tr>
        <w:tc>
          <w:tcPr/>
          <w:p>
            <w:pPr>
              <w:pStyle w:val="Compact"/>
            </w:pPr>
            <w:r>
              <w:rPr>
                <w:rStyle w:val="VerbatimChar"/>
                <w:sz w:val="18"/>
              </w:rPr>
              <w:t xml:space="preserve">51_cf_correction.py</w:t>
            </w:r>
          </w:p>
        </w:tc>
        <w:tc>
          <w:tcPr/>
          <w:p>
            <w:pPr>
              <w:pStyle w:val="Compact"/>
            </w:pPr>
            <w:r>
              <w:rPr>
                <w:rFonts w:hint="eastAsia"/>
                <w:sz w:val="18"/>
              </w:rPr>
              <w:t xml:space="preserve">風力の設備利用率の計上時期の補正と、その感応度</w:t>
            </w:r>
          </w:p>
        </w:tc>
        <w:tc>
          <w:tcPr/>
          <w:p>
            <w:pPr>
              <w:pStyle w:val="Compact"/>
            </w:pPr>
            <w:r>
              <w:rPr>
                <w:rFonts w:hint="eastAsia"/>
                <w:sz w:val="18"/>
              </w:rPr>
              <w:t xml:space="preserve">図A.1、付録A.4</w:t>
            </w:r>
            <w:r>
              <w:rPr>
                <w:sz w:val="18"/>
              </w:rPr>
              <w:t xml:space="preserve"> </w:t>
            </w:r>
            <w:r>
              <w:rPr>
                <w:rFonts w:hint="eastAsia"/>
                <w:sz w:val="18"/>
              </w:rPr>
              <w:t xml:space="preserve">と各章の計上時期の感応度</w:t>
            </w:r>
          </w:p>
        </w:tc>
      </w:tr>
    </w:tbl>
    <w:p>
      <w:pPr>
        <w:pStyle w:val="TableNote"/>
      </w:pPr>
      <w:r>
        <w:rPr>
          <w:rFonts w:hint="eastAsia"/>
        </w:rPr>
        <w:t xml:space="preserve">注）</w:t>
      </w:r>
      <w:r>
        <w:rPr>
          <w:rStyle w:val="VerbatimChar"/>
        </w:rPr>
        <w:t xml:space="preserve">analysis/pilots/finance_20261020/</w:t>
      </w:r>
      <w:r>
        <w:t xml:space="preserve"> </w:t>
      </w:r>
      <w:r>
        <w:t xml:space="preserve">は、</w:t>
      </w:r>
      <w:r>
        <w:rPr>
          <w:rStyle w:val="VerbatimChar"/>
        </w:rPr>
        <w:t xml:space="preserve">33</w:t>
      </w:r>
      <w:r>
        <w:t xml:space="preserve">〜</w:t>
      </w:r>
      <w:r>
        <w:rPr>
          <w:rStyle w:val="VerbatimChar"/>
        </w:rPr>
        <w:t xml:space="preserve">40</w:t>
      </w:r>
      <w:r>
        <w:t xml:space="preserve"> </w:t>
      </w:r>
      <w:r>
        <w:rPr>
          <w:rFonts w:hint="eastAsia"/>
        </w:rPr>
        <w:t xml:space="preserve">の前に行ったファイナンスの手法の予備計算と、その点検の記録である。入出力のパスは作業時の一時ディレクトリを指しており、本論文の数値には用いない。</w:t>
      </w:r>
    </w:p>
    <w:p>
      <w:pPr>
        <w:pStyle w:val="TableNote"/>
      </w:pPr>
      <w:r>
        <w:rPr>
          <w:rFonts w:hint="eastAsia"/>
        </w:rPr>
        <w:t xml:space="preserve">出所）筆者作成。</w:t>
      </w:r>
    </w:p>
    <w:p>
      <w:pPr>
        <w:pStyle w:val="BodyText"/>
      </w:pPr>
      <w:r>
        <w:rPr>
          <w:rFonts w:hint="eastAsia"/>
          <w:b/>
          <w:bCs/>
        </w:rPr>
        <w:t xml:space="preserve">実行の順序</w:t>
      </w:r>
      <w:r>
        <w:t xml:space="preserve">　</w:t>
      </w:r>
      <w:r>
        <w:rPr>
          <w:rStyle w:val="VerbatimChar"/>
        </w:rPr>
        <w:t xml:space="preserve">01</w:t>
      </w:r>
      <w:r>
        <w:t xml:space="preserve">・</w:t>
      </w:r>
      <w:r>
        <w:rPr>
          <w:rStyle w:val="VerbatimChar"/>
        </w:rPr>
        <w:t xml:space="preserve">11</w:t>
      </w:r>
      <w:r>
        <w:t xml:space="preserve">・</w:t>
      </w:r>
      <w:r>
        <w:rPr>
          <w:rStyle w:val="VerbatimChar"/>
        </w:rPr>
        <w:t xml:space="preserve">12</w:t>
      </w:r>
      <w:r>
        <w:t xml:space="preserve"> </w:t>
      </w:r>
      <w:r>
        <w:rPr>
          <w:rFonts w:hint="eastAsia"/>
        </w:rPr>
        <w:t xml:space="preserve">でパネルと容量系列を作り、</w:t>
      </w:r>
      <w:r>
        <w:rPr>
          <w:rStyle w:val="VerbatimChar"/>
        </w:rPr>
        <w:t xml:space="preserve">13</w:t>
      </w:r>
      <w:r>
        <w:rPr>
          <w:rFonts w:hint="eastAsia"/>
        </w:rPr>
        <w:t xml:space="preserve">（基本仕様の価格過程）と</w:t>
      </w:r>
      <w:r>
        <w:t xml:space="preserve"> </w:t>
      </w:r>
      <w:r>
        <w:rPr>
          <w:rStyle w:val="VerbatimChar"/>
        </w:rPr>
        <w:t xml:space="preserve">26</w:t>
      </w:r>
      <w:r>
        <w:rPr>
          <w:rFonts w:hint="eastAsia"/>
        </w:rPr>
        <w:t xml:space="preserve">（水準係数付きの価格過程）を実行する。</w:t>
      </w:r>
      <w:r>
        <w:rPr>
          <w:rStyle w:val="VerbatimChar"/>
        </w:rPr>
        <w:t xml:space="preserve">13</w:t>
      </w:r>
      <w:r>
        <w:t xml:space="preserve"> </w:t>
      </w:r>
      <w:r>
        <w:t xml:space="preserve">は</w:t>
      </w:r>
      <w:r>
        <w:t xml:space="preserve"> </w:t>
      </w:r>
      <w:r>
        <w:rPr>
          <w:rStyle w:val="VerbatimChar"/>
        </w:rPr>
        <w:t xml:space="preserve">18</w:t>
      </w:r>
      <w:r>
        <w:t xml:space="preserve">・</w:t>
      </w:r>
      <w:r>
        <w:rPr>
          <w:rStyle w:val="VerbatimChar"/>
        </w:rPr>
        <w:t xml:space="preserve">23</w:t>
      </w:r>
      <w:r>
        <w:t xml:space="preserve">・</w:t>
      </w:r>
      <w:r>
        <w:rPr>
          <w:rStyle w:val="VerbatimChar"/>
        </w:rPr>
        <w:t xml:space="preserve">33</w:t>
      </w:r>
      <w:r>
        <w:t xml:space="preserve">・</w:t>
      </w:r>
      <w:r>
        <w:rPr>
          <w:rStyle w:val="VerbatimChar"/>
        </w:rPr>
        <w:t xml:space="preserve">41</w:t>
      </w:r>
      <w:r>
        <w:t xml:space="preserve">・</w:t>
      </w:r>
      <w:r>
        <w:rPr>
          <w:rStyle w:val="VerbatimChar"/>
        </w:rPr>
        <w:t xml:space="preserve">48</w:t>
      </w:r>
      <w:r>
        <w:t xml:space="preserve">・</w:t>
      </w:r>
      <w:r>
        <w:rPr>
          <w:rStyle w:val="VerbatimChar"/>
        </w:rPr>
        <w:t xml:space="preserve">51</w:t>
      </w:r>
      <w:r>
        <w:t xml:space="preserve"> </w:t>
      </w:r>
      <w:r>
        <w:t xml:space="preserve">が、</w:t>
      </w:r>
      <w:r>
        <w:rPr>
          <w:rStyle w:val="VerbatimChar"/>
        </w:rPr>
        <w:t xml:space="preserve">26</w:t>
      </w:r>
      <w:r>
        <w:t xml:space="preserve"> </w:t>
      </w:r>
      <w:r>
        <w:t xml:space="preserve">は</w:t>
      </w:r>
      <w:r>
        <w:t xml:space="preserve"> </w:t>
      </w:r>
      <w:r>
        <w:rPr>
          <w:rStyle w:val="VerbatimChar"/>
        </w:rPr>
        <w:t xml:space="preserve">27</w:t>
      </w:r>
      <w:r>
        <w:t xml:space="preserve">・</w:t>
      </w:r>
      <w:r>
        <w:rPr>
          <w:rStyle w:val="VerbatimChar"/>
        </w:rPr>
        <w:t xml:space="preserve">28</w:t>
      </w:r>
      <w:r>
        <w:t xml:space="preserve">・</w:t>
      </w:r>
      <w:r>
        <w:rPr>
          <w:rStyle w:val="VerbatimChar"/>
        </w:rPr>
        <w:t xml:space="preserve">29</w:t>
      </w:r>
      <w:r>
        <w:t xml:space="preserve">・</w:t>
      </w:r>
      <w:r>
        <w:rPr>
          <w:rStyle w:val="VerbatimChar"/>
        </w:rPr>
        <w:t xml:space="preserve">38</w:t>
      </w:r>
      <w:r>
        <w:t xml:space="preserve">・</w:t>
      </w:r>
      <w:r>
        <w:rPr>
          <w:rStyle w:val="VerbatimChar"/>
        </w:rPr>
        <w:t xml:space="preserve">41</w:t>
      </w:r>
      <w:r>
        <w:t xml:space="preserve">・</w:t>
      </w:r>
      <w:r>
        <w:rPr>
          <w:rStyle w:val="VerbatimChar"/>
        </w:rPr>
        <w:t xml:space="preserve">47</w:t>
      </w:r>
      <w:r>
        <w:t xml:space="preserve">・</w:t>
      </w:r>
      <w:r>
        <w:rPr>
          <w:rStyle w:val="VerbatimChar"/>
        </w:rPr>
        <w:t xml:space="preserve">48</w:t>
      </w:r>
      <w:r>
        <w:t xml:space="preserve">・</w:t>
      </w:r>
      <w:r>
        <w:rPr>
          <w:rStyle w:val="VerbatimChar"/>
        </w:rPr>
        <w:t xml:space="preserve">51</w:t>
      </w:r>
      <w:r>
        <w:t xml:space="preserve"> </w:t>
      </w:r>
      <w:r>
        <w:rPr>
          <w:rFonts w:hint="eastAsia"/>
        </w:rPr>
        <w:t xml:space="preserve">が部品として読み込む。</w:t>
      </w:r>
      <w:r>
        <w:rPr>
          <w:rStyle w:val="VerbatimChar"/>
        </w:rPr>
        <w:t xml:space="preserve">15</w:t>
      </w:r>
      <w:r>
        <w:t xml:space="preserve">・</w:t>
      </w:r>
      <w:r>
        <w:rPr>
          <w:rStyle w:val="VerbatimChar"/>
        </w:rPr>
        <w:t xml:space="preserve">17</w:t>
      </w:r>
      <w:r>
        <w:t xml:space="preserve">・</w:t>
      </w:r>
      <w:r>
        <w:rPr>
          <w:rStyle w:val="VerbatimChar"/>
        </w:rPr>
        <w:t xml:space="preserve">22</w:t>
      </w:r>
      <w:r>
        <w:t xml:space="preserve"> </w:t>
      </w:r>
      <w:r>
        <w:rPr>
          <w:rFonts w:hint="eastAsia"/>
        </w:rPr>
        <w:t xml:space="preserve">は同じ</w:t>
      </w:r>
      <w:r>
        <w:t xml:space="preserve"> Excel </w:t>
      </w:r>
      <w:r>
        <w:rPr>
          <w:rFonts w:hint="eastAsia"/>
        </w:rPr>
        <w:t xml:space="preserve">ファイルに書くので直列に実行する。</w:t>
      </w:r>
      <w:r>
        <w:rPr>
          <w:rStyle w:val="VerbatimChar"/>
        </w:rPr>
        <w:t xml:space="preserve">33</w:t>
      </w:r>
      <w:r>
        <w:t xml:space="preserve">〜</w:t>
      </w:r>
      <w:r>
        <w:rPr>
          <w:rStyle w:val="VerbatimChar"/>
        </w:rPr>
        <w:t xml:space="preserve">40</w:t>
      </w:r>
      <w:r>
        <w:t xml:space="preserve"> </w:t>
      </w:r>
      <w:r>
        <w:rPr>
          <w:rFonts w:hint="eastAsia"/>
        </w:rPr>
        <w:t xml:space="preserve">は既存の出力を読むので、その後に実行する。</w:t>
      </w:r>
      <w:r>
        <w:rPr>
          <w:rStyle w:val="VerbatimChar"/>
        </w:rPr>
        <w:t xml:space="preserve">34</w:t>
      </w:r>
      <w:r>
        <w:t xml:space="preserve">・</w:t>
      </w:r>
      <w:r>
        <w:rPr>
          <w:rStyle w:val="VerbatimChar"/>
        </w:rPr>
        <w:t xml:space="preserve">35</w:t>
      </w:r>
      <w:r>
        <w:t xml:space="preserve"> </w:t>
      </w:r>
      <w:r>
        <w:rPr>
          <w:rFonts w:hint="eastAsia"/>
        </w:rPr>
        <w:t xml:space="preserve">は時間パネルだけから計算する。現行の計算は次の順に実行する。</w:t>
      </w:r>
    </w:p>
    <w:p>
      <w:pPr>
        <w:pStyle w:val="Compact"/>
        <w:numPr>
          <w:ilvl w:val="0"/>
          <w:numId w:val="1009"/>
        </w:numPr>
      </w:pPr>
      <w:r>
        <w:rPr>
          <w:rStyle w:val="VerbatimChar"/>
        </w:rPr>
        <w:t xml:space="preserve">36</w:t>
      </w:r>
      <w:r>
        <w:t xml:space="preserve"> </w:t>
      </w:r>
      <w:r>
        <w:t xml:space="preserve">→</w:t>
      </w:r>
      <w:r>
        <w:t xml:space="preserve"> </w:t>
      </w:r>
      <w:r>
        <w:rPr>
          <w:rStyle w:val="VerbatimChar"/>
        </w:rPr>
        <w:t xml:space="preserve">41</w:t>
      </w:r>
      <w:r>
        <w:rPr>
          <w:rFonts w:hint="eastAsia"/>
        </w:rPr>
        <w:t xml:space="preserve">（</w:t>
      </w:r>
      <w:r>
        <w:rPr>
          <w:rStyle w:val="VerbatimChar"/>
        </w:rPr>
        <w:t xml:space="preserve">41</w:t>
      </w:r>
      <w:r>
        <w:t xml:space="preserve"> </w:t>
      </w:r>
      <w:r>
        <w:t xml:space="preserve">は</w:t>
      </w:r>
      <w:r>
        <w:t xml:space="preserve"> </w:t>
      </w:r>
      <w:r>
        <w:rPr>
          <w:rStyle w:val="VerbatimChar"/>
        </w:rPr>
        <w:t xml:space="preserve">36</w:t>
      </w:r>
      <w:r>
        <w:t xml:space="preserve"> </w:t>
      </w:r>
      <w:r>
        <w:t xml:space="preserve">の</w:t>
      </w:r>
      <w:r>
        <w:t xml:space="preserve"> </w:t>
      </w:r>
      <w:r>
        <w:rPr>
          <w:rStyle w:val="VerbatimChar"/>
        </w:rPr>
        <w:t xml:space="preserve">strategy_daily_margins.csv</w:t>
      </w:r>
      <w:r>
        <w:t xml:space="preserve">・</w:t>
      </w:r>
      <w:r>
        <w:rPr>
          <w:rStyle w:val="VerbatimChar"/>
        </w:rPr>
        <w:t xml:space="preserve">strategy_tests.csv</w:t>
      </w:r>
      <w:r>
        <w:t xml:space="preserve"> </w:t>
      </w:r>
      <w:r>
        <w:rPr>
          <w:rFonts w:hint="eastAsia"/>
        </w:rPr>
        <w:t xml:space="preserve">を読み、</w:t>
      </w:r>
      <w:r>
        <w:rPr>
          <w:rStyle w:val="VerbatimChar"/>
        </w:rPr>
        <w:t xml:space="preserve">pi_k_curve_v3.csv</w:t>
      </w:r>
      <w:r>
        <w:t xml:space="preserve">・</w:t>
      </w:r>
      <w:r>
        <w:rPr>
          <w:rStyle w:val="VerbatimChar"/>
        </w:rPr>
        <w:t xml:space="preserve">price_model_level_ratios.csv</w:t>
      </w:r>
      <w:r>
        <w:t xml:space="preserve">・</w:t>
      </w:r>
      <w:r>
        <w:rPr>
          <w:rStyle w:val="VerbatimChar"/>
        </w:rPr>
        <w:t xml:space="preserve">k0_variants_direct_c_v3.csv</w:t>
      </w:r>
      <w:r>
        <w:t xml:space="preserve"> </w:t>
      </w:r>
      <w:r>
        <w:rPr>
          <w:rFonts w:hint="eastAsia"/>
        </w:rPr>
        <w:t xml:space="preserve">などを書く）。</w:t>
      </w:r>
    </w:p>
    <w:p>
      <w:pPr>
        <w:pStyle w:val="Compact"/>
        <w:numPr>
          <w:ilvl w:val="0"/>
          <w:numId w:val="1009"/>
        </w:numPr>
      </w:pPr>
      <w:r>
        <w:rPr>
          <w:rStyle w:val="VerbatimChar"/>
        </w:rPr>
        <w:t xml:space="preserve">41</w:t>
      </w:r>
      <w:r>
        <w:t xml:space="preserve"> </w:t>
      </w:r>
      <w:r>
        <w:t xml:space="preserve">→</w:t>
      </w:r>
      <w:r>
        <w:t xml:space="preserve"> </w:t>
      </w:r>
      <w:r>
        <w:rPr>
          <w:rStyle w:val="VerbatimChar"/>
        </w:rPr>
        <w:t xml:space="preserve">38</w:t>
      </w:r>
      <w:r>
        <w:t xml:space="preserve">・</w:t>
      </w:r>
      <w:r>
        <w:rPr>
          <w:rStyle w:val="VerbatimChar"/>
        </w:rPr>
        <w:t xml:space="preserve">39</w:t>
      </w:r>
      <w:r>
        <w:t xml:space="preserve">・</w:t>
      </w:r>
      <w:r>
        <w:rPr>
          <w:rStyle w:val="VerbatimChar"/>
        </w:rPr>
        <w:t xml:space="preserve">40</w:t>
      </w:r>
      <w:r>
        <w:t xml:space="preserve">・</w:t>
      </w:r>
      <w:r>
        <w:rPr>
          <w:rStyle w:val="VerbatimChar"/>
        </w:rPr>
        <w:t xml:space="preserve">49</w:t>
      </w:r>
      <w:r>
        <w:t xml:space="preserve">・</w:t>
      </w:r>
      <w:r>
        <w:rPr>
          <w:rStyle w:val="VerbatimChar"/>
        </w:rPr>
        <w:t xml:space="preserve">50</w:t>
      </w:r>
      <w:r>
        <w:rPr>
          <w:rFonts w:hint="eastAsia"/>
        </w:rPr>
        <w:t xml:space="preserve">（いずれも</w:t>
      </w:r>
      <w:r>
        <w:t xml:space="preserve"> </w:t>
      </w:r>
      <w:r>
        <w:rPr>
          <w:rStyle w:val="VerbatimChar"/>
        </w:rPr>
        <w:t xml:space="preserve">pi_k_curve_v3.csv</w:t>
      </w:r>
      <w:r>
        <w:t xml:space="preserve"> </w:t>
      </w:r>
      <w:r>
        <w:rPr>
          <w:rFonts w:hint="eastAsia"/>
        </w:rPr>
        <w:t xml:space="preserve">を読む。</w:t>
      </w:r>
      <w:r>
        <w:rPr>
          <w:rStyle w:val="VerbatimChar"/>
        </w:rPr>
        <w:t xml:space="preserve">38</w:t>
      </w:r>
      <w:r>
        <w:t xml:space="preserve"> </w:t>
      </w:r>
      <w:r>
        <w:t xml:space="preserve">は</w:t>
      </w:r>
      <w:r>
        <w:t xml:space="preserve"> </w:t>
      </w:r>
      <w:r>
        <w:rPr>
          <w:rStyle w:val="VerbatimChar"/>
        </w:rPr>
        <w:t xml:space="preserve">price_model_level_ratios.csv</w:t>
      </w:r>
      <w:r>
        <w:t xml:space="preserve"> </w:t>
      </w:r>
      <w:r>
        <w:rPr>
          <w:rFonts w:hint="eastAsia"/>
        </w:rPr>
        <w:t xml:space="preserve">も読む）と</w:t>
      </w:r>
      <w:r>
        <w:t xml:space="preserve"> </w:t>
      </w:r>
      <w:r>
        <w:rPr>
          <w:rStyle w:val="VerbatimChar"/>
        </w:rPr>
        <w:t xml:space="preserve">42</w:t>
      </w:r>
      <w:r>
        <w:rPr>
          <w:rFonts w:hint="eastAsia"/>
        </w:rPr>
        <w:t xml:space="preserve">（</w:t>
      </w:r>
      <w:r>
        <w:rPr>
          <w:rStyle w:val="VerbatimChar"/>
        </w:rPr>
        <w:t xml:space="preserve">41</w:t>
      </w:r>
      <w:r>
        <w:t xml:space="preserve"> </w:t>
      </w:r>
      <w:r>
        <w:rPr>
          <w:rFonts w:hint="eastAsia"/>
        </w:rPr>
        <w:t xml:space="preserve">の定義部分を読み込む）。</w:t>
      </w:r>
    </w:p>
    <w:p>
      <w:pPr>
        <w:pStyle w:val="Compact"/>
        <w:numPr>
          <w:ilvl w:val="0"/>
          <w:numId w:val="1009"/>
        </w:numPr>
      </w:pPr>
      <w:r>
        <w:rPr>
          <w:rStyle w:val="VerbatimChar"/>
        </w:rPr>
        <w:t xml:space="preserve">42</w:t>
      </w:r>
      <w:r>
        <w:t xml:space="preserve"> </w:t>
      </w:r>
      <w:r>
        <w:t xml:space="preserve">→</w:t>
      </w:r>
      <w:r>
        <w:t xml:space="preserve"> </w:t>
      </w:r>
      <w:r>
        <w:rPr>
          <w:rStyle w:val="VerbatimChar"/>
        </w:rPr>
        <w:t xml:space="preserve">43</w:t>
      </w:r>
      <w:r>
        <w:rPr>
          <w:rFonts w:hint="eastAsia"/>
        </w:rPr>
        <w:t xml:space="preserve">（</w:t>
      </w:r>
      <w:r>
        <w:rPr>
          <w:rStyle w:val="VerbatimChar"/>
        </w:rPr>
        <w:t xml:space="preserve">breakeven_surface_v3_pik.csv</w:t>
      </w:r>
      <w:r>
        <w:t xml:space="preserve"> </w:t>
      </w:r>
      <w:r>
        <w:rPr>
          <w:rFonts w:hint="eastAsia"/>
        </w:rPr>
        <w:t xml:space="preserve">を読み、</w:t>
      </w:r>
      <w:r>
        <w:rPr>
          <w:rStyle w:val="VerbatimChar"/>
        </w:rPr>
        <w:t xml:space="preserve">41</w:t>
      </w:r>
      <w:r>
        <w:t xml:space="preserve"> </w:t>
      </w:r>
      <w:r>
        <w:rPr>
          <w:rFonts w:hint="eastAsia"/>
        </w:rPr>
        <w:t xml:space="preserve">の定義部分と</w:t>
      </w:r>
      <w:r>
        <w:t xml:space="preserve"> </w:t>
      </w:r>
      <w:r>
        <w:rPr>
          <w:rStyle w:val="VerbatimChar"/>
        </w:rPr>
        <w:t xml:space="preserve">k0_variants_direct_c_v3.csv</w:t>
      </w:r>
      <w:r>
        <w:t xml:space="preserve">、</w:t>
      </w:r>
      <w:r>
        <w:rPr>
          <w:rStyle w:val="VerbatimChar"/>
        </w:rPr>
        <w:t xml:space="preserve">32</w:t>
      </w:r>
      <w:r>
        <w:t xml:space="preserve"> </w:t>
      </w:r>
      <w:r>
        <w:t xml:space="preserve">の</w:t>
      </w:r>
      <w:r>
        <w:t xml:space="preserve"> </w:t>
      </w:r>
      <w:r>
        <w:rPr>
          <w:rStyle w:val="VerbatimChar"/>
        </w:rPr>
        <w:t xml:space="preserve">negative_price_scenarios.csv</w:t>
      </w:r>
      <w:r>
        <w:t xml:space="preserve"> </w:t>
      </w:r>
      <w:r>
        <w:rPr>
          <w:rFonts w:hint="eastAsia"/>
        </w:rPr>
        <w:t xml:space="preserve">を読む）。</w:t>
      </w:r>
    </w:p>
    <w:p>
      <w:pPr>
        <w:pStyle w:val="Compact"/>
        <w:numPr>
          <w:ilvl w:val="0"/>
          <w:numId w:val="1009"/>
        </w:numPr>
      </w:pPr>
      <w:r>
        <w:rPr>
          <w:rStyle w:val="VerbatimChar"/>
        </w:rPr>
        <w:t xml:space="preserve">38</w:t>
      </w:r>
      <w:r>
        <w:t xml:space="preserve"> </w:t>
      </w:r>
      <w:r>
        <w:t xml:space="preserve">→</w:t>
      </w:r>
      <w:r>
        <w:t xml:space="preserve"> </w:t>
      </w:r>
      <w:r>
        <w:rPr>
          <w:rStyle w:val="VerbatimChar"/>
        </w:rPr>
        <w:t xml:space="preserve">48</w:t>
      </w:r>
      <w:r>
        <w:rPr>
          <w:rFonts w:hint="eastAsia"/>
        </w:rPr>
        <w:t xml:space="preserve">（</w:t>
      </w:r>
      <w:r>
        <w:rPr>
          <w:rStyle w:val="VerbatimChar"/>
        </w:rPr>
        <w:t xml:space="preserve">real_option_short_duration.csv</w:t>
      </w:r>
      <w:r>
        <w:t xml:space="preserve">・</w:t>
      </w:r>
      <w:r>
        <w:rPr>
          <w:rStyle w:val="VerbatimChar"/>
        </w:rPr>
        <w:t xml:space="preserve">real_option_price_level.csv</w:t>
      </w:r>
      <w:r>
        <w:t xml:space="preserve">。</w:t>
      </w:r>
      <w:r>
        <w:rPr>
          <w:rStyle w:val="VerbatimChar"/>
        </w:rPr>
        <w:t xml:space="preserve">36</w:t>
      </w:r>
      <w:r>
        <w:t xml:space="preserve"> </w:t>
      </w:r>
      <w:r>
        <w:t xml:space="preserve">の</w:t>
      </w:r>
      <w:r>
        <w:t xml:space="preserve"> </w:t>
      </w:r>
      <w:r>
        <w:rPr>
          <w:rStyle w:val="VerbatimChar"/>
        </w:rPr>
        <w:t xml:space="preserve">strategy_daily_margins.csv</w:t>
      </w:r>
      <w:r>
        <w:t xml:space="preserve"> </w:t>
      </w:r>
      <w:r>
        <w:rPr>
          <w:rFonts w:hint="eastAsia"/>
        </w:rPr>
        <w:t xml:space="preserve">も読む）、</w:t>
      </w:r>
      <w:r>
        <w:rPr>
          <w:rStyle w:val="VerbatimChar"/>
        </w:rPr>
        <w:t xml:space="preserve">39</w:t>
      </w:r>
      <w:r>
        <w:t xml:space="preserve"> </w:t>
      </w:r>
      <w:r>
        <w:t xml:space="preserve">→</w:t>
      </w:r>
      <w:r>
        <w:t xml:space="preserve"> </w:t>
      </w:r>
      <w:r>
        <w:rPr>
          <w:rStyle w:val="VerbatimChar"/>
        </w:rPr>
        <w:t xml:space="preserve">49</w:t>
      </w:r>
      <w:r>
        <w:rPr>
          <w:rFonts w:hint="eastAsia"/>
        </w:rPr>
        <w:t xml:space="preserve">（</w:t>
      </w:r>
      <w:r>
        <w:rPr>
          <w:rStyle w:val="VerbatimChar"/>
        </w:rPr>
        <w:t xml:space="preserve">apv_decomposition.csv</w:t>
      </w:r>
      <w:r>
        <w:rPr>
          <w:rFonts w:hint="eastAsia"/>
        </w:rPr>
        <w:t xml:space="preserve">）。</w:t>
      </w:r>
    </w:p>
    <w:p>
      <w:pPr>
        <w:pStyle w:val="Compact"/>
        <w:numPr>
          <w:ilvl w:val="0"/>
          <w:numId w:val="1009"/>
        </w:numPr>
      </w:pPr>
      <w:r>
        <w:rPr>
          <w:rStyle w:val="VerbatimChar"/>
        </w:rPr>
        <w:t xml:space="preserve">44</w:t>
      </w:r>
      <w:r>
        <w:t xml:space="preserve">・</w:t>
      </w:r>
      <w:r>
        <w:rPr>
          <w:rStyle w:val="VerbatimChar"/>
        </w:rPr>
        <w:t xml:space="preserve">45</w:t>
      </w:r>
      <w:r>
        <w:t xml:space="preserve"> </w:t>
      </w:r>
      <w:r>
        <w:t xml:space="preserve">は</w:t>
      </w:r>
      <w:r>
        <w:t xml:space="preserve"> </w:t>
      </w:r>
      <w:r>
        <w:rPr>
          <w:rStyle w:val="VerbatimChar"/>
        </w:rPr>
        <w:t xml:space="preserve">37</w:t>
      </w:r>
      <w:r>
        <w:t xml:space="preserve"> </w:t>
      </w:r>
      <w:r>
        <w:rPr>
          <w:rFonts w:hint="eastAsia"/>
        </w:rPr>
        <w:t xml:space="preserve">の推論の実装を読み込む。</w:t>
      </w:r>
      <w:r>
        <w:rPr>
          <w:rStyle w:val="VerbatimChar"/>
        </w:rPr>
        <w:t xml:space="preserve">44</w:t>
      </w:r>
      <w:r>
        <w:t xml:space="preserve"> </w:t>
      </w:r>
      <w:r>
        <w:t xml:space="preserve">はさらに</w:t>
      </w:r>
      <w:r>
        <w:t xml:space="preserve"> </w:t>
      </w:r>
      <w:r>
        <w:rPr>
          <w:rStyle w:val="VerbatimChar"/>
        </w:rPr>
        <w:t xml:space="preserve">25</w:t>
      </w:r>
      <w:r>
        <w:t xml:space="preserve">・</w:t>
      </w:r>
      <w:r>
        <w:rPr>
          <w:rStyle w:val="VerbatimChar"/>
        </w:rPr>
        <w:t xml:space="preserve">34</w:t>
      </w:r>
      <w:r>
        <w:t xml:space="preserve">・</w:t>
      </w:r>
      <w:r>
        <w:rPr>
          <w:rStyle w:val="VerbatimChar"/>
        </w:rPr>
        <w:t xml:space="preserve">45</w:t>
      </w:r>
      <w:r>
        <w:t xml:space="preserve"> </w:t>
      </w:r>
      <w:r>
        <w:rPr>
          <w:rFonts w:hint="eastAsia"/>
        </w:rPr>
        <w:t xml:space="preserve">を読み込み、</w:t>
      </w:r>
      <w:r>
        <w:rPr>
          <w:rStyle w:val="VerbatimChar"/>
        </w:rPr>
        <w:t xml:space="preserve">25</w:t>
      </w:r>
      <w:r>
        <w:t xml:space="preserve"> </w:t>
      </w:r>
      <w:r>
        <w:t xml:space="preserve">の</w:t>
      </w:r>
      <w:r>
        <w:t xml:space="preserve"> </w:t>
      </w:r>
      <w:r>
        <w:rPr>
          <w:rStyle w:val="VerbatimChar"/>
        </w:rPr>
        <w:t xml:space="preserve">fo_replication_results.csv</w:t>
      </w:r>
      <w:r>
        <w:t xml:space="preserve">、</w:t>
      </w:r>
      <w:r>
        <w:rPr>
          <w:rStyle w:val="VerbatimChar"/>
        </w:rPr>
        <w:t xml:space="preserve">33</w:t>
      </w:r>
      <w:r>
        <w:t xml:space="preserve"> </w:t>
      </w:r>
      <w:r>
        <w:t xml:space="preserve">の</w:t>
      </w:r>
      <w:r>
        <w:t xml:space="preserve"> </w:t>
      </w:r>
      <w:r>
        <w:rPr>
          <w:rStyle w:val="VerbatimChar"/>
        </w:rPr>
        <w:t xml:space="preserve">kyushu_nuclear_coef.csv</w:t>
      </w:r>
      <w:r>
        <w:t xml:space="preserve">、</w:t>
      </w:r>
      <w:r>
        <w:rPr>
          <w:rStyle w:val="VerbatimChar"/>
        </w:rPr>
        <w:t xml:space="preserve">34</w:t>
      </w:r>
      <w:r>
        <w:t xml:space="preserve"> </w:t>
      </w:r>
      <w:r>
        <w:t xml:space="preserve">の</w:t>
      </w:r>
      <w:r>
        <w:t xml:space="preserve"> </w:t>
      </w:r>
      <w:r>
        <w:rPr>
          <w:rStyle w:val="VerbatimChar"/>
        </w:rPr>
        <w:t xml:space="preserve">price_curve_pca_*.csv</w:t>
      </w:r>
      <w:r>
        <w:t xml:space="preserve"> </w:t>
      </w:r>
      <w:r>
        <w:rPr>
          <w:rFonts w:hint="eastAsia"/>
        </w:rPr>
        <w:t xml:space="preserve">と照合する。</w:t>
      </w:r>
      <w:r>
        <w:rPr>
          <w:rStyle w:val="VerbatimChar"/>
        </w:rPr>
        <w:t xml:space="preserve">45</w:t>
      </w:r>
      <w:r>
        <w:t xml:space="preserve"> </w:t>
      </w:r>
      <w:r>
        <w:t xml:space="preserve">の</w:t>
      </w:r>
      <w:r>
        <w:t xml:space="preserve"> </w:t>
      </w:r>
      <w:r>
        <w:rPr>
          <w:rStyle w:val="VerbatimChar"/>
        </w:rPr>
        <w:t xml:space="preserve">--subperiods</w:t>
      </w:r>
      <w:r>
        <w:t xml:space="preserve"> </w:t>
      </w:r>
      <w:r>
        <w:rPr>
          <w:rFonts w:hint="eastAsia"/>
        </w:rPr>
        <w:t xml:space="preserve">は主の実行の後に走らせる。</w:t>
      </w:r>
    </w:p>
    <w:p>
      <w:pPr>
        <w:pStyle w:val="Compact"/>
        <w:numPr>
          <w:ilvl w:val="0"/>
          <w:numId w:val="1009"/>
        </w:numPr>
      </w:pPr>
      <w:r>
        <w:rPr>
          <w:rStyle w:val="VerbatimChar"/>
        </w:rPr>
        <w:t xml:space="preserve">46</w:t>
      </w:r>
      <w:r>
        <w:t xml:space="preserve"> </w:t>
      </w:r>
      <w:r>
        <w:t xml:space="preserve">は</w:t>
      </w:r>
      <w:r>
        <w:t xml:space="preserve"> </w:t>
      </w:r>
      <w:r>
        <w:rPr>
          <w:rStyle w:val="VerbatimChar"/>
        </w:rPr>
        <w:t xml:space="preserve">35</w:t>
      </w:r>
      <w:r>
        <w:t xml:space="preserve"> </w:t>
      </w:r>
      <w:r>
        <w:t xml:space="preserve">の</w:t>
      </w:r>
      <w:r>
        <w:t xml:space="preserve"> </w:t>
      </w:r>
      <w:r>
        <w:rPr>
          <w:rStyle w:val="VerbatimChar"/>
        </w:rPr>
        <w:t xml:space="preserve">table73_refresh.csv</w:t>
      </w:r>
      <w:r>
        <w:t xml:space="preserve"> </w:t>
      </w:r>
      <w:r>
        <w:rPr>
          <w:rFonts w:hint="eastAsia"/>
        </w:rPr>
        <w:t xml:space="preserve">と照合する。</w:t>
      </w:r>
      <w:r>
        <w:rPr>
          <w:rStyle w:val="VerbatimChar"/>
        </w:rPr>
        <w:t xml:space="preserve">47</w:t>
      </w:r>
      <w:r>
        <w:t xml:space="preserve"> </w:t>
      </w:r>
      <w:r>
        <w:t xml:space="preserve">は</w:t>
      </w:r>
      <w:r>
        <w:t xml:space="preserve"> </w:t>
      </w:r>
      <w:r>
        <w:rPr>
          <w:rStyle w:val="VerbatimChar"/>
        </w:rPr>
        <w:t xml:space="preserve">26</w:t>
      </w:r>
      <w:r>
        <w:t xml:space="preserve"> </w:t>
      </w:r>
      <w:r>
        <w:rPr>
          <w:rFonts w:hint="eastAsia"/>
        </w:rPr>
        <w:t xml:space="preserve">だけを読み込む。</w:t>
      </w:r>
      <w:r>
        <w:rPr>
          <w:rStyle w:val="VerbatimChar"/>
        </w:rPr>
        <w:t xml:space="preserve">50</w:t>
      </w:r>
      <w:r>
        <w:t xml:space="preserve"> </w:t>
      </w:r>
      <w:r>
        <w:t xml:space="preserve">は</w:t>
      </w:r>
      <w:r>
        <w:t xml:space="preserve"> </w:t>
      </w:r>
      <w:r>
        <w:rPr>
          <w:rStyle w:val="VerbatimChar"/>
        </w:rPr>
        <w:t xml:space="preserve">30</w:t>
      </w:r>
      <w:r>
        <w:t xml:space="preserve"> </w:t>
      </w:r>
      <w:r>
        <w:t xml:space="preserve">の</w:t>
      </w:r>
      <w:r>
        <w:t xml:space="preserve"> </w:t>
      </w:r>
      <w:r>
        <w:rPr>
          <w:rStyle w:val="VerbatimChar"/>
        </w:rPr>
        <w:t xml:space="preserve">btm_avoidable_share.csv</w:t>
      </w:r>
      <w:r>
        <w:t xml:space="preserve"> </w:t>
      </w:r>
      <w:r>
        <w:t xml:space="preserve">と</w:t>
      </w:r>
      <w:r>
        <w:t xml:space="preserve"> </w:t>
      </w:r>
      <w:r>
        <w:rPr>
          <w:rStyle w:val="VerbatimChar"/>
        </w:rPr>
        <w:t xml:space="preserve">32</w:t>
      </w:r>
      <w:r>
        <w:t xml:space="preserve"> </w:t>
      </w:r>
      <w:r>
        <w:t xml:space="preserve">の</w:t>
      </w:r>
      <w:r>
        <w:t xml:space="preserve"> </w:t>
      </w:r>
      <w:r>
        <w:rPr>
          <w:rStyle w:val="VerbatimChar"/>
        </w:rPr>
        <w:t xml:space="preserve">negative_price_scenarios.csv</w:t>
      </w:r>
      <w:r>
        <w:t xml:space="preserve"> </w:t>
      </w:r>
      <w:r>
        <w:rPr>
          <w:rFonts w:hint="eastAsia"/>
        </w:rPr>
        <w:t xml:space="preserve">を読む。</w:t>
      </w:r>
      <w:r>
        <w:rPr>
          <w:rStyle w:val="VerbatimChar"/>
        </w:rPr>
        <w:t xml:space="preserve">51</w:t>
      </w:r>
      <w:r>
        <w:t xml:space="preserve"> </w:t>
      </w:r>
      <w:r>
        <w:t xml:space="preserve">は</w:t>
      </w:r>
      <w:r>
        <w:t xml:space="preserve"> </w:t>
      </w:r>
      <w:r>
        <w:rPr>
          <w:rStyle w:val="VerbatimChar"/>
        </w:rPr>
        <w:t xml:space="preserve">12</w:t>
      </w:r>
      <w:r>
        <w:rPr>
          <w:rFonts w:hint="eastAsia"/>
        </w:rPr>
        <w:t xml:space="preserve">（関数だけ）・</w:t>
      </w:r>
      <w:r>
        <w:rPr>
          <w:rStyle w:val="VerbatimChar"/>
        </w:rPr>
        <w:t xml:space="preserve">13</w:t>
      </w:r>
      <w:r>
        <w:t xml:space="preserve">・</w:t>
      </w:r>
      <w:r>
        <w:rPr>
          <w:rStyle w:val="VerbatimChar"/>
        </w:rPr>
        <w:t xml:space="preserve">26</w:t>
      </w:r>
      <w:r>
        <w:t xml:space="preserve"> </w:t>
      </w:r>
      <w:r>
        <w:rPr>
          <w:rFonts w:hint="eastAsia"/>
        </w:rPr>
        <w:t xml:space="preserve">を読み込み、</w:t>
      </w:r>
      <w:r>
        <w:rPr>
          <w:rStyle w:val="VerbatimChar"/>
        </w:rPr>
        <w:t xml:space="preserve">18</w:t>
      </w:r>
      <w:r>
        <w:t xml:space="preserve">・</w:t>
      </w:r>
      <w:r>
        <w:rPr>
          <w:rStyle w:val="VerbatimChar"/>
        </w:rPr>
        <w:t xml:space="preserve">28</w:t>
      </w:r>
      <w:r>
        <w:t xml:space="preserve">・</w:t>
      </w:r>
      <w:r>
        <w:rPr>
          <w:rStyle w:val="VerbatimChar"/>
        </w:rPr>
        <w:t xml:space="preserve">29</w:t>
      </w:r>
      <w:r>
        <w:t xml:space="preserve">・</w:t>
      </w:r>
      <w:r>
        <w:rPr>
          <w:rStyle w:val="VerbatimChar"/>
        </w:rPr>
        <w:t xml:space="preserve">32</w:t>
      </w:r>
      <w:r>
        <w:t xml:space="preserve">・</w:t>
      </w:r>
      <w:r>
        <w:rPr>
          <w:rStyle w:val="VerbatimChar"/>
        </w:rPr>
        <w:t xml:space="preserve">33</w:t>
      </w:r>
      <w:r>
        <w:t xml:space="preserve"> </w:t>
      </w:r>
      <w:r>
        <w:rPr>
          <w:rFonts w:hint="eastAsia"/>
        </w:rPr>
        <w:t xml:space="preserve">の出力と照合する。</w:t>
      </w:r>
      <w:r>
        <w:rPr>
          <w:rStyle w:val="VerbatimChar"/>
        </w:rPr>
        <w:t xml:space="preserve">49</w:t>
      </w:r>
      <w:r>
        <w:t xml:space="preserve"> </w:t>
      </w:r>
      <w:r>
        <w:t xml:space="preserve">は</w:t>
      </w:r>
      <w:r>
        <w:t xml:space="preserve"> </w:t>
      </w:r>
      <w:r>
        <w:rPr>
          <w:rStyle w:val="VerbatimChar"/>
        </w:rPr>
        <w:t xml:space="preserve">ltda_battery_projects.csv</w:t>
      </w:r>
      <w:r>
        <w:t xml:space="preserve"> </w:t>
      </w:r>
      <w:r>
        <w:rPr>
          <w:rFonts w:hint="eastAsia"/>
        </w:rPr>
        <w:t xml:space="preserve">に所在エリアの列を加えて書き出す（付録E.4）。</w:t>
      </w:r>
    </w:p>
    <w:p>
      <w:pPr>
        <w:pStyle w:val="FirstParagraph"/>
      </w:pPr>
      <w:r>
        <w:rPr>
          <w:rStyle w:val="VerbatimChar"/>
        </w:rPr>
        <w:t xml:space="preserve">37</w:t>
      </w:r>
      <w:r>
        <w:t xml:space="preserve"> </w:t>
      </w:r>
      <w:r>
        <w:t xml:space="preserve">は</w:t>
      </w:r>
      <w:r>
        <w:t xml:space="preserve"> </w:t>
      </w:r>
      <w:r>
        <w:rPr>
          <w:rStyle w:val="VerbatimChar"/>
        </w:rPr>
        <w:t xml:space="preserve">24</w:t>
      </w:r>
      <w:r>
        <w:t xml:space="preserve"> </w:t>
      </w:r>
      <w:r>
        <w:t xml:space="preserve">の</w:t>
      </w:r>
      <w:r>
        <w:t xml:space="preserve"> </w:t>
      </w:r>
      <w:r>
        <w:rPr>
          <w:rStyle w:val="VerbatimChar"/>
        </w:rPr>
        <w:t xml:space="preserve">vol_regression_results.csv</w:t>
      </w:r>
      <w:r>
        <w:t xml:space="preserve">・</w:t>
      </w:r>
      <w:r>
        <w:rPr>
          <w:rStyle w:val="VerbatimChar"/>
        </w:rPr>
        <w:t xml:space="preserve">vol_regression_results_ex21-22.csv</w:t>
      </w:r>
      <w:r>
        <w:t xml:space="preserve"> </w:t>
      </w:r>
      <w:r>
        <w:rPr>
          <w:rFonts w:hint="eastAsia"/>
        </w:rPr>
        <w:t xml:space="preserve">と係数が一致することを確かめ、</w:t>
      </w:r>
      <w:r>
        <w:rPr>
          <w:rStyle w:val="VerbatimChar"/>
        </w:rPr>
        <w:t xml:space="preserve">33</w:t>
      </w:r>
      <w:r>
        <w:t xml:space="preserve"> </w:t>
      </w:r>
      <w:r>
        <w:t xml:space="preserve">は</w:t>
      </w:r>
      <w:r>
        <w:t xml:space="preserve"> </w:t>
      </w:r>
      <w:r>
        <w:rPr>
          <w:rStyle w:val="VerbatimChar"/>
        </w:rPr>
        <w:t xml:space="preserve">18</w:t>
      </w:r>
      <w:r>
        <w:t xml:space="preserve"> </w:t>
      </w:r>
      <w:r>
        <w:t xml:space="preserve">の</w:t>
      </w:r>
      <w:r>
        <w:t xml:space="preserve"> </w:t>
      </w:r>
      <w:r>
        <w:rPr>
          <w:rStyle w:val="VerbatimChar"/>
        </w:rPr>
        <w:t xml:space="preserve">kwind_sweep.csv</w:t>
      </w:r>
      <w:r>
        <w:t xml:space="preserve"> </w:t>
      </w:r>
      <w:r>
        <w:rPr>
          <w:rFonts w:hint="eastAsia"/>
        </w:rPr>
        <w:t xml:space="preserve">と照合する。</w:t>
      </w:r>
      <w:r>
        <w:rPr>
          <w:rStyle w:val="VerbatimChar"/>
        </w:rPr>
        <w:t xml:space="preserve">36</w:t>
      </w:r>
      <w:r>
        <w:t xml:space="preserve"> </w:t>
      </w:r>
      <w:r>
        <w:t xml:space="preserve">は</w:t>
      </w:r>
      <w:r>
        <w:t xml:space="preserve"> </w:t>
      </w:r>
      <w:r>
        <w:rPr>
          <w:rStyle w:val="VerbatimChar"/>
        </w:rPr>
        <w:t xml:space="preserve">26</w:t>
      </w:r>
      <w:r>
        <w:t xml:space="preserve"> </w:t>
      </w:r>
      <w:r>
        <w:t xml:space="preserve">の</w:t>
      </w:r>
      <w:r>
        <w:t xml:space="preserve"> </w:t>
      </w:r>
      <w:r>
        <w:rPr>
          <w:rStyle w:val="VerbatimChar"/>
        </w:rPr>
        <w:t xml:space="preserve">price_level_theta.csv</w:t>
      </w:r>
      <w:r>
        <w:t xml:space="preserve"> </w:t>
      </w:r>
      <w:r>
        <w:t xml:space="preserve">と</w:t>
      </w:r>
      <w:r>
        <w:t xml:space="preserve"> </w:t>
      </w:r>
      <w:r>
        <w:rPr>
          <w:rStyle w:val="VerbatimChar"/>
        </w:rPr>
        <w:t xml:space="preserve">28</w:t>
      </w:r>
      <w:r>
        <w:t xml:space="preserve"> </w:t>
      </w:r>
      <w:r>
        <w:t xml:space="preserve">の</w:t>
      </w:r>
      <w:r>
        <w:t xml:space="preserve"> </w:t>
      </w:r>
      <w:r>
        <w:rPr>
          <w:rStyle w:val="VerbatimChar"/>
        </w:rPr>
        <w:t xml:space="preserve">equilibrium_surface.csv</w:t>
      </w:r>
      <w:r>
        <w:t xml:space="preserve"> </w:t>
      </w:r>
      <w:r>
        <w:rPr>
          <w:rFonts w:hint="eastAsia"/>
        </w:rPr>
        <w:t xml:space="preserve">を読む。</w:t>
      </w:r>
      <w:r>
        <w:rPr>
          <w:rStyle w:val="VerbatimChar"/>
        </w:rPr>
        <w:t xml:space="preserve">40</w:t>
      </w:r>
      <w:r>
        <w:t xml:space="preserve"> </w:t>
      </w:r>
      <w:r>
        <w:rPr>
          <w:rFonts w:hint="eastAsia"/>
        </w:rPr>
        <w:t xml:space="preserve">は照合のために</w:t>
      </w:r>
      <w:r>
        <w:t xml:space="preserve"> </w:t>
      </w:r>
      <w:r>
        <w:rPr>
          <w:rStyle w:val="VerbatimChar"/>
        </w:rPr>
        <w:t xml:space="preserve">23</w:t>
      </w:r>
      <w:r>
        <w:t xml:space="preserve">・</w:t>
      </w:r>
      <w:r>
        <w:rPr>
          <w:rStyle w:val="VerbatimChar"/>
        </w:rPr>
        <w:t xml:space="preserve">27</w:t>
      </w:r>
      <w:r>
        <w:t xml:space="preserve">・</w:t>
      </w:r>
      <w:r>
        <w:rPr>
          <w:rStyle w:val="VerbatimChar"/>
        </w:rPr>
        <w:t xml:space="preserve">28</w:t>
      </w:r>
      <w:r>
        <w:t xml:space="preserve"> </w:t>
      </w:r>
      <w:r>
        <w:rPr>
          <w:rFonts w:hint="eastAsia"/>
        </w:rPr>
        <w:t xml:space="preserve">の出力も読む。</w:t>
      </w:r>
    </w:p>
    <w:bookmarkEnd w:id="404"/>
    <w:bookmarkStart w:id="405" w:name="e.3-図表と出力ファイルの対応"/>
    <w:p>
      <w:pPr>
        <w:pStyle w:val="Heading2"/>
      </w:pPr>
      <w:r>
        <w:t xml:space="preserve">E.3　</w:t>
      </w:r>
      <w:r>
        <w:rPr>
          <w:rFonts w:hint="eastAsia"/>
        </w:rPr>
        <w:t xml:space="preserve">図表と出力ファイルの対応</w:t>
      </w:r>
    </w:p>
    <w:p>
      <w:pPr>
        <w:pStyle w:val="FirstParagraph"/>
      </w:pPr>
      <w:r>
        <w:rPr>
          <w:rFonts w:hint="eastAsia"/>
        </w:rPr>
        <w:t xml:space="preserve">表E.3</w:t>
      </w:r>
      <w:r>
        <w:t xml:space="preserve"> </w:t>
      </w:r>
      <w:r>
        <w:rPr>
          <w:rFonts w:hint="eastAsia"/>
        </w:rPr>
        <w:t xml:space="preserve">は本文と付録の図、表E.4</w:t>
      </w:r>
      <w:r>
        <w:t xml:space="preserve"> </w:t>
      </w:r>
      <w:r>
        <w:rPr>
          <w:rFonts w:hint="eastAsia"/>
        </w:rPr>
        <w:t xml:space="preserve">は本文の表、表E.5</w:t>
      </w:r>
      <w:r>
        <w:t xml:space="preserve"> </w:t>
      </w:r>
      <w:r>
        <w:rPr>
          <w:rFonts w:hint="eastAsia"/>
        </w:rPr>
        <w:t xml:space="preserve">は付録の表について、出力ファイルと作成するスクリプトを示す。ファイルは、図が</w:t>
      </w:r>
      <w:r>
        <w:t xml:space="preserve"> </w:t>
      </w:r>
      <w:r>
        <w:rPr>
          <w:rStyle w:val="VerbatimChar"/>
        </w:rPr>
        <w:t xml:space="preserve">figures/hokkaido/</w:t>
      </w:r>
      <w:r>
        <w:rPr>
          <w:rFonts w:hint="eastAsia"/>
        </w:rPr>
        <w:t xml:space="preserve">、表のデータが</w:t>
      </w:r>
      <w:r>
        <w:t xml:space="preserve"> </w:t>
      </w:r>
      <w:r>
        <w:rPr>
          <w:rStyle w:val="VerbatimChar"/>
        </w:rPr>
        <w:t xml:space="preserve">data/processed/</w:t>
      </w:r>
      <w:r>
        <w:t xml:space="preserve"> </w:t>
      </w:r>
      <w:r>
        <w:t xml:space="preserve">にある。</w:t>
      </w:r>
    </w:p>
    <w:p>
      <w:pPr>
        <w:pStyle w:val="TableCaption"/>
      </w:pPr>
      <w:r>
        <w:rPr>
          <w:rFonts w:hint="eastAsia"/>
        </w:rPr>
        <w:t xml:space="preserve">表E.3</w:t>
      </w:r>
      <w:r>
        <w:t xml:space="preserve">　</w:t>
      </w:r>
      <w:r>
        <w:rPr>
          <w:rFonts w:hint="eastAsia"/>
        </w:rPr>
        <w:t xml:space="preserve">図と出力ファイルの対応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E.3　図と出力ファイルの対応"/>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図</w:t>
            </w:r>
          </w:p>
        </w:tc>
        <w:tc>
          <w:tcPr>
            <w:tcBorders>
              <w:bottom w:val="single" w:sz="6" w:color="000000"/>
            </w:tcBorders>
          </w:tcPr>
          <w:p>
            <w:pPr>
              <w:pStyle w:val="Compact"/>
            </w:pPr>
            <w:r>
              <w:rPr>
                <w:rFonts w:hint="eastAsia"/>
                <w:sz w:val="18"/>
              </w:rPr>
              <w:t xml:space="preserve">ファイル（</w:t>
            </w:r>
            <w:r>
              <w:rPr>
                <w:rStyle w:val="VerbatimChar"/>
                <w:sz w:val="18"/>
              </w:rPr>
              <w:t xml:space="preserve">figures/hokkaido/</w:t>
            </w:r>
            <w:r>
              <w:rPr>
                <w:rFonts w:hint="eastAsia"/>
                <w:sz w:val="18"/>
              </w:rPr>
              <w:t xml:space="preserve">）</w:t>
            </w:r>
          </w:p>
        </w:tc>
        <w:tc>
          <w:tcPr>
            <w:tcBorders>
              <w:bottom w:val="single" w:sz="6" w:color="000000"/>
            </w:tcBorders>
          </w:tcPr>
          <w:p>
            <w:pPr>
              <w:pStyle w:val="Compact"/>
            </w:pPr>
            <w:r>
              <w:rPr>
                <w:sz w:val="18"/>
              </w:rPr>
              <w:t xml:space="preserve">スクリプト</w:t>
            </w:r>
          </w:p>
        </w:tc>
      </w:tr>
      <w:tr>
        <w:tc>
          <w:tcPr/>
          <w:p>
            <w:pPr>
              <w:pStyle w:val="Compact"/>
            </w:pPr>
            <w:r>
              <w:rPr>
                <w:rFonts w:hint="eastAsia"/>
                <w:sz w:val="18"/>
              </w:rPr>
              <w:t xml:space="preserve">図5.1</w:t>
            </w:r>
            <w:r>
              <w:rPr>
                <w:sz w:val="18"/>
              </w:rPr>
              <w:t xml:space="preserve">　</w:t>
            </w:r>
            <w:r>
              <w:rPr>
                <w:rFonts w:hint="eastAsia"/>
                <w:sz w:val="18"/>
              </w:rPr>
              <w:t xml:space="preserve">太陽光の多寡別の時刻別価格</w:t>
            </w:r>
          </w:p>
        </w:tc>
        <w:tc>
          <w:tcPr/>
          <w:p>
            <w:pPr>
              <w:pStyle w:val="Compact"/>
            </w:pPr>
            <w:r>
              <w:rPr>
                <w:rStyle w:val="VerbatimChar"/>
                <w:sz w:val="18"/>
              </w:rPr>
              <w:t xml:space="preserve">price_curve_shapes_fy2023-25.png</w:t>
            </w:r>
          </w:p>
        </w:tc>
        <w:tc>
          <w:tcPr/>
          <w:p>
            <w:pPr>
              <w:pStyle w:val="Compact"/>
            </w:pPr>
            <w:r>
              <w:rPr>
                <w:rStyle w:val="VerbatimChar"/>
                <w:sz w:val="18"/>
              </w:rPr>
              <w:t xml:space="preserve">15</w:t>
            </w:r>
          </w:p>
        </w:tc>
      </w:tr>
      <w:tr>
        <w:tc>
          <w:tcPr/>
          <w:p>
            <w:pPr>
              <w:pStyle w:val="Compact"/>
            </w:pPr>
            <w:r>
              <w:rPr>
                <w:rFonts w:hint="eastAsia"/>
                <w:sz w:val="18"/>
              </w:rPr>
              <w:t xml:space="preserve">図5.2</w:t>
            </w:r>
            <w:r>
              <w:rPr>
                <w:sz w:val="18"/>
              </w:rPr>
              <w:t xml:space="preserve">　</w:t>
            </w:r>
            <w:r>
              <w:rPr>
                <w:rFonts w:hint="eastAsia"/>
                <w:sz w:val="18"/>
              </w:rPr>
              <w:t xml:space="preserve">風力の多寡別の時刻別価格</w:t>
            </w:r>
          </w:p>
        </w:tc>
        <w:tc>
          <w:tcPr/>
          <w:p>
            <w:pPr>
              <w:pStyle w:val="Compact"/>
            </w:pPr>
            <w:r>
              <w:rPr>
                <w:rStyle w:val="VerbatimChar"/>
                <w:sz w:val="18"/>
              </w:rPr>
              <w:t xml:space="preserve">wind_price_curves_fy2023-25.png</w:t>
            </w:r>
          </w:p>
        </w:tc>
        <w:tc>
          <w:tcPr/>
          <w:p>
            <w:pPr>
              <w:pStyle w:val="Compact"/>
            </w:pPr>
            <w:r>
              <w:rPr>
                <w:rStyle w:val="VerbatimChar"/>
                <w:sz w:val="18"/>
              </w:rPr>
              <w:t xml:space="preserve">17</w:t>
            </w:r>
          </w:p>
        </w:tc>
      </w:tr>
      <w:tr>
        <w:tc>
          <w:tcPr/>
          <w:p>
            <w:pPr>
              <w:pStyle w:val="Compact"/>
            </w:pPr>
            <w:r>
              <w:rPr>
                <w:rFonts w:hint="eastAsia"/>
                <w:sz w:val="18"/>
              </w:rPr>
              <w:t xml:space="preserve">図5.3</w:t>
            </w:r>
            <w:r>
              <w:rPr>
                <w:sz w:val="18"/>
              </w:rPr>
              <w:t xml:space="preserve">　</w:t>
            </w:r>
            <w:r>
              <w:rPr>
                <w:rFonts w:hint="eastAsia"/>
                <w:sz w:val="18"/>
              </w:rPr>
              <w:t xml:space="preserve">北海道の風力の帯域分解の年度別推移</w:t>
            </w:r>
          </w:p>
        </w:tc>
        <w:tc>
          <w:tcPr/>
          <w:p>
            <w:pPr>
              <w:pStyle w:val="Compact"/>
            </w:pPr>
            <w:r>
              <w:rPr>
                <w:rStyle w:val="VerbatimChar"/>
                <w:sz w:val="18"/>
              </w:rPr>
              <w:t xml:space="preserve">wind_bands_timeseries.png</w:t>
            </w:r>
          </w:p>
        </w:tc>
        <w:tc>
          <w:tcPr/>
          <w:p>
            <w:pPr>
              <w:pStyle w:val="Compact"/>
            </w:pPr>
            <w:r>
              <w:rPr>
                <w:rStyle w:val="VerbatimChar"/>
                <w:sz w:val="18"/>
              </w:rPr>
              <w:t xml:space="preserve">19</w:t>
            </w:r>
          </w:p>
        </w:tc>
      </w:tr>
      <w:tr>
        <w:tc>
          <w:tcPr/>
          <w:p>
            <w:pPr>
              <w:pStyle w:val="Compact"/>
            </w:pPr>
            <w:r>
              <w:rPr>
                <w:rFonts w:hint="eastAsia"/>
                <w:sz w:val="18"/>
              </w:rPr>
              <w:t xml:space="preserve">図5.4</w:t>
            </w:r>
            <w:r>
              <w:rPr>
                <w:sz w:val="18"/>
              </w:rPr>
              <w:t xml:space="preserve">　</w:t>
            </w:r>
            <w:r>
              <w:rPr>
                <w:rFonts w:hint="eastAsia"/>
                <w:sz w:val="18"/>
              </w:rPr>
              <w:t xml:space="preserve">日次発電量の五分位別の日平均価格と</w:t>
            </w:r>
            <w:r>
              <w:rPr>
                <w:sz w:val="18"/>
              </w:rPr>
              <w:t xml:space="preserve"> TB4h</w:t>
            </w:r>
          </w:p>
        </w:tc>
        <w:tc>
          <w:tcPr/>
          <w:p>
            <w:pPr>
              <w:pStyle w:val="Compact"/>
            </w:pPr>
            <w:r>
              <w:rPr>
                <w:rStyle w:val="VerbatimChar"/>
                <w:sz w:val="18"/>
              </w:rPr>
              <w:t xml:space="preserve">gen_vs_price_shape_ci.png</w:t>
            </w:r>
            <w:r>
              <w:rPr>
                <w:rFonts w:hint="eastAsia"/>
                <w:sz w:val="18"/>
              </w:rPr>
              <w:t xml:space="preserve">（区間は</w:t>
            </w:r>
            <w:r>
              <w:rPr>
                <w:sz w:val="18"/>
              </w:rPr>
              <w:t xml:space="preserve"> </w:t>
            </w:r>
            <w:r>
              <w:rPr>
                <w:rStyle w:val="VerbatimChar"/>
                <w:sz w:val="18"/>
              </w:rPr>
              <w:t xml:space="preserve">gen_quintile_ci_v3.csv</w:t>
            </w:r>
            <w:r>
              <w:rPr>
                <w:rFonts w:hint="eastAsia"/>
                <w:sz w:val="18"/>
              </w:rPr>
              <w:t xml:space="preserve">）</w:t>
            </w:r>
          </w:p>
        </w:tc>
        <w:tc>
          <w:tcPr/>
          <w:p>
            <w:pPr>
              <w:pStyle w:val="Compact"/>
            </w:pPr>
            <w:r>
              <w:rPr>
                <w:rStyle w:val="VerbatimChar"/>
                <w:sz w:val="18"/>
              </w:rPr>
              <w:t xml:space="preserve">46</w:t>
            </w:r>
          </w:p>
        </w:tc>
      </w:tr>
      <w:tr>
        <w:tc>
          <w:tcPr/>
          <w:p>
            <w:pPr>
              <w:pStyle w:val="Compact"/>
            </w:pPr>
            <w:r>
              <w:rPr>
                <w:rFonts w:hint="eastAsia"/>
                <w:sz w:val="18"/>
              </w:rPr>
              <w:t xml:space="preserve">図5.5</w:t>
            </w:r>
            <w:r>
              <w:rPr>
                <w:sz w:val="18"/>
              </w:rPr>
              <w:t xml:space="preserve">　</w:t>
            </w:r>
            <w:r>
              <w:rPr>
                <w:rFonts w:hint="eastAsia"/>
                <w:sz w:val="18"/>
              </w:rPr>
              <w:t xml:space="preserve">分位点回帰による北海道の風力の係数</w:t>
            </w:r>
          </w:p>
        </w:tc>
        <w:tc>
          <w:tcPr/>
          <w:p>
            <w:pPr>
              <w:pStyle w:val="Compact"/>
            </w:pPr>
            <w:r>
              <w:rPr>
                <w:rStyle w:val="VerbatimChar"/>
                <w:sz w:val="18"/>
              </w:rPr>
              <w:t xml:space="preserve">quantile_moe_v3.png</w:t>
            </w:r>
          </w:p>
        </w:tc>
        <w:tc>
          <w:tcPr/>
          <w:p>
            <w:pPr>
              <w:pStyle w:val="Compact"/>
            </w:pPr>
            <w:r>
              <w:rPr>
                <w:rStyle w:val="VerbatimChar"/>
                <w:sz w:val="18"/>
              </w:rPr>
              <w:t xml:space="preserve">45</w:t>
            </w:r>
          </w:p>
        </w:tc>
      </w:tr>
      <w:tr>
        <w:tc>
          <w:tcPr/>
          <w:p>
            <w:pPr>
              <w:pStyle w:val="Compact"/>
            </w:pPr>
            <w:r>
              <w:rPr>
                <w:rFonts w:hint="eastAsia"/>
                <w:sz w:val="18"/>
              </w:rPr>
              <w:t xml:space="preserve">図5.6</w:t>
            </w:r>
            <w:r>
              <w:rPr>
                <w:sz w:val="18"/>
              </w:rPr>
              <w:t xml:space="preserve">　</w:t>
            </w:r>
            <w:r>
              <w:rPr>
                <w:rFonts w:hint="eastAsia"/>
                <w:sz w:val="18"/>
              </w:rPr>
              <w:t xml:space="preserve">集中立地と日周位相の反実仮想</w:t>
            </w:r>
          </w:p>
        </w:tc>
        <w:tc>
          <w:tcPr/>
          <w:p>
            <w:pPr>
              <w:pStyle w:val="Compact"/>
            </w:pPr>
            <w:r>
              <w:rPr>
                <w:rStyle w:val="VerbatimChar"/>
                <w:sz w:val="18"/>
              </w:rPr>
              <w:t xml:space="preserve">spatial_dispersion_v3.png</w:t>
            </w:r>
          </w:p>
        </w:tc>
        <w:tc>
          <w:tcPr/>
          <w:p>
            <w:pPr>
              <w:pStyle w:val="Compact"/>
            </w:pPr>
            <w:r>
              <w:rPr>
                <w:rStyle w:val="VerbatimChar"/>
                <w:sz w:val="18"/>
              </w:rPr>
              <w:t xml:space="preserve">47</w:t>
            </w:r>
          </w:p>
        </w:tc>
      </w:tr>
      <w:tr>
        <w:tc>
          <w:tcPr/>
          <w:p>
            <w:pPr>
              <w:pStyle w:val="Compact"/>
            </w:pPr>
            <w:r>
              <w:rPr>
                <w:rFonts w:hint="eastAsia"/>
                <w:sz w:val="18"/>
              </w:rPr>
              <w:t xml:space="preserve">図5.7</w:t>
            </w:r>
            <w:r>
              <w:rPr>
                <w:sz w:val="18"/>
              </w:rPr>
              <w:t xml:space="preserve">　</w:t>
            </w:r>
            <w:r>
              <w:rPr>
                <w:rFonts w:hint="eastAsia"/>
                <w:sz w:val="18"/>
              </w:rPr>
              <w:t xml:space="preserve">24時間価格カーブの主成分負荷と時刻別係数</w:t>
            </w:r>
          </w:p>
        </w:tc>
        <w:tc>
          <w:tcPr/>
          <w:p>
            <w:pPr>
              <w:pStyle w:val="Compact"/>
            </w:pPr>
            <w:r>
              <w:rPr>
                <w:rStyle w:val="VerbatimChar"/>
                <w:sz w:val="18"/>
              </w:rPr>
              <w:t xml:space="preserve">price_curve_pca_v3.png</w:t>
            </w:r>
            <w:r>
              <w:rPr>
                <w:rFonts w:hint="eastAsia"/>
                <w:sz w:val="18"/>
              </w:rPr>
              <w:t xml:space="preserve">（上段の負荷は</w:t>
            </w:r>
            <w:r>
              <w:rPr>
                <w:sz w:val="18"/>
              </w:rPr>
              <w:t xml:space="preserve"> </w:t>
            </w:r>
            <w:r>
              <w:rPr>
                <w:rStyle w:val="VerbatimChar"/>
                <w:sz w:val="18"/>
              </w:rPr>
              <w:t xml:space="preserve">34</w:t>
            </w:r>
            <w:r>
              <w:rPr>
                <w:sz w:val="18"/>
              </w:rPr>
              <w:t xml:space="preserve"> </w:t>
            </w:r>
            <w:r>
              <w:rPr>
                <w:rFonts w:hint="eastAsia"/>
                <w:sz w:val="18"/>
              </w:rPr>
              <w:t xml:space="preserve">の全標本と</w:t>
            </w:r>
            <w:r>
              <w:rPr>
                <w:sz w:val="18"/>
              </w:rPr>
              <w:t xml:space="preserve"> FY2023〜25 </w:t>
            </w:r>
            <w:r>
              <w:rPr>
                <w:rFonts w:hint="eastAsia"/>
                <w:sz w:val="18"/>
              </w:rPr>
              <w:t xml:space="preserve">の値）</w:t>
            </w:r>
          </w:p>
        </w:tc>
        <w:tc>
          <w:tcPr/>
          <w:p>
            <w:pPr>
              <w:pStyle w:val="Compact"/>
            </w:pPr>
            <w:r>
              <w:rPr>
                <w:rStyle w:val="VerbatimChar"/>
                <w:sz w:val="18"/>
              </w:rPr>
              <w:t xml:space="preserve">44</w:t>
            </w:r>
          </w:p>
        </w:tc>
      </w:tr>
      <w:tr>
        <w:tc>
          <w:tcPr/>
          <w:p>
            <w:pPr>
              <w:pStyle w:val="Compact"/>
            </w:pPr>
            <w:r>
              <w:rPr>
                <w:rFonts w:hint="eastAsia"/>
                <w:sz w:val="18"/>
              </w:rPr>
              <w:t xml:space="preserve">図5.8</w:t>
            </w:r>
            <w:r>
              <w:rPr>
                <w:sz w:val="18"/>
              </w:rPr>
              <w:t xml:space="preserve">　</w:t>
            </w:r>
            <w:r>
              <w:rPr>
                <w:rFonts w:hint="eastAsia"/>
                <w:sz w:val="18"/>
              </w:rPr>
              <w:t xml:space="preserve">推論法と仕様による</w:t>
            </w:r>
            <w:r>
              <w:rPr>
                <w:sz w:val="18"/>
              </w:rPr>
              <w:t xml:space="preserve"> TB4h </w:t>
            </w:r>
            <w:r>
              <w:rPr>
                <w:rFonts w:hint="eastAsia"/>
                <w:sz w:val="18"/>
              </w:rPr>
              <w:t xml:space="preserve">の係数の95%区間</w:t>
            </w:r>
          </w:p>
        </w:tc>
        <w:tc>
          <w:tcPr/>
          <w:p>
            <w:pPr>
              <w:pStyle w:val="Compact"/>
            </w:pPr>
            <w:r>
              <w:rPr>
                <w:rStyle w:val="VerbatimChar"/>
                <w:sz w:val="18"/>
              </w:rPr>
              <w:t xml:space="preserve">robust_inference_ci.png</w:t>
            </w:r>
          </w:p>
        </w:tc>
        <w:tc>
          <w:tcPr/>
          <w:p>
            <w:pPr>
              <w:pStyle w:val="Compact"/>
            </w:pPr>
            <w:r>
              <w:rPr>
                <w:rStyle w:val="VerbatimChar"/>
                <w:sz w:val="18"/>
              </w:rPr>
              <w:t xml:space="preserve">37</w:t>
            </w:r>
          </w:p>
        </w:tc>
      </w:tr>
      <w:tr>
        <w:tc>
          <w:tcPr/>
          <w:p>
            <w:pPr>
              <w:pStyle w:val="Compact"/>
            </w:pPr>
            <w:r>
              <w:rPr>
                <w:rFonts w:hint="eastAsia"/>
                <w:sz w:val="18"/>
              </w:rPr>
              <w:t xml:space="preserve">図6.1</w:t>
            </w:r>
            <w:r>
              <w:rPr>
                <w:sz w:val="18"/>
              </w:rPr>
              <w:t xml:space="preserve">　</w:t>
            </w:r>
            <w:r>
              <w:rPr>
                <w:rFonts w:hint="eastAsia"/>
                <w:sz w:val="18"/>
              </w:rPr>
              <w:t xml:space="preserve">北海道と九州の脚の比較と、duration</w:t>
            </w:r>
            <w:r>
              <w:rPr>
                <w:sz w:val="18"/>
              </w:rPr>
              <w:t xml:space="preserve"> </w:t>
            </w:r>
            <w:r>
              <w:rPr>
                <w:rFonts w:hint="eastAsia"/>
                <w:sz w:val="18"/>
              </w:rPr>
              <w:t xml:space="preserve">別の損益分岐の価格水準係数</w:t>
            </w:r>
          </w:p>
        </w:tc>
        <w:tc>
          <w:tcPr/>
          <w:p>
            <w:pPr>
              <w:pStyle w:val="Compact"/>
            </w:pPr>
            <w:r>
              <w:rPr>
                <w:rStyle w:val="VerbatimChar"/>
                <w:sz w:val="18"/>
              </w:rPr>
              <w:t xml:space="preserve">duration_legs.png</w:t>
            </w:r>
          </w:p>
        </w:tc>
        <w:tc>
          <w:tcPr/>
          <w:p>
            <w:pPr>
              <w:pStyle w:val="Compact"/>
            </w:pPr>
            <w:r>
              <w:rPr>
                <w:rStyle w:val="VerbatimChar"/>
                <w:sz w:val="18"/>
              </w:rPr>
              <w:t xml:space="preserve">48</w:t>
            </w:r>
          </w:p>
        </w:tc>
      </w:tr>
      <w:tr>
        <w:tc>
          <w:tcPr/>
          <w:p>
            <w:pPr>
              <w:pStyle w:val="Compact"/>
            </w:pPr>
            <w:r>
              <w:rPr>
                <w:rFonts w:hint="eastAsia"/>
                <w:sz w:val="18"/>
              </w:rPr>
              <w:t xml:space="preserve">図6.2</w:t>
            </w:r>
            <w:r>
              <w:rPr>
                <w:sz w:val="18"/>
              </w:rPr>
              <w:t xml:space="preserve">　</w:t>
            </w:r>
            <w:r>
              <w:rPr>
                <w:rFonts w:hint="eastAsia"/>
                <w:sz w:val="18"/>
              </w:rPr>
              <w:t xml:space="preserve">完全予見粗利と実行可能戦略の年間粗利の推移</w:t>
            </w:r>
          </w:p>
        </w:tc>
        <w:tc>
          <w:tcPr/>
          <w:p>
            <w:pPr>
              <w:pStyle w:val="Compact"/>
            </w:pPr>
            <w:r>
              <w:rPr>
                <w:rStyle w:val="VerbatimChar"/>
                <w:sz w:val="18"/>
              </w:rPr>
              <w:t xml:space="preserve">annual_backtest_series.png</w:t>
            </w:r>
          </w:p>
        </w:tc>
        <w:tc>
          <w:tcPr/>
          <w:p>
            <w:pPr>
              <w:pStyle w:val="Compact"/>
            </w:pPr>
            <w:r>
              <w:rPr>
                <w:rStyle w:val="VerbatimChar"/>
                <w:sz w:val="18"/>
              </w:rPr>
              <w:t xml:space="preserve">19</w:t>
            </w:r>
          </w:p>
        </w:tc>
      </w:tr>
      <w:tr>
        <w:tc>
          <w:tcPr/>
          <w:p>
            <w:pPr>
              <w:pStyle w:val="Compact"/>
            </w:pPr>
            <w:r>
              <w:rPr>
                <w:rFonts w:hint="eastAsia"/>
                <w:sz w:val="18"/>
              </w:rPr>
              <w:t xml:space="preserve">図6.3</w:t>
            </w:r>
            <w:r>
              <w:rPr>
                <w:sz w:val="18"/>
              </w:rPr>
              <w:t xml:space="preserve">　</w:t>
            </w:r>
            <w:r>
              <w:rPr>
                <w:rFonts w:hint="eastAsia"/>
                <w:sz w:val="18"/>
              </w:rPr>
              <w:t xml:space="preserve">実行可能戦略の実現率と戦略</w:t>
            </w:r>
            <w:r>
              <w:rPr>
                <w:sz w:val="18"/>
              </w:rPr>
              <w:t xml:space="preserve"> c </w:t>
            </w:r>
            <w:r>
              <w:rPr>
                <w:rFonts w:hint="eastAsia"/>
                <w:sz w:val="18"/>
              </w:rPr>
              <w:t xml:space="preserve">との差</w:t>
            </w:r>
          </w:p>
        </w:tc>
        <w:tc>
          <w:tcPr/>
          <w:p>
            <w:pPr>
              <w:pStyle w:val="Compact"/>
            </w:pPr>
            <w:r>
              <w:rPr>
                <w:rStyle w:val="VerbatimChar"/>
                <w:sz w:val="18"/>
              </w:rPr>
              <w:t xml:space="preserve">strategy_capture_ci.png</w:t>
            </w:r>
          </w:p>
        </w:tc>
        <w:tc>
          <w:tcPr/>
          <w:p>
            <w:pPr>
              <w:pStyle w:val="Compact"/>
            </w:pPr>
            <w:r>
              <w:rPr>
                <w:rStyle w:val="VerbatimChar"/>
                <w:sz w:val="18"/>
              </w:rPr>
              <w:t xml:space="preserve">36</w:t>
            </w:r>
          </w:p>
        </w:tc>
      </w:tr>
      <w:tr>
        <w:tc>
          <w:tcPr/>
          <w:p>
            <w:pPr>
              <w:pStyle w:val="Compact"/>
            </w:pPr>
            <w:r>
              <w:rPr>
                <w:rFonts w:hint="eastAsia"/>
                <w:sz w:val="18"/>
              </w:rPr>
              <w:t xml:space="preserve">図6.4</w:t>
            </w:r>
            <w:r>
              <w:rPr>
                <w:sz w:val="18"/>
              </w:rPr>
              <w:t xml:space="preserve">　</w:t>
            </w:r>
            <w:r>
              <w:rPr>
                <w:rFonts w:hint="eastAsia"/>
                <w:sz w:val="18"/>
              </w:rPr>
              <w:t xml:space="preserve">完全予見粗利の層分解</w:t>
            </w:r>
          </w:p>
        </w:tc>
        <w:tc>
          <w:tcPr/>
          <w:p>
            <w:pPr>
              <w:pStyle w:val="Compact"/>
            </w:pPr>
            <w:r>
              <w:rPr>
                <w:rStyle w:val="VerbatimChar"/>
                <w:sz w:val="18"/>
              </w:rPr>
              <w:t xml:space="preserve">option_layers.png</w:t>
            </w:r>
          </w:p>
        </w:tc>
        <w:tc>
          <w:tcPr/>
          <w:p>
            <w:pPr>
              <w:pStyle w:val="Compact"/>
            </w:pPr>
            <w:r>
              <w:rPr>
                <w:rStyle w:val="VerbatimChar"/>
                <w:sz w:val="18"/>
              </w:rPr>
              <w:t xml:space="preserve">35</w:t>
            </w:r>
          </w:p>
        </w:tc>
      </w:tr>
      <w:tr>
        <w:tc>
          <w:tcPr/>
          <w:p>
            <w:pPr>
              <w:pStyle w:val="Compact"/>
            </w:pPr>
            <w:r>
              <w:rPr>
                <w:rFonts w:hint="eastAsia"/>
                <w:sz w:val="18"/>
              </w:rPr>
              <w:t xml:space="preserve">図7.1</w:t>
            </w:r>
            <w:r>
              <w:rPr>
                <w:sz w:val="18"/>
              </w:rPr>
              <w:t xml:space="preserve">　</w:t>
            </w:r>
            <w:r>
              <w:rPr>
                <w:rFonts w:hint="eastAsia"/>
                <w:sz w:val="18"/>
              </w:rPr>
              <w:t xml:space="preserve">風力導入量と完全予見粗利・下限張り付き時間</w:t>
            </w:r>
          </w:p>
        </w:tc>
        <w:tc>
          <w:tcPr/>
          <w:p>
            <w:pPr>
              <w:pStyle w:val="Compact"/>
            </w:pPr>
            <w:r>
              <w:rPr>
                <w:rStyle w:val="VerbatimChar"/>
                <w:sz w:val="18"/>
              </w:rPr>
              <w:t xml:space="preserve">kwind_sweep.png</w:t>
            </w:r>
          </w:p>
        </w:tc>
        <w:tc>
          <w:tcPr/>
          <w:p>
            <w:pPr>
              <w:pStyle w:val="Compact"/>
            </w:pPr>
            <w:r>
              <w:rPr>
                <w:rStyle w:val="VerbatimChar"/>
                <w:sz w:val="18"/>
              </w:rPr>
              <w:t xml:space="preserve">18</w:t>
            </w:r>
          </w:p>
        </w:tc>
      </w:tr>
      <w:tr>
        <w:tc>
          <w:tcPr/>
          <w:p>
            <w:pPr>
              <w:pStyle w:val="Compact"/>
            </w:pPr>
            <w:r>
              <w:rPr>
                <w:rFonts w:hint="eastAsia"/>
                <w:sz w:val="18"/>
              </w:rPr>
              <w:t xml:space="preserve">図7.2</w:t>
            </w:r>
            <w:r>
              <w:rPr>
                <w:sz w:val="18"/>
              </w:rPr>
              <w:t xml:space="preserve">　</w:t>
            </w:r>
            <w:r>
              <w:rPr>
                <w:rFonts w:hint="eastAsia"/>
                <w:sz w:val="18"/>
              </w:rPr>
              <w:t xml:space="preserve">限界参入者の実現可能収益と価格水準</w:t>
            </w:r>
          </w:p>
        </w:tc>
        <w:tc>
          <w:tcPr/>
          <w:p>
            <w:pPr>
              <w:pStyle w:val="Compact"/>
            </w:pPr>
            <w:r>
              <w:rPr>
                <w:rStyle w:val="VerbatimChar"/>
                <w:sz w:val="18"/>
              </w:rPr>
              <w:t xml:space="preserve">pi_k_curve_v3.png</w:t>
            </w:r>
          </w:p>
        </w:tc>
        <w:tc>
          <w:tcPr/>
          <w:p>
            <w:pPr>
              <w:pStyle w:val="Compact"/>
            </w:pPr>
            <w:r>
              <w:rPr>
                <w:rStyle w:val="VerbatimChar"/>
                <w:sz w:val="18"/>
              </w:rPr>
              <w:t xml:space="preserve">41</w:t>
            </w:r>
          </w:p>
        </w:tc>
      </w:tr>
      <w:tr>
        <w:tc>
          <w:tcPr/>
          <w:p>
            <w:pPr>
              <w:pStyle w:val="Compact"/>
            </w:pPr>
            <w:r>
              <w:rPr>
                <w:rFonts w:hint="eastAsia"/>
                <w:sz w:val="18"/>
              </w:rPr>
              <w:t xml:space="preserve">図7.3</w:t>
            </w:r>
            <w:r>
              <w:rPr>
                <w:sz w:val="18"/>
              </w:rPr>
              <w:t xml:space="preserve">　</w:t>
            </w:r>
            <w:r>
              <w:rPr>
                <w:rFonts w:hint="eastAsia"/>
                <w:sz w:val="18"/>
              </w:rPr>
              <w:t xml:space="preserve">風力導入量別の限界参入者の実現可能収益</w:t>
            </w:r>
          </w:p>
        </w:tc>
        <w:tc>
          <w:tcPr/>
          <w:p>
            <w:pPr>
              <w:pStyle w:val="Compact"/>
            </w:pPr>
            <w:r>
              <w:rPr>
                <w:rStyle w:val="VerbatimChar"/>
                <w:sz w:val="18"/>
              </w:rPr>
              <w:t xml:space="preserve">equilibrium_surface_v3.png</w:t>
            </w:r>
          </w:p>
        </w:tc>
        <w:tc>
          <w:tcPr/>
          <w:p>
            <w:pPr>
              <w:pStyle w:val="Compact"/>
            </w:pPr>
            <w:r>
              <w:rPr>
                <w:rStyle w:val="VerbatimChar"/>
                <w:sz w:val="18"/>
              </w:rPr>
              <w:t xml:space="preserve">42</w:t>
            </w:r>
          </w:p>
        </w:tc>
      </w:tr>
      <w:tr>
        <w:tc>
          <w:tcPr/>
          <w:p>
            <w:pPr>
              <w:pStyle w:val="Compact"/>
            </w:pPr>
            <w:r>
              <w:rPr>
                <w:rFonts w:hint="eastAsia"/>
                <w:sz w:val="18"/>
              </w:rPr>
              <w:t xml:space="preserve">図7.4</w:t>
            </w:r>
            <w:r>
              <w:rPr>
                <w:sz w:val="18"/>
              </w:rPr>
              <w:t xml:space="preserve">　</w:t>
            </w:r>
            <w:r>
              <w:rPr>
                <w:rFonts w:hint="eastAsia"/>
                <w:sz w:val="18"/>
              </w:rPr>
              <w:t xml:space="preserve">仕様A</w:t>
            </w:r>
            <w:r>
              <w:rPr>
                <w:sz w:val="18"/>
              </w:rPr>
              <w:t xml:space="preserve"> </w:t>
            </w:r>
            <w:r>
              <w:rPr>
                <w:rFonts w:hint="eastAsia"/>
                <w:sz w:val="18"/>
              </w:rPr>
              <w:t xml:space="preserve">の供給曲線と純需要の分布</w:t>
            </w:r>
          </w:p>
        </w:tc>
        <w:tc>
          <w:tcPr/>
          <w:p>
            <w:pPr>
              <w:pStyle w:val="Compact"/>
            </w:pPr>
            <w:r>
              <w:rPr>
                <w:rStyle w:val="VerbatimChar"/>
                <w:sz w:val="18"/>
              </w:rPr>
              <w:t xml:space="preserve">supply_curve_net_dist.png</w:t>
            </w:r>
          </w:p>
        </w:tc>
        <w:tc>
          <w:tcPr/>
          <w:p>
            <w:pPr>
              <w:pStyle w:val="Compact"/>
            </w:pPr>
            <w:r>
              <w:rPr>
                <w:rStyle w:val="VerbatimChar"/>
                <w:sz w:val="18"/>
              </w:rPr>
              <w:t xml:space="preserve">33</w:t>
            </w:r>
          </w:p>
        </w:tc>
      </w:tr>
      <w:tr>
        <w:tc>
          <w:tcPr/>
          <w:p>
            <w:pPr>
              <w:pStyle w:val="Compact"/>
            </w:pPr>
            <w:r>
              <w:rPr>
                <w:rFonts w:hint="eastAsia"/>
                <w:sz w:val="18"/>
              </w:rPr>
              <w:t xml:space="preserve">図7.5</w:t>
            </w:r>
            <w:r>
              <w:rPr>
                <w:sz w:val="18"/>
              </w:rPr>
              <w:t xml:space="preserve">　</w:t>
            </w:r>
            <w:r>
              <w:rPr>
                <w:rFonts w:hint="eastAsia"/>
                <w:sz w:val="18"/>
              </w:rPr>
              <w:t xml:space="preserve">ベースロードの一律減への完全予見粗利の応答と分解</w:t>
            </w:r>
          </w:p>
        </w:tc>
        <w:tc>
          <w:tcPr/>
          <w:p>
            <w:pPr>
              <w:pStyle w:val="Compact"/>
            </w:pPr>
            <w:r>
              <w:rPr>
                <w:rStyle w:val="VerbatimChar"/>
                <w:sz w:val="18"/>
              </w:rPr>
              <w:t xml:space="preserve">baseload_shift_response.png</w:t>
            </w:r>
          </w:p>
        </w:tc>
        <w:tc>
          <w:tcPr/>
          <w:p>
            <w:pPr>
              <w:pStyle w:val="Compact"/>
            </w:pPr>
            <w:r>
              <w:rPr>
                <w:rStyle w:val="VerbatimChar"/>
                <w:sz w:val="18"/>
              </w:rPr>
              <w:t xml:space="preserve">33</w:t>
            </w:r>
          </w:p>
        </w:tc>
      </w:tr>
      <w:tr>
        <w:tc>
          <w:tcPr/>
          <w:p>
            <w:pPr>
              <w:pStyle w:val="Compact"/>
            </w:pPr>
            <w:r>
              <w:rPr>
                <w:rFonts w:hint="eastAsia"/>
                <w:sz w:val="18"/>
              </w:rPr>
              <w:t xml:space="preserve">図7.6</w:t>
            </w:r>
            <w:r>
              <w:rPr>
                <w:sz w:val="18"/>
              </w:rPr>
              <w:t xml:space="preserve">　</w:t>
            </w:r>
            <w:r>
              <w:rPr>
                <w:rFonts w:hint="eastAsia"/>
                <w:sz w:val="18"/>
              </w:rPr>
              <w:t xml:space="preserve">不確実性の下での参入閾値</w:t>
            </w:r>
          </w:p>
        </w:tc>
        <w:tc>
          <w:tcPr/>
          <w:p>
            <w:pPr>
              <w:pStyle w:val="Compact"/>
            </w:pPr>
            <w:r>
              <w:rPr>
                <w:rStyle w:val="VerbatimChar"/>
                <w:sz w:val="18"/>
              </w:rPr>
              <w:t xml:space="preserve">real_option_threshold.png</w:t>
            </w:r>
          </w:p>
        </w:tc>
        <w:tc>
          <w:tcPr/>
          <w:p>
            <w:pPr>
              <w:pStyle w:val="Compact"/>
            </w:pPr>
            <w:r>
              <w:rPr>
                <w:rStyle w:val="VerbatimChar"/>
                <w:sz w:val="18"/>
              </w:rPr>
              <w:t xml:space="preserve">38</w:t>
            </w:r>
          </w:p>
        </w:tc>
      </w:tr>
      <w:tr>
        <w:tc>
          <w:tcPr/>
          <w:p>
            <w:pPr>
              <w:pStyle w:val="Compact"/>
            </w:pPr>
            <w:r>
              <w:rPr>
                <w:rFonts w:hint="eastAsia"/>
                <w:sz w:val="18"/>
              </w:rPr>
              <w:t xml:space="preserve">図8.1</w:t>
            </w:r>
            <w:r>
              <w:rPr>
                <w:sz w:val="18"/>
              </w:rPr>
              <w:t xml:space="preserve">　</w:t>
            </w:r>
            <w:r>
              <w:rPr>
                <w:rFonts w:hint="eastAsia"/>
                <w:sz w:val="18"/>
              </w:rPr>
              <w:t xml:space="preserve">乖離の勘定と属性別の調整現在価値</w:t>
            </w:r>
          </w:p>
        </w:tc>
        <w:tc>
          <w:tcPr/>
          <w:p>
            <w:pPr>
              <w:pStyle w:val="Compact"/>
            </w:pPr>
            <w:r>
              <w:rPr>
                <w:rStyle w:val="VerbatimChar"/>
                <w:sz w:val="18"/>
              </w:rPr>
              <w:t xml:space="preserve">gap_ledger.png</w:t>
            </w:r>
          </w:p>
        </w:tc>
        <w:tc>
          <w:tcPr/>
          <w:p>
            <w:pPr>
              <w:pStyle w:val="Compact"/>
            </w:pPr>
            <w:r>
              <w:rPr>
                <w:rStyle w:val="VerbatimChar"/>
                <w:sz w:val="18"/>
              </w:rPr>
              <w:t xml:space="preserve">49</w:t>
            </w:r>
          </w:p>
        </w:tc>
      </w:tr>
      <w:tr>
        <w:tc>
          <w:tcPr/>
          <w:p>
            <w:pPr>
              <w:pStyle w:val="Compact"/>
            </w:pPr>
            <w:r>
              <w:rPr>
                <w:rFonts w:hint="eastAsia"/>
                <w:sz w:val="18"/>
              </w:rPr>
              <w:t xml:space="preserve">図8.2</w:t>
            </w:r>
            <w:r>
              <w:rPr>
                <w:sz w:val="18"/>
              </w:rPr>
              <w:t xml:space="preserve">　</w:t>
            </w:r>
            <w:r>
              <w:rPr>
                <w:rFonts w:hint="eastAsia"/>
                <w:sz w:val="18"/>
              </w:rPr>
              <w:t xml:space="preserve">併設4時間蓄電池の参入条件と抑制率</w:t>
            </w:r>
          </w:p>
        </w:tc>
        <w:tc>
          <w:tcPr/>
          <w:p>
            <w:pPr>
              <w:pStyle w:val="Compact"/>
            </w:pPr>
            <w:r>
              <w:rPr>
                <w:rStyle w:val="VerbatimChar"/>
                <w:sz w:val="18"/>
              </w:rPr>
              <w:t xml:space="preserve">btm_entry_threshold.png</w:t>
            </w:r>
          </w:p>
        </w:tc>
        <w:tc>
          <w:tcPr/>
          <w:p>
            <w:pPr>
              <w:pStyle w:val="Compact"/>
            </w:pPr>
            <w:r>
              <w:rPr>
                <w:rStyle w:val="VerbatimChar"/>
                <w:sz w:val="18"/>
              </w:rPr>
              <w:t xml:space="preserve">50</w:t>
            </w:r>
          </w:p>
        </w:tc>
      </w:tr>
      <w:tr>
        <w:tc>
          <w:tcPr/>
          <w:p>
            <w:pPr>
              <w:pStyle w:val="Compact"/>
            </w:pPr>
            <w:r>
              <w:rPr>
                <w:rFonts w:hint="eastAsia"/>
                <w:sz w:val="18"/>
              </w:rPr>
              <w:t xml:space="preserve">図8.3</w:t>
            </w:r>
            <w:r>
              <w:rPr>
                <w:sz w:val="18"/>
              </w:rPr>
              <w:t xml:space="preserve">　</w:t>
            </w:r>
            <w:r>
              <w:rPr>
                <w:rFonts w:hint="eastAsia"/>
                <w:sz w:val="18"/>
              </w:rPr>
              <w:t xml:space="preserve">損益分岐の価格水準係数</w:t>
            </w:r>
            <w:r>
              <w:rPr>
                <w:sz w:val="18"/>
              </w:rPr>
              <w:t xml:space="preserve"> θ* </w:t>
            </w:r>
            <w:r>
              <w:rPr>
                <w:rFonts w:hint="eastAsia"/>
                <w:sz w:val="18"/>
              </w:rPr>
              <w:t xml:space="preserve">の等高線</w:t>
            </w:r>
          </w:p>
        </w:tc>
        <w:tc>
          <w:tcPr/>
          <w:p>
            <w:pPr>
              <w:pStyle w:val="Compact"/>
            </w:pPr>
            <w:r>
              <w:rPr>
                <w:rStyle w:val="VerbatimChar"/>
                <w:sz w:val="18"/>
              </w:rPr>
              <w:t xml:space="preserve">breakeven_frontier_v3.png</w:t>
            </w:r>
          </w:p>
        </w:tc>
        <w:tc>
          <w:tcPr/>
          <w:p>
            <w:pPr>
              <w:pStyle w:val="Compact"/>
            </w:pPr>
            <w:r>
              <w:rPr>
                <w:rStyle w:val="VerbatimChar"/>
                <w:sz w:val="18"/>
              </w:rPr>
              <w:t xml:space="preserve">42</w:t>
            </w:r>
          </w:p>
        </w:tc>
      </w:tr>
      <w:tr>
        <w:tc>
          <w:tcPr/>
          <w:p>
            <w:pPr>
              <w:pStyle w:val="Compact"/>
            </w:pPr>
            <w:r>
              <w:rPr>
                <w:rFonts w:hint="eastAsia"/>
                <w:sz w:val="18"/>
              </w:rPr>
              <w:t xml:space="preserve">図8.4</w:t>
            </w:r>
            <w:r>
              <w:rPr>
                <w:sz w:val="18"/>
              </w:rPr>
              <w:t xml:space="preserve">　</w:t>
            </w:r>
            <w:r>
              <w:rPr>
                <w:rFonts w:hint="eastAsia"/>
                <w:sz w:val="18"/>
              </w:rPr>
              <w:t xml:space="preserve">調整現在価値による乖離の分解</w:t>
            </w:r>
          </w:p>
        </w:tc>
        <w:tc>
          <w:tcPr/>
          <w:p>
            <w:pPr>
              <w:pStyle w:val="Compact"/>
            </w:pPr>
            <w:r>
              <w:rPr>
                <w:rStyle w:val="VerbatimChar"/>
                <w:sz w:val="18"/>
              </w:rPr>
              <w:t xml:space="preserve">apv_decomposition.png</w:t>
            </w:r>
          </w:p>
        </w:tc>
        <w:tc>
          <w:tcPr/>
          <w:p>
            <w:pPr>
              <w:pStyle w:val="Compact"/>
            </w:pPr>
            <w:r>
              <w:rPr>
                <w:rStyle w:val="VerbatimChar"/>
                <w:sz w:val="18"/>
              </w:rPr>
              <w:t xml:space="preserve">39</w:t>
            </w:r>
          </w:p>
        </w:tc>
      </w:tr>
      <w:tr>
        <w:tc>
          <w:tcPr/>
          <w:p>
            <w:pPr>
              <w:pStyle w:val="Compact"/>
            </w:pPr>
            <w:r>
              <w:rPr>
                <w:rFonts w:hint="eastAsia"/>
                <w:sz w:val="18"/>
              </w:rPr>
              <w:t xml:space="preserve">図8.5</w:t>
            </w:r>
            <w:r>
              <w:rPr>
                <w:sz w:val="18"/>
              </w:rPr>
              <w:t xml:space="preserve">　</w:t>
            </w:r>
            <w:r>
              <w:rPr>
                <w:rFonts w:hint="eastAsia"/>
                <w:sz w:val="18"/>
              </w:rPr>
              <w:t xml:space="preserve">年間市場収入の5%下振れと因子別の寄与</w:t>
            </w:r>
          </w:p>
        </w:tc>
        <w:tc>
          <w:tcPr/>
          <w:p>
            <w:pPr>
              <w:pStyle w:val="Compact"/>
            </w:pPr>
            <w:r>
              <w:rPr>
                <w:rStyle w:val="VerbatimChar"/>
                <w:sz w:val="18"/>
              </w:rPr>
              <w:t xml:space="preserve">cfar_decomposition.png</w:t>
            </w:r>
          </w:p>
        </w:tc>
        <w:tc>
          <w:tcPr/>
          <w:p>
            <w:pPr>
              <w:pStyle w:val="Compact"/>
            </w:pPr>
            <w:r>
              <w:rPr>
                <w:rStyle w:val="VerbatimChar"/>
                <w:sz w:val="18"/>
              </w:rPr>
              <w:t xml:space="preserve">40</w:t>
            </w:r>
          </w:p>
        </w:tc>
      </w:tr>
      <w:tr>
        <w:tc>
          <w:tcPr/>
          <w:p>
            <w:pPr>
              <w:pStyle w:val="Compact"/>
            </w:pPr>
            <w:r>
              <w:rPr>
                <w:rFonts w:hint="eastAsia"/>
                <w:sz w:val="18"/>
              </w:rPr>
              <w:t xml:space="preserve">図9.1</w:t>
            </w:r>
            <w:r>
              <w:rPr>
                <w:sz w:val="18"/>
              </w:rPr>
              <w:t xml:space="preserve">　</w:t>
            </w:r>
            <w:r>
              <w:rPr>
                <w:rFonts w:hint="eastAsia"/>
                <w:sz w:val="18"/>
              </w:rPr>
              <w:t xml:space="preserve">下限価格のシナリオ別の限界参入者の収益曲線</w:t>
            </w:r>
          </w:p>
        </w:tc>
        <w:tc>
          <w:tcPr/>
          <w:p>
            <w:pPr>
              <w:pStyle w:val="Compact"/>
            </w:pPr>
            <w:r>
              <w:rPr>
                <w:rStyle w:val="VerbatimChar"/>
                <w:sz w:val="18"/>
              </w:rPr>
              <w:t xml:space="preserve">negative_price_pi_k_v3.png</w:t>
            </w:r>
            <w:r>
              <w:rPr>
                <w:rFonts w:hint="eastAsia"/>
                <w:sz w:val="18"/>
              </w:rPr>
              <w:t xml:space="preserve">（パネル</w:t>
            </w:r>
            <w:r>
              <w:rPr>
                <w:sz w:val="18"/>
              </w:rPr>
              <w:t xml:space="preserve"> (b) </w:t>
            </w:r>
            <w:r>
              <w:rPr>
                <w:rFonts w:hint="eastAsia"/>
                <w:sz w:val="18"/>
              </w:rPr>
              <w:t xml:space="preserve">を含め段差・仕様A</w:t>
            </w:r>
            <w:r>
              <w:rPr>
                <w:sz w:val="18"/>
              </w:rPr>
              <w:t xml:space="preserve"> </w:t>
            </w:r>
            <w:r>
              <w:rPr>
                <w:rFonts w:hint="eastAsia"/>
                <w:sz w:val="18"/>
              </w:rPr>
              <w:t xml:space="preserve">による）</w:t>
            </w:r>
          </w:p>
        </w:tc>
        <w:tc>
          <w:tcPr/>
          <w:p>
            <w:pPr>
              <w:pStyle w:val="Compact"/>
            </w:pPr>
            <w:r>
              <w:rPr>
                <w:rStyle w:val="VerbatimChar"/>
                <w:sz w:val="18"/>
              </w:rPr>
              <w:t xml:space="preserve">43</w:t>
            </w:r>
          </w:p>
        </w:tc>
      </w:tr>
      <w:tr>
        <w:tc>
          <w:tcPr/>
          <w:p>
            <w:pPr>
              <w:pStyle w:val="Compact"/>
            </w:pPr>
            <w:r>
              <w:rPr>
                <w:rFonts w:hint="eastAsia"/>
                <w:sz w:val="18"/>
              </w:rPr>
              <w:t xml:space="preserve">図A.1</w:t>
            </w:r>
            <w:r>
              <w:rPr>
                <w:sz w:val="18"/>
              </w:rPr>
              <w:t xml:space="preserve">　</w:t>
            </w:r>
            <w:r>
              <w:rPr>
                <w:rFonts w:hint="eastAsia"/>
                <w:sz w:val="18"/>
              </w:rPr>
              <w:t xml:space="preserve">北海道の風力の容量の計上時期と補正</w:t>
            </w:r>
          </w:p>
        </w:tc>
        <w:tc>
          <w:tcPr/>
          <w:p>
            <w:pPr>
              <w:pStyle w:val="Compact"/>
            </w:pPr>
            <w:r>
              <w:rPr>
                <w:rStyle w:val="VerbatimChar"/>
                <w:sz w:val="18"/>
              </w:rPr>
              <w:t xml:space="preserve">cf_correction.png</w:t>
            </w:r>
          </w:p>
        </w:tc>
        <w:tc>
          <w:tcPr/>
          <w:p>
            <w:pPr>
              <w:pStyle w:val="Compact"/>
            </w:pPr>
            <w:r>
              <w:rPr>
                <w:rStyle w:val="VerbatimChar"/>
                <w:sz w:val="18"/>
              </w:rPr>
              <w:t xml:space="preserve">51</w:t>
            </w:r>
          </w:p>
        </w:tc>
      </w:tr>
    </w:tbl>
    <w:p>
      <w:pPr>
        <w:pStyle w:val="TableNote"/>
      </w:pPr>
      <w:r>
        <w:rPr>
          <w:rFonts w:hint="eastAsia"/>
        </w:rPr>
        <w:t xml:space="preserve">注）</w:t>
      </w:r>
      <w:r>
        <w:rPr>
          <w:rStyle w:val="VerbatimChar"/>
        </w:rPr>
        <w:t xml:space="preserve">band_comparison.png</w:t>
      </w:r>
      <w:r>
        <w:t xml:space="preserve">・</w:t>
      </w:r>
      <w:r>
        <w:rPr>
          <w:rStyle w:val="VerbatimChar"/>
        </w:rPr>
        <w:t xml:space="preserve">band_comparison_hokkaido.png</w:t>
      </w:r>
      <w:r>
        <w:rPr>
          <w:rFonts w:hint="eastAsia"/>
        </w:rPr>
        <w:t xml:space="preserve">（</w:t>
      </w:r>
      <w:r>
        <w:rPr>
          <w:rStyle w:val="VerbatimChar"/>
        </w:rPr>
        <w:t xml:space="preserve">21</w:t>
      </w:r>
      <w:r>
        <w:rPr>
          <w:rFonts w:hint="eastAsia"/>
        </w:rPr>
        <w:t xml:space="preserve">）と</w:t>
      </w:r>
      <w:r>
        <w:t xml:space="preserve"> </w:t>
      </w:r>
      <w:r>
        <w:rPr>
          <w:rStyle w:val="VerbatimChar"/>
        </w:rPr>
        <w:t xml:space="preserve">btm_case.png</w:t>
      </w:r>
      <w:r>
        <w:rPr>
          <w:rFonts w:hint="eastAsia"/>
        </w:rPr>
        <w:t xml:space="preserve">（</w:t>
      </w:r>
      <w:r>
        <w:rPr>
          <w:rStyle w:val="VerbatimChar"/>
        </w:rPr>
        <w:t xml:space="preserve">20</w:t>
      </w:r>
      <w:r>
        <w:rPr>
          <w:rFonts w:hint="eastAsia"/>
        </w:rPr>
        <w:t xml:space="preserve">）は、本論文に掲載しない補助図である。</w:t>
      </w:r>
      <w:r>
        <w:rPr>
          <w:rStyle w:val="VerbatimChar"/>
        </w:rPr>
        <w:t xml:space="preserve">figures/hokkaido/</w:t>
      </w:r>
      <w:r>
        <w:t xml:space="preserve"> </w:t>
      </w:r>
      <w:r>
        <w:rPr>
          <w:rFonts w:hint="eastAsia"/>
        </w:rPr>
        <w:t xml:space="preserve">のうち、ここに挙げない図（</w:t>
      </w:r>
      <w:r>
        <w:rPr>
          <w:rStyle w:val="VerbatimChar"/>
        </w:rPr>
        <w:t xml:space="preserve">pi_k_curve.png</w:t>
      </w:r>
      <w:r>
        <w:t xml:space="preserve">、</w:t>
      </w:r>
      <w:r>
        <w:rPr>
          <w:rStyle w:val="VerbatimChar"/>
        </w:rPr>
        <w:t xml:space="preserve">pi_k_curve_v2.png</w:t>
      </w:r>
      <w:r>
        <w:t xml:space="preserve">、</w:t>
      </w:r>
      <w:r>
        <w:rPr>
          <w:rStyle w:val="VerbatimChar"/>
        </w:rPr>
        <w:t xml:space="preserve">equilibrium_surface.png</w:t>
      </w:r>
      <w:r>
        <w:t xml:space="preserve">、</w:t>
      </w:r>
      <w:r>
        <w:rPr>
          <w:rStyle w:val="VerbatimChar"/>
        </w:rPr>
        <w:t xml:space="preserve">breakeven_frontier.png</w:t>
      </w:r>
      <w:r>
        <w:t xml:space="preserve">、</w:t>
      </w:r>
      <w:r>
        <w:rPr>
          <w:rStyle w:val="VerbatimChar"/>
        </w:rPr>
        <w:t xml:space="preserve">spatial_dispersion.png</w:t>
      </w:r>
      <w:r>
        <w:t xml:space="preserve">、</w:t>
      </w:r>
      <w:r>
        <w:rPr>
          <w:rStyle w:val="VerbatimChar"/>
        </w:rPr>
        <w:t xml:space="preserve">negative_price_pi_k.png</w:t>
      </w:r>
      <w:r>
        <w:t xml:space="preserve">、</w:t>
      </w:r>
      <w:r>
        <w:rPr>
          <w:rStyle w:val="VerbatimChar"/>
        </w:rPr>
        <w:t xml:space="preserve">gen_vs_price_shape.png</w:t>
      </w:r>
      <w:r>
        <w:t xml:space="preserve">、</w:t>
      </w:r>
      <w:r>
        <w:rPr>
          <w:rStyle w:val="VerbatimChar"/>
        </w:rPr>
        <w:t xml:space="preserve">price_curve_pca.png</w:t>
      </w:r>
      <w:r>
        <w:rPr>
          <w:rFonts w:hint="eastAsia"/>
        </w:rPr>
        <w:t xml:space="preserve">）は、本論文では用いない。</w:t>
      </w:r>
    </w:p>
    <w:p>
      <w:pPr>
        <w:pStyle w:val="TableNote"/>
      </w:pPr>
      <w:r>
        <w:rPr>
          <w:rFonts w:hint="eastAsia"/>
        </w:rPr>
        <w:t xml:space="preserve">出所）筆者作成。</w:t>
      </w:r>
    </w:p>
    <w:p>
      <w:pPr>
        <w:pStyle w:val="TableCaption"/>
      </w:pPr>
      <w:r>
        <w:rPr>
          <w:rFonts w:hint="eastAsia"/>
        </w:rPr>
        <w:t xml:space="preserve">表E.4</w:t>
      </w:r>
      <w:r>
        <w:t xml:space="preserve">　</w:t>
      </w:r>
      <w:r>
        <w:rPr>
          <w:rFonts w:hint="eastAsia"/>
        </w:rPr>
        <w:t xml:space="preserve">本文の表と出力ファイルの対応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E.4　本文の表と出力ファイルの対応"/>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表</w:t>
            </w:r>
          </w:p>
        </w:tc>
        <w:tc>
          <w:tcPr>
            <w:tcBorders>
              <w:bottom w:val="single" w:sz="6" w:color="000000"/>
            </w:tcBorders>
          </w:tcPr>
          <w:p>
            <w:pPr>
              <w:pStyle w:val="Compact"/>
            </w:pPr>
            <w:r>
              <w:rPr>
                <w:rFonts w:hint="eastAsia"/>
                <w:sz w:val="18"/>
              </w:rPr>
              <w:t xml:space="preserve">ファイル（</w:t>
            </w:r>
            <w:r>
              <w:rPr>
                <w:rStyle w:val="VerbatimChar"/>
                <w:sz w:val="18"/>
              </w:rPr>
              <w:t xml:space="preserve">data/processed/</w:t>
            </w:r>
            <w:r>
              <w:rPr>
                <w:rFonts w:hint="eastAsia"/>
                <w:sz w:val="18"/>
              </w:rPr>
              <w:t xml:space="preserve">）</w:t>
            </w:r>
          </w:p>
        </w:tc>
        <w:tc>
          <w:tcPr>
            <w:tcBorders>
              <w:bottom w:val="single" w:sz="6" w:color="000000"/>
            </w:tcBorders>
          </w:tcPr>
          <w:p>
            <w:pPr>
              <w:pStyle w:val="Compact"/>
            </w:pPr>
            <w:r>
              <w:rPr>
                <w:sz w:val="18"/>
              </w:rPr>
              <w:t xml:space="preserve">スクリプト</w:t>
            </w:r>
          </w:p>
        </w:tc>
      </w:tr>
      <w:tr>
        <w:tc>
          <w:tcPr/>
          <w:p>
            <w:pPr>
              <w:pStyle w:val="Compact"/>
            </w:pPr>
            <w:r>
              <w:rPr>
                <w:rFonts w:hint="eastAsia"/>
                <w:sz w:val="18"/>
              </w:rPr>
              <w:t xml:space="preserve">表2.1・表2.2（先行研究の整理）、表3.2（制度の要点）、表4.1・表4.2（分析の構成と手法）</w:t>
            </w:r>
          </w:p>
        </w:tc>
        <w:tc>
          <w:tcPr/>
          <w:p>
            <w:pPr>
              <w:pStyle w:val="Compact"/>
            </w:pPr>
            <w:r>
              <w:rPr>
                <w:rFonts w:hint="eastAsia"/>
                <w:sz w:val="18"/>
              </w:rPr>
              <w:t xml:space="preserve">—（本文の整理）</w:t>
            </w:r>
          </w:p>
        </w:tc>
        <w:tc>
          <w:tcPr/>
          <w:p>
            <w:pPr>
              <w:pStyle w:val="Compact"/>
            </w:pPr>
            <w:r>
              <w:rPr>
                <w:sz w:val="18"/>
              </w:rPr>
              <w:t xml:space="preserve">—</w:t>
            </w:r>
          </w:p>
        </w:tc>
      </w:tr>
      <w:tr>
        <w:tc>
          <w:tcPr/>
          <w:p>
            <w:pPr>
              <w:pStyle w:val="Compact"/>
            </w:pPr>
            <w:r>
              <w:rPr>
                <w:rFonts w:hint="eastAsia"/>
                <w:sz w:val="18"/>
              </w:rPr>
              <w:t xml:space="preserve">表3.1</w:t>
            </w:r>
            <w:r>
              <w:rPr>
                <w:sz w:val="18"/>
              </w:rPr>
              <w:t xml:space="preserve">　</w:t>
            </w:r>
            <w:r>
              <w:rPr>
                <w:rFonts w:hint="eastAsia"/>
                <w:sz w:val="18"/>
              </w:rPr>
              <w:t xml:space="preserve">日次の記述統計</w:t>
            </w:r>
          </w:p>
        </w:tc>
        <w:tc>
          <w:tcPr/>
          <w:p>
            <w:pPr>
              <w:pStyle w:val="Compact"/>
            </w:pPr>
            <w:r>
              <w:rPr>
                <w:rStyle w:val="VerbatimChar"/>
                <w:sz w:val="18"/>
              </w:rPr>
              <w:t xml:space="preserve">descriptive_stats_v3.csv</w:t>
            </w:r>
            <w:r>
              <w:rPr>
                <w:rFonts w:hint="eastAsia"/>
                <w:sz w:val="18"/>
              </w:rPr>
              <w:t xml:space="preserve">（導入量と年度平均の設備利用率は</w:t>
            </w:r>
            <w:r>
              <w:rPr>
                <w:sz w:val="18"/>
              </w:rPr>
              <w:t xml:space="preserve"> </w:t>
            </w:r>
            <w:r>
              <w:rPr>
                <w:rStyle w:val="VerbatimChar"/>
                <w:sz w:val="18"/>
              </w:rPr>
              <w:t xml:space="preserve">descriptive_capacity_v3.csv</w:t>
            </w:r>
            <w:r>
              <w:rPr>
                <w:rFonts w:hint="eastAsia"/>
                <w:sz w:val="18"/>
              </w:rPr>
              <w:t xml:space="preserve">。2018年9月6日を除いた回帰は</w:t>
            </w:r>
            <w:r>
              <w:rPr>
                <w:sz w:val="18"/>
              </w:rPr>
              <w:t xml:space="preserve"> </w:t>
            </w:r>
            <w:r>
              <w:rPr>
                <w:rStyle w:val="VerbatimChar"/>
                <w:sz w:val="18"/>
              </w:rPr>
              <w:t xml:space="preserve">regv3_ex20180906.csv</w:t>
            </w:r>
            <w:r>
              <w:rPr>
                <w:rFonts w:hint="eastAsia"/>
                <w:sz w:val="18"/>
              </w:rPr>
              <w:t xml:space="preserve">／</w:t>
            </w:r>
            <w:r>
              <w:rPr>
                <w:rStyle w:val="VerbatimChar"/>
                <w:sz w:val="18"/>
              </w:rPr>
              <w:t xml:space="preserve">44</w:t>
            </w:r>
            <w:r>
              <w:rPr>
                <w:rFonts w:hint="eastAsia"/>
                <w:sz w:val="18"/>
              </w:rPr>
              <w:t xml:space="preserve">）</w:t>
            </w:r>
          </w:p>
        </w:tc>
        <w:tc>
          <w:tcPr/>
          <w:p>
            <w:pPr>
              <w:pStyle w:val="Compact"/>
            </w:pPr>
            <w:r>
              <w:rPr>
                <w:rStyle w:val="VerbatimChar"/>
                <w:sz w:val="18"/>
              </w:rPr>
              <w:t xml:space="preserve">46</w:t>
            </w:r>
          </w:p>
        </w:tc>
      </w:tr>
      <w:tr>
        <w:tc>
          <w:tcPr/>
          <w:p>
            <w:pPr>
              <w:pStyle w:val="Compact"/>
            </w:pPr>
            <w:r>
              <w:rPr>
                <w:rFonts w:hint="eastAsia"/>
                <w:sz w:val="18"/>
              </w:rPr>
              <w:t xml:space="preserve">表5.1</w:t>
            </w:r>
            <w:r>
              <w:rPr>
                <w:sz w:val="18"/>
              </w:rPr>
              <w:t xml:space="preserve">　</w:t>
            </w:r>
            <w:r>
              <w:rPr>
                <w:rFonts w:hint="eastAsia"/>
                <w:sz w:val="18"/>
              </w:rPr>
              <w:t xml:space="preserve">制御前出力の帯域分解</w:t>
            </w:r>
          </w:p>
        </w:tc>
        <w:tc>
          <w:tcPr/>
          <w:p>
            <w:pPr>
              <w:pStyle w:val="Compact"/>
            </w:pPr>
            <w:r>
              <w:rPr>
                <w:rStyle w:val="VerbatimChar"/>
                <w:sz w:val="18"/>
              </w:rPr>
              <w:t xml:space="preserve">band_shares_cf_v3.csv</w:t>
            </w:r>
          </w:p>
        </w:tc>
        <w:tc>
          <w:tcPr/>
          <w:p>
            <w:pPr>
              <w:pStyle w:val="Compact"/>
            </w:pPr>
            <w:r>
              <w:rPr>
                <w:rStyle w:val="VerbatimChar"/>
                <w:sz w:val="18"/>
              </w:rPr>
              <w:t xml:space="preserve">46</w:t>
            </w:r>
          </w:p>
        </w:tc>
      </w:tr>
      <w:tr>
        <w:tc>
          <w:tcPr/>
          <w:p>
            <w:pPr>
              <w:pStyle w:val="Compact"/>
            </w:pPr>
            <w:r>
              <w:rPr>
                <w:rFonts w:hint="eastAsia"/>
                <w:sz w:val="18"/>
              </w:rPr>
              <w:t xml:space="preserve">表5.2</w:t>
            </w:r>
            <w:r>
              <w:rPr>
                <w:sz w:val="18"/>
              </w:rPr>
              <w:t xml:space="preserve">　</w:t>
            </w:r>
            <w:r>
              <w:rPr>
                <w:rFonts w:hint="eastAsia"/>
                <w:sz w:val="18"/>
              </w:rPr>
              <w:t xml:space="preserve">日次回帰の係数</w:t>
            </w:r>
          </w:p>
        </w:tc>
        <w:tc>
          <w:tcPr/>
          <w:p>
            <w:pPr>
              <w:pStyle w:val="Compact"/>
            </w:pPr>
            <w:r>
              <w:rPr>
                <w:rStyle w:val="VerbatimChar"/>
                <w:sz w:val="18"/>
              </w:rPr>
              <w:t xml:space="preserve">vol_regression_results.csv</w:t>
            </w:r>
            <w:r>
              <w:rPr>
                <w:rFonts w:hint="eastAsia"/>
                <w:sz w:val="18"/>
              </w:rPr>
              <w:t xml:space="preserve">（係数）、</w:t>
            </w:r>
            <w:r>
              <w:rPr>
                <w:rStyle w:val="VerbatimChar"/>
                <w:sz w:val="18"/>
              </w:rPr>
              <w:t xml:space="preserve">robust_inference_table62.csv</w:t>
            </w:r>
            <w:r>
              <w:rPr>
                <w:rFonts w:hint="eastAsia"/>
                <w:sz w:val="18"/>
              </w:rPr>
              <w:t xml:space="preserve">（EWC</w:t>
            </w:r>
            <w:r>
              <w:rPr>
                <w:sz w:val="18"/>
              </w:rPr>
              <w:t xml:space="preserve"> </w:t>
            </w:r>
            <w:r>
              <w:rPr>
                <w:rFonts w:hint="eastAsia"/>
                <w:sz w:val="18"/>
              </w:rPr>
              <w:t xml:space="preserve">の標準誤差・星・補正</w:t>
            </w:r>
            <w:r>
              <w:rPr>
                <w:sz w:val="18"/>
              </w:rPr>
              <w:t xml:space="preserve"> p </w:t>
            </w:r>
            <w:r>
              <w:rPr>
                <w:rFonts w:hint="eastAsia"/>
                <w:sz w:val="18"/>
              </w:rPr>
              <w:t xml:space="preserve">値）、</w:t>
            </w:r>
            <w:r>
              <w:rPr>
                <w:rStyle w:val="VerbatimChar"/>
                <w:sz w:val="18"/>
              </w:rPr>
              <w:t xml:space="preserve">regv3_wind_tb4_ci.csv</w:t>
            </w:r>
            <w:r>
              <w:rPr>
                <w:rFonts w:hint="eastAsia"/>
                <w:sz w:val="18"/>
              </w:rPr>
              <w:t xml:space="preserve">（区間と効果の上限）</w:t>
            </w:r>
          </w:p>
        </w:tc>
        <w:tc>
          <w:tcPr/>
          <w:p>
            <w:pPr>
              <w:pStyle w:val="Compact"/>
            </w:pPr>
            <w:r>
              <w:rPr>
                <w:rStyle w:val="VerbatimChar"/>
                <w:sz w:val="18"/>
              </w:rPr>
              <w:t xml:space="preserve">24</w:t>
            </w:r>
            <w:r>
              <w:rPr>
                <w:sz w:val="18"/>
              </w:rPr>
              <w:t xml:space="preserve">、</w:t>
            </w:r>
            <w:r>
              <w:rPr>
                <w:rStyle w:val="VerbatimChar"/>
                <w:sz w:val="18"/>
              </w:rPr>
              <w:t xml:space="preserve">37</w:t>
            </w:r>
            <w:r>
              <w:rPr>
                <w:sz w:val="18"/>
              </w:rPr>
              <w:t xml:space="preserve">、</w:t>
            </w:r>
            <w:r>
              <w:rPr>
                <w:rStyle w:val="VerbatimChar"/>
                <w:sz w:val="18"/>
              </w:rPr>
              <w:t xml:space="preserve">44</w:t>
            </w:r>
          </w:p>
        </w:tc>
      </w:tr>
      <w:tr>
        <w:tc>
          <w:tcPr/>
          <w:p>
            <w:pPr>
              <w:pStyle w:val="Compact"/>
            </w:pPr>
            <w:r>
              <w:rPr>
                <w:rFonts w:hint="eastAsia"/>
                <w:sz w:val="18"/>
              </w:rPr>
              <w:t xml:space="preserve">表5.3</w:t>
            </w:r>
            <w:r>
              <w:rPr>
                <w:sz w:val="18"/>
              </w:rPr>
              <w:t xml:space="preserve">　</w:t>
            </w:r>
            <w:r>
              <w:rPr>
                <w:rFonts w:hint="eastAsia"/>
                <w:sz w:val="18"/>
              </w:rPr>
              <w:t xml:space="preserve">北海道エリアプライスの分断の構成</w:t>
            </w:r>
          </w:p>
        </w:tc>
        <w:tc>
          <w:tcPr/>
          <w:p>
            <w:pPr>
              <w:pStyle w:val="Compact"/>
            </w:pPr>
            <w:r>
              <w:rPr>
                <w:rStyle w:val="VerbatimChar"/>
                <w:sz w:val="18"/>
              </w:rPr>
              <w:t xml:space="preserve">market_split_v3_pooled.csv</w:t>
            </w:r>
            <w:r>
              <w:rPr>
                <w:sz w:val="18"/>
              </w:rPr>
              <w:t xml:space="preserve">、</w:t>
            </w:r>
            <w:r>
              <w:rPr>
                <w:rStyle w:val="VerbatimChar"/>
                <w:sz w:val="18"/>
              </w:rPr>
              <w:t xml:space="preserve">market_split_v3_by_fy.csv</w:t>
            </w:r>
            <w:r>
              <w:rPr>
                <w:sz w:val="18"/>
              </w:rPr>
              <w:t xml:space="preserve">、</w:t>
            </w:r>
            <w:r>
              <w:rPr>
                <w:rStyle w:val="VerbatimChar"/>
                <w:sz w:val="18"/>
              </w:rPr>
              <w:t xml:space="preserve">market_split_v3_route.csv</w:t>
            </w:r>
          </w:p>
        </w:tc>
        <w:tc>
          <w:tcPr/>
          <w:p>
            <w:pPr>
              <w:pStyle w:val="Compact"/>
            </w:pPr>
            <w:r>
              <w:rPr>
                <w:rStyle w:val="VerbatimChar"/>
                <w:sz w:val="18"/>
              </w:rPr>
              <w:t xml:space="preserve">46</w:t>
            </w:r>
          </w:p>
        </w:tc>
      </w:tr>
      <w:tr>
        <w:tc>
          <w:tcPr/>
          <w:p>
            <w:pPr>
              <w:pStyle w:val="Compact"/>
            </w:pPr>
            <w:r>
              <w:rPr>
                <w:rFonts w:hint="eastAsia"/>
                <w:sz w:val="18"/>
              </w:rPr>
              <w:t xml:space="preserve">表5.4</w:t>
            </w:r>
            <w:r>
              <w:rPr>
                <w:sz w:val="18"/>
              </w:rPr>
              <w:t xml:space="preserve">　</w:t>
            </w:r>
            <w:r>
              <w:rPr>
                <w:rFonts w:hint="eastAsia"/>
                <w:sz w:val="18"/>
              </w:rPr>
              <w:t xml:space="preserve">集中立地の反実仮想の主な結果</w:t>
            </w:r>
          </w:p>
        </w:tc>
        <w:tc>
          <w:tcPr/>
          <w:p>
            <w:pPr>
              <w:pStyle w:val="Compact"/>
            </w:pPr>
            <w:r>
              <w:rPr>
                <w:rStyle w:val="VerbatimChar"/>
                <w:sz w:val="18"/>
              </w:rPr>
              <w:t xml:space="preserve">spatial_dispersion_v3_table64.csv</w:t>
            </w:r>
            <w:r>
              <w:rPr>
                <w:sz w:val="18"/>
              </w:rPr>
              <w:t xml:space="preserve">、</w:t>
            </w:r>
            <w:r>
              <w:rPr>
                <w:rStyle w:val="VerbatimChar"/>
                <w:sz w:val="18"/>
              </w:rPr>
              <w:t xml:space="preserve">spatial_dispersion_v3_calibration.csv</w:t>
            </w:r>
            <w:r>
              <w:rPr>
                <w:sz w:val="18"/>
              </w:rPr>
              <w:t xml:space="preserve">、</w:t>
            </w:r>
            <w:r>
              <w:rPr>
                <w:rStyle w:val="VerbatimChar"/>
                <w:sz w:val="18"/>
              </w:rPr>
              <w:t xml:space="preserve">spatial_dispersion_v3_phase.csv</w:t>
            </w:r>
          </w:p>
        </w:tc>
        <w:tc>
          <w:tcPr/>
          <w:p>
            <w:pPr>
              <w:pStyle w:val="Compact"/>
            </w:pPr>
            <w:r>
              <w:rPr>
                <w:rStyle w:val="VerbatimChar"/>
                <w:sz w:val="18"/>
              </w:rPr>
              <w:t xml:space="preserve">47</w:t>
            </w:r>
          </w:p>
        </w:tc>
      </w:tr>
      <w:tr>
        <w:tc>
          <w:tcPr/>
          <w:p>
            <w:pPr>
              <w:pStyle w:val="Compact"/>
            </w:pPr>
            <w:r>
              <w:rPr>
                <w:rFonts w:hint="eastAsia"/>
                <w:sz w:val="18"/>
              </w:rPr>
              <w:t xml:space="preserve">表5.5</w:t>
            </w:r>
            <w:r>
              <w:rPr>
                <w:sz w:val="18"/>
              </w:rPr>
              <w:t xml:space="preserve">　</w:t>
            </w:r>
            <w:r>
              <w:rPr>
                <w:rFonts w:hint="eastAsia"/>
                <w:sz w:val="18"/>
              </w:rPr>
              <w:t xml:space="preserve">先行研究の仕様による日間</w:t>
            </w:r>
            <w:r>
              <w:rPr>
                <w:sz w:val="18"/>
              </w:rPr>
              <w:t xml:space="preserve"> IQR </w:t>
            </w:r>
            <w:r>
              <w:rPr>
                <w:rFonts w:hint="eastAsia"/>
                <w:sz w:val="18"/>
              </w:rPr>
              <w:t xml:space="preserve">係数と</w:t>
            </w:r>
            <w:r>
              <w:rPr>
                <w:sz w:val="18"/>
              </w:rPr>
              <w:t xml:space="preserve"> TB4h </w:t>
            </w:r>
            <w:r>
              <w:rPr>
                <w:rFonts w:hint="eastAsia"/>
                <w:sz w:val="18"/>
              </w:rPr>
              <w:t xml:space="preserve">への係数</w:t>
            </w:r>
          </w:p>
        </w:tc>
        <w:tc>
          <w:tcPr/>
          <w:p>
            <w:pPr>
              <w:pStyle w:val="Compact"/>
            </w:pPr>
            <w:r>
              <w:rPr>
                <w:rStyle w:val="VerbatimChar"/>
                <w:sz w:val="18"/>
              </w:rPr>
              <w:t xml:space="preserve">regv3_fo_tables.csv</w:t>
            </w:r>
            <w:r>
              <w:rPr>
                <w:rFonts w:hint="eastAsia"/>
                <w:sz w:val="18"/>
              </w:rPr>
              <w:t xml:space="preserve">（係数は</w:t>
            </w:r>
            <w:r>
              <w:rPr>
                <w:sz w:val="18"/>
              </w:rPr>
              <w:t xml:space="preserve"> </w:t>
            </w:r>
            <w:r>
              <w:rPr>
                <w:rStyle w:val="VerbatimChar"/>
                <w:sz w:val="18"/>
              </w:rPr>
              <w:t xml:space="preserve">fo_replication_results.csv</w:t>
            </w:r>
            <w:r>
              <w:rPr>
                <w:rFonts w:hint="eastAsia"/>
                <w:sz w:val="18"/>
              </w:rPr>
              <w:t xml:space="preserve">）</w:t>
            </w:r>
          </w:p>
        </w:tc>
        <w:tc>
          <w:tcPr/>
          <w:p>
            <w:pPr>
              <w:pStyle w:val="Compact"/>
            </w:pPr>
            <w:r>
              <w:rPr>
                <w:rStyle w:val="VerbatimChar"/>
                <w:sz w:val="18"/>
              </w:rPr>
              <w:t xml:space="preserve">44</w:t>
            </w:r>
            <w:r>
              <w:rPr>
                <w:sz w:val="18"/>
              </w:rPr>
              <w:t xml:space="preserve">、</w:t>
            </w:r>
            <w:r>
              <w:rPr>
                <w:rStyle w:val="VerbatimChar"/>
                <w:sz w:val="18"/>
              </w:rPr>
              <w:t xml:space="preserve">25</w:t>
            </w:r>
          </w:p>
        </w:tc>
      </w:tr>
      <w:tr>
        <w:tc>
          <w:tcPr/>
          <w:p>
            <w:pPr>
              <w:pStyle w:val="Compact"/>
            </w:pPr>
            <w:r>
              <w:rPr>
                <w:rFonts w:hint="eastAsia"/>
                <w:sz w:val="18"/>
              </w:rPr>
              <w:t xml:space="preserve">表5.6</w:t>
            </w:r>
            <w:r>
              <w:rPr>
                <w:sz w:val="18"/>
              </w:rPr>
              <w:t xml:space="preserve">　</w:t>
            </w:r>
            <w:r>
              <w:rPr>
                <w:rFonts w:hint="eastAsia"/>
                <w:sz w:val="18"/>
              </w:rPr>
              <w:t xml:space="preserve">主要な係数の頑健性</w:t>
            </w:r>
          </w:p>
        </w:tc>
        <w:tc>
          <w:tcPr/>
          <w:p>
            <w:pPr>
              <w:pStyle w:val="Compact"/>
            </w:pPr>
            <w:r>
              <w:rPr>
                <w:rStyle w:val="VerbatimChar"/>
                <w:sz w:val="18"/>
              </w:rPr>
              <w:t xml:space="preserve">robust_inference_table62.csv</w:t>
            </w:r>
            <w:r>
              <w:rPr>
                <w:sz w:val="18"/>
              </w:rPr>
              <w:t xml:space="preserve">、</w:t>
            </w:r>
            <w:r>
              <w:rPr>
                <w:rStyle w:val="VerbatimChar"/>
                <w:sz w:val="18"/>
              </w:rPr>
              <w:t xml:space="preserve">robust_inference_specs.csv</w:t>
            </w:r>
            <w:r>
              <w:rPr>
                <w:rFonts w:hint="eastAsia"/>
                <w:sz w:val="18"/>
              </w:rPr>
              <w:t xml:space="preserve">（実効的な棄却率は</w:t>
            </w:r>
            <w:r>
              <w:rPr>
                <w:sz w:val="18"/>
              </w:rPr>
              <w:t xml:space="preserve"> </w:t>
            </w:r>
            <w:r>
              <w:rPr>
                <w:rStyle w:val="VerbatimChar"/>
                <w:sz w:val="18"/>
              </w:rPr>
              <w:t xml:space="preserve">robust_inference_size_mc.csv</w:t>
            </w:r>
            <w:r>
              <w:rPr>
                <w:rFonts w:hint="eastAsia"/>
                <w:sz w:val="18"/>
              </w:rPr>
              <w:t xml:space="preserve">）</w:t>
            </w:r>
          </w:p>
        </w:tc>
        <w:tc>
          <w:tcPr/>
          <w:p>
            <w:pPr>
              <w:pStyle w:val="Compact"/>
            </w:pPr>
            <w:r>
              <w:rPr>
                <w:rStyle w:val="VerbatimChar"/>
                <w:sz w:val="18"/>
              </w:rPr>
              <w:t xml:space="preserve">37</w:t>
            </w:r>
          </w:p>
        </w:tc>
      </w:tr>
      <w:tr>
        <w:tc>
          <w:tcPr/>
          <w:p>
            <w:pPr>
              <w:pStyle w:val="Compact"/>
            </w:pPr>
            <w:r>
              <w:rPr>
                <w:rFonts w:hint="eastAsia"/>
                <w:sz w:val="18"/>
              </w:rPr>
              <w:t xml:space="preserve">表6.1</w:t>
            </w:r>
            <w:r>
              <w:rPr>
                <w:sz w:val="18"/>
              </w:rPr>
              <w:t xml:space="preserve">　</w:t>
            </w:r>
            <w:r>
              <w:rPr>
                <w:rFonts w:hint="eastAsia"/>
                <w:sz w:val="18"/>
              </w:rPr>
              <w:t xml:space="preserve">完全予見粗利の脚の分解</w:t>
            </w:r>
          </w:p>
        </w:tc>
        <w:tc>
          <w:tcPr/>
          <w:p>
            <w:pPr>
              <w:pStyle w:val="Compact"/>
            </w:pPr>
            <w:r>
              <w:rPr>
                <w:rStyle w:val="VerbatimChar"/>
                <w:sz w:val="18"/>
              </w:rPr>
              <w:t xml:space="preserve">legs_hokkaido_kyushu.csv</w:t>
            </w:r>
            <w:r>
              <w:rPr>
                <w:rFonts w:hint="eastAsia"/>
                <w:sz w:val="18"/>
              </w:rPr>
              <w:t xml:space="preserve">（充放電の窓の時刻別の分布は</w:t>
            </w:r>
            <w:r>
              <w:rPr>
                <w:sz w:val="18"/>
              </w:rPr>
              <w:t xml:space="preserve"> </w:t>
            </w:r>
            <w:r>
              <w:rPr>
                <w:rStyle w:val="VerbatimChar"/>
                <w:sz w:val="18"/>
              </w:rPr>
              <w:t xml:space="preserve">legs_window_hours.csv</w:t>
            </w:r>
            <w:r>
              <w:rPr>
                <w:rFonts w:hint="eastAsia"/>
                <w:sz w:val="18"/>
              </w:rPr>
              <w:t xml:space="preserve">）</w:t>
            </w:r>
          </w:p>
        </w:tc>
        <w:tc>
          <w:tcPr/>
          <w:p>
            <w:pPr>
              <w:pStyle w:val="Compact"/>
            </w:pPr>
            <w:r>
              <w:rPr>
                <w:rStyle w:val="VerbatimChar"/>
                <w:sz w:val="18"/>
              </w:rPr>
              <w:t xml:space="preserve">48</w:t>
            </w:r>
          </w:p>
        </w:tc>
      </w:tr>
      <w:tr>
        <w:tc>
          <w:tcPr/>
          <w:p>
            <w:pPr>
              <w:pStyle w:val="Compact"/>
            </w:pPr>
            <w:r>
              <w:rPr>
                <w:rFonts w:hint="eastAsia"/>
                <w:sz w:val="18"/>
              </w:rPr>
              <w:t xml:space="preserve">表6.2</w:t>
            </w:r>
            <w:r>
              <w:rPr>
                <w:sz w:val="18"/>
              </w:rPr>
              <w:t xml:space="preserve">　</w:t>
            </w:r>
            <w:r>
              <w:rPr>
                <w:rFonts w:hint="eastAsia"/>
                <w:sz w:val="18"/>
              </w:rPr>
              <w:t xml:space="preserve">風力の三分位別の裁定指標</w:t>
            </w:r>
          </w:p>
        </w:tc>
        <w:tc>
          <w:tcPr/>
          <w:p>
            <w:pPr>
              <w:pStyle w:val="Compact"/>
            </w:pPr>
            <w:r>
              <w:rPr>
                <w:rStyle w:val="VerbatimChar"/>
                <w:sz w:val="18"/>
              </w:rPr>
              <w:t xml:space="preserve">table73_refresh.csv</w:t>
            </w:r>
            <w:r>
              <w:rPr>
                <w:rFonts w:hint="eastAsia"/>
                <w:sz w:val="18"/>
              </w:rPr>
              <w:t xml:space="preserve">（北本連系線の拘束と東日本側の列は</w:t>
            </w:r>
            <w:r>
              <w:rPr>
                <w:sz w:val="18"/>
              </w:rPr>
              <w:t xml:space="preserve"> </w:t>
            </w:r>
            <w:r>
              <w:rPr>
                <w:rStyle w:val="VerbatimChar"/>
                <w:sz w:val="18"/>
              </w:rPr>
              <w:t xml:space="preserve">market_split_v3_wind_tercile.csv</w:t>
            </w:r>
            <w:r>
              <w:rPr>
                <w:rFonts w:hint="eastAsia"/>
                <w:sz w:val="18"/>
              </w:rPr>
              <w:t xml:space="preserve">、北本連系線の潮流は</w:t>
            </w:r>
            <w:r>
              <w:rPr>
                <w:sz w:val="18"/>
              </w:rPr>
              <w:t xml:space="preserve"> </w:t>
            </w:r>
            <w:r>
              <w:rPr>
                <w:rStyle w:val="VerbatimChar"/>
                <w:sz w:val="18"/>
              </w:rPr>
              <w:t xml:space="preserve">market_split_v3_export.csv</w:t>
            </w:r>
            <w:r>
              <w:rPr>
                <w:rFonts w:hint="eastAsia"/>
                <w:sz w:val="18"/>
              </w:rPr>
              <w:t xml:space="preserve">）</w:t>
            </w:r>
          </w:p>
        </w:tc>
        <w:tc>
          <w:tcPr/>
          <w:p>
            <w:pPr>
              <w:pStyle w:val="Compact"/>
            </w:pPr>
            <w:r>
              <w:rPr>
                <w:rStyle w:val="VerbatimChar"/>
                <w:sz w:val="18"/>
              </w:rPr>
              <w:t xml:space="preserve">35</w:t>
            </w:r>
            <w:r>
              <w:rPr>
                <w:sz w:val="18"/>
              </w:rPr>
              <w:t xml:space="preserve">、</w:t>
            </w:r>
            <w:r>
              <w:rPr>
                <w:rStyle w:val="VerbatimChar"/>
                <w:sz w:val="18"/>
              </w:rPr>
              <w:t xml:space="preserve">46</w:t>
            </w:r>
          </w:p>
        </w:tc>
      </w:tr>
      <w:tr>
        <w:tc>
          <w:tcPr/>
          <w:p>
            <w:pPr>
              <w:pStyle w:val="Compact"/>
            </w:pPr>
            <w:r>
              <w:rPr>
                <w:rFonts w:hint="eastAsia"/>
                <w:sz w:val="18"/>
              </w:rPr>
              <w:t xml:space="preserve">表6.3</w:t>
            </w:r>
            <w:r>
              <w:rPr>
                <w:sz w:val="18"/>
              </w:rPr>
              <w:t xml:space="preserve">　</w:t>
            </w:r>
            <w:r>
              <w:rPr>
                <w:rFonts w:hint="eastAsia"/>
                <w:sz w:val="18"/>
              </w:rPr>
              <w:t xml:space="preserve">実行可能戦略の検定と頑健性の要約</w:t>
            </w:r>
          </w:p>
        </w:tc>
        <w:tc>
          <w:tcPr/>
          <w:p>
            <w:pPr>
              <w:pStyle w:val="Compact"/>
            </w:pPr>
            <w:r>
              <w:rPr>
                <w:rStyle w:val="VerbatimChar"/>
                <w:sz w:val="18"/>
              </w:rPr>
              <w:t xml:space="preserve">strategy_tests.csv</w:t>
            </w:r>
          </w:p>
        </w:tc>
        <w:tc>
          <w:tcPr/>
          <w:p>
            <w:pPr>
              <w:pStyle w:val="Compact"/>
            </w:pPr>
            <w:r>
              <w:rPr>
                <w:rStyle w:val="VerbatimChar"/>
                <w:sz w:val="18"/>
              </w:rPr>
              <w:t xml:space="preserve">36</w:t>
            </w:r>
          </w:p>
        </w:tc>
      </w:tr>
      <w:tr>
        <w:tc>
          <w:tcPr/>
          <w:p>
            <w:pPr>
              <w:pStyle w:val="Compact"/>
            </w:pPr>
            <w:r>
              <w:rPr>
                <w:rFonts w:hint="eastAsia"/>
                <w:sz w:val="18"/>
              </w:rPr>
              <w:t xml:space="preserve">表7.1</w:t>
            </w:r>
            <w:r>
              <w:rPr>
                <w:sz w:val="18"/>
              </w:rPr>
              <w:t xml:space="preserve">　</w:t>
            </w:r>
            <w:r>
              <w:rPr>
                <w:rFonts w:hint="eastAsia"/>
                <w:sz w:val="18"/>
              </w:rPr>
              <w:t xml:space="preserve">年度別の水準係数と価格過程の再現</w:t>
            </w:r>
          </w:p>
        </w:tc>
        <w:tc>
          <w:tcPr/>
          <w:p>
            <w:pPr>
              <w:pStyle w:val="Compact"/>
            </w:pPr>
            <w:r>
              <w:rPr>
                <w:rStyle w:val="VerbatimChar"/>
                <w:sz w:val="18"/>
              </w:rPr>
              <w:t xml:space="preserve">price_level_theta.csv</w:t>
            </w:r>
          </w:p>
        </w:tc>
        <w:tc>
          <w:tcPr/>
          <w:p>
            <w:pPr>
              <w:pStyle w:val="Compact"/>
            </w:pPr>
            <w:r>
              <w:rPr>
                <w:rStyle w:val="VerbatimChar"/>
                <w:sz w:val="18"/>
              </w:rPr>
              <w:t xml:space="preserve">26</w:t>
            </w:r>
          </w:p>
        </w:tc>
      </w:tr>
      <w:tr>
        <w:tc>
          <w:tcPr/>
          <w:p>
            <w:pPr>
              <w:pStyle w:val="Compact"/>
            </w:pPr>
            <w:r>
              <w:rPr>
                <w:rFonts w:hint="eastAsia"/>
                <w:sz w:val="18"/>
              </w:rPr>
              <w:t xml:space="preserve">表7.2</w:t>
            </w:r>
            <w:r>
              <w:rPr>
                <w:sz w:val="18"/>
              </w:rPr>
              <w:t xml:space="preserve">　</w:t>
            </w:r>
            <w:r>
              <w:rPr>
                <w:rFonts w:hint="eastAsia"/>
                <w:sz w:val="18"/>
              </w:rPr>
              <w:t xml:space="preserve">限界参入者の実現可能スポット収益</w:t>
            </w:r>
          </w:p>
        </w:tc>
        <w:tc>
          <w:tcPr/>
          <w:p>
            <w:pPr>
              <w:pStyle w:val="Compact"/>
            </w:pPr>
            <w:r>
              <w:rPr>
                <w:rStyle w:val="VerbatimChar"/>
                <w:sz w:val="18"/>
              </w:rPr>
              <w:t xml:space="preserve">pi_k_curve_v3.csv</w:t>
            </w:r>
            <w:r>
              <w:rPr>
                <w:rFonts w:hint="eastAsia"/>
                <w:sz w:val="18"/>
              </w:rPr>
              <w:t xml:space="preserve">（</w:t>
            </w:r>
            <m:oMath>
              <m:r>
                <m:t>π</m:t>
              </m:r>
              <m:r>
                <m:rPr>
                  <m:sty m:val="p"/>
                </m:rPr>
                <m:t>=</m:t>
              </m:r>
              <m:r>
                <m:t>0</m:t>
              </m:r>
            </m:oMath>
            <w:r>
              <w:rPr>
                <w:sz w:val="18"/>
              </w:rPr>
              <w:t xml:space="preserve"> </w:t>
            </w:r>
            <w:r>
              <w:rPr>
                <w:rFonts w:hint="eastAsia"/>
                <w:sz w:val="18"/>
              </w:rPr>
              <w:t xml:space="preserve">と半減の</w:t>
            </w:r>
            <w:r>
              <w:rPr>
                <w:sz w:val="18"/>
              </w:rPr>
              <w:t xml:space="preserve"> </w:t>
            </w:r>
            <m:oMath>
              <m:r>
                <m:t>K</m:t>
              </m:r>
            </m:oMath>
            <w:r>
              <w:rPr>
                <w:sz w:val="18"/>
              </w:rPr>
              <w:t xml:space="preserve"> </w:t>
            </w:r>
            <w:r>
              <w:rPr>
                <w:sz w:val="18"/>
              </w:rPr>
              <w:t xml:space="preserve">は</w:t>
            </w:r>
            <w:r>
              <w:rPr>
                <w:sz w:val="18"/>
              </w:rPr>
              <w:t xml:space="preserve"> </w:t>
            </w:r>
            <w:r>
              <w:rPr>
                <w:rStyle w:val="VerbatimChar"/>
                <w:sz w:val="18"/>
              </w:rPr>
              <w:t xml:space="preserve">pi_k_curve_v3_zero.csv</w:t>
            </w:r>
            <w:r>
              <w:rPr>
                <w:rFonts w:hint="eastAsia"/>
                <w:sz w:val="18"/>
              </w:rPr>
              <w:t xml:space="preserve">）</w:t>
            </w:r>
          </w:p>
        </w:tc>
        <w:tc>
          <w:tcPr/>
          <w:p>
            <w:pPr>
              <w:pStyle w:val="Compact"/>
            </w:pPr>
            <w:r>
              <w:rPr>
                <w:rStyle w:val="VerbatimChar"/>
                <w:sz w:val="18"/>
              </w:rPr>
              <w:t xml:space="preserve">41</w:t>
            </w:r>
          </w:p>
        </w:tc>
      </w:tr>
      <w:tr>
        <w:tc>
          <w:tcPr/>
          <w:p>
            <w:pPr>
              <w:pStyle w:val="Compact"/>
            </w:pPr>
            <w:r>
              <w:rPr>
                <w:rFonts w:hint="eastAsia"/>
                <w:sz w:val="18"/>
              </w:rPr>
              <w:t xml:space="preserve">表7.3</w:t>
            </w:r>
            <w:r>
              <w:rPr>
                <w:sz w:val="18"/>
              </w:rPr>
              <w:t xml:space="preserve">　</w:t>
            </w:r>
            <w:r>
              <w:rPr>
                <w:rFonts w:hint="eastAsia"/>
                <w:sz w:val="18"/>
              </w:rPr>
              <w:t xml:space="preserve">均衡の判定の感応度</w:t>
            </w:r>
          </w:p>
        </w:tc>
        <w:tc>
          <w:tcPr/>
          <w:p>
            <w:pPr>
              <w:pStyle w:val="Compact"/>
            </w:pPr>
            <w:r>
              <w:rPr>
                <w:rStyle w:val="VerbatimChar"/>
                <w:sz w:val="18"/>
              </w:rPr>
              <w:t xml:space="preserve">theta_star_v3.csv</w:t>
            </w:r>
            <w:r>
              <w:rPr>
                <w:sz w:val="18"/>
              </w:rPr>
              <w:t xml:space="preserve">、</w:t>
            </w:r>
            <w:r>
              <w:rPr>
                <w:rStyle w:val="VerbatimChar"/>
                <w:sz w:val="18"/>
              </w:rPr>
              <w:t xml:space="preserve">equilibrium_v3_irr.csv</w:t>
            </w:r>
            <w:r>
              <w:rPr>
                <w:sz w:val="18"/>
              </w:rPr>
              <w:t xml:space="preserve">、</w:t>
            </w:r>
            <w:r>
              <w:rPr>
                <w:rStyle w:val="VerbatimChar"/>
                <w:sz w:val="18"/>
              </w:rPr>
              <w:t xml:space="preserve">capacity_price_of_k_v3.csv</w:t>
            </w:r>
            <w:r>
              <w:rPr>
                <w:sz w:val="18"/>
              </w:rPr>
              <w:t xml:space="preserve">、</w:t>
            </w:r>
            <w:r>
              <w:rPr>
                <w:rStyle w:val="VerbatimChar"/>
                <w:sz w:val="18"/>
              </w:rPr>
              <w:t xml:space="preserve">eprx_rent_cap_v2.csv</w:t>
            </w:r>
          </w:p>
        </w:tc>
        <w:tc>
          <w:tcPr/>
          <w:p>
            <w:pPr>
              <w:pStyle w:val="Compact"/>
            </w:pPr>
            <w:r>
              <w:rPr>
                <w:rStyle w:val="VerbatimChar"/>
                <w:sz w:val="18"/>
              </w:rPr>
              <w:t xml:space="preserve">41</w:t>
            </w:r>
            <w:r>
              <w:rPr>
                <w:sz w:val="18"/>
              </w:rPr>
              <w:t xml:space="preserve">、</w:t>
            </w:r>
            <w:r>
              <w:rPr>
                <w:rStyle w:val="VerbatimChar"/>
                <w:sz w:val="18"/>
              </w:rPr>
              <w:t xml:space="preserve">42</w:t>
            </w:r>
            <w:r>
              <w:rPr>
                <w:sz w:val="18"/>
              </w:rPr>
              <w:t xml:space="preserve">、</w:t>
            </w:r>
            <w:r>
              <w:rPr>
                <w:rStyle w:val="VerbatimChar"/>
                <w:sz w:val="18"/>
              </w:rPr>
              <w:t xml:space="preserve">52</w:t>
            </w:r>
          </w:p>
        </w:tc>
      </w:tr>
      <w:tr>
        <w:tc>
          <w:tcPr/>
          <w:p>
            <w:pPr>
              <w:pStyle w:val="Compact"/>
            </w:pPr>
            <w:r>
              <w:rPr>
                <w:rFonts w:hint="eastAsia"/>
                <w:sz w:val="18"/>
              </w:rPr>
              <w:t xml:space="preserve">表7.4</w:t>
            </w:r>
            <w:r>
              <w:rPr>
                <w:sz w:val="18"/>
              </w:rPr>
              <w:t xml:space="preserve">　</w:t>
            </w:r>
            <w:r>
              <w:rPr>
                <w:rFonts w:hint="eastAsia"/>
                <w:sz w:val="18"/>
              </w:rPr>
              <w:t xml:space="preserve">下限価格の機構の検証</w:t>
            </w:r>
          </w:p>
        </w:tc>
        <w:tc>
          <w:tcPr/>
          <w:p>
            <w:pPr>
              <w:pStyle w:val="Compact"/>
            </w:pPr>
            <w:r>
              <w:rPr>
                <w:rStyle w:val="VerbatimChar"/>
                <w:sz w:val="18"/>
              </w:rPr>
              <w:t xml:space="preserve">floor_mechanism_check.csv</w:t>
            </w:r>
          </w:p>
        </w:tc>
        <w:tc>
          <w:tcPr/>
          <w:p>
            <w:pPr>
              <w:pStyle w:val="Compact"/>
            </w:pPr>
            <w:r>
              <w:rPr>
                <w:rStyle w:val="VerbatimChar"/>
                <w:sz w:val="18"/>
              </w:rPr>
              <w:t xml:space="preserve">33</w:t>
            </w:r>
          </w:p>
        </w:tc>
      </w:tr>
      <w:tr>
        <w:tc>
          <w:tcPr/>
          <w:p>
            <w:pPr>
              <w:pStyle w:val="Compact"/>
            </w:pPr>
            <w:r>
              <w:rPr>
                <w:rFonts w:hint="eastAsia"/>
                <w:sz w:val="18"/>
              </w:rPr>
              <w:t xml:space="preserve">表8.1</w:t>
            </w:r>
            <w:r>
              <w:rPr>
                <w:sz w:val="18"/>
              </w:rPr>
              <w:t xml:space="preserve">　</w:t>
            </w:r>
            <w:r>
              <w:rPr>
                <w:rFonts w:hint="eastAsia"/>
                <w:sz w:val="18"/>
              </w:rPr>
              <w:t xml:space="preserve">乖離の勘定</w:t>
            </w:r>
          </w:p>
        </w:tc>
        <w:tc>
          <w:tcPr/>
          <w:p>
            <w:pPr>
              <w:pStyle w:val="Compact"/>
            </w:pPr>
            <w:r>
              <w:rPr>
                <w:rStyle w:val="VerbatimChar"/>
                <w:sz w:val="18"/>
              </w:rPr>
              <w:t xml:space="preserve">gap_ledger_summary.csv</w:t>
            </w:r>
            <w:r>
              <w:rPr>
                <w:sz w:val="18"/>
              </w:rPr>
              <w:t xml:space="preserve">、</w:t>
            </w:r>
            <w:r>
              <w:rPr>
                <w:rStyle w:val="VerbatimChar"/>
                <w:sz w:val="18"/>
              </w:rPr>
              <w:t xml:space="preserve">gap_ledger_projects.csv</w:t>
            </w:r>
            <w:r>
              <w:rPr>
                <w:sz w:val="18"/>
              </w:rPr>
              <w:t xml:space="preserve">、</w:t>
            </w:r>
            <w:r>
              <w:rPr>
                <w:rStyle w:val="VerbatimChar"/>
                <w:sz w:val="18"/>
              </w:rPr>
              <w:t xml:space="preserve">ltda_hokkaido_summary.csv</w:t>
            </w:r>
            <w:r>
              <w:rPr>
                <w:rFonts w:hint="eastAsia"/>
                <w:sz w:val="18"/>
              </w:rPr>
              <w:t xml:space="preserve">（APV</w:t>
            </w:r>
            <w:r>
              <w:rPr>
                <w:sz w:val="18"/>
              </w:rPr>
              <w:t xml:space="preserve"> </w:t>
            </w:r>
            <w:r>
              <w:rPr>
                <w:rFonts w:hint="eastAsia"/>
                <w:sz w:val="18"/>
              </w:rPr>
              <w:t xml:space="preserve">の収益の基準と</w:t>
            </w:r>
            <w:r>
              <w:rPr>
                <w:sz w:val="18"/>
              </w:rPr>
              <w:t xml:space="preserve"> APV </w:t>
            </w:r>
            <w:r>
              <w:rPr>
                <w:rFonts w:hint="eastAsia"/>
                <w:sz w:val="18"/>
              </w:rPr>
              <w:t xml:space="preserve">が0となる割引率は</w:t>
            </w:r>
            <w:r>
              <w:rPr>
                <w:sz w:val="18"/>
              </w:rPr>
              <w:t xml:space="preserve"> </w:t>
            </w:r>
            <w:r>
              <w:rPr>
                <w:rStyle w:val="VerbatimChar"/>
                <w:sz w:val="18"/>
              </w:rPr>
              <w:t xml:space="preserve">gap_ledger_apv_basis.csv</w:t>
            </w:r>
            <w:r>
              <w:rPr>
                <w:sz w:val="18"/>
              </w:rPr>
              <w:t xml:space="preserve">、LTDA </w:t>
            </w:r>
            <w:r>
              <w:rPr>
                <w:rFonts w:hint="eastAsia"/>
                <w:sz w:val="18"/>
              </w:rPr>
              <w:t xml:space="preserve">のエリアの照合は</w:t>
            </w:r>
            <w:r>
              <w:rPr>
                <w:sz w:val="18"/>
              </w:rPr>
              <w:t xml:space="preserve"> </w:t>
            </w:r>
            <w:r>
              <w:rPr>
                <w:rStyle w:val="VerbatimChar"/>
                <w:sz w:val="18"/>
              </w:rPr>
              <w:t xml:space="preserve">ltda_area_reconciliation.csv</w:t>
            </w:r>
            <w:r>
              <w:rPr>
                <w:rFonts w:hint="eastAsia"/>
                <w:sz w:val="18"/>
              </w:rPr>
              <w:t xml:space="preserve">）</w:t>
            </w:r>
          </w:p>
        </w:tc>
        <w:tc>
          <w:tcPr/>
          <w:p>
            <w:pPr>
              <w:pStyle w:val="Compact"/>
            </w:pPr>
            <w:r>
              <w:rPr>
                <w:rStyle w:val="VerbatimChar"/>
                <w:sz w:val="18"/>
              </w:rPr>
              <w:t xml:space="preserve">49</w:t>
            </w:r>
          </w:p>
        </w:tc>
      </w:tr>
      <w:tr>
        <w:tc>
          <w:tcPr/>
          <w:p>
            <w:pPr>
              <w:pStyle w:val="Compact"/>
            </w:pPr>
            <w:r>
              <w:rPr>
                <w:rFonts w:hint="eastAsia"/>
                <w:sz w:val="18"/>
              </w:rPr>
              <w:t xml:space="preserve">表8.2</w:t>
            </w:r>
            <w:r>
              <w:rPr>
                <w:sz w:val="18"/>
              </w:rPr>
              <w:t xml:space="preserve">　</w:t>
            </w:r>
            <w:r>
              <w:rPr>
                <w:rFonts w:hint="eastAsia"/>
                <w:sz w:val="18"/>
              </w:rPr>
              <w:t xml:space="preserve">マーチャント4時間蓄電池の事業</w:t>
            </w:r>
            <w:r>
              <w:rPr>
                <w:sz w:val="18"/>
              </w:rPr>
              <w:t xml:space="preserve"> IRR</w:t>
            </w:r>
          </w:p>
        </w:tc>
        <w:tc>
          <w:tcPr/>
          <w:p>
            <w:pPr>
              <w:pStyle w:val="Compact"/>
            </w:pPr>
            <w:r>
              <w:rPr>
                <w:rStyle w:val="VerbatimChar"/>
                <w:sz w:val="18"/>
              </w:rPr>
              <w:t xml:space="preserve">irr_cost_of_capital.csv</w:t>
            </w:r>
            <w:r>
              <w:rPr>
                <w:rFonts w:hint="eastAsia"/>
                <w:sz w:val="18"/>
              </w:rPr>
              <w:t xml:space="preserve">（ブロックA）</w:t>
            </w:r>
          </w:p>
        </w:tc>
        <w:tc>
          <w:tcPr/>
          <w:p>
            <w:pPr>
              <w:pStyle w:val="Compact"/>
            </w:pPr>
            <w:r>
              <w:rPr>
                <w:rStyle w:val="VerbatimChar"/>
                <w:sz w:val="18"/>
              </w:rPr>
              <w:t xml:space="preserve">39</w:t>
            </w:r>
          </w:p>
        </w:tc>
      </w:tr>
      <w:tr>
        <w:tc>
          <w:tcPr/>
          <w:p>
            <w:pPr>
              <w:pStyle w:val="Compact"/>
            </w:pPr>
            <w:r>
              <w:rPr>
                <w:rFonts w:hint="eastAsia"/>
                <w:sz w:val="18"/>
              </w:rPr>
              <w:t xml:space="preserve">表8.3</w:t>
            </w:r>
            <w:r>
              <w:rPr>
                <w:sz w:val="18"/>
              </w:rPr>
              <w:t xml:space="preserve">　</w:t>
            </w:r>
            <w:r>
              <w:rPr>
                <w:rFonts w:hint="eastAsia"/>
                <w:sz w:val="18"/>
              </w:rPr>
              <w:t xml:space="preserve">年間市場収入の5%</w:t>
            </w:r>
            <w:r>
              <w:rPr>
                <w:sz w:val="18"/>
              </w:rPr>
              <w:t xml:space="preserve"> CFaR </w:t>
            </w:r>
            <w:r>
              <w:rPr>
                <w:rFonts w:hint="eastAsia"/>
                <w:sz w:val="18"/>
              </w:rPr>
              <w:t xml:space="preserve">と因子別の寄与</w:t>
            </w:r>
          </w:p>
        </w:tc>
        <w:tc>
          <w:tcPr/>
          <w:p>
            <w:pPr>
              <w:pStyle w:val="Compact"/>
            </w:pPr>
            <w:r>
              <w:rPr>
                <w:rStyle w:val="VerbatimChar"/>
                <w:sz w:val="18"/>
              </w:rPr>
              <w:t xml:space="preserve">cfar_multifactor.csv</w:t>
            </w:r>
          </w:p>
        </w:tc>
        <w:tc>
          <w:tcPr/>
          <w:p>
            <w:pPr>
              <w:pStyle w:val="Compact"/>
            </w:pPr>
            <w:r>
              <w:rPr>
                <w:rStyle w:val="VerbatimChar"/>
                <w:sz w:val="18"/>
              </w:rPr>
              <w:t xml:space="preserve">40</w:t>
            </w:r>
          </w:p>
        </w:tc>
      </w:tr>
      <w:tr>
        <w:tc>
          <w:tcPr/>
          <w:p>
            <w:pPr>
              <w:pStyle w:val="Compact"/>
            </w:pPr>
            <w:r>
              <w:rPr>
                <w:rFonts w:hint="eastAsia"/>
                <w:sz w:val="18"/>
              </w:rPr>
              <w:t xml:space="preserve">表8.4</w:t>
            </w:r>
            <w:r>
              <w:rPr>
                <w:sz w:val="18"/>
              </w:rPr>
              <w:t xml:space="preserve">　</w:t>
            </w:r>
            <w:r>
              <w:rPr>
                <w:rFonts w:hint="eastAsia"/>
                <w:sz w:val="18"/>
              </w:rPr>
              <w:t xml:space="preserve">主な結論の頑健性</w:t>
            </w:r>
          </w:p>
        </w:tc>
        <w:tc>
          <w:tcPr/>
          <w:p>
            <w:pPr>
              <w:pStyle w:val="Compact"/>
            </w:pPr>
            <w:r>
              <w:rPr>
                <w:rFonts w:hint="eastAsia"/>
                <w:sz w:val="18"/>
              </w:rPr>
              <w:t xml:space="preserve">—（本文の表8.1〜表8.3</w:t>
            </w:r>
            <w:r>
              <w:rPr>
                <w:sz w:val="18"/>
              </w:rPr>
              <w:t xml:space="preserve"> </w:t>
            </w:r>
            <w:r>
              <w:rPr>
                <w:rFonts w:hint="eastAsia"/>
                <w:sz w:val="18"/>
              </w:rPr>
              <w:t xml:space="preserve">と付録C.4</w:t>
            </w:r>
            <w:r>
              <w:rPr>
                <w:sz w:val="18"/>
              </w:rPr>
              <w:t xml:space="preserve"> </w:t>
            </w:r>
            <w:r>
              <w:rPr>
                <w:rFonts w:hint="eastAsia"/>
                <w:sz w:val="18"/>
              </w:rPr>
              <w:t xml:space="preserve">の結果の要約）</w:t>
            </w:r>
          </w:p>
        </w:tc>
        <w:tc>
          <w:tcPr/>
          <w:p>
            <w:pPr>
              <w:pStyle w:val="Compact"/>
            </w:pPr>
            <w:r>
              <w:rPr>
                <w:sz w:val="18"/>
              </w:rPr>
              <w:t xml:space="preserve">—</w:t>
            </w:r>
          </w:p>
        </w:tc>
      </w:tr>
      <w:tr>
        <w:tc>
          <w:tcPr/>
          <w:p>
            <w:pPr>
              <w:pStyle w:val="Compact"/>
            </w:pPr>
            <w:r>
              <w:rPr>
                <w:rFonts w:hint="eastAsia"/>
                <w:sz w:val="18"/>
              </w:rPr>
              <w:t xml:space="preserve">表9.1・表9.3</w:t>
            </w:r>
            <w:r>
              <w:rPr>
                <w:sz w:val="18"/>
              </w:rPr>
              <w:t xml:space="preserve">　</w:t>
            </w:r>
            <w:r>
              <w:rPr>
                <w:rFonts w:hint="eastAsia"/>
                <w:sz w:val="18"/>
              </w:rPr>
              <w:t xml:space="preserve">下限価格のシナリオ別の収益と</w:t>
            </w:r>
            <w:r>
              <w:rPr>
                <w:sz w:val="18"/>
              </w:rPr>
              <w:t xml:space="preserve"> </w:t>
            </w:r>
            <w:r>
              <w:rPr>
                <w:rFonts w:hint="eastAsia"/>
                <w:sz w:val="18"/>
              </w:rPr>
              <w:t xml:space="preserve">θ*、段差モデルの仕様と余剰の量の置き方への感応度</w:t>
            </w:r>
          </w:p>
        </w:tc>
        <w:tc>
          <w:tcPr/>
          <w:p>
            <w:pPr>
              <w:pStyle w:val="Compact"/>
            </w:pPr>
            <w:r>
              <w:rPr>
                <w:rStyle w:val="VerbatimChar"/>
                <w:sz w:val="18"/>
              </w:rPr>
              <w:t xml:space="preserve">negative_price_v3_table101.csv</w:t>
            </w:r>
            <w:r>
              <w:rPr>
                <w:rFonts w:hint="eastAsia"/>
                <w:sz w:val="18"/>
              </w:rPr>
              <w:t xml:space="preserve">（</w:t>
            </w:r>
            <m:oMath>
              <m:sSup>
                <m:e>
                  <m:r>
                    <m:t>θ</m:t>
                  </m:r>
                </m:e>
                <m:sup>
                  <m:r>
                    <m:rPr>
                      <m:sty m:val="p"/>
                    </m:rPr>
                    <m:t>*</m:t>
                  </m:r>
                </m:sup>
              </m:sSup>
            </m:oMath>
            <w:r>
              <w:rPr>
                <w:sz w:val="18"/>
              </w:rPr>
              <w:t xml:space="preserve"> </w:t>
            </w:r>
            <w:r>
              <w:rPr>
                <w:rFonts w:hint="eastAsia"/>
                <w:sz w:val="18"/>
              </w:rPr>
              <w:t xml:space="preserve">の格子と比例の式との比較は</w:t>
            </w:r>
            <w:r>
              <w:rPr>
                <w:sz w:val="18"/>
              </w:rPr>
              <w:t xml:space="preserve"> </w:t>
            </w:r>
            <w:r>
              <w:rPr>
                <w:rStyle w:val="VerbatimChar"/>
                <w:sz w:val="18"/>
              </w:rPr>
              <w:t xml:space="preserve">negative_price_breakeven_v3.csv</w:t>
            </w:r>
            <w:r>
              <w:rPr>
                <w:rFonts w:hint="eastAsia"/>
                <w:sz w:val="18"/>
              </w:rPr>
              <w:t xml:space="preserve">、全曲線は</w:t>
            </w:r>
            <w:r>
              <w:rPr>
                <w:sz w:val="18"/>
              </w:rPr>
              <w:t xml:space="preserve"> </w:t>
            </w:r>
            <w:r>
              <w:rPr>
                <w:rStyle w:val="VerbatimChar"/>
                <w:sz w:val="18"/>
              </w:rPr>
              <w:t xml:space="preserve">negative_price_v3_pik.csv</w:t>
            </w:r>
            <w:r>
              <w:rPr>
                <w:rFonts w:hint="eastAsia"/>
                <w:sz w:val="18"/>
              </w:rPr>
              <w:t xml:space="preserve">、実績価格の行は</w:t>
            </w:r>
            <w:r>
              <w:rPr>
                <w:sz w:val="18"/>
              </w:rPr>
              <w:t xml:space="preserve"> </w:t>
            </w:r>
            <w:r>
              <w:rPr>
                <w:rStyle w:val="VerbatimChar"/>
                <w:sz w:val="18"/>
              </w:rPr>
              <w:t xml:space="preserve">negative_price_actual_v3.csv</w:t>
            </w:r>
            <w:r>
              <w:rPr>
                <w:rFonts w:hint="eastAsia"/>
                <w:sz w:val="18"/>
              </w:rPr>
              <w:t xml:space="preserve">）</w:t>
            </w:r>
          </w:p>
        </w:tc>
        <w:tc>
          <w:tcPr/>
          <w:p>
            <w:pPr>
              <w:pStyle w:val="Compact"/>
            </w:pPr>
            <w:r>
              <w:rPr>
                <w:rStyle w:val="VerbatimChar"/>
                <w:sz w:val="18"/>
              </w:rPr>
              <w:t xml:space="preserve">43</w:t>
            </w:r>
          </w:p>
        </w:tc>
      </w:tr>
      <w:tr>
        <w:tc>
          <w:tcPr/>
          <w:p>
            <w:pPr>
              <w:pStyle w:val="Compact"/>
            </w:pPr>
            <w:r>
              <w:rPr>
                <w:rFonts w:hint="eastAsia"/>
                <w:sz w:val="18"/>
              </w:rPr>
              <w:t xml:space="preserve">表9.2</w:t>
            </w:r>
            <w:r>
              <w:rPr>
                <w:sz w:val="18"/>
              </w:rPr>
              <w:t xml:space="preserve">　</w:t>
            </w:r>
            <w:r>
              <w:rPr>
                <w:rFonts w:hint="eastAsia"/>
                <w:sz w:val="18"/>
              </w:rPr>
              <w:t xml:space="preserve">下限張り付き時間の再エネ発電と出力制御の影の価格</w:t>
            </w:r>
          </w:p>
        </w:tc>
        <w:tc>
          <w:tcPr/>
          <w:p>
            <w:pPr>
              <w:pStyle w:val="Compact"/>
            </w:pPr>
            <w:r>
              <w:rPr>
                <w:rStyle w:val="VerbatimChar"/>
                <w:sz w:val="18"/>
              </w:rPr>
              <w:t xml:space="preserve">negative_price_transfer_v2.csv</w:t>
            </w:r>
            <w:r>
              <w:rPr>
                <w:rFonts w:hint="eastAsia"/>
                <w:sz w:val="18"/>
              </w:rPr>
              <w:t xml:space="preserve">（比の列は発電実績による</w:t>
            </w:r>
            <w:r>
              <w:rPr>
                <w:sz w:val="18"/>
              </w:rPr>
              <w:t xml:space="preserve"> </w:t>
            </w:r>
            <w:r>
              <w:rPr>
                <w:rStyle w:val="VerbatimChar"/>
                <w:rFonts w:hint="eastAsia"/>
                <w:sz w:val="18"/>
              </w:rPr>
              <w:t xml:space="preserve">比_発電実績_c5</w:t>
            </w:r>
            <w:r>
              <w:rPr>
                <w:sz w:val="18"/>
              </w:rPr>
              <w:t xml:space="preserve">・</w:t>
            </w:r>
            <w:r>
              <w:rPr>
                <w:rStyle w:val="VerbatimChar"/>
                <w:rFonts w:hint="eastAsia"/>
                <w:sz w:val="18"/>
              </w:rPr>
              <w:t xml:space="preserve">比_発電実績_c10</w:t>
            </w:r>
            <w:r>
              <w:rPr>
                <w:rFonts w:hint="eastAsia"/>
                <w:sz w:val="18"/>
              </w:rPr>
              <w:t xml:space="preserve">、抑制前の出力による比は</w:t>
            </w:r>
            <w:r>
              <w:rPr>
                <w:sz w:val="18"/>
              </w:rPr>
              <w:t xml:space="preserve"> </w:t>
            </w:r>
            <w:r>
              <w:rPr>
                <w:rStyle w:val="VerbatimChar"/>
                <w:rFonts w:hint="eastAsia"/>
                <w:sz w:val="18"/>
              </w:rPr>
              <w:t xml:space="preserve">比_抑制前_c5</w:t>
            </w:r>
            <w:r>
              <w:rPr>
                <w:sz w:val="18"/>
              </w:rPr>
              <w:t xml:space="preserve">・</w:t>
            </w:r>
            <w:r>
              <w:rPr>
                <w:rStyle w:val="VerbatimChar"/>
                <w:rFonts w:hint="eastAsia"/>
                <w:sz w:val="18"/>
              </w:rPr>
              <w:t xml:space="preserve">比_抑制前_c10</w:t>
            </w:r>
            <w:r>
              <w:rPr>
                <w:rFonts w:hint="eastAsia"/>
                <w:sz w:val="18"/>
              </w:rPr>
              <w:t xml:space="preserve">。年度の行は</w:t>
            </w:r>
            <w:r>
              <w:rPr>
                <w:sz w:val="18"/>
              </w:rPr>
              <w:t xml:space="preserve"> </w:t>
            </w:r>
            <w:r>
              <w:rPr>
                <w:rStyle w:val="VerbatimChar"/>
                <w:sz w:val="18"/>
              </w:rPr>
              <w:t xml:space="preserve">negative_price_transfer_ratio_v3.csv</w:t>
            </w:r>
            <w:r>
              <w:rPr>
                <w:rFonts w:hint="eastAsia"/>
                <w:sz w:val="18"/>
              </w:rPr>
              <w:t xml:space="preserve">／</w:t>
            </w:r>
            <w:r>
              <w:rPr>
                <w:rStyle w:val="VerbatimChar"/>
                <w:sz w:val="18"/>
              </w:rPr>
              <w:t xml:space="preserve">43</w:t>
            </w:r>
            <w:r>
              <w:rPr>
                <w:sz w:val="18"/>
              </w:rPr>
              <w:t xml:space="preserve"> </w:t>
            </w:r>
            <w:r>
              <w:rPr>
                <w:rFonts w:hint="eastAsia"/>
                <w:sz w:val="18"/>
              </w:rPr>
              <w:t xml:space="preserve">と一致し、4〜6月どうしの比はそのファイルの4〜6月の行）</w:t>
            </w:r>
          </w:p>
        </w:tc>
        <w:tc>
          <w:tcPr/>
          <w:p>
            <w:pPr>
              <w:pStyle w:val="Compact"/>
            </w:pPr>
            <w:r>
              <w:rPr>
                <w:rStyle w:val="VerbatimChar"/>
                <w:sz w:val="18"/>
              </w:rPr>
              <w:t xml:space="preserve">50</w:t>
            </w:r>
            <w:r>
              <w:rPr>
                <w:sz w:val="18"/>
              </w:rPr>
              <w:t xml:space="preserve">、</w:t>
            </w:r>
            <w:r>
              <w:rPr>
                <w:rStyle w:val="VerbatimChar"/>
                <w:sz w:val="18"/>
              </w:rPr>
              <w:t xml:space="preserve">43</w:t>
            </w:r>
          </w:p>
        </w:tc>
      </w:tr>
      <w:tr>
        <w:tc>
          <w:tcPr/>
          <w:p>
            <w:pPr>
              <w:pStyle w:val="Compact"/>
            </w:pPr>
            <w:r>
              <w:rPr>
                <w:rFonts w:hint="eastAsia"/>
                <w:sz w:val="18"/>
              </w:rPr>
              <w:t xml:space="preserve">表10.1</w:t>
            </w:r>
            <w:r>
              <w:rPr>
                <w:sz w:val="18"/>
              </w:rPr>
              <w:t xml:space="preserve">　</w:t>
            </w:r>
            <w:r>
              <w:rPr>
                <w:rFonts w:hint="eastAsia"/>
                <w:sz w:val="18"/>
              </w:rPr>
              <w:t xml:space="preserve">主要な前提・捨象と結論への影響</w:t>
            </w:r>
          </w:p>
        </w:tc>
        <w:tc>
          <w:tcPr/>
          <w:p>
            <w:pPr>
              <w:pStyle w:val="Compact"/>
            </w:pPr>
            <w:r>
              <w:rPr>
                <w:rFonts w:hint="eastAsia"/>
                <w:sz w:val="18"/>
              </w:rPr>
              <w:t xml:space="preserve">—（本文の各章の結果）</w:t>
            </w:r>
          </w:p>
        </w:tc>
        <w:tc>
          <w:tcPr/>
          <w:p>
            <w:pPr>
              <w:pStyle w:val="Compact"/>
            </w:pPr>
            <w:r>
              <w:rPr>
                <w:sz w:val="18"/>
              </w:rPr>
              <w:t xml:space="preserve">—</w:t>
            </w:r>
          </w:p>
        </w:tc>
      </w:tr>
    </w:tbl>
    <w:p>
      <w:pPr>
        <w:pStyle w:val="TableNote"/>
      </w:pPr>
      <w:r>
        <w:rPr>
          <w:rFonts w:hint="eastAsia"/>
        </w:rPr>
        <w:t xml:space="preserve">出所）筆者作成。</w:t>
      </w:r>
    </w:p>
    <w:p>
      <w:pPr>
        <w:pStyle w:val="TableCaption"/>
      </w:pPr>
      <w:r>
        <w:rPr>
          <w:rFonts w:hint="eastAsia"/>
        </w:rPr>
        <w:t xml:space="preserve">表E.5</w:t>
      </w:r>
      <w:r>
        <w:t xml:space="preserve">　</w:t>
      </w:r>
      <w:r>
        <w:rPr>
          <w:rFonts w:hint="eastAsia"/>
        </w:rPr>
        <w:t xml:space="preserve">付録の表と出力ファイルの対応</w:t>
      </w:r>
    </w:p>
    <w:tbl>
      <w:tblPr>
        <w:tblStyle w:val="Table"/>
        <w:tblW w:type="pct" w:w="5000"/>
        <w:tblBorders>
          <w:top w:val="single" w:sz="8" w:color="000000"/>
          <w:bottom w:val="single" w:sz="8" w:color="000000"/>
          <w:left w:val="nil"/>
          <w:right w:val="nil"/>
          <w:insideH w:val="nil"/>
          <w:insideV w:val="nil"/>
        </w:tblBorders>
        <w:tblLayout w:type="fixed"/>
        <w:tblLook w:firstRow="1" w:lastRow="0" w:firstColumn="0" w:lastColumn="0" w:noHBand="0" w:noVBand="0" w:val="0020"/>
        <w:tblCaption w:val="表E.5　付録の表と出力ファイルの対応"/>
      </w:tblPr>
      <w:tblGrid>
        <w:gridCol w:w="2640"/>
        <w:gridCol w:w="2640"/>
        <w:gridCol w:w="2640"/>
      </w:tblGrid>
      <w:tr>
        <w:trPr>
          <w:tblHeader w:val="on"/>
        </w:trPr>
        <w:tc>
          <w:tcPr>
            <w:tcBorders>
              <w:bottom w:val="single" w:sz="6" w:color="000000"/>
            </w:tcBorders>
          </w:tcPr>
          <w:p>
            <w:pPr>
              <w:pStyle w:val="Compact"/>
            </w:pPr>
            <w:r>
              <w:rPr>
                <w:rFonts w:hint="eastAsia"/>
                <w:sz w:val="18"/>
              </w:rPr>
              <w:t xml:space="preserve">表</w:t>
            </w:r>
          </w:p>
        </w:tc>
        <w:tc>
          <w:tcPr>
            <w:tcBorders>
              <w:bottom w:val="single" w:sz="6" w:color="000000"/>
            </w:tcBorders>
          </w:tcPr>
          <w:p>
            <w:pPr>
              <w:pStyle w:val="Compact"/>
            </w:pPr>
            <w:r>
              <w:rPr>
                <w:rFonts w:hint="eastAsia"/>
                <w:sz w:val="18"/>
              </w:rPr>
              <w:t xml:space="preserve">ファイル（</w:t>
            </w:r>
            <w:r>
              <w:rPr>
                <w:rStyle w:val="VerbatimChar"/>
                <w:sz w:val="18"/>
              </w:rPr>
              <w:t xml:space="preserve">data/processed/</w:t>
            </w:r>
            <w:r>
              <w:rPr>
                <w:rFonts w:hint="eastAsia"/>
                <w:sz w:val="18"/>
              </w:rPr>
              <w:t xml:space="preserve">）</w:t>
            </w:r>
          </w:p>
        </w:tc>
        <w:tc>
          <w:tcPr>
            <w:tcBorders>
              <w:bottom w:val="single" w:sz="6" w:color="000000"/>
            </w:tcBorders>
          </w:tcPr>
          <w:p>
            <w:pPr>
              <w:pStyle w:val="Compact"/>
            </w:pPr>
            <w:r>
              <w:rPr>
                <w:sz w:val="18"/>
              </w:rPr>
              <w:t xml:space="preserve">スクリプト</w:t>
            </w:r>
          </w:p>
        </w:tc>
      </w:tr>
      <w:tr>
        <w:tc>
          <w:tcPr/>
          <w:p>
            <w:pPr>
              <w:pStyle w:val="Compact"/>
            </w:pPr>
            <w:r>
              <w:rPr>
                <w:rFonts w:hint="eastAsia"/>
                <w:sz w:val="18"/>
              </w:rPr>
              <w:t xml:space="preserve">表A.1〜表A.9（データの出所、変数と区分の定義）</w:t>
            </w:r>
          </w:p>
        </w:tc>
        <w:tc>
          <w:tcPr/>
          <w:p>
            <w:pPr>
              <w:pStyle w:val="Compact"/>
            </w:pPr>
            <w:r>
              <w:rPr>
                <w:sz w:val="18"/>
              </w:rPr>
              <w:t xml:space="preserve">—</w:t>
            </w:r>
          </w:p>
        </w:tc>
        <w:tc>
          <w:tcPr/>
          <w:p>
            <w:pPr>
              <w:pStyle w:val="Compact"/>
            </w:pPr>
            <w:r>
              <w:rPr>
                <w:sz w:val="18"/>
              </w:rPr>
              <w:t xml:space="preserve">—</w:t>
            </w:r>
          </w:p>
        </w:tc>
      </w:tr>
      <w:tr>
        <w:tc>
          <w:tcPr/>
          <w:p>
            <w:pPr>
              <w:pStyle w:val="Compact"/>
            </w:pPr>
            <w:r>
              <w:rPr>
                <w:rFonts w:hint="eastAsia"/>
                <w:sz w:val="18"/>
              </w:rPr>
              <w:t xml:space="preserve">表C.1</w:t>
            </w:r>
            <w:r>
              <w:rPr>
                <w:sz w:val="18"/>
              </w:rPr>
              <w:t xml:space="preserve">　</w:t>
            </w:r>
            <w:r>
              <w:rPr>
                <w:rFonts w:hint="eastAsia"/>
                <w:sz w:val="18"/>
              </w:rPr>
              <w:t xml:space="preserve">冬の</w:t>
            </w:r>
            <w:r>
              <w:rPr>
                <w:sz w:val="18"/>
              </w:rPr>
              <w:t xml:space="preserve"> TB4h </w:t>
            </w:r>
            <w:r>
              <w:rPr>
                <w:rFonts w:hint="eastAsia"/>
                <w:sz w:val="18"/>
              </w:rPr>
              <w:t xml:space="preserve">の上位・下位4時間への分解</w:t>
            </w:r>
          </w:p>
        </w:tc>
        <w:tc>
          <w:tcPr/>
          <w:p>
            <w:pPr>
              <w:pStyle w:val="Compact"/>
            </w:pPr>
            <w:r>
              <w:rPr>
                <w:rStyle w:val="VerbatimChar"/>
                <w:sz w:val="18"/>
              </w:rPr>
              <w:t xml:space="preserve">robust_inference_winter_legs.csv</w:t>
            </w:r>
            <w:r>
              <w:rPr>
                <w:sz w:val="18"/>
              </w:rPr>
              <w:t xml:space="preserve">、</w:t>
            </w:r>
            <w:r>
              <w:rPr>
                <w:rStyle w:val="VerbatimChar"/>
                <w:sz w:val="18"/>
              </w:rPr>
              <w:t xml:space="preserve">robust_inference_winter_proportional.csv</w:t>
            </w:r>
            <w:r>
              <w:rPr>
                <w:sz w:val="18"/>
              </w:rPr>
              <w:t xml:space="preserve">、</w:t>
            </w:r>
            <w:r>
              <w:rPr>
                <w:rStyle w:val="VerbatimChar"/>
                <w:sz w:val="18"/>
              </w:rPr>
              <w:t xml:space="preserve">regv3_winter_ratio.csv</w:t>
            </w:r>
            <w:r>
              <w:rPr>
                <w:rFonts w:hint="eastAsia"/>
                <w:sz w:val="18"/>
              </w:rPr>
              <w:t xml:space="preserve">（比の集合、平行と比例の</w:t>
            </w:r>
            <w:r>
              <w:rPr>
                <w:sz w:val="18"/>
              </w:rPr>
              <w:t xml:space="preserve"> </w:t>
            </w:r>
            <w:r>
              <w:rPr>
                <w:rFonts w:hint="eastAsia"/>
                <w:sz w:val="18"/>
              </w:rPr>
              <w:t xml:space="preserve">p）</w:t>
            </w:r>
          </w:p>
        </w:tc>
        <w:tc>
          <w:tcPr/>
          <w:p>
            <w:pPr>
              <w:pStyle w:val="Compact"/>
            </w:pPr>
            <w:r>
              <w:rPr>
                <w:rStyle w:val="VerbatimChar"/>
                <w:sz w:val="18"/>
              </w:rPr>
              <w:t xml:space="preserve">37</w:t>
            </w:r>
            <w:r>
              <w:rPr>
                <w:sz w:val="18"/>
              </w:rPr>
              <w:t xml:space="preserve">、</w:t>
            </w:r>
            <w:r>
              <w:rPr>
                <w:rStyle w:val="VerbatimChar"/>
                <w:sz w:val="18"/>
              </w:rPr>
              <w:t xml:space="preserve">44</w:t>
            </w:r>
          </w:p>
        </w:tc>
      </w:tr>
      <w:tr>
        <w:tc>
          <w:tcPr/>
          <w:p>
            <w:pPr>
              <w:pStyle w:val="Compact"/>
            </w:pPr>
            <w:r>
              <w:rPr>
                <w:rFonts w:hint="eastAsia"/>
                <w:sz w:val="18"/>
              </w:rPr>
              <w:t xml:space="preserve">表C.2</w:t>
            </w:r>
            <w:r>
              <w:rPr>
                <w:sz w:val="18"/>
              </w:rPr>
              <w:t xml:space="preserve">　</w:t>
            </w:r>
            <w:r>
              <w:rPr>
                <w:rFonts w:hint="eastAsia"/>
                <w:sz w:val="18"/>
              </w:rPr>
              <w:t xml:space="preserve">分位点回帰による北海道の風力の係数</w:t>
            </w:r>
          </w:p>
        </w:tc>
        <w:tc>
          <w:tcPr/>
          <w:p>
            <w:pPr>
              <w:pStyle w:val="Compact"/>
            </w:pPr>
            <w:r>
              <w:rPr>
                <w:rStyle w:val="VerbatimChar"/>
                <w:sz w:val="18"/>
              </w:rPr>
              <w:t xml:space="preserve">quantile_moe_v3_coef.csv</w:t>
            </w:r>
            <w:r>
              <w:rPr>
                <w:sz w:val="18"/>
              </w:rPr>
              <w:t xml:space="preserve">、</w:t>
            </w:r>
            <w:r>
              <w:rPr>
                <w:rStyle w:val="VerbatimChar"/>
                <w:sz w:val="18"/>
              </w:rPr>
              <w:t xml:space="preserve">quantile_moe_v3_diff.csv</w:t>
            </w:r>
            <w:r>
              <w:rPr>
                <w:rFonts w:hint="eastAsia"/>
                <w:sz w:val="18"/>
              </w:rPr>
              <w:t xml:space="preserve">（年度別と下限張り付きを除く推定は</w:t>
            </w:r>
            <w:r>
              <w:rPr>
                <w:sz w:val="18"/>
              </w:rPr>
              <w:t xml:space="preserve"> </w:t>
            </w:r>
            <w:r>
              <w:rPr>
                <w:rStyle w:val="VerbatimChar"/>
                <w:sz w:val="18"/>
              </w:rPr>
              <w:t xml:space="preserve">quantile_moe_v3_yearly.csv</w:t>
            </w:r>
            <w:r>
              <w:rPr>
                <w:sz w:val="18"/>
              </w:rPr>
              <w:t xml:space="preserve">・</w:t>
            </w:r>
            <w:r>
              <w:rPr>
                <w:rStyle w:val="VerbatimChar"/>
                <w:sz w:val="18"/>
              </w:rPr>
              <w:t xml:space="preserve">quantile_moe_v3_floor_excl.csv</w:t>
            </w:r>
            <w:r>
              <w:rPr>
                <w:rFonts w:hint="eastAsia"/>
                <w:sz w:val="18"/>
              </w:rPr>
              <w:t xml:space="preserve">）</w:t>
            </w:r>
          </w:p>
        </w:tc>
        <w:tc>
          <w:tcPr/>
          <w:p>
            <w:pPr>
              <w:pStyle w:val="Compact"/>
            </w:pPr>
            <w:r>
              <w:rPr>
                <w:rStyle w:val="VerbatimChar"/>
                <w:sz w:val="18"/>
              </w:rPr>
              <w:t xml:space="preserve">45</w:t>
            </w:r>
          </w:p>
        </w:tc>
      </w:tr>
      <w:tr>
        <w:tc>
          <w:tcPr/>
          <w:p>
            <w:pPr>
              <w:pStyle w:val="Compact"/>
            </w:pPr>
            <w:r>
              <w:rPr>
                <w:rFonts w:hint="eastAsia"/>
                <w:sz w:val="18"/>
              </w:rPr>
              <w:t xml:space="preserve">表C.3</w:t>
            </w:r>
            <w:r>
              <w:rPr>
                <w:sz w:val="18"/>
              </w:rPr>
              <w:t xml:space="preserve">　</w:t>
            </w:r>
            <w:r>
              <w:rPr>
                <w:rFonts w:hint="eastAsia"/>
                <w:sz w:val="18"/>
              </w:rPr>
              <w:t xml:space="preserve">分位点回帰の感応度</w:t>
            </w:r>
          </w:p>
        </w:tc>
        <w:tc>
          <w:tcPr/>
          <w:p>
            <w:pPr>
              <w:pStyle w:val="Compact"/>
            </w:pPr>
            <w:r>
              <w:rPr>
                <w:rStyle w:val="VerbatimChar"/>
                <w:sz w:val="18"/>
              </w:rPr>
              <w:t xml:space="preserve">quantile_moe_v3_subperiod.csv</w:t>
            </w:r>
          </w:p>
        </w:tc>
        <w:tc>
          <w:tcPr/>
          <w:p>
            <w:pPr>
              <w:pStyle w:val="Compact"/>
            </w:pPr>
            <w:r>
              <w:rPr>
                <w:rStyle w:val="VerbatimChar"/>
                <w:sz w:val="18"/>
              </w:rPr>
              <w:t xml:space="preserve">45</w:t>
            </w:r>
            <w:r>
              <w:rPr>
                <w:rFonts w:hint="eastAsia"/>
                <w:sz w:val="18"/>
              </w:rPr>
              <w:t xml:space="preserve">（</w:t>
            </w:r>
            <w:r>
              <w:rPr>
                <w:rStyle w:val="VerbatimChar"/>
                <w:sz w:val="18"/>
              </w:rPr>
              <w:t xml:space="preserve">--subperiods</w:t>
            </w:r>
            <w:r>
              <w:rPr>
                <w:rFonts w:hint="eastAsia"/>
                <w:sz w:val="18"/>
              </w:rPr>
              <w:t xml:space="preserve">）</w:t>
            </w:r>
          </w:p>
        </w:tc>
      </w:tr>
      <w:tr>
        <w:tc>
          <w:tcPr/>
          <w:p>
            <w:pPr>
              <w:pStyle w:val="Compact"/>
            </w:pPr>
            <w:r>
              <w:rPr>
                <w:rFonts w:hint="eastAsia"/>
                <w:sz w:val="18"/>
              </w:rPr>
              <w:t xml:space="preserve">表C.4〜表C.8</w:t>
            </w:r>
            <w:r>
              <w:rPr>
                <w:sz w:val="18"/>
              </w:rPr>
              <w:t xml:space="preserve">　</w:t>
            </w:r>
            <w:r>
              <w:rPr>
                <w:rFonts w:hint="eastAsia"/>
                <w:sz w:val="18"/>
              </w:rPr>
              <w:t xml:space="preserve">集中立地の反実仮想の校正・全結果・日周の位相・検証・補正</w:t>
            </w:r>
          </w:p>
        </w:tc>
        <w:tc>
          <w:tcPr/>
          <w:p>
            <w:pPr>
              <w:pStyle w:val="Compact"/>
            </w:pPr>
            <w:r>
              <w:rPr>
                <w:rStyle w:val="VerbatimChar"/>
                <w:sz w:val="18"/>
              </w:rPr>
              <w:t xml:space="preserve">spatial_dispersion_v3_calibration.csv</w:t>
            </w:r>
            <w:r>
              <w:rPr>
                <w:sz w:val="18"/>
              </w:rPr>
              <w:t xml:space="preserve">、</w:t>
            </w:r>
            <w:r>
              <w:rPr>
                <w:rStyle w:val="VerbatimChar"/>
                <w:sz w:val="18"/>
              </w:rPr>
              <w:t xml:space="preserve">spatial_dispersion_v3_table64.csv</w:t>
            </w:r>
            <w:r>
              <w:rPr>
                <w:sz w:val="18"/>
              </w:rPr>
              <w:t xml:space="preserve">、</w:t>
            </w:r>
            <w:r>
              <w:rPr>
                <w:rStyle w:val="VerbatimChar"/>
                <w:sz w:val="18"/>
              </w:rPr>
              <w:t xml:space="preserve">spatial_dispersion_v3_phase.csv</w:t>
            </w:r>
            <w:r>
              <w:rPr>
                <w:sz w:val="18"/>
              </w:rPr>
              <w:t xml:space="preserve">、</w:t>
            </w:r>
            <w:r>
              <w:rPr>
                <w:rStyle w:val="VerbatimChar"/>
                <w:sz w:val="18"/>
              </w:rPr>
              <w:t xml:space="preserve">spatial_dispersion_v3_validation.csv</w:t>
            </w:r>
            <w:r>
              <w:rPr>
                <w:sz w:val="18"/>
              </w:rPr>
              <w:t xml:space="preserve">、</w:t>
            </w:r>
            <w:r>
              <w:rPr>
                <w:rStyle w:val="VerbatimChar"/>
                <w:sz w:val="18"/>
              </w:rPr>
              <w:t xml:space="preserve">spatial_dispersion_v3_correction.csv</w:t>
            </w:r>
          </w:p>
        </w:tc>
        <w:tc>
          <w:tcPr/>
          <w:p>
            <w:pPr>
              <w:pStyle w:val="Compact"/>
            </w:pPr>
            <w:r>
              <w:rPr>
                <w:rStyle w:val="VerbatimChar"/>
                <w:sz w:val="18"/>
              </w:rPr>
              <w:t xml:space="preserve">47</w:t>
            </w:r>
          </w:p>
        </w:tc>
      </w:tr>
      <w:tr>
        <w:tc>
          <w:tcPr/>
          <w:p>
            <w:pPr>
              <w:pStyle w:val="Compact"/>
            </w:pPr>
            <w:r>
              <w:rPr>
                <w:rFonts w:hint="eastAsia"/>
                <w:sz w:val="18"/>
              </w:rPr>
              <w:t xml:space="preserve">表C.9・表C.10</w:t>
            </w:r>
            <w:r>
              <w:rPr>
                <w:sz w:val="18"/>
              </w:rPr>
              <w:t xml:space="preserve">　</w:t>
            </w:r>
            <w:r>
              <w:rPr>
                <w:rFonts w:hint="eastAsia"/>
                <w:sz w:val="18"/>
              </w:rPr>
              <w:t xml:space="preserve">風力・太陽光の時刻別係数ベクトルの形（全標本、2021年1月を除く）</w:t>
            </w:r>
          </w:p>
        </w:tc>
        <w:tc>
          <w:tcPr/>
          <w:p>
            <w:pPr>
              <w:pStyle w:val="Compact"/>
            </w:pPr>
            <w:r>
              <w:rPr>
                <w:rStyle w:val="VerbatimChar"/>
                <w:sz w:val="18"/>
              </w:rPr>
              <w:t xml:space="preserve">regv3_pca_shape_ewc.csv</w:t>
            </w:r>
            <w:r>
              <w:rPr>
                <w:sz w:val="18"/>
              </w:rPr>
              <w:t xml:space="preserve">、</w:t>
            </w:r>
            <w:r>
              <w:rPr>
                <w:rStyle w:val="VerbatimChar"/>
                <w:sz w:val="18"/>
              </w:rPr>
              <w:t xml:space="preserve">regv3_pca_contrasts_ewc.csv</w:t>
            </w:r>
            <w:r>
              <w:rPr>
                <w:rFonts w:hint="eastAsia"/>
                <w:sz w:val="18"/>
              </w:rPr>
              <w:t xml:space="preserve">（5.7節の本文は</w:t>
            </w:r>
            <w:r>
              <w:rPr>
                <w:sz w:val="18"/>
              </w:rPr>
              <w:t xml:space="preserve"> </w:t>
            </w:r>
            <w:r>
              <w:rPr>
                <w:rStyle w:val="VerbatimChar"/>
                <w:sz w:val="18"/>
              </w:rPr>
              <w:t xml:space="preserve">regv3_pca_variance.csv</w:t>
            </w:r>
            <w:r>
              <w:rPr>
                <w:sz w:val="18"/>
              </w:rPr>
              <w:t xml:space="preserve">・</w:t>
            </w:r>
            <w:r>
              <w:rPr>
                <w:rStyle w:val="VerbatimChar"/>
                <w:sz w:val="18"/>
              </w:rPr>
              <w:t xml:space="preserve">regv3_pca_factor_ewc.csv</w:t>
            </w:r>
            <w:r>
              <w:rPr>
                <w:sz w:val="18"/>
              </w:rPr>
              <w:t xml:space="preserve">・</w:t>
            </w:r>
            <w:r>
              <w:rPr>
                <w:rStyle w:val="VerbatimChar"/>
                <w:sz w:val="18"/>
              </w:rPr>
              <w:t xml:space="preserve">regv3_pca_hourly_ewc.csv</w:t>
            </w:r>
            <w:r>
              <w:rPr>
                <w:sz w:val="18"/>
              </w:rPr>
              <w:t xml:space="preserve">・</w:t>
            </w:r>
            <w:r>
              <w:rPr>
                <w:rStyle w:val="VerbatimChar"/>
                <w:sz w:val="18"/>
              </w:rPr>
              <w:t xml:space="preserve">regv3_pca_tb4_channels.csv</w:t>
            </w:r>
            <w:r>
              <w:rPr>
                <w:sz w:val="18"/>
              </w:rPr>
              <w:t xml:space="preserve"> </w:t>
            </w:r>
            <w:r>
              <w:rPr>
                <w:sz w:val="18"/>
              </w:rPr>
              <w:t xml:space="preserve">と、</w:t>
            </w:r>
            <w:r>
              <w:rPr>
                <w:rStyle w:val="VerbatimChar"/>
                <w:sz w:val="18"/>
              </w:rPr>
              <w:t xml:space="preserve">34</w:t>
            </w:r>
            <w:r>
              <w:rPr>
                <w:sz w:val="18"/>
              </w:rPr>
              <w:t xml:space="preserve"> </w:t>
            </w:r>
            <w:r>
              <w:rPr>
                <w:sz w:val="18"/>
              </w:rPr>
              <w:t xml:space="preserve">の</w:t>
            </w:r>
            <w:r>
              <w:rPr>
                <w:sz w:val="18"/>
              </w:rPr>
              <w:t xml:space="preserve"> </w:t>
            </w:r>
            <w:r>
              <w:rPr>
                <w:rStyle w:val="VerbatimChar"/>
                <w:sz w:val="18"/>
              </w:rPr>
              <w:t xml:space="preserve">price_curve_pca_variance.csv</w:t>
            </w:r>
            <w:r>
              <w:rPr>
                <w:sz w:val="18"/>
              </w:rPr>
              <w:t xml:space="preserve">・</w:t>
            </w:r>
            <w:r>
              <w:rPr>
                <w:rStyle w:val="VerbatimChar"/>
                <w:sz w:val="18"/>
              </w:rPr>
              <w:t xml:space="preserve">price_curve_pca_loadings.csv</w:t>
            </w:r>
            <w:r>
              <w:rPr>
                <w:sz w:val="18"/>
              </w:rPr>
              <w:t xml:space="preserve">・</w:t>
            </w:r>
            <w:r>
              <w:rPr>
                <w:rStyle w:val="VerbatimChar"/>
                <w:sz w:val="18"/>
              </w:rPr>
              <w:t xml:space="preserve">price_curve_pca_metrics_corr.csv</w:t>
            </w:r>
            <w:r>
              <w:rPr>
                <w:rFonts w:hint="eastAsia"/>
                <w:sz w:val="18"/>
              </w:rPr>
              <w:t xml:space="preserve">）</w:t>
            </w:r>
          </w:p>
        </w:tc>
        <w:tc>
          <w:tcPr/>
          <w:p>
            <w:pPr>
              <w:pStyle w:val="Compact"/>
            </w:pPr>
            <w:r>
              <w:rPr>
                <w:rStyle w:val="VerbatimChar"/>
                <w:sz w:val="18"/>
              </w:rPr>
              <w:t xml:space="preserve">44</w:t>
            </w:r>
            <w:r>
              <w:rPr>
                <w:sz w:val="18"/>
              </w:rPr>
              <w:t xml:space="preserve">、</w:t>
            </w:r>
            <w:r>
              <w:rPr>
                <w:rStyle w:val="VerbatimChar"/>
                <w:sz w:val="18"/>
              </w:rPr>
              <w:t xml:space="preserve">34</w:t>
            </w:r>
          </w:p>
        </w:tc>
      </w:tr>
      <w:tr>
        <w:tc>
          <w:tcPr/>
          <w:p>
            <w:pPr>
              <w:pStyle w:val="Compact"/>
            </w:pPr>
            <w:r>
              <w:rPr>
                <w:rFonts w:hint="eastAsia"/>
                <w:sz w:val="18"/>
              </w:rPr>
              <w:t xml:space="preserve">表C.11</w:t>
            </w:r>
            <w:r>
              <w:rPr>
                <w:sz w:val="18"/>
              </w:rPr>
              <w:t xml:space="preserve">　Fuke and </w:t>
            </w:r>
            <w:r>
              <w:rPr>
                <w:rFonts w:hint="eastAsia"/>
                <w:sz w:val="18"/>
              </w:rPr>
              <w:t xml:space="preserve">Ohashi（2025）の仕様の再現</w:t>
            </w:r>
          </w:p>
        </w:tc>
        <w:tc>
          <w:tcPr/>
          <w:p>
            <w:pPr>
              <w:pStyle w:val="Compact"/>
            </w:pPr>
            <w:r>
              <w:rPr>
                <w:rStyle w:val="VerbatimChar"/>
                <w:sz w:val="18"/>
              </w:rPr>
              <w:t xml:space="preserve">fo_replication_results.csv</w:t>
            </w:r>
          </w:p>
        </w:tc>
        <w:tc>
          <w:tcPr/>
          <w:p>
            <w:pPr>
              <w:pStyle w:val="Compact"/>
            </w:pPr>
            <w:r>
              <w:rPr>
                <w:rStyle w:val="VerbatimChar"/>
                <w:sz w:val="18"/>
              </w:rPr>
              <w:t xml:space="preserve">25</w:t>
            </w:r>
          </w:p>
        </w:tc>
      </w:tr>
      <w:tr>
        <w:tc>
          <w:tcPr/>
          <w:p>
            <w:pPr>
              <w:pStyle w:val="Compact"/>
            </w:pPr>
            <w:r>
              <w:rPr>
                <w:rFonts w:hint="eastAsia"/>
                <w:sz w:val="18"/>
              </w:rPr>
              <w:t xml:space="preserve">表C.12・表C.13</w:t>
            </w:r>
            <w:r>
              <w:rPr>
                <w:sz w:val="18"/>
              </w:rPr>
              <w:t xml:space="preserve">　</w:t>
            </w:r>
            <w:r>
              <w:rPr>
                <w:rFonts w:hint="eastAsia"/>
                <w:sz w:val="18"/>
              </w:rPr>
              <w:t xml:space="preserve">日間の変動性と日内スプレッド（太陽光・風力）</w:t>
            </w:r>
          </w:p>
        </w:tc>
        <w:tc>
          <w:tcPr/>
          <w:p>
            <w:pPr>
              <w:pStyle w:val="Compact"/>
            </w:pPr>
            <w:r>
              <w:rPr>
                <w:rStyle w:val="VerbatimChar"/>
                <w:sz w:val="18"/>
              </w:rPr>
              <w:t xml:space="preserve">regv3_fo_tables.csv</w:t>
            </w:r>
            <w:r>
              <w:rPr>
                <w:rFonts w:hint="eastAsia"/>
                <w:sz w:val="18"/>
              </w:rPr>
              <w:t xml:space="preserve">（係数は</w:t>
            </w:r>
            <w:r>
              <w:rPr>
                <w:sz w:val="18"/>
              </w:rPr>
              <w:t xml:space="preserve"> </w:t>
            </w:r>
            <w:r>
              <w:rPr>
                <w:rStyle w:val="VerbatimChar"/>
                <w:sz w:val="18"/>
              </w:rPr>
              <w:t xml:space="preserve">fo_replication_results.csv</w:t>
            </w:r>
            <w:r>
              <w:rPr>
                <w:rFonts w:hint="eastAsia"/>
                <w:sz w:val="18"/>
              </w:rPr>
              <w:t xml:space="preserve">）</w:t>
            </w:r>
          </w:p>
        </w:tc>
        <w:tc>
          <w:tcPr/>
          <w:p>
            <w:pPr>
              <w:pStyle w:val="Compact"/>
            </w:pPr>
            <w:r>
              <w:rPr>
                <w:rStyle w:val="VerbatimChar"/>
                <w:sz w:val="18"/>
              </w:rPr>
              <w:t xml:space="preserve">44</w:t>
            </w:r>
            <w:r>
              <w:rPr>
                <w:sz w:val="18"/>
              </w:rPr>
              <w:t xml:space="preserve">、</w:t>
            </w:r>
            <w:r>
              <w:rPr>
                <w:rStyle w:val="VerbatimChar"/>
                <w:sz w:val="18"/>
              </w:rPr>
              <w:t xml:space="preserve">25</w:t>
            </w:r>
          </w:p>
        </w:tc>
      </w:tr>
      <w:tr>
        <w:tc>
          <w:tcPr/>
          <w:p>
            <w:pPr>
              <w:pStyle w:val="Compact"/>
            </w:pPr>
            <w:r>
              <w:rPr>
                <w:rFonts w:hint="eastAsia"/>
                <w:sz w:val="18"/>
              </w:rPr>
              <w:t xml:space="preserve">表C.14</w:t>
            </w:r>
            <w:r>
              <w:rPr>
                <w:sz w:val="18"/>
              </w:rPr>
              <w:t xml:space="preserve">　</w:t>
            </w:r>
            <w:r>
              <w:rPr>
                <w:rFonts w:hint="eastAsia"/>
                <w:sz w:val="18"/>
              </w:rPr>
              <w:t xml:space="preserve">燃料危機期を除いた日次回帰</w:t>
            </w:r>
          </w:p>
        </w:tc>
        <w:tc>
          <w:tcPr/>
          <w:p>
            <w:pPr>
              <w:pStyle w:val="Compact"/>
            </w:pPr>
            <w:r>
              <w:rPr>
                <w:rStyle w:val="VerbatimChar"/>
                <w:sz w:val="18"/>
              </w:rPr>
              <w:t xml:space="preserve">vol_regression_results_ex21-22.csv</w:t>
            </w:r>
            <w:r>
              <w:rPr>
                <w:rFonts w:hint="eastAsia"/>
                <w:sz w:val="18"/>
              </w:rPr>
              <w:t xml:space="preserve">（係数）、</w:t>
            </w:r>
            <w:r>
              <w:rPr>
                <w:rStyle w:val="VerbatimChar"/>
                <w:sz w:val="18"/>
              </w:rPr>
              <w:t xml:space="preserve">robust_inference_specs.csv</w:t>
            </w:r>
            <w:r>
              <w:rPr>
                <w:sz w:val="18"/>
              </w:rPr>
              <w:t xml:space="preserve"> </w:t>
            </w:r>
            <w:r>
              <w:rPr>
                <w:rFonts w:hint="eastAsia"/>
                <w:sz w:val="18"/>
              </w:rPr>
              <w:t xml:space="preserve">の除外標本の行（星）、相対価格の比較は</w:t>
            </w:r>
            <w:r>
              <w:rPr>
                <w:sz w:val="18"/>
              </w:rPr>
              <w:t xml:space="preserve"> </w:t>
            </w:r>
            <w:r>
              <w:rPr>
                <w:rStyle w:val="VerbatimChar"/>
                <w:sz w:val="18"/>
              </w:rPr>
              <w:t xml:space="preserve">regv3_relative_price.csv</w:t>
            </w:r>
          </w:p>
        </w:tc>
        <w:tc>
          <w:tcPr/>
          <w:p>
            <w:pPr>
              <w:pStyle w:val="Compact"/>
            </w:pPr>
            <w:r>
              <w:rPr>
                <w:rStyle w:val="VerbatimChar"/>
                <w:sz w:val="18"/>
              </w:rPr>
              <w:t xml:space="preserve">24</w:t>
            </w:r>
            <w:r>
              <w:rPr>
                <w:rFonts w:hint="eastAsia"/>
                <w:sz w:val="18"/>
              </w:rPr>
              <w:t xml:space="preserve">（</w:t>
            </w:r>
            <w:r>
              <w:rPr>
                <w:rStyle w:val="VerbatimChar"/>
                <w:sz w:val="18"/>
              </w:rPr>
              <w:t xml:space="preserve">EXCLUDE_FY=2021,2022</w:t>
            </w:r>
            <w:r>
              <w:rPr>
                <w:rFonts w:hint="eastAsia"/>
                <w:sz w:val="18"/>
              </w:rPr>
              <w:t xml:space="preserve">）、</w:t>
            </w:r>
            <w:r>
              <w:rPr>
                <w:rStyle w:val="VerbatimChar"/>
                <w:sz w:val="18"/>
              </w:rPr>
              <w:t xml:space="preserve">37</w:t>
            </w:r>
            <w:r>
              <w:rPr>
                <w:sz w:val="18"/>
              </w:rPr>
              <w:t xml:space="preserve">、</w:t>
            </w:r>
            <w:r>
              <w:rPr>
                <w:rStyle w:val="VerbatimChar"/>
                <w:sz w:val="18"/>
              </w:rPr>
              <w:t xml:space="preserve">44</w:t>
            </w:r>
          </w:p>
        </w:tc>
      </w:tr>
      <w:tr>
        <w:tc>
          <w:tcPr/>
          <w:p>
            <w:pPr>
              <w:pStyle w:val="Compact"/>
            </w:pPr>
            <w:r>
              <w:rPr>
                <w:rFonts w:hint="eastAsia"/>
                <w:sz w:val="18"/>
              </w:rPr>
              <w:t xml:space="preserve">表C.15</w:t>
            </w:r>
            <w:r>
              <w:rPr>
                <w:sz w:val="18"/>
              </w:rPr>
              <w:t xml:space="preserve">　</w:t>
            </w:r>
            <w:r>
              <w:rPr>
                <w:rFonts w:hint="eastAsia"/>
                <w:sz w:val="18"/>
              </w:rPr>
              <w:t xml:space="preserve">推論法・仕様・標本による違い</w:t>
            </w:r>
          </w:p>
        </w:tc>
        <w:tc>
          <w:tcPr/>
          <w:p>
            <w:pPr>
              <w:pStyle w:val="Compact"/>
            </w:pPr>
            <w:r>
              <w:rPr>
                <w:rStyle w:val="VerbatimChar"/>
                <w:sz w:val="18"/>
              </w:rPr>
              <w:t xml:space="preserve">robust_inference_table62.csv</w:t>
            </w:r>
            <w:r>
              <w:rPr>
                <w:sz w:val="18"/>
              </w:rPr>
              <w:t xml:space="preserve">、</w:t>
            </w:r>
            <w:r>
              <w:rPr>
                <w:rStyle w:val="VerbatimChar"/>
                <w:sz w:val="18"/>
              </w:rPr>
              <w:t xml:space="preserve">robust_inference_specs.csv</w:t>
            </w:r>
          </w:p>
        </w:tc>
        <w:tc>
          <w:tcPr/>
          <w:p>
            <w:pPr>
              <w:pStyle w:val="Compact"/>
            </w:pPr>
            <w:r>
              <w:rPr>
                <w:rStyle w:val="VerbatimChar"/>
                <w:sz w:val="18"/>
              </w:rPr>
              <w:t xml:space="preserve">37</w:t>
            </w:r>
          </w:p>
        </w:tc>
      </w:tr>
      <w:tr>
        <w:tc>
          <w:tcPr/>
          <w:p>
            <w:pPr>
              <w:pStyle w:val="Compact"/>
            </w:pPr>
            <w:r>
              <w:rPr>
                <w:rFonts w:hint="eastAsia"/>
                <w:sz w:val="18"/>
              </w:rPr>
              <w:t xml:space="preserve">表C.16</w:t>
            </w:r>
            <w:r>
              <w:rPr>
                <w:sz w:val="18"/>
              </w:rPr>
              <w:t xml:space="preserve">　</w:t>
            </w:r>
            <w:r>
              <w:rPr>
                <w:rFonts w:hint="eastAsia"/>
                <w:sz w:val="18"/>
              </w:rPr>
              <w:t xml:space="preserve">暦月の4季節の区分による係数</w:t>
            </w:r>
          </w:p>
        </w:tc>
        <w:tc>
          <w:tcPr/>
          <w:p>
            <w:pPr>
              <w:pStyle w:val="Compact"/>
            </w:pPr>
            <w:r>
              <w:rPr>
                <w:rStyle w:val="VerbatimChar"/>
                <w:sz w:val="18"/>
              </w:rPr>
              <w:t xml:space="preserve">regv3_cal4_panelC.csv</w:t>
            </w:r>
            <w:r>
              <w:rPr>
                <w:rFonts w:hint="eastAsia"/>
                <w:sz w:val="18"/>
              </w:rPr>
              <w:t xml:space="preserve">（春の純需要の三分位は</w:t>
            </w:r>
            <w:r>
              <w:rPr>
                <w:sz w:val="18"/>
              </w:rPr>
              <w:t xml:space="preserve"> </w:t>
            </w:r>
            <w:r>
              <w:rPr>
                <w:rStyle w:val="VerbatimChar"/>
                <w:sz w:val="18"/>
              </w:rPr>
              <w:t xml:space="preserve">regv3_spring_netdemand.csv</w:t>
            </w:r>
            <w:r>
              <w:rPr>
                <w:rFonts w:hint="eastAsia"/>
                <w:sz w:val="18"/>
              </w:rPr>
              <w:t xml:space="preserve">）</w:t>
            </w:r>
          </w:p>
        </w:tc>
        <w:tc>
          <w:tcPr/>
          <w:p>
            <w:pPr>
              <w:pStyle w:val="Compact"/>
            </w:pPr>
            <w:r>
              <w:rPr>
                <w:rStyle w:val="VerbatimChar"/>
                <w:sz w:val="18"/>
              </w:rPr>
              <w:t xml:space="preserve">44</w:t>
            </w:r>
          </w:p>
        </w:tc>
      </w:tr>
      <w:tr>
        <w:tc>
          <w:tcPr/>
          <w:p>
            <w:pPr>
              <w:pStyle w:val="Compact"/>
            </w:pPr>
            <w:r>
              <w:rPr>
                <w:rFonts w:hint="eastAsia"/>
                <w:sz w:val="18"/>
              </w:rPr>
              <w:t xml:space="preserve">表C.17</w:t>
            </w:r>
            <w:r>
              <w:rPr>
                <w:sz w:val="18"/>
              </w:rPr>
              <w:t xml:space="preserve">　duration </w:t>
            </w:r>
            <w:r>
              <w:rPr>
                <w:rFonts w:hint="eastAsia"/>
                <w:sz w:val="18"/>
              </w:rPr>
              <w:t xml:space="preserve">別の参入閾値</w:t>
            </w:r>
          </w:p>
        </w:tc>
        <w:tc>
          <w:tcPr/>
          <w:p>
            <w:pPr>
              <w:pStyle w:val="Compact"/>
            </w:pPr>
            <w:r>
              <w:rPr>
                <w:rStyle w:val="VerbatimChar"/>
                <w:sz w:val="18"/>
              </w:rPr>
              <w:t xml:space="preserve">duration_theta_star_v3.csv</w:t>
            </w:r>
            <w:r>
              <w:rPr>
                <w:sz w:val="18"/>
              </w:rPr>
              <w:t xml:space="preserve">、</w:t>
            </w:r>
            <w:r>
              <w:rPr>
                <w:rStyle w:val="VerbatimChar"/>
                <w:sz w:val="18"/>
              </w:rPr>
              <w:t xml:space="preserve">duration_value_v3.csv</w:t>
            </w:r>
            <w:r>
              <w:rPr>
                <w:rFonts w:hint="eastAsia"/>
                <w:sz w:val="18"/>
              </w:rPr>
              <w:t xml:space="preserve">（競争均衡の閾値の比は</w:t>
            </w:r>
            <w:r>
              <w:rPr>
                <w:sz w:val="18"/>
              </w:rPr>
              <w:t xml:space="preserve"> </w:t>
            </w:r>
            <w:r>
              <w:rPr>
                <w:rStyle w:val="VerbatimChar"/>
                <w:sz w:val="18"/>
              </w:rPr>
              <w:t xml:space="preserve">real_option_short_duration.csv</w:t>
            </w:r>
            <w:r>
              <w:rPr>
                <w:rFonts w:hint="eastAsia"/>
                <w:sz w:val="18"/>
              </w:rPr>
              <w:t xml:space="preserve">／</w:t>
            </w:r>
            <w:r>
              <w:rPr>
                <w:rStyle w:val="VerbatimChar"/>
                <w:sz w:val="18"/>
              </w:rPr>
              <w:t xml:space="preserve">38</w:t>
            </w:r>
            <w:r>
              <w:rPr>
                <w:rFonts w:hint="eastAsia"/>
                <w:sz w:val="18"/>
              </w:rPr>
              <w:t xml:space="preserve">）</w:t>
            </w:r>
          </w:p>
        </w:tc>
        <w:tc>
          <w:tcPr/>
          <w:p>
            <w:pPr>
              <w:pStyle w:val="Compact"/>
            </w:pPr>
            <w:r>
              <w:rPr>
                <w:rStyle w:val="VerbatimChar"/>
                <w:sz w:val="18"/>
              </w:rPr>
              <w:t xml:space="preserve">48</w:t>
            </w:r>
          </w:p>
        </w:tc>
      </w:tr>
      <w:tr>
        <w:tc>
          <w:tcPr/>
          <w:p>
            <w:pPr>
              <w:pStyle w:val="Compact"/>
            </w:pPr>
            <w:r>
              <w:rPr>
                <w:rFonts w:hint="eastAsia"/>
                <w:sz w:val="18"/>
              </w:rPr>
              <w:t xml:space="preserve">表C.18</w:t>
            </w:r>
            <w:r>
              <w:rPr>
                <w:sz w:val="18"/>
              </w:rPr>
              <w:t xml:space="preserve">　</w:t>
            </w:r>
            <w:r>
              <w:rPr>
                <w:rFonts w:hint="eastAsia"/>
                <w:sz w:val="18"/>
              </w:rPr>
              <w:t xml:space="preserve">実行可能戦略の実現率と検定</w:t>
            </w:r>
          </w:p>
        </w:tc>
        <w:tc>
          <w:tcPr/>
          <w:p>
            <w:pPr>
              <w:pStyle w:val="Compact"/>
            </w:pPr>
            <w:r>
              <w:rPr>
                <w:rStyle w:val="VerbatimChar"/>
                <w:sz w:val="18"/>
              </w:rPr>
              <w:t xml:space="preserve">strategy_tests.csv</w:t>
            </w:r>
            <w:r>
              <w:rPr>
                <w:sz w:val="18"/>
              </w:rPr>
              <w:t xml:space="preserve">、</w:t>
            </w:r>
            <w:r>
              <w:rPr>
                <w:rStyle w:val="VerbatimChar"/>
                <w:sz w:val="18"/>
              </w:rPr>
              <w:t xml:space="preserve">strategy_capture_annual.csv</w:t>
            </w:r>
          </w:p>
        </w:tc>
        <w:tc>
          <w:tcPr/>
          <w:p>
            <w:pPr>
              <w:pStyle w:val="Compact"/>
            </w:pPr>
            <w:r>
              <w:rPr>
                <w:rStyle w:val="VerbatimChar"/>
                <w:sz w:val="18"/>
              </w:rPr>
              <w:t xml:space="preserve">36</w:t>
            </w:r>
          </w:p>
        </w:tc>
      </w:tr>
      <w:tr>
        <w:tc>
          <w:tcPr/>
          <w:p>
            <w:pPr>
              <w:pStyle w:val="Compact"/>
            </w:pPr>
            <w:r>
              <w:rPr>
                <w:rFonts w:hint="eastAsia"/>
                <w:sz w:val="18"/>
              </w:rPr>
              <w:t xml:space="preserve">表C.19・表C.20</w:t>
            </w:r>
            <w:r>
              <w:rPr>
                <w:sz w:val="18"/>
              </w:rPr>
              <w:t xml:space="preserve">　SPA </w:t>
            </w:r>
            <w:r>
              <w:rPr>
                <w:rFonts w:hint="eastAsia"/>
                <w:sz w:val="18"/>
              </w:rPr>
              <w:t xml:space="preserve">検定と</w:t>
            </w:r>
            <w:r>
              <w:rPr>
                <w:sz w:val="18"/>
              </w:rPr>
              <w:t xml:space="preserve"> Reality </w:t>
            </w:r>
            <w:r>
              <w:rPr>
                <w:rFonts w:hint="eastAsia"/>
                <w:sz w:val="18"/>
              </w:rPr>
              <w:t xml:space="preserve">Check、動的因子予測</w:t>
            </w:r>
          </w:p>
        </w:tc>
        <w:tc>
          <w:tcPr/>
          <w:p>
            <w:pPr>
              <w:pStyle w:val="Compact"/>
            </w:pPr>
            <w:r>
              <w:rPr>
                <w:rStyle w:val="VerbatimChar"/>
                <w:sz w:val="18"/>
              </w:rPr>
              <w:t xml:space="preserve">strategy_tests.csv</w:t>
            </w:r>
          </w:p>
        </w:tc>
        <w:tc>
          <w:tcPr/>
          <w:p>
            <w:pPr>
              <w:pStyle w:val="Compact"/>
            </w:pPr>
            <w:r>
              <w:rPr>
                <w:rStyle w:val="VerbatimChar"/>
                <w:sz w:val="18"/>
              </w:rPr>
              <w:t xml:space="preserve">36</w:t>
            </w:r>
          </w:p>
        </w:tc>
      </w:tr>
      <w:tr>
        <w:tc>
          <w:tcPr/>
          <w:p>
            <w:pPr>
              <w:pStyle w:val="Compact"/>
            </w:pPr>
            <w:r>
              <w:rPr>
                <w:rFonts w:hint="eastAsia"/>
                <w:sz w:val="18"/>
              </w:rPr>
              <w:t xml:space="preserve">表C.21</w:t>
            </w:r>
            <w:r>
              <w:rPr>
                <w:sz w:val="18"/>
              </w:rPr>
              <w:t xml:space="preserve">　</w:t>
            </w:r>
            <w:r>
              <w:rPr>
                <w:rFonts w:hint="eastAsia"/>
                <w:sz w:val="18"/>
              </w:rPr>
              <w:t xml:space="preserve">基本仕様の価格過程の標本内の再現</w:t>
            </w:r>
          </w:p>
        </w:tc>
        <w:tc>
          <w:tcPr/>
          <w:p>
            <w:pPr>
              <w:pStyle w:val="Compact"/>
            </w:pPr>
            <w:r>
              <w:rPr>
                <w:rFonts w:hint="eastAsia"/>
                <w:sz w:val="18"/>
              </w:rPr>
              <w:t xml:space="preserve">—（</w:t>
            </w:r>
            <w:r>
              <w:rPr>
                <w:rStyle w:val="VerbatimChar"/>
                <w:sz w:val="18"/>
              </w:rPr>
              <w:t xml:space="preserve">13</w:t>
            </w:r>
            <w:r>
              <w:rPr>
                <w:sz w:val="18"/>
              </w:rPr>
              <w:t xml:space="preserve"> </w:t>
            </w:r>
            <w:r>
              <w:rPr>
                <w:rFonts w:hint="eastAsia"/>
                <w:sz w:val="18"/>
              </w:rPr>
              <w:t xml:space="preserve">の標準出力）</w:t>
            </w:r>
          </w:p>
        </w:tc>
        <w:tc>
          <w:tcPr/>
          <w:p>
            <w:pPr>
              <w:pStyle w:val="Compact"/>
            </w:pPr>
            <w:r>
              <w:rPr>
                <w:rStyle w:val="VerbatimChar"/>
                <w:sz w:val="18"/>
              </w:rPr>
              <w:t xml:space="preserve">13</w:t>
            </w:r>
          </w:p>
        </w:tc>
      </w:tr>
      <w:tr>
        <w:tc>
          <w:tcPr/>
          <w:p>
            <w:pPr>
              <w:pStyle w:val="Compact"/>
            </w:pPr>
            <w:r>
              <w:rPr>
                <w:rFonts w:hint="eastAsia"/>
                <w:sz w:val="18"/>
              </w:rPr>
              <w:t xml:space="preserve">表C.22</w:t>
            </w:r>
            <w:r>
              <w:rPr>
                <w:sz w:val="18"/>
              </w:rPr>
              <w:t xml:space="preserve">　</w:t>
            </w:r>
            <w:r>
              <w:rPr>
                <w:rFonts w:hint="eastAsia"/>
                <w:sz w:val="18"/>
              </w:rPr>
              <w:t xml:space="preserve">価格過程の風力への条件付き応答の検証</w:t>
            </w:r>
          </w:p>
        </w:tc>
        <w:tc>
          <w:tcPr/>
          <w:p>
            <w:pPr>
              <w:pStyle w:val="Compact"/>
            </w:pPr>
            <w:r>
              <w:rPr>
                <w:rStyle w:val="VerbatimChar"/>
                <w:sz w:val="18"/>
              </w:rPr>
              <w:t xml:space="preserve">price_model_validation.csv</w:t>
            </w:r>
            <w:r>
              <w:rPr>
                <w:rFonts w:hint="eastAsia"/>
                <w:sz w:val="18"/>
              </w:rPr>
              <w:t xml:space="preserve">（</w:t>
            </w:r>
            <m:oMath>
              <m:r>
                <m:t>λ</m:t>
              </m:r>
            </m:oMath>
            <w:r>
              <w:rPr>
                <w:sz w:val="18"/>
              </w:rPr>
              <w:t xml:space="preserve"> </w:t>
            </w:r>
            <w:r>
              <w:rPr>
                <w:rFonts w:hint="eastAsia"/>
                <w:sz w:val="18"/>
              </w:rPr>
              <w:t xml:space="preserve">と期間別の実績/モデルの比は</w:t>
            </w:r>
            <w:r>
              <w:rPr>
                <w:sz w:val="18"/>
              </w:rPr>
              <w:t xml:space="preserve"> </w:t>
            </w:r>
            <w:r>
              <w:rPr>
                <w:rStyle w:val="VerbatimChar"/>
                <w:sz w:val="18"/>
              </w:rPr>
              <w:t xml:space="preserve">price_model_level_ratios.csv</w:t>
            </w:r>
            <w:r>
              <w:rPr>
                <w:rFonts w:hint="eastAsia"/>
                <w:sz w:val="18"/>
              </w:rPr>
              <w:t xml:space="preserve">）</w:t>
            </w:r>
          </w:p>
        </w:tc>
        <w:tc>
          <w:tcPr/>
          <w:p>
            <w:pPr>
              <w:pStyle w:val="Compact"/>
            </w:pPr>
            <w:r>
              <w:rPr>
                <w:rStyle w:val="VerbatimChar"/>
                <w:sz w:val="18"/>
              </w:rPr>
              <w:t xml:space="preserve">41</w:t>
            </w:r>
          </w:p>
        </w:tc>
      </w:tr>
      <w:tr>
        <w:tc>
          <w:tcPr/>
          <w:p>
            <w:pPr>
              <w:pStyle w:val="Compact"/>
            </w:pPr>
            <w:r>
              <w:rPr>
                <w:rFonts w:hint="eastAsia"/>
                <w:sz w:val="18"/>
              </w:rPr>
              <w:t xml:space="preserve">表C.23</w:t>
            </w:r>
            <w:r>
              <w:rPr>
                <w:sz w:val="18"/>
              </w:rPr>
              <w:t xml:space="preserve">　</w:t>
            </w:r>
            <w:r>
              <w:rPr>
                <w:rFonts w:hint="eastAsia"/>
                <w:sz w:val="18"/>
              </w:rPr>
              <w:t xml:space="preserve">構造イベントの部分均衡効果</w:t>
            </w:r>
          </w:p>
        </w:tc>
        <w:tc>
          <w:tcPr/>
          <w:p>
            <w:pPr>
              <w:pStyle w:val="Compact"/>
            </w:pPr>
            <w:r>
              <w:rPr>
                <w:rFonts w:hint="eastAsia"/>
                <w:sz w:val="18"/>
              </w:rPr>
              <w:t xml:space="preserve">—（</w:t>
            </w:r>
            <w:r>
              <w:rPr>
                <w:rStyle w:val="VerbatimChar"/>
                <w:sz w:val="18"/>
              </w:rPr>
              <w:t xml:space="preserve">13</w:t>
            </w:r>
            <w:r>
              <w:rPr>
                <w:sz w:val="18"/>
              </w:rPr>
              <w:t xml:space="preserve"> </w:t>
            </w:r>
            <w:r>
              <w:rPr>
                <w:rFonts w:hint="eastAsia"/>
                <w:sz w:val="18"/>
              </w:rPr>
              <w:t xml:space="preserve">の標準出力の構造イベントの実験。3年平均の値は</w:t>
            </w:r>
            <w:r>
              <w:rPr>
                <w:sz w:val="18"/>
              </w:rPr>
              <w:t xml:space="preserve"> </w:t>
            </w:r>
            <w:r>
              <w:rPr>
                <w:rStyle w:val="VerbatimChar"/>
                <w:sz w:val="18"/>
              </w:rPr>
              <w:t xml:space="preserve">14</w:t>
            </w:r>
            <w:r>
              <w:rPr>
                <w:sz w:val="18"/>
              </w:rPr>
              <w:t xml:space="preserve"> </w:t>
            </w:r>
            <w:r>
              <w:rPr>
                <w:sz w:val="18"/>
              </w:rPr>
              <w:t xml:space="preserve">の Excel </w:t>
            </w:r>
            <w:r>
              <w:rPr>
                <w:rFonts w:hint="eastAsia"/>
                <w:sz w:val="18"/>
              </w:rPr>
              <w:t xml:space="preserve">の記録）。上端の扱いの感応度は</w:t>
            </w:r>
            <w:r>
              <w:rPr>
                <w:sz w:val="18"/>
              </w:rPr>
              <w:t xml:space="preserve"> </w:t>
            </w:r>
            <w:r>
              <w:rPr>
                <w:rStyle w:val="VerbatimChar"/>
                <w:sz w:val="18"/>
              </w:rPr>
              <w:t xml:space="preserve">dc_upper_end_sensitivity.csv</w:t>
            </w:r>
            <w:r>
              <w:rPr>
                <w:rFonts w:hint="eastAsia"/>
                <w:sz w:val="18"/>
              </w:rPr>
              <w:t xml:space="preserve">、ベースロードの一律減の戦略</w:t>
            </w:r>
            <w:r>
              <w:rPr>
                <w:sz w:val="18"/>
              </w:rPr>
              <w:t xml:space="preserve"> c </w:t>
            </w:r>
            <w:r>
              <w:rPr>
                <w:rFonts w:hint="eastAsia"/>
                <w:sz w:val="18"/>
              </w:rPr>
              <w:t xml:space="preserve">の直接計算は</w:t>
            </w:r>
            <w:r>
              <w:rPr>
                <w:sz w:val="18"/>
              </w:rPr>
              <w:t xml:space="preserve"> </w:t>
            </w:r>
            <w:r>
              <w:rPr>
                <w:rStyle w:val="VerbatimChar"/>
                <w:sz w:val="18"/>
              </w:rPr>
              <w:t xml:space="preserve">k0_variants_direct_c_v3.csv</w:t>
            </w:r>
            <w:r>
              <w:rPr>
                <w:rFonts w:hint="eastAsia"/>
                <w:sz w:val="18"/>
              </w:rPr>
              <w:t xml:space="preserve">（いずれも</w:t>
            </w:r>
            <w:r>
              <w:rPr>
                <w:sz w:val="18"/>
              </w:rPr>
              <w:t xml:space="preserve"> </w:t>
            </w:r>
            <w:r>
              <w:rPr>
                <w:rStyle w:val="VerbatimChar"/>
                <w:sz w:val="18"/>
              </w:rPr>
              <w:t xml:space="preserve">41</w:t>
            </w:r>
            <w:r>
              <w:rPr>
                <w:rFonts w:hint="eastAsia"/>
                <w:sz w:val="18"/>
              </w:rPr>
              <w:t xml:space="preserve">）。マルコフ型の抽出（20本の平均）は検算の値で、リポジトリの出力にはない</w:t>
            </w:r>
          </w:p>
        </w:tc>
        <w:tc>
          <w:tcPr/>
          <w:p>
            <w:pPr>
              <w:pStyle w:val="Compact"/>
            </w:pPr>
            <w:r>
              <w:rPr>
                <w:rStyle w:val="VerbatimChar"/>
                <w:sz w:val="18"/>
              </w:rPr>
              <w:t xml:space="preserve">13</w:t>
            </w:r>
            <w:r>
              <w:rPr>
                <w:sz w:val="18"/>
              </w:rPr>
              <w:t xml:space="preserve">、</w:t>
            </w:r>
            <w:r>
              <w:rPr>
                <w:rStyle w:val="VerbatimChar"/>
                <w:sz w:val="18"/>
              </w:rPr>
              <w:t xml:space="preserve">14</w:t>
            </w:r>
            <w:r>
              <w:rPr>
                <w:sz w:val="18"/>
              </w:rPr>
              <w:t xml:space="preserve">、</w:t>
            </w:r>
            <w:r>
              <w:rPr>
                <w:rStyle w:val="VerbatimChar"/>
                <w:sz w:val="18"/>
              </w:rPr>
              <w:t xml:space="preserve">41</w:t>
            </w:r>
          </w:p>
        </w:tc>
      </w:tr>
      <w:tr>
        <w:tc>
          <w:tcPr/>
          <w:p>
            <w:pPr>
              <w:pStyle w:val="Compact"/>
            </w:pPr>
            <w:r>
              <w:rPr>
                <w:rFonts w:hint="eastAsia"/>
                <w:sz w:val="18"/>
              </w:rPr>
              <w:t xml:space="preserve">表C.24</w:t>
            </w:r>
            <w:r>
              <w:rPr>
                <w:sz w:val="18"/>
              </w:rPr>
              <w:t xml:space="preserve">　</w:t>
            </w:r>
            <w:r>
              <w:rPr>
                <w:rFonts w:hint="eastAsia"/>
                <w:sz w:val="18"/>
              </w:rPr>
              <w:t xml:space="preserve">風力導入量のスイープ</w:t>
            </w:r>
          </w:p>
        </w:tc>
        <w:tc>
          <w:tcPr/>
          <w:p>
            <w:pPr>
              <w:pStyle w:val="Compact"/>
            </w:pPr>
            <w:r>
              <w:rPr>
                <w:rStyle w:val="VerbatimChar"/>
                <w:sz w:val="18"/>
              </w:rPr>
              <w:t xml:space="preserve">wind_sweep_v3.csv</w:t>
            </w:r>
            <w:r>
              <w:rPr>
                <w:rFonts w:hint="eastAsia"/>
                <w:sz w:val="18"/>
              </w:rPr>
              <w:t xml:space="preserve">（計上時期の補正は</w:t>
            </w:r>
            <w:r>
              <w:rPr>
                <w:sz w:val="18"/>
              </w:rPr>
              <w:t xml:space="preserve"> </w:t>
            </w:r>
            <w:r>
              <w:rPr>
                <w:rStyle w:val="VerbatimChar"/>
                <w:sz w:val="18"/>
              </w:rPr>
              <w:t xml:space="preserve">cf_correction_kwind_specB.csv</w:t>
            </w:r>
            <w:r>
              <w:rPr>
                <w:rFonts w:hint="eastAsia"/>
                <w:sz w:val="18"/>
              </w:rPr>
              <w:t xml:space="preserve">／</w:t>
            </w:r>
            <w:r>
              <w:rPr>
                <w:rStyle w:val="VerbatimChar"/>
                <w:sz w:val="18"/>
              </w:rPr>
              <w:t xml:space="preserve">51</w:t>
            </w:r>
            <w:r>
              <w:rPr>
                <w:rFonts w:hint="eastAsia"/>
                <w:sz w:val="18"/>
              </w:rPr>
              <w:t xml:space="preserve">）</w:t>
            </w:r>
          </w:p>
        </w:tc>
        <w:tc>
          <w:tcPr/>
          <w:p>
            <w:pPr>
              <w:pStyle w:val="Compact"/>
            </w:pPr>
            <w:r>
              <w:rPr>
                <w:rStyle w:val="VerbatimChar"/>
                <w:sz w:val="18"/>
              </w:rPr>
              <w:t xml:space="preserve">41</w:t>
            </w:r>
          </w:p>
        </w:tc>
      </w:tr>
      <w:tr>
        <w:tc>
          <w:tcPr/>
          <w:p>
            <w:pPr>
              <w:pStyle w:val="Compact"/>
            </w:pPr>
            <w:r>
              <w:rPr>
                <w:rFonts w:hint="eastAsia"/>
                <w:sz w:val="18"/>
              </w:rPr>
              <w:t xml:space="preserve">表C.25</w:t>
            </w:r>
            <w:r>
              <w:rPr>
                <w:sz w:val="18"/>
              </w:rPr>
              <w:t xml:space="preserve">　</w:t>
            </w:r>
            <w:r>
              <w:rPr>
                <w:rFonts w:hint="eastAsia"/>
                <w:sz w:val="18"/>
              </w:rPr>
              <w:t xml:space="preserve">価格水準シナリオ別の実現可能スポット収益</w:t>
            </w:r>
          </w:p>
        </w:tc>
        <w:tc>
          <w:tcPr/>
          <w:p>
            <w:pPr>
              <w:pStyle w:val="Compact"/>
            </w:pPr>
            <w:r>
              <w:rPr>
                <w:rStyle w:val="VerbatimChar"/>
                <w:sz w:val="18"/>
              </w:rPr>
              <w:t xml:space="preserve">pi_k_theta_v3.csv</w:t>
            </w:r>
            <w:r>
              <w:rPr>
                <w:rFonts w:hint="eastAsia"/>
                <w:sz w:val="18"/>
              </w:rPr>
              <w:t xml:space="preserve">（FY2026上期の水準＋泊3号の列は</w:t>
            </w:r>
            <w:r>
              <w:rPr>
                <w:sz w:val="18"/>
              </w:rPr>
              <w:t xml:space="preserve"> </w:t>
            </w:r>
            <w:r>
              <w:rPr>
                <w:rStyle w:val="VerbatimChar"/>
                <w:sz w:val="18"/>
              </w:rPr>
              <w:t xml:space="preserve">pi_k_curve_v3.csv</w:t>
            </w:r>
            <w:r>
              <w:rPr>
                <w:rFonts w:hint="eastAsia"/>
                <w:sz w:val="18"/>
              </w:rPr>
              <w:t xml:space="preserve">）</w:t>
            </w:r>
          </w:p>
        </w:tc>
        <w:tc>
          <w:tcPr/>
          <w:p>
            <w:pPr>
              <w:pStyle w:val="Compact"/>
            </w:pPr>
            <w:r>
              <w:rPr>
                <w:rStyle w:val="VerbatimChar"/>
                <w:sz w:val="18"/>
              </w:rPr>
              <w:t xml:space="preserve">42</w:t>
            </w:r>
            <w:r>
              <w:rPr>
                <w:sz w:val="18"/>
              </w:rPr>
              <w:t xml:space="preserve">、</w:t>
            </w:r>
            <w:r>
              <w:rPr>
                <w:rStyle w:val="VerbatimChar"/>
                <w:sz w:val="18"/>
              </w:rPr>
              <w:t xml:space="preserve">41</w:t>
            </w:r>
          </w:p>
        </w:tc>
      </w:tr>
      <w:tr>
        <w:tc>
          <w:tcPr/>
          <w:p>
            <w:pPr>
              <w:pStyle w:val="Compact"/>
            </w:pPr>
            <w:r>
              <w:rPr>
                <w:rFonts w:hint="eastAsia"/>
                <w:sz w:val="18"/>
              </w:rPr>
              <w:t xml:space="preserve">表C.26</w:t>
            </w:r>
            <w:r>
              <w:rPr>
                <w:sz w:val="18"/>
              </w:rPr>
              <w:t xml:space="preserve">　</w:t>
            </w:r>
            <w:r>
              <w:rPr>
                <w:rFonts w:hint="eastAsia"/>
                <w:sz w:val="18"/>
              </w:rPr>
              <w:t xml:space="preserve">2次元の感応度面</w:t>
            </w:r>
          </w:p>
        </w:tc>
        <w:tc>
          <w:tcPr/>
          <w:p>
            <w:pPr>
              <w:pStyle w:val="Compact"/>
            </w:pPr>
            <w:r>
              <w:rPr>
                <w:rStyle w:val="VerbatimChar"/>
                <w:sz w:val="18"/>
              </w:rPr>
              <w:t xml:space="preserve">breakeven_surface_v3_table86.csv</w:t>
            </w:r>
            <w:r>
              <w:rPr>
                <w:rFonts w:hint="eastAsia"/>
                <w:sz w:val="18"/>
              </w:rPr>
              <w:t xml:space="preserve">（全曲線は</w:t>
            </w:r>
            <w:r>
              <w:rPr>
                <w:sz w:val="18"/>
              </w:rPr>
              <w:t xml:space="preserve"> </w:t>
            </w:r>
            <w:r>
              <w:rPr>
                <w:rStyle w:val="VerbatimChar"/>
                <w:sz w:val="18"/>
              </w:rPr>
              <w:t xml:space="preserve">breakeven_surface_v3_pik.csv</w:t>
            </w:r>
            <w:r>
              <w:rPr>
                <w:rFonts w:hint="eastAsia"/>
                <w:sz w:val="18"/>
              </w:rPr>
              <w:t xml:space="preserve">、計上時期の補正は</w:t>
            </w:r>
            <w:r>
              <w:rPr>
                <w:sz w:val="18"/>
              </w:rPr>
              <w:t xml:space="preserve"> </w:t>
            </w:r>
            <w:r>
              <w:rPr>
                <w:rStyle w:val="VerbatimChar"/>
                <w:sz w:val="18"/>
              </w:rPr>
              <w:t xml:space="preserve">cf_correction_pik.csv</w:t>
            </w:r>
            <w:r>
              <w:rPr>
                <w:sz w:val="18"/>
              </w:rPr>
              <w:t xml:space="preserve">・</w:t>
            </w:r>
            <w:r>
              <w:rPr>
                <w:rStyle w:val="VerbatimChar"/>
                <w:sz w:val="18"/>
              </w:rPr>
              <w:t xml:space="preserve">cf_correction_pik_summary.csv</w:t>
            </w:r>
            <w:r>
              <w:rPr>
                <w:rFonts w:hint="eastAsia"/>
                <w:sz w:val="18"/>
              </w:rPr>
              <w:t xml:space="preserve">／</w:t>
            </w:r>
            <w:r>
              <w:rPr>
                <w:rStyle w:val="VerbatimChar"/>
                <w:sz w:val="18"/>
              </w:rPr>
              <w:t xml:space="preserve">51</w:t>
            </w:r>
            <w:r>
              <w:rPr>
                <w:rFonts w:hint="eastAsia"/>
                <w:sz w:val="18"/>
              </w:rPr>
              <w:t xml:space="preserve">）</w:t>
            </w:r>
          </w:p>
        </w:tc>
        <w:tc>
          <w:tcPr/>
          <w:p>
            <w:pPr>
              <w:pStyle w:val="Compact"/>
            </w:pPr>
            <w:r>
              <w:rPr>
                <w:rStyle w:val="VerbatimChar"/>
                <w:sz w:val="18"/>
              </w:rPr>
              <w:t xml:space="preserve">42</w:t>
            </w:r>
          </w:p>
        </w:tc>
      </w:tr>
      <w:tr>
        <w:tc>
          <w:tcPr/>
          <w:p>
            <w:pPr>
              <w:pStyle w:val="Compact"/>
            </w:pPr>
            <w:r>
              <w:rPr>
                <w:rFonts w:hint="eastAsia"/>
                <w:sz w:val="18"/>
              </w:rPr>
              <w:t xml:space="preserve">表C.27</w:t>
            </w:r>
            <w:r>
              <w:rPr>
                <w:sz w:val="18"/>
              </w:rPr>
              <w:t xml:space="preserve">　</w:t>
            </w:r>
            <w:r>
              <w:rPr>
                <w:rFonts w:hint="eastAsia"/>
                <w:sz w:val="18"/>
              </w:rPr>
              <w:t xml:space="preserve">容量市場価格の蓄電池容量への依存</w:t>
            </w:r>
          </w:p>
        </w:tc>
        <w:tc>
          <w:tcPr/>
          <w:p>
            <w:pPr>
              <w:pStyle w:val="Compact"/>
            </w:pPr>
            <w:r>
              <w:rPr>
                <w:rStyle w:val="VerbatimChar"/>
                <w:sz w:val="18"/>
              </w:rPr>
              <w:t xml:space="preserve">capacity_price_of_k_v3.csv</w:t>
            </w:r>
          </w:p>
        </w:tc>
        <w:tc>
          <w:tcPr/>
          <w:p>
            <w:pPr>
              <w:pStyle w:val="Compact"/>
            </w:pPr>
            <w:r>
              <w:rPr>
                <w:rStyle w:val="VerbatimChar"/>
                <w:sz w:val="18"/>
              </w:rPr>
              <w:t xml:space="preserve">42</w:t>
            </w:r>
          </w:p>
        </w:tc>
      </w:tr>
      <w:tr>
        <w:tc>
          <w:tcPr/>
          <w:p>
            <w:pPr>
              <w:pStyle w:val="Compact"/>
            </w:pPr>
            <w:r>
              <w:rPr>
                <w:rFonts w:hint="eastAsia"/>
                <w:sz w:val="18"/>
              </w:rPr>
              <w:t xml:space="preserve">表C.28</w:t>
            </w:r>
            <w:r>
              <w:rPr>
                <w:sz w:val="18"/>
              </w:rPr>
              <w:t xml:space="preserve">　</w:t>
            </w:r>
            <w:r>
              <w:rPr>
                <w:rFonts w:hint="eastAsia"/>
                <w:sz w:val="18"/>
              </w:rPr>
              <w:t xml:space="preserve">需給調整市場のレントの上限</w:t>
            </w:r>
          </w:p>
        </w:tc>
        <w:tc>
          <w:tcPr/>
          <w:p>
            <w:pPr>
              <w:pStyle w:val="Compact"/>
            </w:pPr>
            <w:r>
              <w:rPr>
                <w:rStyle w:val="VerbatimChar"/>
                <w:sz w:val="18"/>
              </w:rPr>
              <w:t xml:space="preserve">eprx_rent_cap_v2.csv</w:t>
            </w:r>
            <w:r>
              <w:rPr>
                <w:rFonts w:hint="eastAsia"/>
                <w:sz w:val="18"/>
              </w:rPr>
              <w:t xml:space="preserve">（ΔkW</w:t>
            </w:r>
            <w:r>
              <w:rPr>
                <w:sz w:val="18"/>
              </w:rPr>
              <w:t xml:space="preserve"> </w:t>
            </w:r>
            <w:r>
              <w:rPr>
                <w:rFonts w:hint="eastAsia"/>
                <w:sz w:val="18"/>
              </w:rPr>
              <w:t xml:space="preserve">価格を</w:t>
            </w:r>
            <w:r>
              <w:rPr>
                <w:sz w:val="18"/>
              </w:rPr>
              <w:t xml:space="preserve"> </w:t>
            </w:r>
            <w:r>
              <w:rPr>
                <w:rFonts w:hint="eastAsia"/>
                <w:sz w:val="18"/>
              </w:rPr>
              <w:t xml:space="preserve">円/ΔkW・30分</w:t>
            </w:r>
            <w:r>
              <w:rPr>
                <w:sz w:val="18"/>
              </w:rPr>
              <w:t xml:space="preserve"> </w:t>
            </w:r>
            <w:r>
              <w:rPr>
                <w:rFonts w:hint="eastAsia"/>
                <w:sz w:val="18"/>
              </w:rPr>
              <w:t xml:space="preserve">として1時間あたり2倍に換算し、1kW</w:t>
            </w:r>
            <w:r>
              <w:rPr>
                <w:sz w:val="18"/>
              </w:rPr>
              <w:t xml:space="preserve"> </w:t>
            </w:r>
            <w:r>
              <w:rPr>
                <w:rFonts w:hint="eastAsia"/>
                <w:sz w:val="18"/>
              </w:rPr>
              <w:t xml:space="preserve">あたりの物理上限</w:t>
            </w:r>
            <w:r>
              <w:rPr>
                <w:sz w:val="18"/>
              </w:rPr>
              <w:t xml:space="preserve"> </w:t>
            </w:r>
            <m:oMath>
              <m:r>
                <m:t>2</m:t>
              </m:r>
              <m:sSub>
                <m:e>
                  <m:r>
                    <m:t>p</m:t>
                  </m:r>
                </m:e>
                <m:sub>
                  <m:r>
                    <m:rPr>
                      <m:sty m:val="p"/>
                    </m:rPr>
                    <m:t>Δ</m:t>
                  </m:r>
                </m:sub>
              </m:sSub>
              <m:r>
                <m:rPr>
                  <m:sty m:val="p"/>
                </m:rPr>
                <m:t>×</m:t>
              </m:r>
              <m:r>
                <m:t>8</m:t>
              </m:r>
              <m:r>
                <m:rPr>
                  <m:sty m:val="p"/>
                </m:rPr>
                <m:t>,</m:t>
              </m:r>
              <m:r>
                <m:t>760</m:t>
              </m:r>
            </m:oMath>
            <w:r>
              <w:rPr>
                <w:sz w:val="18"/>
              </w:rPr>
              <w:t xml:space="preserve"> </w:t>
            </w:r>
            <w:r>
              <w:rPr>
                <w:rFonts w:hint="eastAsia"/>
                <w:sz w:val="18"/>
              </w:rPr>
              <w:t xml:space="preserve">で抑えた値）</w:t>
            </w:r>
          </w:p>
        </w:tc>
        <w:tc>
          <w:tcPr/>
          <w:p>
            <w:pPr>
              <w:pStyle w:val="Compact"/>
            </w:pPr>
            <w:r>
              <w:rPr>
                <w:rStyle w:val="VerbatimChar"/>
                <w:sz w:val="18"/>
              </w:rPr>
              <w:t xml:space="preserve">52</w:t>
            </w:r>
          </w:p>
        </w:tc>
      </w:tr>
      <w:tr>
        <w:tc>
          <w:tcPr/>
          <w:p>
            <w:pPr>
              <w:pStyle w:val="Compact"/>
            </w:pPr>
            <w:r>
              <w:rPr>
                <w:rFonts w:hint="eastAsia"/>
                <w:sz w:val="18"/>
              </w:rPr>
              <w:t xml:space="preserve">表C.29</w:t>
            </w:r>
            <w:r>
              <w:rPr>
                <w:sz w:val="18"/>
              </w:rPr>
              <w:t xml:space="preserve">　</w:t>
            </w:r>
            <w:r>
              <w:rPr>
                <w:rFonts w:hint="eastAsia"/>
                <w:sz w:val="18"/>
              </w:rPr>
              <w:t xml:space="preserve">泊の再稼働による完全予見粗利の変化の分解</w:t>
            </w:r>
          </w:p>
        </w:tc>
        <w:tc>
          <w:tcPr/>
          <w:p>
            <w:pPr>
              <w:pStyle w:val="Compact"/>
            </w:pPr>
            <w:r>
              <w:rPr>
                <w:rStyle w:val="VerbatimChar"/>
                <w:sz w:val="18"/>
              </w:rPr>
              <w:t xml:space="preserve">baseload_shift_response.csv</w:t>
            </w:r>
            <w:r>
              <w:rPr>
                <w:rFonts w:hint="eastAsia"/>
                <w:sz w:val="18"/>
              </w:rPr>
              <w:t xml:space="preserve">（下端の傾きは</w:t>
            </w:r>
            <w:r>
              <w:rPr>
                <w:sz w:val="18"/>
              </w:rPr>
              <w:t xml:space="preserve"> </w:t>
            </w:r>
            <w:r>
              <w:rPr>
                <w:rStyle w:val="VerbatimChar"/>
                <w:sz w:val="18"/>
              </w:rPr>
              <w:t xml:space="preserve">supply_curve_bin_slopes.csv</w:t>
            </w:r>
            <w:r>
              <w:rPr>
                <w:rFonts w:hint="eastAsia"/>
                <w:sz w:val="18"/>
              </w:rPr>
              <w:t xml:space="preserve">、計上時期の補正は</w:t>
            </w:r>
            <w:r>
              <w:rPr>
                <w:sz w:val="18"/>
              </w:rPr>
              <w:t xml:space="preserve"> </w:t>
            </w:r>
            <w:r>
              <w:rPr>
                <w:rStyle w:val="VerbatimChar"/>
                <w:sz w:val="18"/>
              </w:rPr>
              <w:t xml:space="preserve">cf_correction_decomp.csv</w:t>
            </w:r>
            <w:r>
              <w:rPr>
                <w:rFonts w:hint="eastAsia"/>
                <w:sz w:val="18"/>
              </w:rPr>
              <w:t xml:space="preserve">／</w:t>
            </w:r>
            <w:r>
              <w:rPr>
                <w:rStyle w:val="VerbatimChar"/>
                <w:sz w:val="18"/>
              </w:rPr>
              <w:t xml:space="preserve">51</w:t>
            </w:r>
            <w:r>
              <w:rPr>
                <w:rFonts w:hint="eastAsia"/>
                <w:sz w:val="18"/>
              </w:rPr>
              <w:t xml:space="preserve">）</w:t>
            </w:r>
          </w:p>
        </w:tc>
        <w:tc>
          <w:tcPr/>
          <w:p>
            <w:pPr>
              <w:pStyle w:val="Compact"/>
            </w:pPr>
            <w:r>
              <w:rPr>
                <w:rStyle w:val="VerbatimChar"/>
                <w:sz w:val="18"/>
              </w:rPr>
              <w:t xml:space="preserve">33</w:t>
            </w:r>
          </w:p>
        </w:tc>
      </w:tr>
      <w:tr>
        <w:tc>
          <w:tcPr/>
          <w:p>
            <w:pPr>
              <w:pStyle w:val="Compact"/>
            </w:pPr>
            <w:r>
              <w:rPr>
                <w:rFonts w:hint="eastAsia"/>
                <w:sz w:val="18"/>
              </w:rPr>
              <w:t xml:space="preserve">表C.30</w:t>
            </w:r>
            <w:r>
              <w:rPr>
                <w:sz w:val="18"/>
              </w:rPr>
              <w:t xml:space="preserve">　</w:t>
            </w:r>
            <w:r>
              <w:rPr>
                <w:rFonts w:hint="eastAsia"/>
                <w:sz w:val="18"/>
              </w:rPr>
              <w:t xml:space="preserve">九州の原子力発電量と日次の価格指標</w:t>
            </w:r>
          </w:p>
        </w:tc>
        <w:tc>
          <w:tcPr/>
          <w:p>
            <w:pPr>
              <w:pStyle w:val="Compact"/>
            </w:pPr>
            <w:r>
              <w:rPr>
                <w:rStyle w:val="VerbatimChar"/>
                <w:sz w:val="18"/>
              </w:rPr>
              <w:t xml:space="preserve">regv3_kyushu_nuclear.csv</w:t>
            </w:r>
            <w:r>
              <w:rPr>
                <w:rFonts w:hint="eastAsia"/>
                <w:sz w:val="18"/>
              </w:rPr>
              <w:t xml:space="preserve">（欠測の20日を除く。付録E.4）</w:t>
            </w:r>
          </w:p>
        </w:tc>
        <w:tc>
          <w:tcPr/>
          <w:p>
            <w:pPr>
              <w:pStyle w:val="Compact"/>
            </w:pPr>
            <w:r>
              <w:rPr>
                <w:rStyle w:val="VerbatimChar"/>
                <w:sz w:val="18"/>
              </w:rPr>
              <w:t xml:space="preserve">44</w:t>
            </w:r>
          </w:p>
        </w:tc>
      </w:tr>
      <w:tr>
        <w:tc>
          <w:tcPr/>
          <w:p>
            <w:pPr>
              <w:pStyle w:val="Compact"/>
            </w:pPr>
            <w:r>
              <w:rPr>
                <w:rFonts w:hint="eastAsia"/>
                <w:sz w:val="18"/>
              </w:rPr>
              <w:t xml:space="preserve">表C.31</w:t>
            </w:r>
            <w:r>
              <w:rPr>
                <w:sz w:val="18"/>
              </w:rPr>
              <w:t xml:space="preserve">　</w:t>
            </w:r>
            <w:r>
              <w:rPr>
                <w:rFonts w:hint="eastAsia"/>
                <w:sz w:val="18"/>
              </w:rPr>
              <w:t xml:space="preserve">価格水準の2因子分解</w:t>
            </w:r>
          </w:p>
        </w:tc>
        <w:tc>
          <w:tcPr/>
          <w:p>
            <w:pPr>
              <w:pStyle w:val="Compact"/>
            </w:pPr>
            <w:r>
              <w:rPr>
                <w:rStyle w:val="VerbatimChar"/>
                <w:sz w:val="18"/>
              </w:rPr>
              <w:t xml:space="preserve">real_option_price_level.csv</w:t>
            </w:r>
          </w:p>
        </w:tc>
        <w:tc>
          <w:tcPr/>
          <w:p>
            <w:pPr>
              <w:pStyle w:val="Compact"/>
            </w:pPr>
            <w:r>
              <w:rPr>
                <w:rStyle w:val="VerbatimChar"/>
                <w:sz w:val="18"/>
              </w:rPr>
              <w:t xml:space="preserve">38</w:t>
            </w:r>
          </w:p>
        </w:tc>
      </w:tr>
      <w:tr>
        <w:tc>
          <w:tcPr/>
          <w:p>
            <w:pPr>
              <w:pStyle w:val="Compact"/>
            </w:pPr>
            <w:r>
              <w:rPr>
                <w:rFonts w:hint="eastAsia"/>
                <w:sz w:val="18"/>
              </w:rPr>
              <w:t xml:space="preserve">表C.32</w:t>
            </w:r>
            <w:r>
              <w:rPr>
                <w:sz w:val="18"/>
              </w:rPr>
              <w:t xml:space="preserve">　</w:t>
            </w:r>
            <w:r>
              <w:rPr>
                <w:rFonts w:hint="eastAsia"/>
                <w:sz w:val="18"/>
              </w:rPr>
              <w:t xml:space="preserve">参入に必要な価格水準係数</w:t>
            </w:r>
          </w:p>
        </w:tc>
        <w:tc>
          <w:tcPr/>
          <w:p>
            <w:pPr>
              <w:pStyle w:val="Compact"/>
            </w:pPr>
            <w:r>
              <w:rPr>
                <w:rStyle w:val="VerbatimChar"/>
                <w:sz w:val="18"/>
              </w:rPr>
              <w:t xml:space="preserve">real_option_threshold.csv</w:t>
            </w:r>
          </w:p>
        </w:tc>
        <w:tc>
          <w:tcPr/>
          <w:p>
            <w:pPr>
              <w:pStyle w:val="Compact"/>
            </w:pPr>
            <w:r>
              <w:rPr>
                <w:rStyle w:val="VerbatimChar"/>
                <w:sz w:val="18"/>
              </w:rPr>
              <w:t xml:space="preserve">38</w:t>
            </w:r>
          </w:p>
        </w:tc>
      </w:tr>
      <w:tr>
        <w:tc>
          <w:tcPr/>
          <w:p>
            <w:pPr>
              <w:pStyle w:val="Compact"/>
            </w:pPr>
            <w:r>
              <w:rPr>
                <w:rFonts w:hint="eastAsia"/>
                <w:sz w:val="18"/>
              </w:rPr>
              <w:t xml:space="preserve">表C.33</w:t>
            </w:r>
            <w:r>
              <w:rPr>
                <w:sz w:val="18"/>
              </w:rPr>
              <w:t xml:space="preserve">　</w:t>
            </w:r>
            <w:r>
              <w:rPr>
                <w:rFonts w:hint="eastAsia"/>
                <w:sz w:val="18"/>
              </w:rPr>
              <w:t xml:space="preserve">マーチャント参入が開く確率と2040年度の期待容量</w:t>
            </w:r>
          </w:p>
        </w:tc>
        <w:tc>
          <w:tcPr/>
          <w:p>
            <w:pPr>
              <w:pStyle w:val="Compact"/>
            </w:pPr>
            <w:r>
              <w:rPr>
                <w:rStyle w:val="VerbatimChar"/>
                <w:sz w:val="18"/>
              </w:rPr>
              <w:t xml:space="preserve">real_option_entry_prob.csv</w:t>
            </w:r>
            <w:r>
              <w:rPr>
                <w:rFonts w:hint="eastAsia"/>
                <w:sz w:val="18"/>
              </w:rPr>
              <w:t xml:space="preserve">（フリートを戦略</w:t>
            </w:r>
            <w:r>
              <w:rPr>
                <w:sz w:val="18"/>
              </w:rPr>
              <w:t xml:space="preserve"> c </w:t>
            </w:r>
            <w:r>
              <w:rPr>
                <w:rFonts w:hint="eastAsia"/>
                <w:sz w:val="18"/>
              </w:rPr>
              <w:t xml:space="preserve">の窓で配分した期待容量は</w:t>
            </w:r>
            <w:r>
              <w:rPr>
                <w:sz w:val="18"/>
              </w:rPr>
              <w:t xml:space="preserve"> </w:t>
            </w:r>
            <w:r>
              <w:rPr>
                <w:rStyle w:val="VerbatimChar"/>
                <w:sz w:val="18"/>
              </w:rPr>
              <w:t xml:space="preserve">real_option_fleet_alloc_v3.csv</w:t>
            </w:r>
            <w:r>
              <w:rPr>
                <w:rFonts w:hint="eastAsia"/>
                <w:sz w:val="18"/>
              </w:rPr>
              <w:t xml:space="preserve">）</w:t>
            </w:r>
          </w:p>
        </w:tc>
        <w:tc>
          <w:tcPr/>
          <w:p>
            <w:pPr>
              <w:pStyle w:val="Compact"/>
            </w:pPr>
            <w:r>
              <w:rPr>
                <w:rStyle w:val="VerbatimChar"/>
                <w:sz w:val="18"/>
              </w:rPr>
              <w:t xml:space="preserve">38</w:t>
            </w:r>
          </w:p>
        </w:tc>
      </w:tr>
      <w:tr>
        <w:tc>
          <w:tcPr/>
          <w:p>
            <w:pPr>
              <w:pStyle w:val="Compact"/>
            </w:pPr>
            <w:r>
              <w:rPr>
                <w:rFonts w:hint="eastAsia"/>
                <w:sz w:val="18"/>
              </w:rPr>
              <w:t xml:space="preserve">表C.34</w:t>
            </w:r>
            <w:r>
              <w:rPr>
                <w:sz w:val="18"/>
              </w:rPr>
              <w:t xml:space="preserve">　</w:t>
            </w:r>
            <w:r>
              <w:rPr>
                <w:rFonts w:hint="eastAsia"/>
                <w:sz w:val="18"/>
              </w:rPr>
              <w:t xml:space="preserve">容量収入の上振れ・補助・既設容量の感応度</w:t>
            </w:r>
          </w:p>
        </w:tc>
        <w:tc>
          <w:tcPr/>
          <w:p>
            <w:pPr>
              <w:pStyle w:val="Compact"/>
            </w:pPr>
            <w:r>
              <w:rPr>
                <w:rStyle w:val="VerbatimChar"/>
                <w:sz w:val="18"/>
              </w:rPr>
              <w:t xml:space="preserve">real_option_sensitivity_v3.csv</w:t>
            </w:r>
          </w:p>
        </w:tc>
        <w:tc>
          <w:tcPr/>
          <w:p>
            <w:pPr>
              <w:pStyle w:val="Compact"/>
            </w:pPr>
            <w:r>
              <w:rPr>
                <w:rStyle w:val="VerbatimChar"/>
                <w:sz w:val="18"/>
              </w:rPr>
              <w:t xml:space="preserve">38</w:t>
            </w:r>
          </w:p>
        </w:tc>
      </w:tr>
      <w:tr>
        <w:tc>
          <w:tcPr/>
          <w:p>
            <w:pPr>
              <w:pStyle w:val="Compact"/>
            </w:pPr>
            <w:r>
              <w:rPr>
                <w:rFonts w:hint="eastAsia"/>
                <w:sz w:val="18"/>
              </w:rPr>
              <w:t xml:space="preserve">表C.35</w:t>
            </w:r>
            <w:r>
              <w:rPr>
                <w:sz w:val="18"/>
              </w:rPr>
              <w:t xml:space="preserve">　</w:t>
            </w:r>
            <w:r>
              <w:rPr>
                <w:rFonts w:hint="eastAsia"/>
                <w:sz w:val="18"/>
              </w:rPr>
              <w:t xml:space="preserve">期待成長を見込む場合の参入閾値と確率</w:t>
            </w:r>
          </w:p>
        </w:tc>
        <w:tc>
          <w:tcPr/>
          <w:p>
            <w:pPr>
              <w:pStyle w:val="Compact"/>
            </w:pPr>
            <w:r>
              <w:rPr>
                <w:rStyle w:val="VerbatimChar"/>
                <w:sz w:val="18"/>
              </w:rPr>
              <w:t xml:space="preserve">real_option_drift_sensitivity.csv</w:t>
            </w:r>
          </w:p>
        </w:tc>
        <w:tc>
          <w:tcPr/>
          <w:p>
            <w:pPr>
              <w:pStyle w:val="Compact"/>
            </w:pPr>
            <w:r>
              <w:rPr>
                <w:rStyle w:val="VerbatimChar"/>
                <w:sz w:val="18"/>
              </w:rPr>
              <w:t xml:space="preserve">38</w:t>
            </w:r>
          </w:p>
        </w:tc>
      </w:tr>
      <w:tr>
        <w:tc>
          <w:tcPr/>
          <w:p>
            <w:pPr>
              <w:pStyle w:val="Compact"/>
            </w:pPr>
            <w:r>
              <w:rPr>
                <w:rFonts w:hint="eastAsia"/>
                <w:sz w:val="18"/>
              </w:rPr>
              <w:t xml:space="preserve">表C.36</w:t>
            </w:r>
            <w:r>
              <w:rPr>
                <w:sz w:val="18"/>
              </w:rPr>
              <w:t xml:space="preserve">　</w:t>
            </w:r>
            <w:r>
              <w:rPr>
                <w:rFonts w:hint="eastAsia"/>
                <w:sz w:val="18"/>
              </w:rPr>
              <w:t xml:space="preserve">併設蓄電池の抑制回避可能率</w:t>
            </w:r>
          </w:p>
        </w:tc>
        <w:tc>
          <w:tcPr/>
          <w:p>
            <w:pPr>
              <w:pStyle w:val="Compact"/>
            </w:pPr>
            <w:r>
              <w:rPr>
                <w:rStyle w:val="VerbatimChar"/>
                <w:sz w:val="18"/>
              </w:rPr>
              <w:t xml:space="preserve">btm_avoidable_share.csv</w:t>
            </w:r>
          </w:p>
        </w:tc>
        <w:tc>
          <w:tcPr/>
          <w:p>
            <w:pPr>
              <w:pStyle w:val="Compact"/>
            </w:pPr>
            <w:r>
              <w:rPr>
                <w:rStyle w:val="VerbatimChar"/>
                <w:sz w:val="18"/>
              </w:rPr>
              <w:t xml:space="preserve">30</w:t>
            </w:r>
          </w:p>
        </w:tc>
      </w:tr>
      <w:tr>
        <w:tc>
          <w:tcPr/>
          <w:p>
            <w:pPr>
              <w:pStyle w:val="Compact"/>
            </w:pPr>
            <w:r>
              <w:rPr>
                <w:rFonts w:hint="eastAsia"/>
                <w:sz w:val="18"/>
              </w:rPr>
              <w:t xml:space="preserve">表C.37</w:t>
            </w:r>
            <w:r>
              <w:rPr>
                <w:sz w:val="18"/>
              </w:rPr>
              <w:t xml:space="preserve">　</w:t>
            </w:r>
            <w:r>
              <w:rPr>
                <w:rFonts w:hint="eastAsia"/>
                <w:sz w:val="18"/>
              </w:rPr>
              <w:t xml:space="preserve">併設蓄電池の抑制回避の増分価値</w:t>
            </w:r>
          </w:p>
        </w:tc>
        <w:tc>
          <w:tcPr/>
          <w:p>
            <w:pPr>
              <w:pStyle w:val="Compact"/>
            </w:pPr>
            <w:r>
              <w:rPr>
                <w:rStyle w:val="VerbatimChar"/>
                <w:sz w:val="18"/>
              </w:rPr>
              <w:t xml:space="preserve">btm_local_value.csv</w:t>
            </w:r>
          </w:p>
        </w:tc>
        <w:tc>
          <w:tcPr/>
          <w:p>
            <w:pPr>
              <w:pStyle w:val="Compact"/>
            </w:pPr>
            <w:r>
              <w:rPr>
                <w:rStyle w:val="VerbatimChar"/>
                <w:sz w:val="18"/>
              </w:rPr>
              <w:t xml:space="preserve">50</w:t>
            </w:r>
          </w:p>
        </w:tc>
      </w:tr>
      <w:tr>
        <w:tc>
          <w:tcPr/>
          <w:p>
            <w:pPr>
              <w:pStyle w:val="Compact"/>
            </w:pPr>
            <w:r>
              <w:rPr>
                <w:rFonts w:hint="eastAsia"/>
                <w:sz w:val="18"/>
              </w:rPr>
              <w:t xml:space="preserve">表C.38</w:t>
            </w:r>
            <w:r>
              <w:rPr>
                <w:sz w:val="18"/>
              </w:rPr>
              <w:t xml:space="preserve">　</w:t>
            </w:r>
            <w:r>
              <w:rPr>
                <w:rFonts w:hint="eastAsia"/>
                <w:sz w:val="18"/>
              </w:rPr>
              <w:t xml:space="preserve">併設4時間蓄電池の参入が開く抑制率</w:t>
            </w:r>
          </w:p>
        </w:tc>
        <w:tc>
          <w:tcPr/>
          <w:p>
            <w:pPr>
              <w:pStyle w:val="Compact"/>
            </w:pPr>
            <w:r>
              <w:rPr>
                <w:rStyle w:val="VerbatimChar"/>
                <w:sz w:val="18"/>
              </w:rPr>
              <w:t xml:space="preserve">btm_entry_threshold.csv</w:t>
            </w:r>
            <w:r>
              <w:rPr>
                <w:sz w:val="18"/>
              </w:rPr>
              <w:t xml:space="preserve">、</w:t>
            </w:r>
            <w:r>
              <w:rPr>
                <w:rStyle w:val="VerbatimChar"/>
                <w:sz w:val="18"/>
              </w:rPr>
              <w:t xml:space="preserve">btm_entry_breakeven_capex.csv</w:t>
            </w:r>
          </w:p>
        </w:tc>
        <w:tc>
          <w:tcPr/>
          <w:p>
            <w:pPr>
              <w:pStyle w:val="Compact"/>
            </w:pPr>
            <w:r>
              <w:rPr>
                <w:rStyle w:val="VerbatimChar"/>
                <w:sz w:val="18"/>
              </w:rPr>
              <w:t xml:space="preserve">50</w:t>
            </w:r>
          </w:p>
        </w:tc>
      </w:tr>
      <w:tr>
        <w:tc>
          <w:tcPr/>
          <w:p>
            <w:pPr>
              <w:pStyle w:val="Compact"/>
            </w:pPr>
            <w:r>
              <w:rPr>
                <w:rFonts w:hint="eastAsia"/>
                <w:sz w:val="18"/>
              </w:rPr>
              <w:t xml:space="preserve">表C.39</w:t>
            </w:r>
            <w:r>
              <w:rPr>
                <w:sz w:val="18"/>
              </w:rPr>
              <w:t xml:space="preserve">　</w:t>
            </w:r>
            <w:r>
              <w:rPr>
                <w:rFonts w:hint="eastAsia"/>
                <w:sz w:val="18"/>
              </w:rPr>
              <w:t xml:space="preserve">損益分岐の価格水準係数</w:t>
            </w:r>
            <w:r>
              <w:rPr>
                <w:sz w:val="18"/>
              </w:rPr>
              <w:t xml:space="preserve"> θ*</w:t>
            </w:r>
          </w:p>
        </w:tc>
        <w:tc>
          <w:tcPr/>
          <w:p>
            <w:pPr>
              <w:pStyle w:val="Compact"/>
            </w:pPr>
            <w:r>
              <w:rPr>
                <w:rStyle w:val="VerbatimChar"/>
                <w:sz w:val="18"/>
              </w:rPr>
              <w:t xml:space="preserve">breakeven_frontier_v3.csv</w:t>
            </w:r>
          </w:p>
        </w:tc>
        <w:tc>
          <w:tcPr/>
          <w:p>
            <w:pPr>
              <w:pStyle w:val="Compact"/>
            </w:pPr>
            <w:r>
              <w:rPr>
                <w:rStyle w:val="VerbatimChar"/>
                <w:sz w:val="18"/>
              </w:rPr>
              <w:t xml:space="preserve">42</w:t>
            </w:r>
          </w:p>
        </w:tc>
      </w:tr>
      <w:tr>
        <w:tc>
          <w:tcPr/>
          <w:p>
            <w:pPr>
              <w:pStyle w:val="Compact"/>
            </w:pPr>
            <w:r>
              <w:rPr>
                <w:rFonts w:hint="eastAsia"/>
                <w:sz w:val="18"/>
              </w:rPr>
              <w:t xml:space="preserve">表C.40</w:t>
            </w:r>
            <w:r>
              <w:rPr>
                <w:sz w:val="18"/>
              </w:rPr>
              <w:t xml:space="preserve">　</w:t>
            </w:r>
            <w:r>
              <w:rPr>
                <w:rFonts w:hint="eastAsia"/>
                <w:sz w:val="18"/>
              </w:rPr>
              <w:t xml:space="preserve">参入が開く組合せの均衡容量</w:t>
            </w:r>
          </w:p>
        </w:tc>
        <w:tc>
          <w:tcPr/>
          <w:p>
            <w:pPr>
              <w:pStyle w:val="Compact"/>
            </w:pPr>
            <w:r>
              <w:rPr>
                <w:rStyle w:val="VerbatimChar"/>
                <w:sz w:val="18"/>
              </w:rPr>
              <w:t xml:space="preserve">kstar_table93_v3.csv</w:t>
            </w:r>
            <w:r>
              <w:rPr>
                <w:rFonts w:hint="eastAsia"/>
                <w:sz w:val="18"/>
              </w:rPr>
              <w:t xml:space="preserve">（全格子は</w:t>
            </w:r>
            <w:r>
              <w:rPr>
                <w:sz w:val="18"/>
              </w:rPr>
              <w:t xml:space="preserve"> </w:t>
            </w:r>
            <w:r>
              <w:rPr>
                <w:rStyle w:val="VerbatimChar"/>
                <w:sz w:val="18"/>
              </w:rPr>
              <w:t xml:space="preserve">kstar_grid_v3.csv</w:t>
            </w:r>
            <w:r>
              <w:rPr>
                <w:rFonts w:hint="eastAsia"/>
                <w:sz w:val="18"/>
              </w:rPr>
              <w:t xml:space="preserve">）</w:t>
            </w:r>
          </w:p>
        </w:tc>
        <w:tc>
          <w:tcPr/>
          <w:p>
            <w:pPr>
              <w:pStyle w:val="Compact"/>
            </w:pPr>
            <w:r>
              <w:rPr>
                <w:rStyle w:val="VerbatimChar"/>
                <w:sz w:val="18"/>
              </w:rPr>
              <w:t xml:space="preserve">42</w:t>
            </w:r>
          </w:p>
        </w:tc>
      </w:tr>
      <w:tr>
        <w:tc>
          <w:tcPr/>
          <w:p>
            <w:pPr>
              <w:pStyle w:val="Compact"/>
            </w:pPr>
            <w:r>
              <w:rPr>
                <w:rFonts w:hint="eastAsia"/>
                <w:sz w:val="18"/>
              </w:rPr>
              <w:t xml:space="preserve">表C.41〜表C.43</w:t>
            </w:r>
            <w:r>
              <w:rPr>
                <w:sz w:val="18"/>
              </w:rPr>
              <w:t xml:space="preserve">　</w:t>
            </w:r>
            <w:r>
              <w:rPr>
                <w:rFonts w:hint="eastAsia"/>
                <w:sz w:val="18"/>
              </w:rPr>
              <w:t xml:space="preserve">事業</w:t>
            </w:r>
            <w:r>
              <w:rPr>
                <w:sz w:val="18"/>
              </w:rPr>
              <w:t xml:space="preserve"> IRR </w:t>
            </w:r>
            <w:r>
              <w:rPr>
                <w:rFonts w:hint="eastAsia"/>
                <w:sz w:val="18"/>
              </w:rPr>
              <w:t xml:space="preserve">の全ケース、LTDA</w:t>
            </w:r>
            <w:r>
              <w:rPr>
                <w:sz w:val="18"/>
              </w:rPr>
              <w:t xml:space="preserve"> </w:t>
            </w:r>
            <w:r>
              <w:rPr>
                <w:rFonts w:hint="eastAsia"/>
                <w:sz w:val="18"/>
              </w:rPr>
              <w:t xml:space="preserve">6時間の事業</w:t>
            </w:r>
            <w:r>
              <w:rPr>
                <w:sz w:val="18"/>
              </w:rPr>
              <w:t xml:space="preserve"> </w:t>
            </w:r>
            <w:r>
              <w:rPr>
                <w:rFonts w:hint="eastAsia"/>
                <w:sz w:val="18"/>
              </w:rPr>
              <w:t xml:space="preserve">IRR、資産の資本コスト別の</w:t>
            </w:r>
            <w:r>
              <w:rPr>
                <w:sz w:val="18"/>
              </w:rPr>
              <w:t xml:space="preserve"> θ*</w:t>
            </w:r>
          </w:p>
        </w:tc>
        <w:tc>
          <w:tcPr/>
          <w:p>
            <w:pPr>
              <w:pStyle w:val="Compact"/>
            </w:pPr>
            <w:r>
              <w:rPr>
                <w:rStyle w:val="VerbatimChar"/>
                <w:sz w:val="18"/>
              </w:rPr>
              <w:t xml:space="preserve">irr_cost_of_capital.csv</w:t>
            </w:r>
            <w:r>
              <w:rPr>
                <w:rFonts w:hint="eastAsia"/>
                <w:sz w:val="18"/>
              </w:rPr>
              <w:t xml:space="preserve">（ブロックA・B・C）</w:t>
            </w:r>
          </w:p>
        </w:tc>
        <w:tc>
          <w:tcPr/>
          <w:p>
            <w:pPr>
              <w:pStyle w:val="Compact"/>
            </w:pPr>
            <w:r>
              <w:rPr>
                <w:rStyle w:val="VerbatimChar"/>
                <w:sz w:val="18"/>
              </w:rPr>
              <w:t xml:space="preserve">39</w:t>
            </w:r>
          </w:p>
        </w:tc>
      </w:tr>
      <w:tr>
        <w:tc>
          <w:tcPr/>
          <w:p>
            <w:pPr>
              <w:pStyle w:val="Compact"/>
            </w:pPr>
            <w:r>
              <w:rPr>
                <w:rFonts w:hint="eastAsia"/>
                <w:sz w:val="18"/>
              </w:rPr>
              <w:t xml:space="preserve">表C.44</w:t>
            </w:r>
            <w:r>
              <w:rPr>
                <w:sz w:val="18"/>
              </w:rPr>
              <w:t xml:space="preserve">　</w:t>
            </w:r>
            <w:r>
              <w:rPr>
                <w:rFonts w:hint="eastAsia"/>
                <w:sz w:val="18"/>
              </w:rPr>
              <w:t xml:space="preserve">調整現在価値による乖離の分解</w:t>
            </w:r>
          </w:p>
        </w:tc>
        <w:tc>
          <w:tcPr/>
          <w:p>
            <w:pPr>
              <w:pStyle w:val="Compact"/>
            </w:pPr>
            <w:r>
              <w:rPr>
                <w:rStyle w:val="VerbatimChar"/>
                <w:sz w:val="18"/>
              </w:rPr>
              <w:t xml:space="preserve">apv_decomposition.csv</w:t>
            </w:r>
            <w:r>
              <w:rPr>
                <w:rFonts w:hint="eastAsia"/>
                <w:sz w:val="18"/>
              </w:rPr>
              <w:t xml:space="preserve">（節税効果と資本構成は</w:t>
            </w:r>
            <w:r>
              <w:rPr>
                <w:sz w:val="18"/>
              </w:rPr>
              <w:t xml:space="preserve"> </w:t>
            </w:r>
            <w:r>
              <w:rPr>
                <w:rStyle w:val="VerbatimChar"/>
                <w:sz w:val="18"/>
              </w:rPr>
              <w:t xml:space="preserve">irr_cost_of_capital.csv</w:t>
            </w:r>
            <w:r>
              <w:rPr>
                <w:sz w:val="18"/>
              </w:rPr>
              <w:t xml:space="preserve"> </w:t>
            </w:r>
            <w:r>
              <w:rPr>
                <w:rFonts w:hint="eastAsia"/>
                <w:sz w:val="18"/>
              </w:rPr>
              <w:t xml:space="preserve">のブロックD・G）</w:t>
            </w:r>
          </w:p>
        </w:tc>
        <w:tc>
          <w:tcPr/>
          <w:p>
            <w:pPr>
              <w:pStyle w:val="Compact"/>
            </w:pPr>
            <w:r>
              <w:rPr>
                <w:rStyle w:val="VerbatimChar"/>
                <w:sz w:val="18"/>
              </w:rPr>
              <w:t xml:space="preserve">39</w:t>
            </w:r>
          </w:p>
        </w:tc>
      </w:tr>
      <w:tr>
        <w:tc>
          <w:tcPr/>
          <w:p>
            <w:pPr>
              <w:pStyle w:val="Compact"/>
            </w:pPr>
            <w:r>
              <w:rPr>
                <w:rFonts w:hint="eastAsia"/>
                <w:sz w:val="18"/>
              </w:rPr>
              <w:t xml:space="preserve">表C.45</w:t>
            </w:r>
            <w:r>
              <w:rPr>
                <w:sz w:val="18"/>
              </w:rPr>
              <w:t xml:space="preserve">　</w:t>
            </w:r>
            <w:r>
              <w:rPr>
                <w:rFonts w:hint="eastAsia"/>
                <w:sz w:val="18"/>
              </w:rPr>
              <w:t xml:space="preserve">確実性等価によるリスク調整</w:t>
            </w:r>
          </w:p>
        </w:tc>
        <w:tc>
          <w:tcPr/>
          <w:p>
            <w:pPr>
              <w:pStyle w:val="Compact"/>
            </w:pPr>
            <w:r>
              <w:rPr>
                <w:rStyle w:val="VerbatimChar"/>
                <w:sz w:val="18"/>
              </w:rPr>
              <w:t xml:space="preserve">certainty_equivalent.csv</w:t>
            </w:r>
          </w:p>
        </w:tc>
        <w:tc>
          <w:tcPr/>
          <w:p>
            <w:pPr>
              <w:pStyle w:val="Compact"/>
            </w:pPr>
            <w:r>
              <w:rPr>
                <w:rStyle w:val="VerbatimChar"/>
                <w:sz w:val="18"/>
              </w:rPr>
              <w:t xml:space="preserve">39</w:t>
            </w:r>
          </w:p>
        </w:tc>
      </w:tr>
      <w:tr>
        <w:tc>
          <w:tcPr/>
          <w:p>
            <w:pPr>
              <w:pStyle w:val="Compact"/>
            </w:pPr>
            <w:r>
              <w:rPr>
                <w:rFonts w:hint="eastAsia"/>
                <w:sz w:val="18"/>
              </w:rPr>
              <w:t xml:space="preserve">表C.46・表C.47</w:t>
            </w:r>
            <w:r>
              <w:rPr>
                <w:sz w:val="18"/>
              </w:rPr>
              <w:t xml:space="preserve">　</w:t>
            </w:r>
            <w:r>
              <w:rPr>
                <w:rFonts w:hint="eastAsia"/>
                <w:sz w:val="18"/>
              </w:rPr>
              <w:t xml:space="preserve">多因子</w:t>
            </w:r>
            <w:r>
              <w:rPr>
                <w:sz w:val="18"/>
              </w:rPr>
              <w:t xml:space="preserve"> CFaR </w:t>
            </w:r>
            <w:r>
              <w:rPr>
                <w:rFonts w:hint="eastAsia"/>
                <w:sz w:val="18"/>
              </w:rPr>
              <w:t xml:space="preserve">の感応度と</w:t>
            </w:r>
            <w:r>
              <w:rPr>
                <w:sz w:val="18"/>
              </w:rPr>
              <w:t xml:space="preserve"> Shapley </w:t>
            </w:r>
            <w:r>
              <w:rPr>
                <w:rFonts w:hint="eastAsia"/>
                <w:sz w:val="18"/>
              </w:rPr>
              <w:t xml:space="preserve">配分</w:t>
            </w:r>
          </w:p>
        </w:tc>
        <w:tc>
          <w:tcPr/>
          <w:p>
            <w:pPr>
              <w:pStyle w:val="Compact"/>
            </w:pPr>
            <w:r>
              <w:rPr>
                <w:rStyle w:val="VerbatimChar"/>
                <w:sz w:val="18"/>
              </w:rPr>
              <w:t xml:space="preserve">cfar_multifactor.csv</w:t>
            </w:r>
            <w:r>
              <w:rPr>
                <w:rFonts w:hint="eastAsia"/>
                <w:sz w:val="18"/>
              </w:rPr>
              <w:t xml:space="preserve">（年度別の形状と</w:t>
            </w:r>
            <w:r>
              <w:rPr>
                <w:sz w:val="18"/>
              </w:rPr>
              <w:t xml:space="preserve"> </w:t>
            </w:r>
            <m:oMath>
              <m:r>
                <m:t>θ</m:t>
              </m:r>
            </m:oMath>
            <w:r>
              <w:rPr>
                <w:sz w:val="18"/>
              </w:rPr>
              <w:t xml:space="preserve"> </w:t>
            </w:r>
            <w:r>
              <w:rPr>
                <w:rFonts w:hint="eastAsia"/>
                <w:sz w:val="18"/>
              </w:rPr>
              <w:t xml:space="preserve">の代理は</w:t>
            </w:r>
            <w:r>
              <w:rPr>
                <w:sz w:val="18"/>
              </w:rPr>
              <w:t xml:space="preserve"> </w:t>
            </w:r>
            <w:r>
              <w:rPr>
                <w:rStyle w:val="VerbatimChar"/>
                <w:sz w:val="18"/>
              </w:rPr>
              <w:t xml:space="preserve">cfar_annual_exposure.csv</w:t>
            </w:r>
            <w:r>
              <w:rPr>
                <w:rFonts w:hint="eastAsia"/>
                <w:sz w:val="18"/>
              </w:rPr>
              <w:t xml:space="preserve">）</w:t>
            </w:r>
          </w:p>
        </w:tc>
        <w:tc>
          <w:tcPr/>
          <w:p>
            <w:pPr>
              <w:pStyle w:val="Compact"/>
            </w:pPr>
            <w:r>
              <w:rPr>
                <w:rStyle w:val="VerbatimChar"/>
                <w:sz w:val="18"/>
              </w:rPr>
              <w:t xml:space="preserve">40</w:t>
            </w:r>
          </w:p>
        </w:tc>
      </w:tr>
      <w:tr>
        <w:tc>
          <w:tcPr/>
          <w:p>
            <w:pPr>
              <w:pStyle w:val="Compact"/>
            </w:pPr>
            <w:r>
              <w:rPr>
                <w:rFonts w:hint="eastAsia"/>
                <w:sz w:val="18"/>
              </w:rPr>
              <w:t xml:space="preserve">表C.48</w:t>
            </w:r>
            <w:r>
              <w:rPr>
                <w:sz w:val="18"/>
              </w:rPr>
              <w:t xml:space="preserve">　</w:t>
            </w:r>
            <w:r>
              <w:rPr>
                <w:rFonts w:hint="eastAsia"/>
                <w:sz w:val="18"/>
              </w:rPr>
              <w:t xml:space="preserve">ヘッジ有効性</w:t>
            </w:r>
          </w:p>
        </w:tc>
        <w:tc>
          <w:tcPr/>
          <w:p>
            <w:pPr>
              <w:pStyle w:val="Compact"/>
            </w:pPr>
            <w:r>
              <w:rPr>
                <w:rStyle w:val="VerbatimChar"/>
                <w:sz w:val="18"/>
              </w:rPr>
              <w:t xml:space="preserve">hedge_effectiveness.csv</w:t>
            </w:r>
            <w:r>
              <w:rPr>
                <w:rFonts w:hint="eastAsia"/>
                <w:sz w:val="18"/>
              </w:rPr>
              <w:t xml:space="preserve">（期間の不一致は</w:t>
            </w:r>
            <w:r>
              <w:rPr>
                <w:sz w:val="18"/>
              </w:rPr>
              <w:t xml:space="preserve"> </w:t>
            </w:r>
            <w:r>
              <w:rPr>
                <w:rStyle w:val="VerbatimChar"/>
                <w:sz w:val="18"/>
              </w:rPr>
              <w:t xml:space="preserve">hedge_tenor_share.csv</w:t>
            </w:r>
            <w:r>
              <w:rPr>
                <w:rFonts w:hint="eastAsia"/>
                <w:sz w:val="18"/>
              </w:rPr>
              <w:t xml:space="preserve">、北海道と東京の</w:t>
            </w:r>
            <w:r>
              <w:rPr>
                <w:sz w:val="18"/>
              </w:rPr>
              <w:t xml:space="preserve"> TB4h </w:t>
            </w:r>
            <w:r>
              <w:rPr>
                <w:rFonts w:hint="eastAsia"/>
                <w:sz w:val="18"/>
              </w:rPr>
              <w:t xml:space="preserve">の相関は</w:t>
            </w:r>
            <w:r>
              <w:rPr>
                <w:sz w:val="18"/>
              </w:rPr>
              <w:t xml:space="preserve"> </w:t>
            </w:r>
            <w:r>
              <w:rPr>
                <w:rStyle w:val="VerbatimChar"/>
                <w:sz w:val="18"/>
              </w:rPr>
              <w:t xml:space="preserve">hedge_basis_corr.csv</w:t>
            </w:r>
            <w:r>
              <w:rPr>
                <w:rFonts w:hint="eastAsia"/>
                <w:sz w:val="18"/>
              </w:rPr>
              <w:t xml:space="preserve">）</w:t>
            </w:r>
          </w:p>
        </w:tc>
        <w:tc>
          <w:tcPr/>
          <w:p>
            <w:pPr>
              <w:pStyle w:val="Compact"/>
            </w:pPr>
            <w:r>
              <w:rPr>
                <w:rStyle w:val="VerbatimChar"/>
                <w:sz w:val="18"/>
              </w:rPr>
              <w:t xml:space="preserve">40</w:t>
            </w:r>
          </w:p>
        </w:tc>
      </w:tr>
      <w:tr>
        <w:tc>
          <w:tcPr/>
          <w:p>
            <w:pPr>
              <w:pStyle w:val="Compact"/>
            </w:pPr>
            <w:r>
              <w:rPr>
                <w:rFonts w:hint="eastAsia"/>
                <w:sz w:val="18"/>
              </w:rPr>
              <w:t xml:space="preserve">表C.49</w:t>
            </w:r>
            <w:r>
              <w:rPr>
                <w:sz w:val="18"/>
              </w:rPr>
              <w:t xml:space="preserve">　</w:t>
            </w:r>
            <w:r>
              <w:rPr>
                <w:rFonts w:hint="eastAsia"/>
                <w:sz w:val="18"/>
              </w:rPr>
              <w:t xml:space="preserve">下限価格のシナリオ別の実現可能収益と</w:t>
            </w:r>
            <w:r>
              <w:rPr>
                <w:sz w:val="18"/>
              </w:rPr>
              <w:t xml:space="preserve"> </w:t>
            </w:r>
            <w:r>
              <w:rPr>
                <w:rFonts w:hint="eastAsia"/>
                <w:sz w:val="18"/>
              </w:rPr>
              <w:t xml:space="preserve">θ*（全体）</w:t>
            </w:r>
          </w:p>
        </w:tc>
        <w:tc>
          <w:tcPr/>
          <w:p>
            <w:pPr>
              <w:pStyle w:val="Compact"/>
            </w:pPr>
            <w:r>
              <w:rPr>
                <w:rStyle w:val="VerbatimChar"/>
                <w:sz w:val="18"/>
              </w:rPr>
              <w:t xml:space="preserve">negative_price_v3_table101.csv</w:t>
            </w:r>
            <w:r>
              <w:rPr>
                <w:sz w:val="18"/>
              </w:rPr>
              <w:t xml:space="preserve">、</w:t>
            </w:r>
            <w:r>
              <w:rPr>
                <w:rStyle w:val="VerbatimChar"/>
                <w:sz w:val="18"/>
              </w:rPr>
              <w:t xml:space="preserve">negative_price_breakeven_v3.csv</w:t>
            </w:r>
            <w:r>
              <w:rPr>
                <w:sz w:val="18"/>
              </w:rPr>
              <w:t xml:space="preserve">、</w:t>
            </w:r>
            <w:r>
              <w:rPr>
                <w:rStyle w:val="VerbatimChar"/>
                <w:sz w:val="18"/>
              </w:rPr>
              <w:t xml:space="preserve">negative_price_actual_v3.csv</w:t>
            </w:r>
            <w:r>
              <w:rPr>
                <w:rFonts w:hint="eastAsia"/>
                <w:sz w:val="18"/>
              </w:rPr>
              <w:t xml:space="preserve">（計上時期の補正は</w:t>
            </w:r>
            <w:r>
              <w:rPr>
                <w:sz w:val="18"/>
              </w:rPr>
              <w:t xml:space="preserve"> </w:t>
            </w:r>
            <w:r>
              <w:rPr>
                <w:rStyle w:val="VerbatimChar"/>
                <w:sz w:val="18"/>
              </w:rPr>
              <w:t xml:space="preserve">cf_correction_negprice.csv</w:t>
            </w:r>
            <w:r>
              <w:rPr>
                <w:rFonts w:hint="eastAsia"/>
                <w:sz w:val="18"/>
              </w:rPr>
              <w:t xml:space="preserve">／</w:t>
            </w:r>
            <w:r>
              <w:rPr>
                <w:rStyle w:val="VerbatimChar"/>
                <w:sz w:val="18"/>
              </w:rPr>
              <w:t xml:space="preserve">51</w:t>
            </w:r>
            <w:r>
              <w:rPr>
                <w:rFonts w:hint="eastAsia"/>
                <w:sz w:val="18"/>
              </w:rPr>
              <w:t xml:space="preserve">）</w:t>
            </w:r>
          </w:p>
        </w:tc>
        <w:tc>
          <w:tcPr/>
          <w:p>
            <w:pPr>
              <w:pStyle w:val="Compact"/>
            </w:pPr>
            <w:r>
              <w:rPr>
                <w:rStyle w:val="VerbatimChar"/>
                <w:sz w:val="18"/>
              </w:rPr>
              <w:t xml:space="preserve">43</w:t>
            </w:r>
          </w:p>
        </w:tc>
      </w:tr>
      <w:tr>
        <w:tc>
          <w:tcPr/>
          <w:p>
            <w:pPr>
              <w:pStyle w:val="Compact"/>
            </w:pPr>
            <w:r>
              <w:rPr>
                <w:rFonts w:hint="eastAsia"/>
                <w:sz w:val="18"/>
              </w:rPr>
              <w:t xml:space="preserve">表C.50</w:t>
            </w:r>
            <w:r>
              <w:rPr>
                <w:sz w:val="18"/>
              </w:rPr>
              <w:t xml:space="preserve">　</w:t>
            </w:r>
            <w:r>
              <w:rPr>
                <w:rFonts w:hint="eastAsia"/>
                <w:sz w:val="18"/>
              </w:rPr>
              <w:t xml:space="preserve">太陽光・風力の抑制時間と下限張り付きの時間</w:t>
            </w:r>
          </w:p>
        </w:tc>
        <w:tc>
          <w:tcPr/>
          <w:p>
            <w:pPr>
              <w:pStyle w:val="Compact"/>
            </w:pPr>
            <w:r>
              <w:rPr>
                <w:rStyle w:val="VerbatimChar"/>
                <w:sz w:val="18"/>
              </w:rPr>
              <w:t xml:space="preserve">negative_price_transfer.csv</w:t>
            </w:r>
            <w:r>
              <w:rPr>
                <w:sz w:val="18"/>
              </w:rPr>
              <w:t xml:space="preserve">、</w:t>
            </w:r>
            <w:r>
              <w:rPr>
                <w:rStyle w:val="VerbatimChar"/>
                <w:sz w:val="18"/>
              </w:rPr>
              <w:t xml:space="preserve">negative_price_transfer_v2.csv</w:t>
            </w:r>
          </w:p>
        </w:tc>
        <w:tc>
          <w:tcPr/>
          <w:p>
            <w:pPr>
              <w:pStyle w:val="Compact"/>
            </w:pPr>
            <w:r>
              <w:rPr>
                <w:rStyle w:val="VerbatimChar"/>
                <w:sz w:val="18"/>
              </w:rPr>
              <w:t xml:space="preserve">32</w:t>
            </w:r>
            <w:r>
              <w:rPr>
                <w:sz w:val="18"/>
              </w:rPr>
              <w:t xml:space="preserve">、</w:t>
            </w:r>
            <w:r>
              <w:rPr>
                <w:rStyle w:val="VerbatimChar"/>
                <w:sz w:val="18"/>
              </w:rPr>
              <w:t xml:space="preserve">50</w:t>
            </w:r>
          </w:p>
        </w:tc>
      </w:tr>
      <w:tr>
        <w:tc>
          <w:tcPr/>
          <w:p>
            <w:pPr>
              <w:pStyle w:val="Compact"/>
            </w:pPr>
            <w:r>
              <w:rPr>
                <w:rFonts w:hint="eastAsia"/>
                <w:sz w:val="18"/>
              </w:rPr>
              <w:t xml:space="preserve">表C.51</w:t>
            </w:r>
            <w:r>
              <w:rPr>
                <w:sz w:val="18"/>
              </w:rPr>
              <w:t xml:space="preserve">　</w:t>
            </w:r>
            <w:r>
              <w:rPr>
                <w:rFonts w:hint="eastAsia"/>
                <w:sz w:val="18"/>
              </w:rPr>
              <w:t xml:space="preserve">主要な前提・捨象と結論への影響（詳細）</w:t>
            </w:r>
          </w:p>
        </w:tc>
        <w:tc>
          <w:tcPr/>
          <w:p>
            <w:pPr>
              <w:pStyle w:val="Compact"/>
            </w:pPr>
            <w:r>
              <w:rPr>
                <w:rFonts w:hint="eastAsia"/>
                <w:sz w:val="18"/>
              </w:rPr>
              <w:t xml:space="preserve">—（本文の各章と付録C</w:t>
            </w:r>
            <w:r>
              <w:rPr>
                <w:sz w:val="18"/>
              </w:rPr>
              <w:t xml:space="preserve"> </w:t>
            </w:r>
            <w:r>
              <w:rPr>
                <w:rFonts w:hint="eastAsia"/>
                <w:sz w:val="18"/>
              </w:rPr>
              <w:t xml:space="preserve">の結果）</w:t>
            </w:r>
          </w:p>
        </w:tc>
        <w:tc>
          <w:tcPr/>
          <w:p>
            <w:pPr>
              <w:pStyle w:val="Compact"/>
            </w:pPr>
            <w:r>
              <w:rPr>
                <w:sz w:val="18"/>
              </w:rPr>
              <w:t xml:space="preserve">—</w:t>
            </w:r>
          </w:p>
        </w:tc>
      </w:tr>
      <w:tr>
        <w:tc>
          <w:tcPr/>
          <w:p>
            <w:pPr>
              <w:pStyle w:val="Compact"/>
            </w:pPr>
            <w:r>
              <w:rPr>
                <w:rFonts w:hint="eastAsia"/>
                <w:sz w:val="18"/>
              </w:rPr>
              <w:t xml:space="preserve">表D.1</w:t>
            </w:r>
            <w:r>
              <w:rPr>
                <w:sz w:val="18"/>
              </w:rPr>
              <w:t xml:space="preserve">　</w:t>
            </w:r>
            <w:r>
              <w:rPr>
                <w:rFonts w:hint="eastAsia"/>
                <w:sz w:val="18"/>
              </w:rPr>
              <w:t xml:space="preserve">年度別の完全予見粗利と下限張り付きコマ数</w:t>
            </w:r>
          </w:p>
        </w:tc>
        <w:tc>
          <w:tcPr/>
          <w:p>
            <w:pPr>
              <w:pStyle w:val="Compact"/>
            </w:pPr>
            <w:r>
              <w:rPr>
                <w:rFonts w:hint="eastAsia"/>
                <w:sz w:val="18"/>
              </w:rPr>
              <w:t xml:space="preserve">北海道は</w:t>
            </w:r>
            <w:r>
              <w:rPr>
                <w:sz w:val="18"/>
              </w:rPr>
              <w:t xml:space="preserve"> </w:t>
            </w:r>
            <w:r>
              <w:rPr>
                <w:rStyle w:val="VerbatimChar"/>
                <w:sz w:val="18"/>
              </w:rPr>
              <w:t xml:space="preserve">option_layers_by_fy.csv</w:t>
            </w:r>
            <w:r>
              <w:rPr>
                <w:rFonts w:hint="eastAsia"/>
                <w:sz w:val="18"/>
              </w:rPr>
              <w:t xml:space="preserve">、九州は</w:t>
            </w:r>
            <w:r>
              <w:rPr>
                <w:sz w:val="18"/>
              </w:rPr>
              <w:t xml:space="preserve"> </w:t>
            </w:r>
            <w:r>
              <w:rPr>
                <w:rStyle w:val="VerbatimChar"/>
                <w:sz w:val="18"/>
              </w:rPr>
              <w:t xml:space="preserve">kyushu_battery_backtest_daily.csv</w:t>
            </w:r>
            <w:r>
              <w:rPr>
                <w:sz w:val="18"/>
              </w:rPr>
              <w:t xml:space="preserve"> </w:t>
            </w:r>
            <w:r>
              <w:rPr>
                <w:rFonts w:hint="eastAsia"/>
                <w:sz w:val="18"/>
              </w:rPr>
              <w:t xml:space="preserve">の年度合計÷1,000。下限張り付きコマ数は</w:t>
            </w:r>
            <w:r>
              <w:rPr>
                <w:sz w:val="18"/>
              </w:rPr>
              <w:t xml:space="preserve"> </w:t>
            </w:r>
            <w:r>
              <w:rPr>
                <w:rStyle w:val="VerbatimChar"/>
                <w:sz w:val="18"/>
              </w:rPr>
              <w:t xml:space="preserve">jepx_kyushu_30min.csv</w:t>
            </w:r>
            <w:r>
              <w:rPr>
                <w:sz w:val="18"/>
              </w:rPr>
              <w:t xml:space="preserve"> </w:t>
            </w:r>
            <w:r>
              <w:rPr>
                <w:rFonts w:hint="eastAsia"/>
                <w:sz w:val="18"/>
              </w:rPr>
              <w:t xml:space="preserve">の30分値で約定価格が0.011円以下のコマの年度計</w:t>
            </w:r>
          </w:p>
        </w:tc>
        <w:tc>
          <w:tcPr/>
          <w:p>
            <w:pPr>
              <w:pStyle w:val="Compact"/>
            </w:pPr>
            <w:r>
              <w:rPr>
                <w:rStyle w:val="VerbatimChar"/>
                <w:sz w:val="18"/>
              </w:rPr>
              <w:t xml:space="preserve">35</w:t>
            </w:r>
            <w:r>
              <w:rPr>
                <w:sz w:val="18"/>
              </w:rPr>
              <w:t xml:space="preserve">、</w:t>
            </w:r>
            <w:r>
              <w:rPr>
                <w:rStyle w:val="VerbatimChar"/>
                <w:sz w:val="18"/>
              </w:rPr>
              <w:t xml:space="preserve">03</w:t>
            </w:r>
            <w:r>
              <w:rPr>
                <w:sz w:val="18"/>
              </w:rPr>
              <w:t xml:space="preserve">、</w:t>
            </w:r>
            <w:r>
              <w:rPr>
                <w:rStyle w:val="VerbatimChar"/>
                <w:sz w:val="18"/>
              </w:rPr>
              <w:t xml:space="preserve">10</w:t>
            </w:r>
          </w:p>
        </w:tc>
      </w:tr>
      <w:tr>
        <w:tc>
          <w:tcPr/>
          <w:p>
            <w:pPr>
              <w:pStyle w:val="Compact"/>
            </w:pPr>
            <w:r>
              <w:rPr>
                <w:rFonts w:hint="eastAsia"/>
                <w:sz w:val="18"/>
              </w:rPr>
              <w:t xml:space="preserve">表D.2</w:t>
            </w:r>
            <w:r>
              <w:rPr>
                <w:sz w:val="18"/>
              </w:rPr>
              <w:t xml:space="preserve">　</w:t>
            </w:r>
            <w:r>
              <w:rPr>
                <w:rFonts w:hint="eastAsia"/>
                <w:sz w:val="18"/>
              </w:rPr>
              <w:t xml:space="preserve">季節別の日次の記述統計</w:t>
            </w:r>
          </w:p>
        </w:tc>
        <w:tc>
          <w:tcPr/>
          <w:p>
            <w:pPr>
              <w:pStyle w:val="Compact"/>
            </w:pPr>
            <w:r>
              <w:rPr>
                <w:rStyle w:val="VerbatimChar"/>
                <w:sz w:val="18"/>
              </w:rPr>
              <w:t xml:space="preserve">descriptive_stats_v3_season.csv</w:t>
            </w:r>
            <w:r>
              <w:rPr>
                <w:rFonts w:hint="eastAsia"/>
                <w:sz w:val="18"/>
              </w:rPr>
              <w:t xml:space="preserve">（FY2016〜25</w:t>
            </w:r>
            <w:r>
              <w:rPr>
                <w:sz w:val="18"/>
              </w:rPr>
              <w:t xml:space="preserve"> </w:t>
            </w:r>
            <w:r>
              <w:rPr>
                <w:rFonts w:hint="eastAsia"/>
                <w:sz w:val="18"/>
              </w:rPr>
              <w:t xml:space="preserve">の版と最小・中央値・最大を含む）</w:t>
            </w:r>
          </w:p>
        </w:tc>
        <w:tc>
          <w:tcPr/>
          <w:p>
            <w:pPr>
              <w:pStyle w:val="Compact"/>
            </w:pPr>
            <w:r>
              <w:rPr>
                <w:rStyle w:val="VerbatimChar"/>
                <w:sz w:val="18"/>
              </w:rPr>
              <w:t xml:space="preserve">46</w:t>
            </w:r>
          </w:p>
        </w:tc>
      </w:tr>
      <w:tr>
        <w:tc>
          <w:tcPr/>
          <w:p>
            <w:pPr>
              <w:pStyle w:val="Compact"/>
            </w:pPr>
            <w:r>
              <w:rPr>
                <w:rFonts w:hint="eastAsia"/>
                <w:sz w:val="18"/>
              </w:rPr>
              <w:t xml:space="preserve">表D.3</w:t>
            </w:r>
            <w:r>
              <w:rPr>
                <w:sz w:val="18"/>
              </w:rPr>
              <w:t xml:space="preserve">　</w:t>
            </w:r>
            <w:r>
              <w:rPr>
                <w:rFonts w:hint="eastAsia"/>
                <w:sz w:val="18"/>
              </w:rPr>
              <w:t xml:space="preserve">完全予見粗利の3層分解（全年度・季節×風力の三分位）</w:t>
            </w:r>
          </w:p>
        </w:tc>
        <w:tc>
          <w:tcPr/>
          <w:p>
            <w:pPr>
              <w:pStyle w:val="Compact"/>
            </w:pPr>
            <w:r>
              <w:rPr>
                <w:rStyle w:val="VerbatimChar"/>
                <w:sz w:val="18"/>
              </w:rPr>
              <w:t xml:space="preserve">option_layers_by_fy.csv</w:t>
            </w:r>
            <w:r>
              <w:rPr>
                <w:sz w:val="18"/>
              </w:rPr>
              <w:t xml:space="preserve">、</w:t>
            </w:r>
            <w:r>
              <w:rPr>
                <w:rStyle w:val="VerbatimChar"/>
                <w:sz w:val="18"/>
              </w:rPr>
              <w:t xml:space="preserve">option_layers_by_season.csv</w:t>
            </w:r>
          </w:p>
        </w:tc>
        <w:tc>
          <w:tcPr/>
          <w:p>
            <w:pPr>
              <w:pStyle w:val="Compact"/>
            </w:pPr>
            <w:r>
              <w:rPr>
                <w:rStyle w:val="VerbatimChar"/>
                <w:sz w:val="18"/>
              </w:rPr>
              <w:t xml:space="preserve">35</w:t>
            </w:r>
          </w:p>
        </w:tc>
      </w:tr>
      <w:tr>
        <w:tc>
          <w:tcPr/>
          <w:p>
            <w:pPr>
              <w:pStyle w:val="Compact"/>
            </w:pPr>
            <w:r>
              <w:rPr>
                <w:rFonts w:hint="eastAsia"/>
                <w:sz w:val="18"/>
              </w:rPr>
              <w:t xml:space="preserve">表D.4</w:t>
            </w:r>
            <w:r>
              <w:rPr>
                <w:sz w:val="18"/>
              </w:rPr>
              <w:t xml:space="preserve">　</w:t>
            </w:r>
            <w:r>
              <w:rPr>
                <w:rFonts w:hint="eastAsia"/>
                <w:sz w:val="18"/>
              </w:rPr>
              <w:t xml:space="preserve">5円超の風力の抑制の分類</w:t>
            </w:r>
          </w:p>
        </w:tc>
        <w:tc>
          <w:tcPr/>
          <w:p>
            <w:pPr>
              <w:pStyle w:val="Compact"/>
            </w:pPr>
            <w:r>
              <w:rPr>
                <w:rStyle w:val="VerbatimChar"/>
                <w:sz w:val="18"/>
              </w:rPr>
              <w:t xml:space="preserve">curtailment_above5_classification.csv</w:t>
            </w:r>
            <w:r>
              <w:rPr>
                <w:sz w:val="18"/>
              </w:rPr>
              <w:t xml:space="preserve">、</w:t>
            </w:r>
            <w:r>
              <w:rPr>
                <w:rStyle w:val="VerbatimChar"/>
                <w:sz w:val="18"/>
              </w:rPr>
              <w:t xml:space="preserve">curtailment_price_bands.csv</w:t>
            </w:r>
          </w:p>
        </w:tc>
        <w:tc>
          <w:tcPr/>
          <w:p>
            <w:pPr>
              <w:pStyle w:val="Compact"/>
            </w:pPr>
            <w:r>
              <w:rPr>
                <w:rStyle w:val="VerbatimChar"/>
                <w:sz w:val="18"/>
              </w:rPr>
              <w:t xml:space="preserve">50</w:t>
            </w:r>
          </w:p>
        </w:tc>
      </w:tr>
      <w:tr>
        <w:tc>
          <w:tcPr/>
          <w:p>
            <w:pPr>
              <w:pStyle w:val="Compact"/>
            </w:pPr>
            <w:r>
              <w:rPr>
                <w:rFonts w:hint="eastAsia"/>
                <w:sz w:val="18"/>
              </w:rPr>
              <w:t xml:space="preserve">表D.5</w:t>
            </w:r>
            <w:r>
              <w:rPr>
                <w:sz w:val="18"/>
              </w:rPr>
              <w:t xml:space="preserve">　</w:t>
            </w:r>
            <w:r>
              <w:rPr>
                <w:rFonts w:hint="eastAsia"/>
                <w:sz w:val="18"/>
              </w:rPr>
              <w:t xml:space="preserve">ローカル系統の混雑による出力制御の一覧</w:t>
            </w:r>
          </w:p>
        </w:tc>
        <w:tc>
          <w:tcPr/>
          <w:p>
            <w:pPr>
              <w:pStyle w:val="Compact"/>
            </w:pPr>
            <w:r>
              <w:rPr>
                <w:rStyle w:val="VerbatimChar"/>
                <w:sz w:val="18"/>
              </w:rPr>
              <w:t xml:space="preserve">local_congestion_control_occto.csv</w:t>
            </w:r>
          </w:p>
        </w:tc>
        <w:tc>
          <w:tcPr/>
          <w:p>
            <w:pPr>
              <w:pStyle w:val="Compact"/>
            </w:pPr>
            <w:r>
              <w:rPr>
                <w:rStyle w:val="VerbatimChar"/>
                <w:sz w:val="18"/>
              </w:rPr>
              <w:t xml:space="preserve">50</w:t>
            </w:r>
          </w:p>
        </w:tc>
      </w:tr>
    </w:tbl>
    <w:p>
      <w:pPr>
        <w:pStyle w:val="TableNote"/>
      </w:pPr>
      <w:r>
        <w:rPr>
          <w:rFonts w:hint="eastAsia"/>
        </w:rPr>
        <w:t xml:space="preserve">注）本文の数値のうち図表にないものの出典は次のとおりである。損益分岐の</w:t>
      </w:r>
      <w:r>
        <w:t xml:space="preserve"> </w:t>
      </w:r>
      <m:oMath>
        <m:sSup>
          <m:e>
            <m:r>
              <m:t>θ</m:t>
            </m:r>
          </m:e>
          <m:sup>
            <m:r>
              <m:rPr>
                <m:sty m:val="p"/>
              </m:rPr>
              <m:t>*</m:t>
            </m:r>
          </m:sup>
        </m:sSup>
      </m:oMath>
      <w:r>
        <w:rPr>
          <w:rFonts w:hint="eastAsia"/>
        </w:rPr>
        <w:t xml:space="preserve">・損益分岐の資本費・事業</w:t>
      </w:r>
      <w:r>
        <w:t xml:space="preserve"> </w:t>
      </w:r>
      <w:r>
        <w:rPr>
          <w:rFonts w:hint="eastAsia"/>
        </w:rPr>
        <w:t xml:space="preserve">IRR（7.5節、8.6節）は</w:t>
      </w:r>
      <w:r>
        <w:t xml:space="preserve"> </w:t>
      </w:r>
      <w:r>
        <w:rPr>
          <w:rStyle w:val="VerbatimChar"/>
        </w:rPr>
        <w:t xml:space="preserve">theta_star_v3.csv</w:t>
      </w:r>
      <w:r>
        <w:t xml:space="preserve">・</w:t>
      </w:r>
      <w:r>
        <w:rPr>
          <w:rStyle w:val="VerbatimChar"/>
        </w:rPr>
        <w:t xml:space="preserve">equilibrium_v3_irr.csv</w:t>
      </w:r>
      <w:r>
        <w:rPr>
          <w:rFonts w:hint="eastAsia"/>
        </w:rPr>
        <w:t xml:space="preserve">（</w:t>
      </w:r>
      <w:r>
        <w:rPr>
          <w:rStyle w:val="VerbatimChar"/>
        </w:rPr>
        <w:t xml:space="preserve">41</w:t>
      </w:r>
      <w:r>
        <w:rPr>
          <w:rFonts w:hint="eastAsia"/>
        </w:rPr>
        <w:t xml:space="preserve">）、duration</w:t>
      </w:r>
      <w:r>
        <w:t xml:space="preserve"> </w:t>
      </w:r>
      <w:r>
        <w:rPr>
          <w:rFonts w:hint="eastAsia"/>
        </w:rPr>
        <w:t xml:space="preserve">別の価値（6.5節）は</w:t>
      </w:r>
      <w:r>
        <w:t xml:space="preserve"> </w:t>
      </w:r>
      <w:r>
        <w:rPr>
          <w:rStyle w:val="VerbatimChar"/>
        </w:rPr>
        <w:t xml:space="preserve">duration_value_v3.csv</w:t>
      </w:r>
      <w:r>
        <w:t xml:space="preserve">・</w:t>
      </w:r>
      <w:r>
        <w:rPr>
          <w:rStyle w:val="VerbatimChar"/>
        </w:rPr>
        <w:t xml:space="preserve">duration_theta_star_v3.csv</w:t>
      </w:r>
      <w:r>
        <w:rPr>
          <w:rFonts w:hint="eastAsia"/>
        </w:rPr>
        <w:t xml:space="preserve">（</w:t>
      </w:r>
      <w:r>
        <w:rPr>
          <w:rStyle w:val="VerbatimChar"/>
        </w:rPr>
        <w:t xml:space="preserve">48</w:t>
      </w:r>
      <w:r>
        <w:rPr>
          <w:rFonts w:hint="eastAsia"/>
        </w:rPr>
        <w:t xml:space="preserve">）、完全予見粗利の因子エクスポージャー（6.4.2項）は</w:t>
      </w:r>
      <w:r>
        <w:t xml:space="preserve"> </w:t>
      </w:r>
      <w:r>
        <w:rPr>
          <w:rStyle w:val="VerbatimChar"/>
        </w:rPr>
        <w:t xml:space="preserve">price_curve_pca_pf_exposure.csv</w:t>
      </w:r>
      <w:r>
        <w:t xml:space="preserve">・</w:t>
      </w:r>
      <w:r>
        <w:rPr>
          <w:rStyle w:val="VerbatimChar"/>
        </w:rPr>
        <w:t xml:space="preserve">price_curve_pca_pf_channels.csv</w:t>
      </w:r>
      <w:r>
        <w:t xml:space="preserve">・</w:t>
      </w:r>
      <w:r>
        <w:rPr>
          <w:rStyle w:val="VerbatimChar"/>
        </w:rPr>
        <w:t xml:space="preserve">price_curve_pca_pf_exposure_by_period.csv</w:t>
      </w:r>
      <w:r>
        <w:t xml:space="preserve">・</w:t>
      </w:r>
      <w:r>
        <w:rPr>
          <w:rStyle w:val="VerbatimChar"/>
        </w:rPr>
        <w:t xml:space="preserve">price_curve_pca_sensitivity.csv</w:t>
      </w:r>
      <w:r>
        <w:rPr>
          <w:rFonts w:hint="eastAsia"/>
        </w:rPr>
        <w:t xml:space="preserve">（</w:t>
      </w:r>
      <w:r>
        <w:rPr>
          <w:rStyle w:val="VerbatimChar"/>
        </w:rPr>
        <w:t xml:space="preserve">34</w:t>
      </w:r>
      <w:r>
        <w:rPr>
          <w:rFonts w:hint="eastAsia"/>
        </w:rPr>
        <w:t xml:space="preserve">）、下限を外した場合の負の価格の深さ（7.7節、付録C.3.7）は</w:t>
      </w:r>
      <w:r>
        <w:t xml:space="preserve"> </w:t>
      </w:r>
      <w:r>
        <w:rPr>
          <w:rStyle w:val="VerbatimChar"/>
        </w:rPr>
        <w:t xml:space="preserve">negative_price_extrap_depth_v3.csv</w:t>
      </w:r>
      <w:r>
        <w:rPr>
          <w:rFonts w:hint="eastAsia"/>
        </w:rPr>
        <w:t xml:space="preserve">（</w:t>
      </w:r>
      <w:r>
        <w:rPr>
          <w:rStyle w:val="VerbatimChar"/>
        </w:rPr>
        <w:t xml:space="preserve">43</w:t>
      </w:r>
      <w:r>
        <w:rPr>
          <w:rFonts w:hint="eastAsia"/>
        </w:rPr>
        <w:t xml:space="preserve">）、接続枠の待機価値（8.4.2項）は</w:t>
      </w:r>
      <w:r>
        <w:t xml:space="preserve"> </w:t>
      </w:r>
      <w:r>
        <w:rPr>
          <w:rStyle w:val="VerbatimChar"/>
        </w:rPr>
        <w:t xml:space="preserve">real_option_waiting_value.csv</w:t>
      </w:r>
      <w:r>
        <w:rPr>
          <w:rFonts w:hint="eastAsia"/>
        </w:rPr>
        <w:t xml:space="preserve">（</w:t>
      </w:r>
      <w:r>
        <w:rPr>
          <w:rStyle w:val="VerbatimChar"/>
        </w:rPr>
        <w:t xml:space="preserve">38</w:t>
      </w:r>
      <w:r>
        <w:rPr>
          <w:rFonts w:hint="eastAsia"/>
        </w:rPr>
        <w:t xml:space="preserve">）、抑制の価格帯（8.5.1項）は</w:t>
      </w:r>
      <w:r>
        <w:t xml:space="preserve"> </w:t>
      </w:r>
      <w:r>
        <w:rPr>
          <w:rStyle w:val="VerbatimChar"/>
        </w:rPr>
        <w:t xml:space="preserve">curtailment_price_bands.csv</w:t>
      </w:r>
      <w:r>
        <w:rPr>
          <w:rFonts w:hint="eastAsia"/>
        </w:rPr>
        <w:t xml:space="preserve">（</w:t>
      </w:r>
      <w:r>
        <w:rPr>
          <w:rStyle w:val="VerbatimChar"/>
        </w:rPr>
        <w:t xml:space="preserve">50</w:t>
      </w:r>
      <w:r>
        <w:rPr>
          <w:rFonts w:hint="eastAsia"/>
        </w:rPr>
        <w:t xml:space="preserve">）、</w:t>
      </w:r>
      <m:oMath>
        <m:r>
          <m:t>π</m:t>
        </m:r>
        <m:r>
          <m:rPr>
            <m:sty m:val="p"/>
          </m:rPr>
          <m:t>(</m:t>
        </m:r>
        <m:r>
          <m:t>K</m:t>
        </m:r>
        <m:r>
          <m:rPr>
            <m:sty m:val="p"/>
          </m:rPr>
          <m:t>)</m:t>
        </m:r>
      </m:oMath>
      <w:r>
        <w:t xml:space="preserve"> </w:t>
      </w:r>
      <w:r>
        <w:rPr>
          <w:rFonts w:hint="eastAsia"/>
        </w:rPr>
        <w:t xml:space="preserve">の傾き（9.5節の脚注）は</w:t>
      </w:r>
      <w:r>
        <w:t xml:space="preserve"> </w:t>
      </w:r>
      <w:r>
        <w:rPr>
          <w:rStyle w:val="VerbatimChar"/>
        </w:rPr>
        <w:t xml:space="preserve">weitzman_slopes.csv</w:t>
      </w:r>
      <w:r>
        <w:rPr>
          <w:rFonts w:hint="eastAsia"/>
        </w:rPr>
        <w:t xml:space="preserve">（</w:t>
      </w:r>
      <w:r>
        <w:rPr>
          <w:rStyle w:val="VerbatimChar"/>
        </w:rPr>
        <w:t xml:space="preserve">50</w:t>
      </w:r>
      <w:r>
        <w:rPr>
          <w:rFonts w:hint="eastAsia"/>
        </w:rPr>
        <w:t xml:space="preserve">）、設備利用率の計上時期の補正（付録A.4</w:t>
      </w:r>
      <w:r>
        <w:t xml:space="preserve"> </w:t>
      </w:r>
      <w:r>
        <w:rPr>
          <w:rFonts w:hint="eastAsia"/>
        </w:rPr>
        <w:t xml:space="preserve">と各章の感応度）は</w:t>
      </w:r>
      <w:r>
        <w:t xml:space="preserve"> </w:t>
      </w:r>
      <w:r>
        <w:rPr>
          <w:rStyle w:val="VerbatimChar"/>
        </w:rPr>
        <w:t xml:space="preserve">hokkaido_cf_series_corrected.csv</w:t>
      </w:r>
      <w:r>
        <w:t xml:space="preserve">・</w:t>
      </w:r>
      <w:r>
        <w:rPr>
          <w:rStyle w:val="VerbatimChar"/>
        </w:rPr>
        <w:t xml:space="preserve">cf_correction_fy.csv</w:t>
      </w:r>
      <w:r>
        <w:t xml:space="preserve">・</w:t>
      </w:r>
      <w:r>
        <w:rPr>
          <w:rStyle w:val="VerbatimChar"/>
        </w:rPr>
        <w:t xml:space="preserve">cf_correction_monthly.csv</w:t>
      </w:r>
      <w:r>
        <w:t xml:space="preserve">・</w:t>
      </w:r>
      <w:r>
        <w:rPr>
          <w:rStyle w:val="VerbatimChar"/>
        </w:rPr>
        <w:t xml:space="preserve">cf_correction_btable_quarters.csv</w:t>
      </w:r>
      <w:r>
        <w:t xml:space="preserve"> </w:t>
      </w:r>
      <w:r>
        <w:rPr>
          <w:rFonts w:hint="eastAsia"/>
        </w:rPr>
        <w:t xml:space="preserve">ほか（</w:t>
      </w:r>
      <w:r>
        <w:rPr>
          <w:rStyle w:val="VerbatimChar"/>
        </w:rPr>
        <w:t xml:space="preserve">51</w:t>
      </w:r>
      <w:r>
        <w:rPr>
          <w:rFonts w:hint="eastAsia"/>
        </w:rPr>
        <w:t xml:space="preserve">）による。表C.5</w:t>
      </w:r>
      <w:r>
        <w:t xml:space="preserve"> </w:t>
      </w:r>
      <w:r>
        <w:rPr>
          <w:rFonts w:hint="eastAsia"/>
        </w:rPr>
        <w:t xml:space="preserve">の注の、計上時期を補正した設備容量を使った場合の完全予見粗利の変化（0.2ポイント以下）は作業時の確認の値で、リポジトリの出力にはない。</w:t>
      </w:r>
    </w:p>
    <w:p>
      <w:pPr>
        <w:pStyle w:val="TableNote"/>
      </w:pPr>
      <w:r>
        <w:rPr>
          <w:rFonts w:hint="eastAsia"/>
        </w:rPr>
        <w:t xml:space="preserve">出所）筆者作成。</w:t>
      </w:r>
    </w:p>
    <w:bookmarkEnd w:id="405"/>
    <w:bookmarkStart w:id="406" w:name="e.4-データの処理上の注意"/>
    <w:p>
      <w:pPr>
        <w:pStyle w:val="Heading2"/>
      </w:pPr>
      <w:r>
        <w:t xml:space="preserve">E.4　</w:t>
      </w:r>
      <w:r>
        <w:rPr>
          <w:rFonts w:hint="eastAsia"/>
        </w:rPr>
        <w:t xml:space="preserve">データの処理上の注意</w:t>
      </w:r>
    </w:p>
    <w:p>
      <w:pPr>
        <w:pStyle w:val="FirstParagraph"/>
      </w:pPr>
      <w:r>
        <w:rPr>
          <w:rFonts w:hint="eastAsia"/>
        </w:rPr>
        <w:t xml:space="preserve">原データ（</w:t>
      </w:r>
      <w:r>
        <w:rPr>
          <w:rStyle w:val="VerbatimChar"/>
        </w:rPr>
        <w:t xml:space="preserve">data/raw/</w:t>
      </w:r>
      <w:r>
        <w:rPr>
          <w:rFonts w:hint="eastAsia"/>
        </w:rPr>
        <w:t xml:space="preserve">）は取得したときのまま残し、次の処理はすべて処理の段階で行う。記録は</w:t>
      </w:r>
      <w:r>
        <w:t xml:space="preserve"> </w:t>
      </w:r>
      <w:r>
        <w:rPr>
          <w:rStyle w:val="VerbatimChar"/>
        </w:rPr>
        <w:t xml:space="preserve">data/README.md</w:t>
      </w:r>
      <w:r>
        <w:t xml:space="preserve"> </w:t>
      </w:r>
      <w:r>
        <w:rPr>
          <w:rFonts w:hint="eastAsia"/>
        </w:rPr>
        <w:t xml:space="preserve">と各スクリプトの</w:t>
      </w:r>
      <w:r>
        <w:t xml:space="preserve"> docstring にもある。</w:t>
      </w:r>
    </w:p>
    <w:p>
      <w:pPr>
        <w:pStyle w:val="BodyText"/>
      </w:pPr>
      <w:r>
        <w:rPr>
          <w:rFonts w:hint="eastAsia"/>
          <w:b/>
          <w:bCs/>
        </w:rPr>
        <w:t xml:space="preserve">九州の新様式の連系線の符号</w:t>
      </w:r>
      <w:r>
        <w:t xml:space="preserve">　</w:t>
      </w:r>
      <w:r>
        <w:rPr>
          <w:rFonts w:hint="eastAsia"/>
        </w:rPr>
        <w:t xml:space="preserve">九州の需給実績の新様式（2024年3月以降）の連系線の列は、旧様式と符号の向きが逆である（旧様式は負が域外への送電、新様式は正が域外への送電）。様式の境界で昼間の平均が</w:t>
      </w:r>
      <w:r>
        <w:t xml:space="preserve"> −2,197MW から +2,203MW </w:t>
      </w:r>
      <w:r>
        <w:rPr>
          <w:rFonts w:hint="eastAsia"/>
        </w:rPr>
        <w:t xml:space="preserve">に不連続になることで確かめられる。</w:t>
      </w:r>
      <w:r>
        <w:rPr>
          <w:rStyle w:val="VerbatimChar"/>
        </w:rPr>
        <w:t xml:space="preserve">01</w:t>
      </w:r>
      <w:r>
        <w:t xml:space="preserve"> </w:t>
      </w:r>
      <w:r>
        <w:rPr>
          <w:rFonts w:hint="eastAsia"/>
        </w:rPr>
        <w:t xml:space="preserve">は新様式の符号を反転し、パネルでは受電を正（域外への送電を負）に統一する。北海道と東北の連系線は新旧の様式とも受電が正で、反転しない。</w:t>
      </w:r>
    </w:p>
    <w:p>
      <w:pPr>
        <w:pStyle w:val="BodyText"/>
      </w:pPr>
      <w:r>
        <w:rPr>
          <w:rFonts w:hint="eastAsia"/>
          <w:b/>
          <w:bCs/>
        </w:rPr>
        <w:t xml:space="preserve">九州の2026年4・5月のファイルの列構成</w:t>
      </w:r>
      <w:r>
        <w:t xml:space="preserve">　</w:t>
      </w:r>
      <w:r>
        <w:rPr>
          <w:rFonts w:hint="eastAsia"/>
        </w:rPr>
        <w:t xml:space="preserve">九州の2026年4月・5月のファイルは、火力とバイオマスの出力制御量の2列が挿入された22列の構成である（6月以降は20列に戻る）。列の位置で読むと太陽光・揚水・連系線などが誤って対応するので、</w:t>
      </w:r>
      <w:r>
        <w:rPr>
          <w:rStyle w:val="VerbatimChar"/>
        </w:rPr>
        <w:t xml:space="preserve">01</w:t>
      </w:r>
      <w:r>
        <w:t xml:space="preserve"> </w:t>
      </w:r>
      <w:r>
        <w:rPr>
          <w:rFonts w:hint="eastAsia"/>
        </w:rPr>
        <w:t xml:space="preserve">は見出しの名前で列を対応させる（未知の列名があれば停止する）。</w:t>
      </w:r>
    </w:p>
    <w:p>
      <w:pPr>
        <w:pStyle w:val="BodyText"/>
      </w:pPr>
      <w:r>
        <w:rPr>
          <w:rFonts w:hint="eastAsia"/>
          <w:b/>
          <w:bCs/>
        </w:rPr>
        <w:t xml:space="preserve">北海道の価格の欠測</w:t>
      </w:r>
      <w:r>
        <w:t xml:space="preserve">　</w:t>
      </w:r>
      <w:r>
        <w:rPr>
          <w:rFonts w:hint="eastAsia"/>
        </w:rPr>
        <w:t xml:space="preserve">北海道エリアプライスの2018年9月7日〜26日の480時間の欠測は、北海道胆振東部地震の後の取引停止によるもので、データの不具合ではない（付録A.3）。</w:t>
      </w:r>
    </w:p>
    <w:p>
      <w:pPr>
        <w:pStyle w:val="BodyText"/>
      </w:pPr>
      <w:r>
        <w:rPr>
          <w:rFonts w:hint="eastAsia"/>
          <w:b/>
          <w:bCs/>
        </w:rPr>
        <w:t xml:space="preserve">九州の需要などの欠測日</w:t>
      </w:r>
      <w:r>
        <w:t xml:space="preserve">　</w:t>
      </w:r>
      <w:r>
        <w:rPr>
          <w:rStyle w:val="VerbatimChar"/>
        </w:rPr>
        <w:t xml:space="preserve">kyushu_hourly_panel.csv</w:t>
      </w:r>
      <w:r>
        <w:t xml:space="preserve"> </w:t>
      </w:r>
      <w:r>
        <w:rPr>
          <w:rFonts w:hint="eastAsia"/>
        </w:rPr>
        <w:t xml:space="preserve">は2019年3月12日〜31日（20日、480時間）の需要と原子力・火力の発電量を欠く（揚水と連系線の潮流も一部が欠測し、太陽光・風力の発電量と価格はある）。日次の集計は、24時間がそろわない日を欠測として除く（</w:t>
      </w:r>
      <w:r>
        <w:rPr>
          <w:rStyle w:val="VerbatimChar"/>
        </w:rPr>
        <w:t xml:space="preserve">sum(min_count=24)</w:t>
      </w:r>
      <w:r>
        <w:rPr>
          <w:rFonts w:hint="eastAsia"/>
        </w:rPr>
        <w:t xml:space="preserve">）。このため九州の日次標本は3,632日であり、</w:t>
      </w:r>
      <w:r>
        <w:rPr>
          <w:rStyle w:val="VerbatimChar"/>
        </w:rPr>
        <w:t xml:space="preserve">24</w:t>
      </w:r>
      <w:r>
        <w:t xml:space="preserve">、</w:t>
      </w:r>
      <w:r>
        <w:rPr>
          <w:rStyle w:val="VerbatimChar"/>
        </w:rPr>
        <w:t xml:space="preserve">33</w:t>
      </w:r>
      <w:r>
        <w:t xml:space="preserve">、</w:t>
      </w:r>
      <w:r>
        <w:rPr>
          <w:rStyle w:val="VerbatimChar"/>
        </w:rPr>
        <w:t xml:space="preserve">37</w:t>
      </w:r>
      <w:r>
        <w:t xml:space="preserve"> </w:t>
      </w:r>
      <w:r>
        <w:rPr>
          <w:rFonts w:hint="eastAsia"/>
        </w:rPr>
        <w:t xml:space="preserve">の九州の日次回帰と表C.30</w:t>
      </w:r>
      <w:r>
        <w:t xml:space="preserve"> </w:t>
      </w:r>
      <w:r>
        <w:rPr>
          <w:rFonts w:hint="eastAsia"/>
        </w:rPr>
        <w:t xml:space="preserve">の九州の原子力の回帰はこの20日を含まない。北海道の数値はこの処理の影響を受けない。欠測日を需要0・発電0の日として含めると、九州の風力・不需要期の</w:t>
      </w:r>
      <w:r>
        <w:t xml:space="preserve"> TB4h </w:t>
      </w:r>
      <w:r>
        <w:rPr>
          <w:rFonts w:hint="eastAsia"/>
        </w:rPr>
        <w:t xml:space="preserve">の係数は+0.275（除くと+0.173）になる。</w:t>
      </w:r>
    </w:p>
    <w:p>
      <w:pPr>
        <w:pStyle w:val="BodyText"/>
      </w:pPr>
      <w:r>
        <w:rPr>
          <w:b/>
          <w:bCs/>
        </w:rPr>
        <w:t xml:space="preserve">LTDA </w:t>
      </w:r>
      <w:r>
        <w:rPr>
          <w:rFonts w:hint="eastAsia"/>
          <w:b/>
          <w:bCs/>
        </w:rPr>
        <w:t xml:space="preserve">の落札蓄電池の所在エリア</w:t>
      </w:r>
      <w:r>
        <w:t xml:space="preserve">　</w:t>
      </w:r>
      <w:r>
        <w:rPr>
          <w:rStyle w:val="VerbatimChar"/>
        </w:rPr>
        <w:t xml:space="preserve">ltda_battery_projects.csv</w:t>
      </w:r>
      <w:r>
        <w:t xml:space="preserve"> </w:t>
      </w:r>
      <w:r>
        <w:rPr>
          <w:rFonts w:hint="eastAsia"/>
        </w:rPr>
        <w:t xml:space="preserve">の都道府県の列は、各回の約定結果の別紙の地名で確定した値である。第1回の森町睦実２蓄電所（56,351kW）の所在は静岡県周智郡森町（中部エリア）で、北海道ではない。第1回の美唄（39,004kW）・長沼（37,515kW）は北海道、第1回の松阪は三重県、由利本荘は秋田県、第2回の</w:t>
      </w:r>
      <w:r>
        <w:t xml:space="preserve"> </w:t>
      </w:r>
      <w:r>
        <w:rPr>
          <w:rFonts w:hint="eastAsia"/>
        </w:rPr>
        <w:t xml:space="preserve">BS浪江は福島県、津山杉宮は岡山県、石巻は宮城県である。第1回の</w:t>
      </w:r>
      <w:r>
        <w:t xml:space="preserve"> </w:t>
      </w:r>
      <w:r>
        <w:rPr>
          <w:rFonts w:hint="eastAsia"/>
        </w:rPr>
        <w:t xml:space="preserve">FUKO-B1（36,814kW）は県名が特定できず、エリアを九州と推定した。案件名は</w:t>
      </w:r>
      <w:r>
        <w:t xml:space="preserve"> </w:t>
      </w:r>
      <w:r>
        <w:rPr>
          <w:rStyle w:val="VerbatimChar"/>
        </w:rPr>
        <w:t xml:space="preserve">project</w:t>
      </w:r>
      <w:r>
        <w:t xml:space="preserve"> </w:t>
      </w:r>
      <w:r>
        <w:rPr>
          <w:rFonts w:hint="eastAsia"/>
        </w:rPr>
        <w:t xml:space="preserve">列に置き、</w:t>
      </w:r>
      <w:r>
        <w:rPr>
          <w:rStyle w:val="VerbatimChar"/>
        </w:rPr>
        <w:t xml:space="preserve">area_est</w:t>
      </w:r>
      <w:r>
        <w:rPr>
          <w:rFonts w:hint="eastAsia"/>
        </w:rPr>
        <w:t xml:space="preserve">（エリア）、</w:t>
      </w:r>
      <w:r>
        <w:rPr>
          <w:rStyle w:val="VerbatimChar"/>
        </w:rPr>
        <w:t xml:space="preserve">area_basis</w:t>
      </w:r>
      <w:r>
        <w:rPr>
          <w:rFonts w:hint="eastAsia"/>
        </w:rPr>
        <w:t xml:space="preserve">（根拠）、</w:t>
      </w:r>
      <w:r>
        <w:rPr>
          <w:rStyle w:val="VerbatimChar"/>
        </w:rPr>
        <w:t xml:space="preserve">area_conf</w:t>
      </w:r>
      <w:r>
        <w:rPr>
          <w:rFonts w:hint="eastAsia"/>
        </w:rPr>
        <w:t xml:space="preserve">（確定〔別紙の地名〕・名称〔案件名のエリア名・県名〕・高〔本文との照合のすべての解で一意〕・参考〔複数の候補〕）、</w:t>
      </w:r>
      <w:r>
        <w:rPr>
          <w:rStyle w:val="VerbatimChar"/>
        </w:rPr>
        <w:t xml:space="preserve">area_candidates</w:t>
      </w:r>
      <w:r>
        <w:rPr>
          <w:rFonts w:hint="eastAsia"/>
        </w:rPr>
        <w:t xml:space="preserve">（残る候補と解の数）、</w:t>
      </w:r>
      <w:r>
        <w:rPr>
          <w:rStyle w:val="VerbatimChar"/>
        </w:rPr>
        <w:t xml:space="preserve">duration_class</w:t>
      </w:r>
      <w:r>
        <w:t xml:space="preserve"> </w:t>
      </w:r>
      <w:r>
        <w:rPr>
          <w:rFonts w:hint="eastAsia"/>
        </w:rPr>
        <w:t xml:space="preserve">の列を設ける。kW</w:t>
      </w:r>
      <w:r>
        <w:t xml:space="preserve"> </w:t>
      </w:r>
      <w:r>
        <w:rPr>
          <w:rFonts w:hint="eastAsia"/>
        </w:rPr>
        <w:t xml:space="preserve">の合計は76件、3,713,239kW</w:t>
      </w:r>
      <w:r>
        <w:t xml:space="preserve"> </w:t>
      </w:r>
      <w:r>
        <w:rPr>
          <w:rFonts w:hint="eastAsia"/>
        </w:rPr>
        <w:t xml:space="preserve">である。推定の方法は付録A.6</w:t>
      </w:r>
      <w:r>
        <w:t xml:space="preserve"> </w:t>
      </w:r>
      <w:r>
        <w:rPr>
          <w:rFonts w:hint="eastAsia"/>
        </w:rPr>
        <w:t xml:space="preserve">に示した。この表は</w:t>
      </w:r>
      <w:r>
        <w:t xml:space="preserve"> </w:t>
      </w:r>
      <w:r>
        <w:rPr>
          <w:rStyle w:val="VerbatimChar"/>
        </w:rPr>
        <w:t xml:space="preserve">49</w:t>
      </w:r>
      <w:r>
        <w:t xml:space="preserve"> </w:t>
      </w:r>
      <w:r>
        <w:rPr>
          <w:rFonts w:hint="eastAsia"/>
        </w:rPr>
        <w:t xml:space="preserve">が原データから再現する。</w:t>
      </w:r>
    </w:p>
    <w:p>
      <w:pPr>
        <w:pStyle w:val="BodyText"/>
      </w:pPr>
      <w:r>
        <w:rPr>
          <w:rFonts w:hint="eastAsia"/>
          <w:b/>
          <w:bCs/>
        </w:rPr>
        <w:t xml:space="preserve">導入容量の計上時期</w:t>
      </w:r>
      <w:r>
        <w:t xml:space="preserve">　</w:t>
      </w:r>
      <w:r>
        <w:rPr>
          <w:rFonts w:hint="eastAsia"/>
        </w:rPr>
        <w:t xml:space="preserve">設備利用率の分母とする表B</w:t>
      </w:r>
      <w:r>
        <w:t xml:space="preserve"> </w:t>
      </w:r>
      <w:r>
        <w:rPr>
          <w:rFonts w:hint="eastAsia"/>
        </w:rPr>
        <w:t xml:space="preserve">の導入量の計上時期のずれと、その補正（</w:t>
      </w:r>
      <w:r>
        <w:rPr>
          <w:rStyle w:val="VerbatimChar"/>
        </w:rPr>
        <w:t xml:space="preserve">51</w:t>
      </w:r>
      <w:r>
        <w:rPr>
          <w:rFonts w:hint="eastAsia"/>
        </w:rPr>
        <w:t xml:space="preserve">）は付録A.4</w:t>
      </w:r>
      <w:r>
        <w:t xml:space="preserve"> </w:t>
      </w:r>
      <w:r>
        <w:rPr>
          <w:rFonts w:hint="eastAsia"/>
        </w:rPr>
        <w:t xml:space="preserve">に示した。補正した系列は</w:t>
      </w:r>
      <w:r>
        <w:t xml:space="preserve"> </w:t>
      </w:r>
      <w:r>
        <w:rPr>
          <w:rStyle w:val="VerbatimChar"/>
        </w:rPr>
        <w:t xml:space="preserve">hokkaido_cf_series_corrected.csv</w:t>
      </w:r>
      <w:r>
        <w:rPr>
          <w:rFonts w:hint="eastAsia"/>
        </w:rPr>
        <w:t xml:space="preserve">、年度別の値は</w:t>
      </w:r>
      <w:r>
        <w:t xml:space="preserve"> </w:t>
      </w:r>
      <w:r>
        <w:rPr>
          <w:rStyle w:val="VerbatimChar"/>
        </w:rPr>
        <w:t xml:space="preserve">cf_correction_fy.csv</w:t>
      </w:r>
      <w:r>
        <w:t xml:space="preserve"> </w:t>
      </w:r>
      <w:r>
        <w:rPr>
          <w:rFonts w:hint="eastAsia"/>
        </w:rPr>
        <w:t xml:space="preserve">にあり、本文の主の分析は補正前の系列（</w:t>
      </w:r>
      <w:r>
        <w:rPr>
          <w:rStyle w:val="VerbatimChar"/>
        </w:rPr>
        <w:t xml:space="preserve">hokkaido_cf_series.csv</w:t>
      </w:r>
      <w:r>
        <w:rPr>
          <w:rFonts w:hint="eastAsia"/>
        </w:rPr>
        <w:t xml:space="preserve">）による。市町村別の表を欠く2021年3月末の照合に用いた都道府県別の表（</w:t>
      </w:r>
      <w:r>
        <w:rPr>
          <w:rStyle w:val="VerbatimChar"/>
        </w:rPr>
        <w:t xml:space="preserve">B_pref202103.xlsx</w:t>
      </w:r>
      <w:r>
        <w:rPr>
          <w:rFonts w:hint="eastAsia"/>
        </w:rPr>
        <w:t xml:space="preserve">）は、</w:t>
      </w:r>
      <w:r>
        <w:rPr>
          <w:rStyle w:val="VerbatimChar"/>
        </w:rPr>
        <w:t xml:space="preserve">12</w:t>
      </w:r>
      <w:r>
        <w:t xml:space="preserve"> </w:t>
      </w:r>
      <w:r>
        <w:rPr>
          <w:rFonts w:hint="eastAsia"/>
        </w:rPr>
        <w:t xml:space="preserve">の集計には読み込まない。</w:t>
      </w:r>
      <w:r>
        <w:rPr>
          <w:rStyle w:val="VerbatimChar"/>
        </w:rPr>
        <w:t xml:space="preserve">data/README.md</w:t>
      </w:r>
      <w:r>
        <w:t xml:space="preserve"> </w:t>
      </w:r>
      <w:r>
        <w:rPr>
          <w:rFonts w:hint="eastAsia"/>
        </w:rPr>
        <w:t xml:space="preserve">の追記4</w:t>
      </w:r>
      <w:r>
        <w:t xml:space="preserve"> と</w:t>
      </w:r>
      <w:r>
        <w:t xml:space="preserve"> </w:t>
      </w:r>
      <w:r>
        <w:rPr>
          <w:rStyle w:val="VerbatimChar"/>
        </w:rPr>
        <w:t xml:space="preserve">12</w:t>
      </w:r>
      <w:r>
        <w:t xml:space="preserve"> </w:t>
      </w:r>
      <w:r>
        <w:t xml:space="preserve">の docstring </w:t>
      </w:r>
      <w:r>
        <w:rPr>
          <w:rFonts w:hint="eastAsia"/>
        </w:rPr>
        <w:t xml:space="preserve">も同じ内容である。</w:t>
      </w:r>
    </w:p>
    <w:bookmarkEnd w:id="406"/>
    <w:bookmarkEnd w:id="407"/>
    <w:sectPr>
      <w:footerReference w:type="default" r:id="rId11"/>
      <w:footnotePr>
        <w:numRestart w:val="eachSect"/>
      </w:footnotePr>
      <w:pgSz w:h="16838" w:w="11906"/>
      <w:pgMar w:bottom="1417" w:left="1701" w:right="1417" w:top="1701"/>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風力発電所の送電網に併設された北豊富の蓄電池は、系統用の接続済み容量に数えない。</w:t>
      </w:r>
    </w:p>
  </w:footnote>
  <w:footnote w:id="32">
    <w:p>
      <w:pPr>
        <w:pStyle w:val="FootnoteText"/>
      </w:pPr>
      <w:r>
        <w:rPr>
          <w:rStyle w:val="FootnoteReference"/>
        </w:rPr>
        <w:footnoteRef/>
      </w:r>
      <w:r>
        <w:t xml:space="preserve"> </w:t>
      </w:r>
      <w:r>
        <w:rPr>
          <w:rFonts w:hint="eastAsia"/>
        </w:rPr>
        <w:t xml:space="preserve">6時間と24時間の値は論文に数値がないため、本研究では論文の</w:t>
      </w:r>
      <w:r>
        <w:t xml:space="preserve"> Fig. 6 </w:t>
      </w:r>
      <w:r>
        <w:rPr>
          <w:rFonts w:hint="eastAsia"/>
        </w:rPr>
        <w:t xml:space="preserve">から読み取り、論文が示す包絡の式で確かめた。6時間でおよそ16〜32km（包絡の式では5〜57km）、24時間で67〜130km（同41〜197km）である（付録B.2.5）。</w:t>
      </w:r>
    </w:p>
  </w:footnote>
  <w:footnote w:id="55">
    <w:p>
      <w:pPr>
        <w:pStyle w:val="FootnoteText"/>
      </w:pPr>
      <w:r>
        <w:rPr>
          <w:rStyle w:val="FootnoteReference"/>
        </w:rPr>
        <w:footnoteRef/>
      </w:r>
      <w:r>
        <w:t xml:space="preserve"> </w:t>
      </w:r>
      <w:r>
        <w:rPr>
          <w:rFonts w:hint="eastAsia"/>
        </w:rPr>
        <w:t xml:space="preserve">最大需要は、各エリアの需給実績（北海道電力ネットワーク，n.d.；九州電力送配電，n.d.）の2025年度の時間値の最大である（北海道は2026年1月26日の507万kW、九州は2025年8月1日の1,574万kW）。契約申込の容量は資源エネルギー庁（2026b）のエリア別の値（2025年12月末）による。</w:t>
      </w:r>
    </w:p>
  </w:footnote>
  <w:footnote w:id="74">
    <w:p>
      <w:pPr>
        <w:pStyle w:val="FootnoteText"/>
      </w:pPr>
      <w:r>
        <w:rPr>
          <w:rStyle w:val="FootnoteReference"/>
        </w:rPr>
        <w:footnoteRef/>
      </w:r>
      <w:r>
        <w:t xml:space="preserve"> </w:t>
      </w:r>
      <w:r>
        <w:rPr>
          <w:rFonts w:hint="eastAsia"/>
        </w:rPr>
        <w:t xml:space="preserve">第7章で比較のために併記する標準・楽観・保守の3ケースの</w:t>
      </w:r>
      <w:r>
        <w:t xml:space="preserve"> </w:t>
      </w:r>
      <m:oMath>
        <m:sSub>
          <m:e>
            <m:r>
              <m:t>c</m:t>
            </m:r>
          </m:e>
          <m:sub>
            <m:r>
              <m:rPr>
                <m:sty m:val="p"/>
              </m:rPr>
              <m:t>r</m:t>
            </m:r>
            <m:r>
              <m:rPr>
                <m:sty m:val="p"/>
              </m:rPr>
              <m:t>e</m:t>
            </m:r>
            <m:r>
              <m:rPr>
                <m:sty m:val="p"/>
              </m:rPr>
              <m:t>q</m:t>
            </m:r>
          </m:sub>
        </m:sSub>
      </m:oMath>
      <w:r>
        <w:rPr>
          <w:rFonts w:hint="eastAsia"/>
        </w:rPr>
        <w:t xml:space="preserve">（3.45万・3.2万・3.7万円/kW-年）は、式(4.6)の割引率約5.3%・3.9%・6.6%</w:t>
      </w:r>
      <w:r>
        <w:t xml:space="preserve"> </w:t>
      </w:r>
      <w:r>
        <w:rPr>
          <w:rFonts w:hint="eastAsia"/>
        </w:rPr>
        <w:t xml:space="preserve">にあたる。式(4.8)の</w:t>
      </w:r>
      <w:r>
        <w:t xml:space="preserve"> </w:t>
      </w:r>
      <m:oMath>
        <m:sSup>
          <m:e>
            <m:r>
              <m:t>θ</m:t>
            </m:r>
          </m:e>
          <m:sup>
            <m:r>
              <m:rPr>
                <m:sty m:val="p"/>
              </m:rPr>
              <m:t>*</m:t>
            </m:r>
          </m:sup>
        </m:sSup>
      </m:oMath>
      <w:r>
        <w:t xml:space="preserve"> </w:t>
      </w:r>
      <w:r>
        <w:t xml:space="preserve">は、WACC 6% の</w:t>
      </w:r>
      <w:r>
        <w:t xml:space="preserve"> </w:t>
      </w:r>
      <m:oMath>
        <m:sSub>
          <m:e>
            <m:r>
              <m:t>c</m:t>
            </m:r>
          </m:e>
          <m:sub>
            <m:r>
              <m:rPr>
                <m:sty m:val="p"/>
              </m:rPr>
              <m:t>r</m:t>
            </m:r>
            <m:r>
              <m:rPr>
                <m:sty m:val="p"/>
              </m:rPr>
              <m:t>e</m:t>
            </m:r>
            <m:r>
              <m:rPr>
                <m:sty m:val="p"/>
              </m:rPr>
              <m:t>q</m:t>
            </m:r>
          </m:sub>
        </m:sSub>
      </m:oMath>
      <w:r>
        <w:t xml:space="preserve"> </w:t>
      </w:r>
      <w:r>
        <w:rPr>
          <w:rFonts w:hint="eastAsia"/>
        </w:rPr>
        <w:t xml:space="preserve">では2.99、標準ケースでは2.82</w:t>
      </w:r>
      <w:r>
        <w:t xml:space="preserve"> </w:t>
      </w:r>
      <w:r>
        <w:rPr>
          <w:rFonts w:hint="eastAsia"/>
        </w:rPr>
        <w:t xml:space="preserve">であり、この違いは</w:t>
      </w:r>
      <w:r>
        <w:t xml:space="preserve"> </w:t>
      </w:r>
      <m:oMath>
        <m:sSub>
          <m:e>
            <m:r>
              <m:t>c</m:t>
            </m:r>
          </m:e>
          <m:sub>
            <m:r>
              <m:rPr>
                <m:sty m:val="p"/>
              </m:rPr>
              <m:t>r</m:t>
            </m:r>
            <m:r>
              <m:rPr>
                <m:sty m:val="p"/>
              </m:rPr>
              <m:t>e</m:t>
            </m:r>
            <m:r>
              <m:rPr>
                <m:sty m:val="p"/>
              </m:rPr>
              <m:t>q</m:t>
            </m:r>
          </m:sub>
        </m:sSub>
      </m:oMath>
      <w:r>
        <w:t xml:space="preserve"> </w:t>
      </w:r>
      <w:r>
        <w:rPr>
          <w:rFonts w:hint="eastAsia"/>
        </w:rPr>
        <w:t xml:space="preserve">の置き方だけによる。保守ケースは、</w:t>
      </w:r>
      <m:oMath>
        <m:sSub>
          <m:e>
            <m:r>
              <m:t>c</m:t>
            </m:r>
          </m:e>
          <m:sub>
            <m:r>
              <m:rPr>
                <m:sty m:val="p"/>
              </m:rPr>
              <m:t>r</m:t>
            </m:r>
            <m:r>
              <m:rPr>
                <m:sty m:val="p"/>
              </m:rPr>
              <m:t>e</m:t>
            </m:r>
            <m:r>
              <m:rPr>
                <m:sty m:val="p"/>
              </m:rPr>
              <m:t>q</m:t>
            </m:r>
          </m:sub>
        </m:sSub>
      </m:oMath>
      <w:r>
        <w:t xml:space="preserve"> </w:t>
      </w:r>
      <w:r>
        <w:rPr>
          <w:rFonts w:hint="eastAsia"/>
        </w:rPr>
        <w:t xml:space="preserve">を高く、容量収入も低く置く、参入に不利な側のケースである。</w:t>
      </w:r>
    </w:p>
  </w:footnote>
  <w:footnote w:id="82">
    <w:p>
      <w:pPr>
        <w:pStyle w:val="FootnoteText"/>
      </w:pPr>
      <w:r>
        <w:rPr>
          <w:rStyle w:val="FootnoteReference"/>
        </w:rPr>
        <w:footnoteRef/>
      </w:r>
      <w:r>
        <w:t xml:space="preserve"> </w:t>
      </w:r>
      <w:r>
        <w:rPr>
          <w:rFonts w:hint="eastAsia"/>
        </w:rPr>
        <w:t xml:space="preserve">9月は冷房需要が小さく端境的な性格をもつが、夏に含める。北海道の風力の</w:t>
      </w:r>
      <w:r>
        <w:t xml:space="preserve"> TB4h </w:t>
      </w:r>
      <w:r>
        <w:rPr>
          <w:rFonts w:hint="eastAsia"/>
        </w:rPr>
        <w:t xml:space="preserve">への係数は、7〜8月に限ると−0.35（10%水準で有意）で、9月を含めると縮小するが負のままである。</w:t>
      </w:r>
    </w:p>
  </w:footnote>
  <w:footnote w:id="133">
    <w:p>
      <w:pPr>
        <w:pStyle w:val="FootnoteText"/>
      </w:pPr>
      <w:r>
        <w:rPr>
          <w:rStyle w:val="FootnoteReference"/>
        </w:rPr>
        <w:footnoteRef/>
      </w:r>
      <w:r>
        <w:t xml:space="preserve"> </w:t>
      </w:r>
      <w:r>
        <w:rPr>
          <w:rFonts w:hint="eastAsia"/>
        </w:rPr>
        <w:t xml:space="preserve">戦略</w:t>
      </w:r>
      <w:r>
        <w:t xml:space="preserve"> c </w:t>
      </w:r>
      <w:r>
        <w:rPr>
          <w:rFonts w:hint="eastAsia"/>
        </w:rPr>
        <w:t xml:space="preserve">の平均価格カーブは、当日より前で24時間の価格がそろう直近29日（D−29〜D−1）のうち、同じ曜日区分の日の時刻別平均であり、本文の「過去28日」はこの窓の概数である。戦略</w:t>
      </w:r>
      <w:r>
        <w:t xml:space="preserve"> b </w:t>
      </w:r>
      <w:r>
        <w:rPr>
          <w:rFonts w:hint="eastAsia"/>
        </w:rPr>
        <w:t xml:space="preserve">の需要の予測は</w:t>
      </w:r>
      <w:r>
        <w:t xml:space="preserve"> D−29〜D−2 </w:t>
      </w:r>
      <w:r>
        <w:rPr>
          <w:rFonts w:hint="eastAsia"/>
        </w:rPr>
        <w:t xml:space="preserve">のうち同じ曜日区分の日の平均、太陽光の予測は</w:t>
      </w:r>
      <w:r>
        <w:t xml:space="preserve"> D−8〜D−2 </w:t>
      </w:r>
      <w:r>
        <w:rPr>
          <w:rFonts w:hint="eastAsia"/>
        </w:rPr>
        <w:t xml:space="preserve">の平均による。曜日区分は平日と土日の2区分で、国民の祝日は平日として扱う。信号に同値がある日は、同値の時間帯に充放電量を均等に配分する。実装の詳細は付録B.3.1</w:t>
      </w:r>
      <w:r>
        <w:t xml:space="preserve"> </w:t>
      </w:r>
      <w:r>
        <w:rPr>
          <w:rFonts w:hint="eastAsia"/>
        </w:rPr>
        <w:t xml:space="preserve">に示す。</w:t>
      </w:r>
    </w:p>
  </w:footnote>
  <w:footnote w:id="148">
    <w:p>
      <w:pPr>
        <w:pStyle w:val="FootnoteText"/>
      </w:pPr>
      <w:r>
        <w:rPr>
          <w:rStyle w:val="FootnoteReference"/>
        </w:rPr>
        <w:footnoteRef/>
      </w:r>
      <w:r>
        <w:t xml:space="preserve"> </w:t>
      </w:r>
      <w:r>
        <w:t xml:space="preserve">FY2023〜25 </w:t>
      </w:r>
      <w:r>
        <w:rPr>
          <w:rFonts w:hint="eastAsia"/>
        </w:rPr>
        <w:t xml:space="preserve">の日次の完全予見粗利を日次の風力発電量（出力制御前、GWh/日）に季節別に回帰すると、冬の係数は年度固定効果の仕様で−0.36（t=−1.5）、年月固定効果と需要・太陽光・土日を加えた仕様で−0.39（t=−1.5）であり、どの季節でも5%水準で有意でない。標準誤差は</w:t>
      </w:r>
      <w:r>
        <w:t xml:space="preserve"> </w:t>
      </w:r>
      <w:r>
        <w:rPr>
          <w:rFonts w:hint="eastAsia"/>
        </w:rPr>
        <w:t xml:space="preserve">Newey–West（7ラグ）による。Newey–West</w:t>
      </w:r>
      <w:r>
        <w:t xml:space="preserve"> </w:t>
      </w:r>
      <w:r>
        <w:rPr>
          <w:rFonts w:hint="eastAsia"/>
        </w:rPr>
        <w:t xml:space="preserve">は系列相関の強い日次回帰で過大に棄却しやすいので（5.9節）、有意でないという結論は推論法を変えても覆りにくい。</w:t>
      </w:r>
    </w:p>
  </w:footnote>
  <w:footnote w:id="150">
    <w:p>
      <w:pPr>
        <w:pStyle w:val="FootnoteText"/>
      </w:pPr>
      <w:r>
        <w:rPr>
          <w:rStyle w:val="FootnoteReference"/>
        </w:rPr>
        <w:footnoteRef/>
      </w:r>
      <w:r>
        <w:t xml:space="preserve"> </w:t>
      </w:r>
      <w:r>
        <w:rPr>
          <w:rFonts w:hint="eastAsia"/>
        </w:rPr>
        <w:t xml:space="preserve">日ごとに全時刻へ同じ額</w:t>
      </w:r>
      <w:r>
        <w:t xml:space="preserve"> </w:t>
      </w:r>
      <m:oMath>
        <m:sSub>
          <m:e>
            <m:r>
              <m:t>u</m:t>
            </m:r>
          </m:e>
          <m:sub>
            <m:r>
              <m:t>d</m:t>
            </m:r>
          </m:sub>
        </m:sSub>
      </m:oMath>
      <w:r>
        <w:rPr>
          <w:rFonts w:hint="eastAsia"/>
        </w:rPr>
        <w:t xml:space="preserve">（円/kWh）を加えても上位・下位4時間の選択は変わらないので、完全予見の粗利は</w:t>
      </w:r>
      <w:r>
        <w:t xml:space="preserve"> </w:t>
      </w:r>
      <m:oMath>
        <m:r>
          <m:rPr>
            <m:sty m:val="p"/>
          </m:rPr>
          <m:t>−</m:t>
        </m:r>
        <m:r>
          <m:t>4</m:t>
        </m:r>
        <m:r>
          <m:rPr>
            <m:sty m:val="p"/>
          </m:rPr>
          <m:t>(</m:t>
        </m:r>
        <m:r>
          <m:t>1</m:t>
        </m:r>
        <m:r>
          <m:rPr>
            <m:sty m:val="p"/>
          </m:rPr>
          <m:t>−</m:t>
        </m:r>
        <m:r>
          <m:t>η</m:t>
        </m:r>
        <m:r>
          <m:rPr>
            <m:sty m:val="p"/>
          </m:rPr>
          <m:t>)</m:t>
        </m:r>
        <m:sSub>
          <m:e>
            <m:r>
              <m:t>u</m:t>
            </m:r>
          </m:e>
          <m:sub>
            <m:r>
              <m:t>d</m:t>
            </m:r>
          </m:sub>
        </m:sSub>
        <m:r>
          <m:rPr>
            <m:sty m:val="p"/>
          </m:rPr>
          <m:t>=</m:t>
        </m:r>
        <m:r>
          <m:rPr>
            <m:sty m:val="p"/>
          </m:rPr>
          <m:t>−</m:t>
        </m:r>
        <m:r>
          <m:t>0.6</m:t>
        </m:r>
        <m:sSub>
          <m:e>
            <m:r>
              <m:t>u</m:t>
            </m:r>
          </m:e>
          <m:sub>
            <m:r>
              <m:t>d</m:t>
            </m:r>
          </m:sub>
        </m:sSub>
      </m:oMath>
      <w:r>
        <w:rPr>
          <w:rFonts w:hint="eastAsia"/>
        </w:rPr>
        <w:t xml:space="preserve">（円/kW-日）だけ動く（休止と稼働が入れ替わる日を除く。導出は付録B.1.1）。年度×季節内で平均0の水準成分は、平均の粗利をほとんど変えない。これは実証の結果ではなく、ペイオフの代数的な性質である。</w:t>
      </w:r>
    </w:p>
  </w:footnote>
  <w:footnote w:id="151">
    <w:p>
      <w:pPr>
        <w:pStyle w:val="FootnoteText"/>
      </w:pPr>
      <w:r>
        <w:rPr>
          <w:rStyle w:val="FootnoteReference"/>
        </w:rPr>
        <w:footnoteRef/>
      </w:r>
      <w:r>
        <w:t xml:space="preserve"> </w:t>
      </w:r>
      <w:r>
        <w:rPr>
          <w:rFonts w:hint="eastAsia"/>
        </w:rPr>
        <w:t xml:space="preserve">時刻別の価格の偏差を風力・太陽光・需要の発電量の偏差（年度×季節の平均からの偏差）に回帰した標本内の線形の応答を伸縮させる計算であり、平均の発電量は変えない。2倍・3倍は観測された変動の幅を超えるモデル依存の外挿である。値は下限価格で打ち切る場合である。導入容量を増やして純需要の水準そのものを下げる反実仮想（7.3節）とは別の計算であり、両者の符号の違いは矛盾ではない。太陽光の変動や水準成分を伸縮させた結果は付録C.2.3</w:t>
      </w:r>
      <w:r>
        <w:t xml:space="preserve"> </w:t>
      </w:r>
      <w:r>
        <w:rPr>
          <w:rFonts w:hint="eastAsia"/>
        </w:rPr>
        <w:t xml:space="preserve">に示す。</w:t>
      </w:r>
    </w:p>
  </w:footnote>
  <w:footnote w:id="154">
    <w:p>
      <w:pPr>
        <w:pStyle w:val="FootnoteText"/>
      </w:pPr>
      <w:r>
        <w:rPr>
          <w:rStyle w:val="FootnoteReference"/>
        </w:rPr>
        <w:footnoteRef/>
      </w:r>
      <w:r>
        <w:t xml:space="preserve"> </w:t>
      </w:r>
      <w:r>
        <w:rPr>
          <w:rFonts w:hint="eastAsia"/>
        </w:rPr>
        <w:t xml:space="preserve">主の前提の下での4時間からの低下は約4%（資本費6.8万円/kWh</w:t>
      </w:r>
      <w:r>
        <w:t xml:space="preserve"> </w:t>
      </w:r>
      <w:r>
        <w:rPr>
          <w:rFonts w:hint="eastAsia"/>
        </w:rPr>
        <w:t xml:space="preserve">で最大4.3%、WACC</w:t>
      </w:r>
      <w:r>
        <w:t xml:space="preserve"> 8% </w:t>
      </w:r>
      <w:r>
        <w:rPr>
          <w:rFonts w:hint="eastAsia"/>
        </w:rPr>
        <w:t xml:space="preserve">で4.5%）であり、容量収入を0とし資本費2.3万円/kWh・kW</w:t>
      </w:r>
      <w:r>
        <w:t xml:space="preserve"> </w:t>
      </w:r>
      <w:r>
        <w:rPr>
          <w:rFonts w:hint="eastAsia"/>
        </w:rPr>
        <w:t xml:space="preserve">比例部分40%とする極端な組合せでのみ最大6.6%になる。1日2サイクルを許しても、戦略</w:t>
      </w:r>
      <w:r>
        <w:t xml:space="preserve"> c </w:t>
      </w:r>
      <w:r>
        <w:rPr>
          <w:rFonts w:hint="eastAsia"/>
        </w:rPr>
        <w:t xml:space="preserve">の実現額は4時間で+0.7%しか増えない。需給調整市場の収入は入れていない（短い</w:t>
      </w:r>
      <w:r>
        <w:t xml:space="preserve"> duration </w:t>
      </w:r>
      <w:r>
        <w:rPr>
          <w:rFonts w:hint="eastAsia"/>
        </w:rPr>
        <w:t xml:space="preserve">に有利に働く）。詳細は付録C.2.4</w:t>
      </w:r>
      <w:r>
        <w:t xml:space="preserve"> </w:t>
      </w:r>
      <w:r>
        <w:rPr>
          <w:rFonts w:hint="eastAsia"/>
        </w:rPr>
        <w:t xml:space="preserve">に示す。</w:t>
      </w:r>
    </w:p>
  </w:footnote>
  <w:footnote w:id="159">
    <w:p>
      <w:pPr>
        <w:pStyle w:val="FootnoteText"/>
      </w:pPr>
      <w:r>
        <w:rPr>
          <w:rStyle w:val="FootnoteReference"/>
        </w:rPr>
        <w:footnoteRef/>
      </w:r>
      <w:r>
        <w:t xml:space="preserve"> </w:t>
      </w:r>
      <w:r>
        <w:t xml:space="preserve">FY2023〜25 </w:t>
      </w:r>
      <w:r>
        <w:rPr>
          <w:rFonts w:hint="eastAsia"/>
        </w:rPr>
        <w:t xml:space="preserve">の日次の</w:t>
      </w:r>
      <w:r>
        <w:t xml:space="preserve"> (III) </w:t>
      </w:r>
      <w:r>
        <w:rPr>
          <w:rFonts w:hint="eastAsia"/>
        </w:rPr>
        <w:t xml:space="preserve">を日次の風力発電量（GWh/日）に季節別に回帰すると、年度固定効果の仕様で係数は夏+0.02（t=0.2）、冬−0.18（t=−2.3）、不需要期−0.09（t=−1.4）である。t</w:t>
      </w:r>
      <w:r>
        <w:t xml:space="preserve"> </w:t>
      </w:r>
      <w:r>
        <w:rPr>
          <w:rFonts w:hint="eastAsia"/>
        </w:rPr>
        <w:t xml:space="preserve">値は</w:t>
      </w:r>
      <w:r>
        <w:t xml:space="preserve"> </w:t>
      </w:r>
      <w:r>
        <w:rPr>
          <w:rFonts w:hint="eastAsia"/>
        </w:rPr>
        <w:t xml:space="preserve">Newey–West（7ラグ）によるもので、系列相関の強い日次回帰では過大に棄却しやすいので、冬と不需要期の係数の有意性は割り引いて読む。年月固定効果などを加えた仕様は付録C.2.5</w:t>
      </w:r>
      <w:r>
        <w:t xml:space="preserve"> </w:t>
      </w:r>
      <w:r>
        <w:rPr>
          <w:rFonts w:hint="eastAsia"/>
        </w:rPr>
        <w:t xml:space="preserve">に示す。</w:t>
      </w:r>
    </w:p>
  </w:footnote>
  <w:footnote w:id="167">
    <w:p>
      <w:pPr>
        <w:pStyle w:val="FootnoteText"/>
      </w:pPr>
      <w:r>
        <w:rPr>
          <w:rStyle w:val="FootnoteReference"/>
        </w:rPr>
        <w:footnoteRef/>
      </w:r>
      <w:r>
        <w:t xml:space="preserve"> </w:t>
      </w:r>
      <w:r>
        <w:rPr>
          <w:rFonts w:hint="eastAsia"/>
        </w:rPr>
        <w:t xml:space="preserve">ここでの季節は気象学的な4区分（12〜2月、3〜5月、6〜8月、9〜11月）であり、第5章の報告用の季節区分（夏7〜9月、冬12〜2月、不需要期）とは異なる。</w:t>
      </w:r>
    </w:p>
  </w:footnote>
  <w:footnote w:id="170">
    <w:p>
      <w:pPr>
        <w:pStyle w:val="FootnoteText"/>
      </w:pPr>
      <w:r>
        <w:rPr>
          <w:rStyle w:val="FootnoteReference"/>
        </w:rPr>
        <w:footnoteRef/>
      </w:r>
      <w:r>
        <w:t xml:space="preserve"> </w:t>
      </w:r>
      <w:r>
        <w:rPr>
          <w:rFonts w:hint="eastAsia"/>
        </w:rPr>
        <w:t xml:space="preserve">取引量あたりの価格の動きで測る市場の深さであり、Kyle（1985）のラムダ（価格インパクト係数）と同じ尺度である。ただし本研究は</w:t>
      </w:r>
      <w:r>
        <w:t xml:space="preserve"> Kyle </w:t>
      </w:r>
      <w:r>
        <w:rPr>
          <w:rFonts w:hint="eastAsia"/>
        </w:rPr>
        <w:t xml:space="preserve">のラムダを取引データから推定してはおらず、本研究の価格インパクトは、情報の非対称ではなく供給曲線の傾きから生じる。</w:t>
      </w:r>
    </w:p>
  </w:footnote>
  <w:footnote w:id="210">
    <w:p>
      <w:pPr>
        <w:pStyle w:val="FootnoteText"/>
      </w:pPr>
      <w:r>
        <w:rPr>
          <w:rStyle w:val="FootnoteReference"/>
        </w:rPr>
        <w:footnoteRef/>
      </w:r>
      <w:r>
        <w:t xml:space="preserve"> </w:t>
      </w:r>
      <w:r>
        <w:rPr>
          <w:rFonts w:hint="eastAsia"/>
        </w:rPr>
        <w:t xml:space="preserve">収益は</w:t>
      </w:r>
      <w:r>
        <w:t xml:space="preserve"> </w:t>
      </w:r>
      <m:oMath>
        <m:r>
          <m:t>θ</m:t>
        </m:r>
      </m:oMath>
      <w:r>
        <w:t xml:space="preserve"> </w:t>
      </w:r>
      <w:r>
        <w:rPr>
          <w:rFonts w:hint="eastAsia"/>
        </w:rPr>
        <w:t xml:space="preserve">にほぼ比例し、比例の式と直接解の差は0.001以下である。第7章の標準ケースの</w:t>
      </w:r>
      <w:r>
        <w:t xml:space="preserve"> </w:t>
      </w:r>
      <m:oMath>
        <m:sSup>
          <m:e>
            <m:r>
              <m:t>θ</m:t>
            </m:r>
          </m:e>
          <m:sup>
            <m:r>
              <m:rPr>
                <m:sty m:val="p"/>
              </m:rPr>
              <m:t>*</m:t>
            </m:r>
          </m:sup>
        </m:sSup>
      </m:oMath>
      <w:r>
        <w:rPr>
          <w:rFonts w:hint="eastAsia"/>
        </w:rPr>
        <w:t xml:space="preserve">（2.82）との違いは、</w:t>
      </w:r>
      <m:oMath>
        <m:sSub>
          <m:e>
            <m:r>
              <m:t>c</m:t>
            </m:r>
          </m:e>
          <m:sub>
            <m:r>
              <m:rPr>
                <m:sty m:val="p"/>
              </m:rPr>
              <m:t>r</m:t>
            </m:r>
            <m:r>
              <m:rPr>
                <m:sty m:val="p"/>
              </m:rPr>
              <m:t>e</m:t>
            </m:r>
            <m:r>
              <m:rPr>
                <m:sty m:val="p"/>
              </m:rPr>
              <m:t>q</m:t>
            </m:r>
          </m:sub>
        </m:sSub>
      </m:oMath>
      <w:r>
        <w:t xml:space="preserve"> </w:t>
      </w:r>
      <w:r>
        <w:rPr>
          <w:rFonts w:hint="eastAsia"/>
        </w:rPr>
        <w:t xml:space="preserve">の置き方（3.45万円/kW-年、割引率約5.3%に相当）だけによる。本章は割引率6%（</w:t>
      </w:r>
      <m:oMath>
        <m:sSub>
          <m:e>
            <m:r>
              <m:t>c</m:t>
            </m:r>
          </m:e>
          <m:sub>
            <m:r>
              <m:rPr>
                <m:sty m:val="p"/>
              </m:rPr>
              <m:t>r</m:t>
            </m:r>
            <m:r>
              <m:rPr>
                <m:sty m:val="p"/>
              </m:rPr>
              <m:t>e</m:t>
            </m:r>
            <m:r>
              <m:rPr>
                <m:sty m:val="p"/>
              </m:rPr>
              <m:t>q</m:t>
            </m:r>
          </m:sub>
        </m:sSub>
        <m:r>
          <m:rPr>
            <m:sty m:val="p"/>
          </m:rPr>
          <m:t>=</m:t>
        </m:r>
        <m:r>
          <m:t>3.59</m:t>
        </m:r>
      </m:oMath>
      <w:r>
        <w:t xml:space="preserve"> </w:t>
      </w:r>
      <w:r>
        <w:rPr>
          <w:rFonts w:hint="eastAsia"/>
        </w:rPr>
        <w:t xml:space="preserve">万円/kW-年）に統一する。</w:t>
      </w:r>
    </w:p>
  </w:footnote>
  <w:footnote w:id="219">
    <w:p>
      <w:pPr>
        <w:pStyle w:val="FootnoteText"/>
      </w:pPr>
      <w:r>
        <w:rPr>
          <w:rStyle w:val="FootnoteReference"/>
        </w:rPr>
        <w:footnoteRef/>
      </w:r>
      <w:r>
        <w:t xml:space="preserve"> </w:t>
      </w:r>
      <w:r>
        <w:rPr>
          <w:rFonts w:hint="eastAsia"/>
        </w:rPr>
        <w:t xml:space="preserve">物理的な連系が供給力の提供に先行する案件の有無は、公表資料では確認できない。接続済みと</w:t>
      </w:r>
      <w:r>
        <w:t xml:space="preserve"> LTDA </w:t>
      </w:r>
      <w:r>
        <w:rPr>
          <w:rFonts w:hint="eastAsia"/>
        </w:rPr>
        <w:t xml:space="preserve">を合わせた既設・契約型の容量は約87.4万kW（6時間級の</w:t>
      </w:r>
      <w:r>
        <w:t xml:space="preserve"> kWh </w:t>
      </w:r>
      <w:r>
        <w:rPr>
          <w:rFonts w:hint="eastAsia"/>
        </w:rPr>
        <w:t xml:space="preserve">を4時間に換算すると99.1万kW）である。</w:t>
      </w:r>
    </w:p>
  </w:footnote>
  <w:footnote w:id="221">
    <w:p>
      <w:pPr>
        <w:pStyle w:val="FootnoteText"/>
      </w:pPr>
      <w:r>
        <w:rPr>
          <w:rStyle w:val="FootnoteReference"/>
        </w:rPr>
        <w:footnoteRef/>
      </w:r>
      <w:r>
        <w:t xml:space="preserve"> </w:t>
      </w:r>
      <w:r>
        <w:rPr>
          <w:rFonts w:hint="eastAsia"/>
        </w:rPr>
        <w:t xml:space="preserve">長期間エネルギー貯蔵（LDES）は2/3以内（上限20億円）である。</w:t>
      </w:r>
    </w:p>
  </w:footnote>
  <w:footnote w:id="224">
    <w:p>
      <w:pPr>
        <w:pStyle w:val="FootnoteText"/>
      </w:pPr>
      <w:r>
        <w:rPr>
          <w:rStyle w:val="FootnoteReference"/>
        </w:rPr>
        <w:footnoteRef/>
      </w:r>
      <w:r>
        <w:t xml:space="preserve"> </w:t>
      </w:r>
      <w:r>
        <w:rPr>
          <w:rFonts w:hint="eastAsia"/>
        </w:rPr>
        <w:t xml:space="preserve">成長オプションなど、これらの均衡が扱わない価値は別である（8.4.3項）。</w:t>
      </w:r>
    </w:p>
  </w:footnote>
  <w:footnote w:id="226">
    <w:p>
      <w:pPr>
        <w:pStyle w:val="FootnoteText"/>
      </w:pPr>
      <w:r>
        <w:rPr>
          <w:rStyle w:val="FootnoteReference"/>
        </w:rPr>
        <w:footnoteRef/>
      </w:r>
      <w:r>
        <w:t xml:space="preserve"> </w:t>
      </w:r>
      <w:r>
        <w:rPr>
          <w:rFonts w:hint="eastAsia"/>
        </w:rPr>
        <w:t xml:space="preserve">いずれも他社の参入を無視した上限である。一方、LTDA</w:t>
      </w:r>
      <w:r>
        <w:t xml:space="preserve"> </w:t>
      </w:r>
      <w:r>
        <w:rPr>
          <w:rFonts w:hint="eastAsia"/>
        </w:rPr>
        <w:t xml:space="preserve">への応札に使う枠の価値は含まないので、LTDA</w:t>
      </w:r>
      <w:r>
        <w:t xml:space="preserve"> </w:t>
      </w:r>
      <w:r>
        <w:rPr>
          <w:rFonts w:hint="eastAsia"/>
        </w:rPr>
        <w:t xml:space="preserve">を狙う申込者にとっては過小評価である。期限なしの値などは付録C.4.4</w:t>
      </w:r>
      <w:r>
        <w:t xml:space="preserve"> </w:t>
      </w:r>
      <w:r>
        <w:rPr>
          <w:rFonts w:hint="eastAsia"/>
        </w:rPr>
        <w:t xml:space="preserve">に示す。</w:t>
      </w:r>
    </w:p>
  </w:footnote>
  <w:footnote w:id="227">
    <w:p>
      <w:pPr>
        <w:pStyle w:val="FootnoteText"/>
      </w:pPr>
      <w:r>
        <w:rPr>
          <w:rStyle w:val="FootnoteReference"/>
        </w:rPr>
        <w:footnoteRef/>
      </w:r>
      <w:r>
        <w:t xml:space="preserve"> </w:t>
      </w:r>
      <w:r>
        <w:rPr>
          <w:rFonts w:hint="eastAsia"/>
        </w:rPr>
        <w:t xml:space="preserve">同案は、工事費負担金を分割払いする場合に初回50%以上の支払いも求める。適用開始の時期は一次資料の本文では特定できない。</w:t>
      </w:r>
    </w:p>
  </w:footnote>
  <w:footnote w:id="229">
    <w:p>
      <w:pPr>
        <w:pStyle w:val="FootnoteText"/>
      </w:pPr>
      <w:r>
        <w:rPr>
          <w:rStyle w:val="FootnoteReference"/>
        </w:rPr>
        <w:footnoteRef/>
      </w:r>
      <w:r>
        <w:t xml:space="preserve"> </w:t>
      </w:r>
      <w:r>
        <w:rPr>
          <w:rFonts w:hint="eastAsia"/>
        </w:rPr>
        <w:t xml:space="preserve">2因子モデルどおり対数のドリフトを0とすれば最大45%、出発点を1.22</w:t>
      </w:r>
      <w:r>
        <w:t xml:space="preserve"> </w:t>
      </w:r>
      <w:r>
        <w:rPr>
          <w:rFonts w:hint="eastAsia"/>
        </w:rPr>
        <w:t xml:space="preserve">のままでも、容量収入が</w:t>
      </w:r>
      <w:r>
        <w:t xml:space="preserve"> FY2030 </w:t>
      </w:r>
      <w:r>
        <w:rPr>
          <w:rFonts w:hint="eastAsia"/>
        </w:rPr>
        <w:t xml:space="preserve">以降1.75万円に上がれば最大24%である。FY2026（4〜6月）の価格水準の代理1.55</w:t>
      </w:r>
      <w:r>
        <w:t xml:space="preserve"> </w:t>
      </w:r>
      <w:r>
        <w:rPr>
          <w:rFonts w:hint="eastAsia"/>
        </w:rPr>
        <w:t xml:space="preserve">のうち、恒久成分は1.2前後である。</w:t>
      </w:r>
    </w:p>
  </w:footnote>
  <w:footnote w:id="230">
    <w:p>
      <w:pPr>
        <w:pStyle w:val="FootnoteText"/>
      </w:pPr>
      <w:r>
        <w:rPr>
          <w:rStyle w:val="FootnoteReference"/>
        </w:rPr>
        <w:footnoteRef/>
      </w:r>
      <w:r>
        <w:t xml:space="preserve"> </w:t>
      </w:r>
      <w:r>
        <w:rPr>
          <w:rFonts w:hint="eastAsia"/>
        </w:rPr>
        <w:t xml:space="preserve">見込みが粗利なら</w:t>
      </w:r>
      <w:r>
        <w:t xml:space="preserve"> IRR </w:t>
      </w:r>
      <w:r>
        <w:rPr>
          <w:rFonts w:hint="eastAsia"/>
        </w:rPr>
        <w:t xml:space="preserve">は20%である。見込みが売上か粗利か、補助金の有無は公表資料では確認できない。国内で100万kW</w:t>
      </w:r>
      <w:r>
        <w:t xml:space="preserve"> </w:t>
      </w:r>
      <w:r>
        <w:rPr>
          <w:rFonts w:hint="eastAsia"/>
        </w:rPr>
        <w:t xml:space="preserve">規模の案件群の開発を掲げる事業者（ESS</w:t>
      </w:r>
      <w:r>
        <w:t xml:space="preserve"> News, </w:t>
      </w:r>
      <w:r>
        <w:rPr>
          <w:rFonts w:hint="eastAsia"/>
        </w:rPr>
        <w:t xml:space="preserve">2025）が、最初の案件を、運用の知見や系統接続の実績を得る成長オプションとみている可能性もある。</w:t>
      </w:r>
    </w:p>
  </w:footnote>
  <w:footnote w:id="234">
    <w:p>
      <w:pPr>
        <w:pStyle w:val="FootnoteText"/>
      </w:pPr>
      <w:r>
        <w:rPr>
          <w:rStyle w:val="FootnoteReference"/>
        </w:rPr>
        <w:footnoteRef/>
      </w:r>
      <w:r>
        <w:t xml:space="preserve"> </w:t>
      </w:r>
      <w:r>
        <w:rPr>
          <w:rFonts w:hint="eastAsia"/>
        </w:rPr>
        <w:t xml:space="preserve">近似（0.85×プレミアム＋吸収時のエリア価格＋充電従量負担）より1〜2割小さい。FIP</w:t>
      </w:r>
      <w:r>
        <w:t xml:space="preserve"> </w:t>
      </w:r>
      <w:r>
        <w:rPr>
          <w:rFonts w:hint="eastAsia"/>
        </w:rPr>
        <w:t xml:space="preserve">基準価格（14円）×抑制電力量は、放電した電力のエネルギー価値を含みスポット裁定と重複する上限で、抑制率1.35%では増分の約3.2倍である。</w:t>
      </w:r>
    </w:p>
  </w:footnote>
  <w:footnote w:id="235">
    <w:p>
      <w:pPr>
        <w:pStyle w:val="FootnoteText"/>
      </w:pPr>
      <w:r>
        <w:rPr>
          <w:rStyle w:val="FootnoteReference"/>
        </w:rPr>
        <w:footnoteRef/>
      </w:r>
      <w:r>
        <w:t xml:space="preserve"> </w:t>
      </w:r>
      <w:r>
        <w:rPr>
          <w:rFonts w:hint="eastAsia"/>
        </w:rPr>
        <w:t xml:space="preserve">廃止費を資本費に比例させた定義による値で、第7章の2.0万円とは廃止費の置き方が違う（7.5節）。容量収入がない場合は、資本費2.3万円・回避率一定に限り抑制率8〜15%で参入が開く。</w:t>
      </w:r>
    </w:p>
  </w:footnote>
  <w:footnote w:id="241">
    <w:p>
      <w:pPr>
        <w:pStyle w:val="FootnoteText"/>
      </w:pPr>
      <w:r>
        <w:rPr>
          <w:rStyle w:val="FootnoteReference"/>
        </w:rPr>
        <w:footnoteRef/>
      </w:r>
      <w:r>
        <w:t xml:space="preserve"> </w:t>
      </w:r>
      <w:r>
        <w:rPr>
          <w:rFonts w:hint="eastAsia"/>
        </w:rPr>
        <w:t xml:space="preserve">接続済み20万kW</w:t>
      </w:r>
      <w:r>
        <w:t xml:space="preserve"> </w:t>
      </w:r>
      <w:r>
        <w:rPr>
          <w:rFonts w:hint="eastAsia"/>
        </w:rPr>
        <w:t xml:space="preserve">の上では</w:t>
      </w:r>
      <w:r>
        <w:t xml:space="preserve"> </w:t>
      </w:r>
      <m:oMath>
        <m:sSup>
          <m:e>
            <m:r>
              <m:t>θ</m:t>
            </m:r>
          </m:e>
          <m:sup>
            <m:r>
              <m:rPr>
                <m:sty m:val="p"/>
              </m:rPr>
              <m:t>*</m:t>
            </m:r>
          </m:sup>
        </m:sSup>
        <m:r>
          <m:rPr>
            <m:sty m:val="p"/>
          </m:rPr>
          <m:t>=</m:t>
        </m:r>
        <m:r>
          <m:t>4.05</m:t>
        </m:r>
      </m:oMath>
      <w:r>
        <w:t xml:space="preserve">、LTDA </w:t>
      </w:r>
      <w:r>
        <w:rPr>
          <w:rFonts w:hint="eastAsia"/>
        </w:rPr>
        <w:t xml:space="preserve">の北海道分を加えた87.4万kW</w:t>
      </w:r>
      <w:r>
        <w:t xml:space="preserve"> </w:t>
      </w:r>
      <w:r>
        <w:rPr>
          <w:rFonts w:hint="eastAsia"/>
        </w:rPr>
        <w:t xml:space="preserve">の上では25.9</w:t>
      </w:r>
      <w:r>
        <w:t xml:space="preserve"> </w:t>
      </w:r>
      <w:r>
        <w:rPr>
          <w:rFonts w:hint="eastAsia"/>
        </w:rPr>
        <w:t xml:space="preserve">である（7.6節）。推定期間の価格に入っている既設分を差し引いていないので、高めの値である。</w:t>
      </w:r>
    </w:p>
  </w:footnote>
  <w:footnote w:id="248">
    <w:p>
      <w:pPr>
        <w:pStyle w:val="FootnoteText"/>
      </w:pPr>
      <w:r>
        <w:rPr>
          <w:rStyle w:val="FootnoteReference"/>
        </w:rPr>
        <w:footnoteRef/>
      </w:r>
      <w:r>
        <w:t xml:space="preserve"> </w:t>
      </w:r>
      <w:r>
        <w:rPr>
          <w:rFonts w:hint="eastAsia"/>
        </w:rPr>
        <w:t xml:space="preserve">容量収入1.40万円と、スポット純収入0.77万円（実績価格の上の戦略</w:t>
      </w:r>
      <w:r>
        <w:t xml:space="preserve"> </w:t>
      </w:r>
      <w:r>
        <w:rPr>
          <w:rFonts w:hint="eastAsia"/>
        </w:rPr>
        <w:t xml:space="preserve">c、6時間、充電従量負担控除後）の9割である。</w:t>
      </w:r>
    </w:p>
  </w:footnote>
  <w:footnote w:id="249">
    <w:p>
      <w:pPr>
        <w:pStyle w:val="FootnoteText"/>
      </w:pPr>
      <w:r>
        <w:rPr>
          <w:rStyle w:val="FootnoteReference"/>
        </w:rPr>
        <w:footnoteRef/>
      </w:r>
      <w:r>
        <w:t xml:space="preserve"> </w:t>
      </w:r>
      <w:r>
        <w:rPr>
          <w:rFonts w:hint="eastAsia"/>
        </w:rPr>
        <w:t xml:space="preserve">手放す収入の現在価値は</w:t>
      </w:r>
      <w:r>
        <w:t xml:space="preserve"> </w:t>
      </w:r>
      <m:oMath>
        <m:sSubSup>
          <m:e>
            <m:r>
              <m:t>r</m:t>
            </m:r>
          </m:e>
          <m:sub>
            <m:r>
              <m:t>A</m:t>
            </m:r>
          </m:sub>
          <m:sup>
            <m:r>
              <m:t>M</m:t>
            </m:r>
          </m:sup>
        </m:sSubSup>
        <m:r>
          <m:rPr>
            <m:sty m:val="p"/>
          </m:rPr>
          <m:t>=</m:t>
        </m:r>
        <m:r>
          <m:t>9</m:t>
        </m:r>
        <m:r>
          <m:rPr>
            <m:sty m:val="p"/>
          </m:rPr>
          <m:t>%</m:t>
        </m:r>
      </m:oMath>
      <w:r>
        <w:t xml:space="preserve"> </w:t>
      </w:r>
      <w:r>
        <w:rPr>
          <w:rFonts w:hint="eastAsia"/>
        </w:rPr>
        <w:t xml:space="preserve">で19.1万円/kW</w:t>
      </w:r>
      <w:r>
        <w:t xml:space="preserve"> </w:t>
      </w:r>
      <w:r>
        <w:rPr>
          <w:rFonts w:hint="eastAsia"/>
        </w:rPr>
        <w:t xml:space="preserve">である。事業報酬率5%の積み上げ価格で落札した場合でも、公正な水準の2.7〜2.9倍で、約3分の2が移転である。割引率の組合せによる幅は付録C.4.4</w:t>
      </w:r>
      <w:r>
        <w:t xml:space="preserve"> </w:t>
      </w:r>
      <w:r>
        <w:rPr>
          <w:rFonts w:hint="eastAsia"/>
        </w:rPr>
        <w:t xml:space="preserve">に示す。</w:t>
      </w:r>
    </w:p>
  </w:footnote>
  <w:footnote w:id="255">
    <w:p>
      <w:pPr>
        <w:pStyle w:val="FootnoteText"/>
      </w:pPr>
      <w:r>
        <w:rPr>
          <w:rStyle w:val="FootnoteReference"/>
        </w:rPr>
        <w:footnoteRef/>
      </w:r>
      <w:r>
        <w:t xml:space="preserve"> </w:t>
      </w:r>
      <w:r>
        <w:rPr>
          <w:rFonts w:hint="eastAsia"/>
        </w:rPr>
        <w:t xml:space="preserve">基準</w:t>
      </w:r>
      <w:r>
        <w:t xml:space="preserve"> </w:t>
      </w:r>
      <m:oMath>
        <m:sSub>
          <m:e>
            <m:r>
              <m:t>R</m:t>
            </m:r>
          </m:e>
          <m:sub>
            <m:r>
              <m:rPr>
                <m:sty m:val="p"/>
              </m:rPr>
              <m:t>r</m:t>
            </m:r>
            <m:r>
              <m:rPr>
                <m:sty m:val="p"/>
              </m:rPr>
              <m:t>e</m:t>
            </m:r>
            <m:r>
              <m:rPr>
                <m:sty m:val="p"/>
              </m:rPr>
              <m:t>f</m:t>
            </m:r>
          </m:sub>
        </m:sSub>
        <m:r>
          <m:rPr>
            <m:sty m:val="p"/>
          </m:rPr>
          <m:t>=</m:t>
        </m:r>
        <m:r>
          <m:t>19</m:t>
        </m:r>
        <m:r>
          <m:rPr>
            <m:sty m:val="p"/>
          </m:rPr>
          <m:t>,</m:t>
        </m:r>
        <m:r>
          <m:t>192</m:t>
        </m:r>
      </m:oMath>
      <w:r>
        <w:t xml:space="preserve"> </w:t>
      </w:r>
      <w:r>
        <w:rPr>
          <w:rFonts w:hint="eastAsia"/>
        </w:rPr>
        <w:t xml:space="preserve">円/kW-年（</w:t>
      </w:r>
      <m:oMath>
        <m:r>
          <m:t>π</m:t>
        </m:r>
        <m:r>
          <m:rPr>
            <m:sty m:val="p"/>
          </m:rPr>
          <m:t>(</m:t>
        </m:r>
        <m:r>
          <m:t>0</m:t>
        </m:r>
        <m:r>
          <m:rPr>
            <m:sty m:val="p"/>
          </m:rPr>
          <m:t>)</m:t>
        </m:r>
      </m:oMath>
      <w:r>
        <w:t xml:space="preserve"> </w:t>
      </w:r>
      <w:r>
        <w:rPr>
          <w:rFonts w:hint="eastAsia"/>
        </w:rPr>
        <w:t xml:space="preserve">と2029年度向けの容量収入の和）から5%点までの下振れは14,323円で、その6割は共食いと低い約定水準による期待値の低下である。その他の感応度は表C.46</w:t>
      </w:r>
      <w:r>
        <w:t xml:space="preserve"> </w:t>
      </w:r>
      <w:r>
        <w:rPr>
          <w:rFonts w:hint="eastAsia"/>
        </w:rPr>
        <w:t xml:space="preserve">と表C.47</w:t>
      </w:r>
      <w:r>
        <w:t xml:space="preserve"> </w:t>
      </w:r>
      <w:r>
        <w:rPr>
          <w:rFonts w:hint="eastAsia"/>
        </w:rPr>
        <w:t xml:space="preserve">に示す。</w:t>
      </w:r>
    </w:p>
  </w:footnote>
  <w:footnote w:id="259">
    <w:p>
      <w:pPr>
        <w:pStyle w:val="FootnoteText"/>
      </w:pPr>
      <w:r>
        <w:rPr>
          <w:rStyle w:val="FootnoteReference"/>
        </w:rPr>
        <w:footnoteRef/>
      </w:r>
      <w:r>
        <w:t xml:space="preserve"> </w:t>
      </w:r>
      <w:r>
        <w:rPr>
          <w:rFonts w:hint="eastAsia"/>
        </w:rPr>
        <w:t xml:space="preserve">還付率85〜95%の範囲で、移転される比率は93.9〜98.0%である。</w:t>
      </w:r>
      <m:oMath>
        <m:r>
          <m:t>θ</m:t>
        </m:r>
      </m:oMath>
      <w:r>
        <w:t xml:space="preserve"> </w:t>
      </w:r>
      <w:r>
        <w:rPr>
          <w:rFonts w:hint="eastAsia"/>
        </w:rPr>
        <w:t xml:space="preserve">と約定水準は負に相関しうるので、因子の独立の仮定は</w:t>
      </w:r>
      <w:r>
        <w:t xml:space="preserve"> CFaR </w:t>
      </w:r>
      <w:r>
        <w:rPr>
          <w:rFonts w:hint="eastAsia"/>
        </w:rPr>
        <w:t xml:space="preserve">を大きめに出しうる。</w:t>
      </w:r>
    </w:p>
  </w:footnote>
  <w:footnote w:id="278">
    <w:p>
      <w:pPr>
        <w:pStyle w:val="FootnoteText"/>
      </w:pPr>
      <w:r>
        <w:rPr>
          <w:rStyle w:val="FootnoteReference"/>
        </w:rPr>
        <w:footnoteRef/>
      </w:r>
      <w:r>
        <w:t xml:space="preserve"> </w:t>
      </w:r>
      <w:r>
        <w:rPr>
          <w:rFonts w:hint="eastAsia"/>
        </w:rPr>
        <w:t xml:space="preserve">実績整合の現状で、</w:t>
      </w:r>
      <m:oMath>
        <m:r>
          <m:t>π</m:t>
        </m:r>
        <m:r>
          <m:rPr>
            <m:sty m:val="p"/>
          </m:rPr>
          <m:t>(</m:t>
        </m:r>
        <m:r>
          <m:t>K</m:t>
        </m:r>
        <m:r>
          <m:rPr>
            <m:sty m:val="p"/>
          </m:rPr>
          <m:t>)</m:t>
        </m:r>
      </m:oMath>
      <w:r>
        <w:t xml:space="preserve"> </w:t>
      </w:r>
      <w:r>
        <w:t xml:space="preserve">の</w:t>
      </w:r>
      <w:r>
        <w:t xml:space="preserve"> </w:t>
      </w:r>
      <m:oMath>
        <m:r>
          <m:t>K</m:t>
        </m:r>
        <m:r>
          <m:rPr>
            <m:sty m:val="p"/>
          </m:rPr>
          <m:t>=</m:t>
        </m:r>
        <m:r>
          <m:t>0</m:t>
        </m:r>
      </m:oMath>
      <w:r>
        <w:t xml:space="preserve"> </w:t>
      </w:r>
      <w:r>
        <w:rPr>
          <w:rFonts w:hint="eastAsia"/>
        </w:rPr>
        <w:t xml:space="preserve">から50万kW</w:t>
      </w:r>
      <w:r>
        <w:t xml:space="preserve"> </w:t>
      </w:r>
      <w:r>
        <w:rPr>
          <w:rFonts w:hint="eastAsia"/>
        </w:rPr>
        <w:t xml:space="preserve">までの傾きは1万kW</w:t>
      </w:r>
      <w:r>
        <w:t xml:space="preserve"> </w:t>
      </w:r>
      <w:r>
        <w:rPr>
          <w:rFonts w:hint="eastAsia"/>
        </w:rPr>
        <w:t xml:space="preserve">あたり約−100円/kW-年（</w:t>
      </w:r>
      <m:oMath>
        <m:r>
          <m:t>π</m:t>
        </m:r>
        <m:r>
          <m:rPr>
            <m:sty m:val="p"/>
          </m:rPr>
          <m:t>(</m:t>
        </m:r>
        <m:r>
          <m:t>0</m:t>
        </m:r>
        <m:r>
          <m:rPr>
            <m:sty m:val="p"/>
          </m:rPr>
          <m:t>)</m:t>
        </m:r>
      </m:oMath>
      <w:r>
        <w:t xml:space="preserve"> </w:t>
      </w:r>
      <w:r>
        <w:rPr>
          <w:rFonts w:hint="eastAsia"/>
        </w:rPr>
        <w:t xml:space="preserve">の約1.5%）で、</w:t>
      </w:r>
      <m:oMath>
        <m:r>
          <m:t>π</m:t>
        </m:r>
        <m:r>
          <m:rPr>
            <m:sty m:val="p"/>
          </m:rPr>
          <m:t>(</m:t>
        </m:r>
        <m:r>
          <m:t>K</m:t>
        </m:r>
        <m:r>
          <m:rPr>
            <m:sty m:val="p"/>
          </m:rPr>
          <m:t>)</m:t>
        </m:r>
      </m:oMath>
      <w:r>
        <w:t xml:space="preserve"> </w:t>
      </w:r>
      <w:r>
        <w:rPr>
          <w:rFonts w:hint="eastAsia"/>
        </w:rPr>
        <w:t xml:space="preserve">は約31万kW</w:t>
      </w:r>
      <w:r>
        <w:t xml:space="preserve"> </w:t>
      </w:r>
      <w:r>
        <w:rPr>
          <w:rFonts w:hint="eastAsia"/>
        </w:rPr>
        <w:t xml:space="preserve">で半減する。泊＋風力2倍でも−78〜−86円（仕様A′・仕様A）である。蓄電池の資本費は世界市場で決まるので、北海道の導入規模では</w:t>
      </w:r>
      <w:r>
        <w:t xml:space="preserve"> </w:t>
      </w:r>
      <m:oMath>
        <m:r>
          <m:t>K</m:t>
        </m:r>
      </m:oMath>
      <w:r>
        <w:t xml:space="preserve"> </w:t>
      </w:r>
      <w:r>
        <w:rPr>
          <w:rFonts w:hint="eastAsia"/>
        </w:rPr>
        <w:t xml:space="preserve">に対してほぼ水平と置ける。これらは蓄電池の容量</w:t>
      </w:r>
      <w:r>
        <w:t xml:space="preserve"> </w:t>
      </w:r>
      <m:oMath>
        <m:r>
          <m:t>K</m:t>
        </m:r>
      </m:oMath>
      <w:r>
        <w:t xml:space="preserve"> </w:t>
      </w:r>
      <w:r>
        <w:rPr>
          <w:rFonts w:hint="eastAsia"/>
        </w:rPr>
        <w:t xml:space="preserve">に対する私的な収益と費用の傾きであり、抑制量を規制する量とみた場合の社会的な限界便益・限界費用の傾きではない。</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exact"/>
      <w:jc w:val="both"/>
    </w:pPr>
    <w:rPr>
      <w:rFonts w:ascii="Yu Mincho" w:cs="Yu Mincho" w:eastAsia="Yu Mincho" w:hAnsi="Yu Mincho"/>
      <w:sz w:val="21"/>
    </w:rPr>
  </w:style>
  <w:style w:styleId="BodyText" w:type="paragraph">
    <w:name w:val="Body Text"/>
    <w:basedOn w:val="Normal"/>
    <w:link w:val="BodyTextChar"/>
    <w:qFormat/>
    <w:pPr>
      <w:spacing w:after="0" w:before="0" w:line="360" w:lineRule="exact"/>
      <w:ind w:firstLine="210"/>
      <w:jc w:val="both"/>
    </w:pPr>
    <w:rPr>
      <w:rFonts w:ascii="Yu Mincho" w:cs="Yu Mincho" w:eastAsia="Yu Mincho" w:hAnsi="Yu Mincho"/>
      <w:sz w:val="21"/>
    </w:rPr>
  </w:style>
  <w:style w:customStyle="1" w:styleId="FirstParagraph" w:type="paragraph">
    <w:name w:val="First Paragraph"/>
    <w:basedOn w:val="BodyText"/>
    <w:next w:val="BodyText"/>
    <w:qFormat/>
    <w:pPr>
      <w:spacing w:after="0" w:before="0" w:line="360" w:lineRule="exact"/>
      <w:ind w:firstLine="210"/>
      <w:jc w:val="both"/>
    </w:pPr>
    <w:rPr>
      <w:rFonts w:ascii="Yu Mincho" w:cs="Yu Mincho" w:eastAsia="Yu Mincho" w:hAnsi="Yu Mincho"/>
      <w:sz w:val="21"/>
    </w:rPr>
  </w:style>
  <w:style w:customStyle="1" w:styleId="Compact" w:type="paragraph">
    <w:name w:val="Compact"/>
    <w:basedOn w:val="BodyText"/>
    <w:qFormat/>
    <w:pPr>
      <w:spacing w:after="0" w:before="0" w:line="360" w:lineRule="exact"/>
    </w:pPr>
    <w:rPr>
      <w:rFonts w:ascii="Yu Mincho" w:cs="Yu Mincho" w:eastAsia="Yu Mincho" w:hAnsi="Yu Mincho"/>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before="0" w:line="360" w:lineRule="exact"/>
      <w:ind w:hanging="420" w:left="420"/>
      <w:jc w:val="left"/>
    </w:pPr>
    <w:rPr>
      <w:rFonts w:ascii="Yu Mincho" w:cs="Yu Mincho" w:eastAsia="Yu Mincho" w:hAnsi="Yu Mincho"/>
      <w:sz w:val="21"/>
    </w:rPr>
  </w:style>
  <w:style w:styleId="Heading1" w:type="paragraph">
    <w:name w:val="heading 1"/>
    <w:basedOn w:val="Normal"/>
    <w:next w:val="BodyText"/>
    <w:link w:val="Heading1Char"/>
    <w:uiPriority w:val="9"/>
    <w:qFormat/>
    <w:rsid w:val="00A10FD9"/>
    <w:pPr>
      <w:keepNext/>
      <w:keepLines/>
      <w:spacing w:after="360" w:before="0" w:line="480" w:lineRule="exact"/>
      <w:outlineLvl w:val="0"/>
    </w:pPr>
    <w:rPr>
      <w:rFonts w:ascii="Yu Gothic" w:asciiTheme="majorHAnsi" w:cs="Yu Gothic" w:cstheme="majorBidi" w:eastAsia="Yu Gothic" w:eastAsiaTheme="majorEastAsia" w:hAnsi="Yu Gothic"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90" w:lineRule="exact"/>
      <w:outlineLvl w:val="1"/>
    </w:pPr>
    <w:rPr>
      <w:rFonts w:ascii="Yu Gothic" w:asciiTheme="majorHAnsi" w:cs="Yu Gothic" w:cstheme="majorBidi" w:eastAsia="Yu Gothic" w:eastAsiaTheme="majorEastAsia" w:hAnsi="Yu Gothic" w:hAnsiTheme="majorHAnsi"/>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45" w:lineRule="exact"/>
      <w:outlineLvl w:val="2"/>
    </w:pPr>
    <w:rPr>
      <w:rFonts w:ascii="Yu Gothic" w:cs="Yu Gothic" w:cstheme="majorBidi" w:eastAsia="Yu Gothic" w:eastAsiaTheme="majorEastAsia" w:hAnsi="Yu Gothic"/>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60" w:lineRule="exact"/>
    </w:pPr>
    <w:rPr>
      <w:rFonts w:ascii="Yu Mincho" w:cs="Yu Mincho" w:eastAsia="Yu Mincho" w:hAnsi="Yu Mincho"/>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line="280" w:lineRule="exact"/>
      <w:jc w:val="center"/>
    </w:pPr>
    <w:rPr>
      <w:rFonts w:ascii="Yu Gothic" w:cs="Yu Gothic" w:eastAsia="Yu Gothic" w:hAnsi="Yu Gothic"/>
      <w:i w:val="0"/>
      <w:sz w:val="19"/>
    </w:rPr>
  </w:style>
  <w:style w:customStyle="1" w:styleId="TableCaption" w:type="paragraph">
    <w:name w:val="Table Caption"/>
    <w:basedOn w:val="Caption"/>
    <w:pPr>
      <w:keepNext/>
      <w:spacing w:after="80" w:before="80" w:line="280" w:lineRule="exact"/>
      <w:jc w:val="center"/>
    </w:pPr>
    <w:rPr>
      <w:rFonts w:ascii="Yu Gothic" w:cs="Yu Gothic" w:eastAsia="Yu Gothic" w:hAnsi="Yu Gothic"/>
      <w:i w:val="0"/>
      <w:sz w:val="19"/>
    </w:rPr>
  </w:style>
  <w:style w:customStyle="1" w:styleId="ImageCaption" w:type="paragraph">
    <w:name w:val="Image Caption"/>
    <w:basedOn w:val="Caption"/>
    <w:pPr>
      <w:spacing w:after="80" w:before="80" w:line="280" w:lineRule="exact"/>
      <w:jc w:val="center"/>
    </w:pPr>
    <w:rPr>
      <w:rFonts w:ascii="Yu Gothic" w:cs="Yu Gothic" w:eastAsia="Yu Gothic" w:hAnsi="Yu Gothic"/>
      <w:i w:val="0"/>
      <w:sz w:val="19"/>
    </w:rPr>
  </w:style>
  <w:style w:customStyle="1" w:styleId="Figure" w:type="paragraph">
    <w:name w:val="Figure"/>
    <w:basedOn w:val="Normal"/>
    <w:pPr>
      <w:spacing w:after="0" w:before="120" w:line="240" w:lineRule="auto"/>
      <w:jc w:val="center"/>
    </w:pPr>
  </w:style>
  <w:style w:customStyle="1" w:styleId="CaptionedFigure" w:type="paragraph">
    <w:name w:val="Captioned Figure"/>
    <w:basedOn w:val="Figure"/>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Line" w:type="paragraph">
    <w:name w:val="Cover Line"/>
    <w:basedOn w:val="BodyText"/>
    <w:qFormat/>
    <w:pPr>
      <w:spacing w:after="120" w:before="120" w:line="400" w:lineRule="exact"/>
      <w:jc w:val="center"/>
    </w:pPr>
    <w:rPr>
      <w:rFonts w:ascii="Yu Mincho" w:cs="Yu Mincho" w:eastAsia="Yu Mincho" w:hAnsi="Yu Mincho"/>
      <w:sz w:val="24"/>
    </w:rPr>
  </w:style>
  <w:style w:customStyle="1" w:styleId="CoverTitle" w:type="paragraph">
    <w:name w:val="Cover Title"/>
    <w:basedOn w:val="BodyText"/>
    <w:qFormat/>
    <w:pPr>
      <w:spacing w:after="240" w:before="240" w:line="600" w:lineRule="exact"/>
      <w:jc w:val="center"/>
    </w:pPr>
    <w:rPr>
      <w:rFonts w:ascii="Yu Gothic" w:cs="Yu Gothic" w:eastAsia="Yu Gothic" w:hAnsi="Yu Gothic"/>
      <w:b/>
      <w:sz w:val="36"/>
    </w:rPr>
  </w:style>
  <w:style w:customStyle="1" w:styleId="FrontHeading" w:type="paragraph">
    <w:name w:val="Front Heading"/>
    <w:basedOn w:val="BodyText"/>
    <w:qFormat/>
    <w:pPr>
      <w:spacing w:after="240" w:before="0" w:line="440" w:lineRule="exact"/>
      <w:jc w:val="center"/>
    </w:pPr>
    <w:rPr>
      <w:rFonts w:ascii="Yu Gothic" w:cs="Yu Gothic" w:eastAsia="Yu Gothic" w:hAnsi="Yu Gothic"/>
      <w:b/>
      <w:sz w:val="28"/>
    </w:rPr>
  </w:style>
  <w:style w:customStyle="1" w:styleId="TableNote" w:type="paragraph">
    <w:name w:val="Table Note"/>
    <w:basedOn w:val="BodyText"/>
    <w:qFormat/>
    <w:pPr>
      <w:spacing w:after="120" w:before="0" w:line="260" w:lineRule="exact"/>
    </w:pPr>
    <w:rPr>
      <w:rFonts w:ascii="Yu Mincho" w:cs="Yu Mincho" w:eastAsia="Yu Mincho" w:hAnsi="Yu Mincho"/>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0" Type="http://schemas.openxmlformats.org/officeDocument/2006/relationships/image" Target="media/rId140.png"/><Relationship Id="rId250" Type="http://schemas.openxmlformats.org/officeDocument/2006/relationships/image" Target="media/rId250.png"/><Relationship Id="rId194" Type="http://schemas.openxmlformats.org/officeDocument/2006/relationships/image" Target="media/rId194.png"/><Relationship Id="rId242" Type="http://schemas.openxmlformats.org/officeDocument/2006/relationships/image" Target="media/rId242.png"/><Relationship Id="rId236" Type="http://schemas.openxmlformats.org/officeDocument/2006/relationships/image" Target="media/rId236.png"/><Relationship Id="rId309" Type="http://schemas.openxmlformats.org/officeDocument/2006/relationships/image" Target="media/rId309.png"/><Relationship Id="rId256" Type="http://schemas.openxmlformats.org/officeDocument/2006/relationships/image" Target="media/rId256.png"/><Relationship Id="rId137" Type="http://schemas.openxmlformats.org/officeDocument/2006/relationships/image" Target="media/rId137.png"/><Relationship Id="rId187" Type="http://schemas.openxmlformats.org/officeDocument/2006/relationships/image" Target="media/rId187.png"/><Relationship Id="rId214" Type="http://schemas.openxmlformats.org/officeDocument/2006/relationships/image" Target="media/rId214.png"/><Relationship Id="rId100" Type="http://schemas.openxmlformats.org/officeDocument/2006/relationships/image" Target="media/rId100.png"/><Relationship Id="rId178" Type="http://schemas.openxmlformats.org/officeDocument/2006/relationships/image" Target="media/rId178.png"/><Relationship Id="rId271" Type="http://schemas.openxmlformats.org/officeDocument/2006/relationships/image" Target="media/rId271.png"/><Relationship Id="rId156" Type="http://schemas.openxmlformats.org/officeDocument/2006/relationships/image" Target="media/rId156.png"/><Relationship Id="rId182" Type="http://schemas.openxmlformats.org/officeDocument/2006/relationships/image" Target="media/rId182.png"/><Relationship Id="rId118" Type="http://schemas.openxmlformats.org/officeDocument/2006/relationships/image" Target="media/rId118.png"/><Relationship Id="rId89" Type="http://schemas.openxmlformats.org/officeDocument/2006/relationships/image" Target="media/rId89.png"/><Relationship Id="rId109" Type="http://schemas.openxmlformats.org/officeDocument/2006/relationships/image" Target="media/rId109.png"/><Relationship Id="rId198" Type="http://schemas.openxmlformats.org/officeDocument/2006/relationships/image" Target="media/rId198.png"/><Relationship Id="rId126" Type="http://schemas.openxmlformats.org/officeDocument/2006/relationships/image" Target="media/rId126.png"/><Relationship Id="rId114" Type="http://schemas.openxmlformats.org/officeDocument/2006/relationships/image" Target="media/rId114.png"/><Relationship Id="rId144" Type="http://schemas.openxmlformats.org/officeDocument/2006/relationships/image" Target="media/rId144.png"/><Relationship Id="rId191" Type="http://schemas.openxmlformats.org/officeDocument/2006/relationships/image" Target="media/rId191.png"/><Relationship Id="rId96" Type="http://schemas.openxmlformats.org/officeDocument/2006/relationships/image" Target="media/rId96.png"/><Relationship Id="rId92" Type="http://schemas.openxmlformats.org/officeDocument/2006/relationships/image" Target="media/rId92.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2026-10-22T00:47:46Z</dcterms:created>
  <dcterms:modified xsi:type="dcterms:W3CDTF">2026-10-22T00:47:46Z</dcterms:modified>
</cp:coreProperties>
</file>

<file path=docProps/custom.xml><?xml version="1.0" encoding="utf-8"?>
<Properties xmlns="http://schemas.openxmlformats.org/officeDocument/2006/custom-properties" xmlns:vt="http://schemas.openxmlformats.org/officeDocument/2006/docPropsVTypes"/>
</file>