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38.png" ContentType="image/png"/>
  <Override PartName="/word/media/rId121.png" ContentType="image/png"/>
  <Override PartName="/word/media/rId80.png" ContentType="image/png"/>
  <Override PartName="/word/media/rId109.png" ContentType="image/png"/>
  <Override PartName="/word/media/rId145.png" ContentType="image/png"/>
  <Override PartName="/word/media/rId113.png" ContentType="image/png"/>
  <Override PartName="/word/media/rId117.png" ContentType="image/png"/>
  <Override PartName="/word/media/rId54.png" ContentType="image/png"/>
  <Override PartName="/word/media/rId87.png" ContentType="image/png"/>
  <Override PartName="/word/media/rId76.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目次</w:t>
          </w:r>
        </w:p>
        <w:p>
          <w:r>
            <w:fldChar w:fldCharType="begin" w:dirty="true"/>
            <w:instrText xml:space="preserve">TOC \o "1-2" \h \z \u</w:instrText>
            <w:fldChar w:fldCharType="separate"/>
            <w:fldChar w:fldCharType="end"/>
          </w:r>
        </w:p>
      </w:sdtContent>
    </w:sdt>
    <w:bookmarkStart w:id="12" w:name="X4dee6a1212ef76792e6ed89ab9313bc144debe3"/>
    <w:p>
      <w:pPr>
        <w:pStyle w:val="Heading1"/>
      </w:pPr>
      <w:r>
        <w:rPr>
          <w:rFonts w:hint="eastAsia"/>
        </w:rPr>
        <w:t xml:space="preserve">風力主導電力市場における蓄電池の価値形成と自由参入均衡</w:t>
      </w:r>
      <w:r>
        <w:t xml:space="preserve"> — </w:t>
      </w:r>
      <w:r>
        <w:rPr>
          <w:rFonts w:hint="eastAsia"/>
        </w:rPr>
        <w:t xml:space="preserve">北海道の実証と価格下限・市場外収入の定量分析</w:t>
      </w:r>
      <w:r>
        <w:t xml:space="preserve"> —</w:t>
      </w:r>
    </w:p>
    <w:p>
      <w:pPr>
        <w:pStyle w:val="FirstParagraph"/>
      </w:pPr>
      <w:r>
        <w:rPr>
          <w:rFonts w:hint="eastAsia"/>
        </w:rPr>
        <w:t xml:space="preserve">一橋大学大学院</w:t>
      </w:r>
      <w:r>
        <w:t xml:space="preserve"> </w:t>
      </w:r>
      <w:r>
        <w:rPr>
          <w:rFonts w:hint="eastAsia"/>
        </w:rPr>
        <w:t xml:space="preserve">経営管理研究科</w:t>
      </w:r>
      <w:r>
        <w:t xml:space="preserve"> </w:t>
      </w:r>
      <w:r>
        <w:rPr>
          <w:rFonts w:hint="eastAsia"/>
        </w:rPr>
        <w:t xml:space="preserve">金融戦略・経営財務コース</w:t>
      </w:r>
      <w:r>
        <w:t xml:space="preserve"> </w:t>
      </w:r>
      <w:r>
        <w:rPr>
          <w:rFonts w:hint="eastAsia"/>
        </w:rPr>
        <w:t xml:space="preserve">修士論文（ドラフト</w:t>
      </w:r>
      <w:r>
        <w:t xml:space="preserve"> </w:t>
      </w:r>
      <w:r>
        <w:rPr>
          <w:rFonts w:hint="eastAsia"/>
        </w:rPr>
        <w:t xml:space="preserve">v0.2、2026年9月30日）</w:t>
      </w:r>
      <w:r>
        <w:t xml:space="preserve"> </w:t>
      </w:r>
      <w:r>
        <w:rPr>
          <w:rFonts w:hint="eastAsia"/>
        </w:rPr>
        <w:t xml:space="preserve">松葉</w:t>
      </w:r>
      <w:r>
        <w:t xml:space="preserve"> </w:t>
      </w:r>
      <w:r>
        <w:rPr>
          <w:rFonts w:hint="eastAsia"/>
        </w:rPr>
        <w:t xml:space="preserve">大希</w:t>
      </w:r>
    </w:p>
    <w:p>
      <w:r>
        <w:pict>
          <v:rect style="width:0;height:1.5pt" o:hralign="center" o:hrstd="t" o:hr="t"/>
        </w:pict>
      </w:r>
    </w:p>
    <w:bookmarkStart w:id="9" w:name="要旨ドラフト"/>
    <w:p>
      <w:pPr>
        <w:pStyle w:val="Heading3"/>
      </w:pPr>
      <w:r>
        <w:rPr>
          <w:rFonts w:hint="eastAsia"/>
        </w:rPr>
        <w:t xml:space="preserve">要旨（ドラフト）</w:t>
      </w:r>
    </w:p>
    <w:p>
      <w:pPr>
        <w:pStyle w:val="FirstParagraph"/>
      </w:pPr>
      <w:r>
        <w:rPr>
          <w:rFonts w:hint="eastAsia"/>
        </w:rPr>
        <w:t xml:space="preserve">再生可能エネルギーの増加は卸電力価格の変動性を高め、蓄電池の裁定価値を高めるという通説は、電源種と時間スケールを区別していない。本研究は、風力主導の卸電力市場である北海道エリアを対象に、2016年4月から2026年6月までの需給実績と日本卸電力取引所（JEPX）エリアプライスの時間パネルを構築し、四つの問いに答える。第一に、風力と太陽光は価格の水準・日内形状・多日変動にどう異なる影響を与えるか。第二に、風力主導市場において蓄電池のスポット裁定価値はどう決まり、フリートの拡大とともにどう減衰するか。第三に、市場構造と制度を所与とした自由参入均衡の蓄電池容量</w:t>
      </w:r>
      <w:r>
        <w:t xml:space="preserve"> </w:t>
      </w:r>
      <m:oMath>
        <m:sSup>
          <m:e>
            <m:r>
              <m:t>K</m:t>
            </m:r>
          </m:e>
          <m:sup>
            <m:r>
              <m:t>*</m:t>
            </m:r>
          </m:sup>
        </m:sSup>
      </m:oMath>
      <w:r>
        <w:t xml:space="preserve"> </w:t>
      </w:r>
      <w:r>
        <w:rPr>
          <w:rFonts w:hint="eastAsia"/>
        </w:rPr>
        <w:t xml:space="preserve">はどこにあり、現実の参入との乖離は何によって説明されるか。第四に、スポット価格の下限（0.01円/kWh）は蓄電池の価値と均衡容量をどう歪め、負価格の導入は何を変えるか。</w:t>
      </w:r>
    </w:p>
    <w:p>
      <w:pPr>
        <w:pStyle w:val="BodyText"/>
      </w:pPr>
      <w:r>
        <w:rPr>
          <w:rFonts w:hint="eastAsia"/>
        </w:rPr>
        <w:t xml:space="preserve">実証の結果、太陽光は不需要期を中心に日内スプレッドを拡大させる（発電量五分位のQ1→Q5でTB4hスプレッド+3.9円/kWh）一方、風力は価格水準を平行に引き下げるのみで日内スプレッドを変えない（同−0.1〜−1.3円/kWh）ことが確認された。風力変動の分散の約4分の3は1日を超える長周期に分布し、この帯域構造は導入量が4倍に増えた10年間でほぼ不変であった。価格過程モデルに蓄電池フリートを内生化して導いた限界参入者の収益曲線</w:t>
      </w:r>
      <w:r>
        <w:t xml:space="preserve"> </w:t>
      </w:r>
      <m:oMath>
        <m:r>
          <m:t>π</m:t>
        </m:r>
        <m:r>
          <m:t>(</m:t>
        </m:r>
        <m:r>
          <m:t>K</m:t>
        </m:r>
        <m:r>
          <m:t>)</m:t>
        </m:r>
      </m:oMath>
      <w:r>
        <w:t xml:space="preserve"> </w:t>
      </w:r>
      <w:r>
        <w:rPr>
          <w:rFonts w:hint="eastAsia"/>
        </w:rPr>
        <w:t xml:space="preserve">は、フリート容量50万kWで半減し、約100万kWでスポット原資が枯渇する。参入に必要な収益水準と比較すると、現行の資本費と価格構造の下ではマーチャントの均衡容量は</w:t>
      </w:r>
      <w:r>
        <w:t xml:space="preserve"> </w:t>
      </w:r>
      <m:oMath>
        <m:sSup>
          <m:e>
            <m:r>
              <m:t>K</m:t>
            </m:r>
          </m:e>
          <m:sup>
            <m:r>
              <m:t>*</m:t>
            </m:r>
          </m:sup>
        </m:sSup>
        <m:r>
          <m:t>=</m:t>
        </m:r>
        <m:r>
          <m:t>0</m:t>
        </m:r>
      </m:oMath>
      <w:r>
        <w:t xml:space="preserve"> </w:t>
      </w:r>
      <w:r>
        <w:rPr>
          <w:rFonts w:hint="eastAsia"/>
        </w:rPr>
        <w:t xml:space="preserve">であり、実際の接続済み容量（約20万kW）および契約申込（約234万kW）は均衡を大きく超過している。この乖離は、容量市場・長期脱炭素電源オークション・補助金という市場外収入と、エリア価格に映らない併設蓄電池のローカル価値によって部分的に説明され、残差は将来のスプレッド水準と資本費低下に関する期待として解釈される。価格の下限は、風力・太陽光が蓄電池価値を作る唯一の経路（打ち切りの非対称性）であると同時に、余剰の価値を市場から隠す制度である。下限を負の価格に置き換える反実仮想では、裁定価値の増分は余剰の量に比例し、現状では小さいが、泊再稼働と風力倍増の局面では参入に必要な価格水準をほぼ半分に下げる。一方で再エネ側からの移転は出力制御の価値の20倍を超え、ローカル混雑の抑制は解消しない。</w:t>
      </w:r>
    </w:p>
    <w:p>
      <w:pPr>
        <w:pStyle w:val="BodyText"/>
      </w:pPr>
      <w:r>
        <w:rPr>
          <w:b/>
          <w:bCs/>
        </w:rPr>
        <w:t xml:space="preserve">キーワード</w:t>
      </w:r>
      <w:r>
        <w:t xml:space="preserve">: </w:t>
      </w:r>
      <w:r>
        <w:rPr>
          <w:rFonts w:hint="eastAsia"/>
        </w:rPr>
        <w:t xml:space="preserve">蓄電池、JEPX、風力、メリットオーダー効果、自由参入均衡、カニバリゼーション、価格下限、ネガティブプライス、北海道</w:t>
      </w:r>
    </w:p>
    <w:p>
      <w:r>
        <w:pict>
          <v:rect style="width:0;height:1.5pt" o:hralign="center" o:hrstd="t" o:hr="t"/>
        </w:pict>
      </w:r>
    </w:p>
    <w:bookmarkEnd w:id="9"/>
    <w:bookmarkStart w:id="10" w:name="目次"/>
    <w:p>
      <w:pPr>
        <w:pStyle w:val="Heading3"/>
      </w:pPr>
      <w:r>
        <w:rPr>
          <w:rFonts w:hint="eastAsia"/>
        </w:rPr>
        <w:t xml:space="preserve">目次</w:t>
      </w:r>
    </w:p>
    <w:p>
      <w:pPr>
        <w:pStyle w:val="Compact"/>
        <w:numPr>
          <w:ilvl w:val="0"/>
          <w:numId w:val="1001"/>
        </w:numPr>
      </w:pPr>
      <w:r>
        <w:rPr>
          <w:rFonts w:hint="eastAsia"/>
        </w:rPr>
        <w:t xml:space="preserve">第1章</w:t>
      </w:r>
      <w:r>
        <w:t xml:space="preserve"> </w:t>
      </w:r>
      <w:r>
        <w:rPr>
          <w:rFonts w:hint="eastAsia"/>
        </w:rPr>
        <w:t xml:space="preserve">序論</w:t>
      </w:r>
    </w:p>
    <w:p>
      <w:pPr>
        <w:pStyle w:val="Compact"/>
        <w:numPr>
          <w:ilvl w:val="0"/>
          <w:numId w:val="1001"/>
        </w:numPr>
      </w:pPr>
      <w:r>
        <w:rPr>
          <w:rFonts w:hint="eastAsia"/>
        </w:rPr>
        <w:t xml:space="preserve">第2章</w:t>
      </w:r>
      <w:r>
        <w:t xml:space="preserve"> </w:t>
      </w:r>
      <w:r>
        <w:rPr>
          <w:rFonts w:hint="eastAsia"/>
        </w:rPr>
        <w:t xml:space="preserve">国内外の研究状況と研究の動向</w:t>
      </w:r>
    </w:p>
    <w:p>
      <w:pPr>
        <w:pStyle w:val="Compact"/>
        <w:numPr>
          <w:ilvl w:val="0"/>
          <w:numId w:val="1001"/>
        </w:numPr>
      </w:pPr>
      <w:r>
        <w:rPr>
          <w:rFonts w:hint="eastAsia"/>
        </w:rPr>
        <w:t xml:space="preserve">第3章</w:t>
      </w:r>
      <w:r>
        <w:t xml:space="preserve"> </w:t>
      </w:r>
      <w:r>
        <w:rPr>
          <w:rFonts w:hint="eastAsia"/>
        </w:rPr>
        <w:t xml:space="preserve">制度的背景</w:t>
      </w:r>
    </w:p>
    <w:p>
      <w:pPr>
        <w:pStyle w:val="Compact"/>
        <w:numPr>
          <w:ilvl w:val="0"/>
          <w:numId w:val="1001"/>
        </w:numPr>
      </w:pPr>
      <w:r>
        <w:rPr>
          <w:rFonts w:hint="eastAsia"/>
        </w:rPr>
        <w:t xml:space="preserve">第4章</w:t>
      </w:r>
      <w:r>
        <w:t xml:space="preserve"> データ</w:t>
      </w:r>
    </w:p>
    <w:p>
      <w:pPr>
        <w:pStyle w:val="Compact"/>
        <w:numPr>
          <w:ilvl w:val="0"/>
          <w:numId w:val="1001"/>
        </w:numPr>
      </w:pPr>
      <w:r>
        <w:rPr>
          <w:rFonts w:hint="eastAsia"/>
        </w:rPr>
        <w:t xml:space="preserve">第5章</w:t>
      </w:r>
      <w:r>
        <w:t xml:space="preserve"> </w:t>
      </w:r>
      <w:r>
        <w:rPr>
          <w:rFonts w:hint="eastAsia"/>
        </w:rPr>
        <w:t xml:space="preserve">分析方法</w:t>
      </w:r>
    </w:p>
    <w:p>
      <w:pPr>
        <w:pStyle w:val="Compact"/>
        <w:numPr>
          <w:ilvl w:val="0"/>
          <w:numId w:val="1001"/>
        </w:numPr>
      </w:pPr>
      <w:r>
        <w:rPr>
          <w:rFonts w:hint="eastAsia"/>
        </w:rPr>
        <w:t xml:space="preserve">第6章</w:t>
      </w:r>
      <w:r>
        <w:t xml:space="preserve"> </w:t>
      </w:r>
      <w:r>
        <w:rPr>
          <w:rFonts w:hint="eastAsia"/>
        </w:rPr>
        <w:t xml:space="preserve">実証結果I：再エネは価格に何をするか</w:t>
      </w:r>
      <w:r>
        <w:t xml:space="preserve"> — </w:t>
      </w:r>
      <w:r>
        <w:rPr>
          <w:rFonts w:hint="eastAsia"/>
        </w:rPr>
        <w:t xml:space="preserve">通説の検証</w:t>
      </w:r>
    </w:p>
    <w:p>
      <w:pPr>
        <w:pStyle w:val="Compact"/>
        <w:numPr>
          <w:ilvl w:val="0"/>
          <w:numId w:val="1001"/>
        </w:numPr>
      </w:pPr>
      <w:r>
        <w:rPr>
          <w:rFonts w:hint="eastAsia"/>
        </w:rPr>
        <w:t xml:space="preserve">第7章</w:t>
      </w:r>
      <w:r>
        <w:t xml:space="preserve"> </w:t>
      </w:r>
      <w:r>
        <w:rPr>
          <w:rFonts w:hint="eastAsia"/>
        </w:rPr>
        <w:t xml:space="preserve">実証結果II：蓄電池のスポット価値</w:t>
      </w:r>
    </w:p>
    <w:p>
      <w:pPr>
        <w:pStyle w:val="Compact"/>
        <w:numPr>
          <w:ilvl w:val="0"/>
          <w:numId w:val="1001"/>
        </w:numPr>
      </w:pPr>
      <w:r>
        <w:rPr>
          <w:rFonts w:hint="eastAsia"/>
        </w:rPr>
        <w:t xml:space="preserve">第8章</w:t>
      </w:r>
      <w:r>
        <w:t xml:space="preserve"> </w:t>
      </w:r>
      <w:r>
        <w:rPr>
          <w:rFonts w:hint="eastAsia"/>
        </w:rPr>
        <w:t xml:space="preserve">均衡分析の結果</w:t>
      </w:r>
    </w:p>
    <w:p>
      <w:pPr>
        <w:pStyle w:val="Compact"/>
        <w:numPr>
          <w:ilvl w:val="0"/>
          <w:numId w:val="1001"/>
        </w:numPr>
      </w:pPr>
      <w:r>
        <w:rPr>
          <w:rFonts w:hint="eastAsia"/>
        </w:rPr>
        <w:t xml:space="preserve">第9章</w:t>
      </w:r>
      <w:r>
        <w:t xml:space="preserve"> </w:t>
      </w:r>
      <w:r>
        <w:rPr>
          <w:rFonts w:hint="eastAsia"/>
        </w:rPr>
        <w:t xml:space="preserve">均衡からの乖離の分解</w:t>
      </w:r>
      <w:r>
        <w:t xml:space="preserve"> — </w:t>
      </w:r>
      <w:r>
        <w:rPr>
          <w:rFonts w:hint="eastAsia"/>
        </w:rPr>
        <w:t xml:space="preserve">なぜ参入は止まらないか</w:t>
      </w:r>
    </w:p>
    <w:p>
      <w:pPr>
        <w:pStyle w:val="Compact"/>
        <w:numPr>
          <w:ilvl w:val="0"/>
          <w:numId w:val="1001"/>
        </w:numPr>
      </w:pPr>
      <w:r>
        <w:rPr>
          <w:rFonts w:hint="eastAsia"/>
        </w:rPr>
        <w:t xml:space="preserve">第11章</w:t>
      </w:r>
      <w:r>
        <w:t xml:space="preserve"> ディスカッション</w:t>
      </w:r>
    </w:p>
    <w:p>
      <w:pPr>
        <w:pStyle w:val="Compact"/>
        <w:numPr>
          <w:ilvl w:val="0"/>
          <w:numId w:val="1001"/>
        </w:numPr>
      </w:pPr>
      <w:r>
        <w:rPr>
          <w:rFonts w:hint="eastAsia"/>
        </w:rPr>
        <w:t xml:space="preserve">第12章</w:t>
      </w:r>
      <w:r>
        <w:t xml:space="preserve"> </w:t>
      </w:r>
      <w:r>
        <w:rPr>
          <w:rFonts w:hint="eastAsia"/>
        </w:rPr>
        <w:t xml:space="preserve">結論</w:t>
      </w:r>
    </w:p>
    <w:p>
      <w:pPr>
        <w:pStyle w:val="Compact"/>
        <w:numPr>
          <w:ilvl w:val="0"/>
          <w:numId w:val="1001"/>
        </w:numPr>
      </w:pPr>
      <w:r>
        <w:rPr>
          <w:rFonts w:hint="eastAsia"/>
        </w:rPr>
        <w:t xml:space="preserve">参考文献</w:t>
      </w:r>
    </w:p>
    <w:p>
      <w:pPr>
        <w:pStyle w:val="Compact"/>
        <w:numPr>
          <w:ilvl w:val="0"/>
          <w:numId w:val="1001"/>
        </w:numPr>
      </w:pPr>
      <w:r>
        <w:rPr>
          <w:rFonts w:hint="eastAsia"/>
        </w:rPr>
        <w:t xml:space="preserve">付録</w:t>
      </w:r>
    </w:p>
    <w:p>
      <w:r>
        <w:pict>
          <v:rect style="width:0;height:1.5pt" o:hralign="center" o:hrstd="t" o:hr="t"/>
        </w:pict>
      </w:r>
    </w:p>
    <w:bookmarkEnd w:id="10"/>
    <w:bookmarkStart w:id="11" w:name="執筆状況v0.1"/>
    <w:p>
      <w:pPr>
        <w:pStyle w:val="Heading3"/>
      </w:pPr>
      <w:r>
        <w:rPr>
          <w:rFonts w:hint="eastAsia"/>
        </w:rPr>
        <w:t xml:space="preserve">執筆状況（v0.1）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状態</w:t>
            </w:r>
          </w:p>
        </w:tc>
        <w:tc>
          <w:tcPr/>
          <w:p>
            <w:pPr>
              <w:pStyle w:val="Compact"/>
            </w:pPr>
            <w:r>
              <w:rPr>
                <w:rFonts w:hint="eastAsia"/>
              </w:rPr>
              <w:t xml:space="preserve">備考</w:t>
            </w:r>
          </w:p>
        </w:tc>
      </w:tr>
      <w:tr>
        <w:tc>
          <w:tcPr/>
          <w:p>
            <w:pPr>
              <w:pStyle w:val="Compact"/>
            </w:pPr>
            <w:r>
              <w:t xml:space="preserve">1 </w:t>
            </w:r>
            <w:r>
              <w:rPr>
                <w:rFonts w:hint="eastAsia"/>
              </w:rPr>
              <w:t xml:space="preserve">序論</w:t>
            </w:r>
          </w:p>
        </w:tc>
        <w:tc>
          <w:tcPr/>
          <w:p>
            <w:pPr>
              <w:pStyle w:val="Compact"/>
            </w:pPr>
            <w:r>
              <w:rPr>
                <w:rFonts w:hint="eastAsia"/>
              </w:rPr>
              <w:t xml:space="preserve">初稿</w:t>
            </w:r>
          </w:p>
        </w:tc>
        <w:tc>
          <w:tcPr/>
          <w:p>
            <w:pPr>
              <w:pStyle w:val="Compact"/>
            </w:pPr>
          </w:p>
        </w:tc>
      </w:tr>
      <w:tr>
        <w:tc>
          <w:tcPr/>
          <w:p>
            <w:pPr>
              <w:pStyle w:val="Compact"/>
            </w:pPr>
            <w:r>
              <w:t xml:space="preserve">2 </w:t>
            </w:r>
            <w:r>
              <w:rPr>
                <w:rFonts w:hint="eastAsia"/>
              </w:rPr>
              <w:t xml:space="preserve">研究状況</w:t>
            </w:r>
          </w:p>
        </w:tc>
        <w:tc>
          <w:tcPr/>
          <w:p>
            <w:pPr>
              <w:pStyle w:val="Compact"/>
            </w:pPr>
            <w:r>
              <w:rPr>
                <w:rFonts w:hint="eastAsia"/>
              </w:rPr>
              <w:t xml:space="preserve">初稿</w:t>
            </w:r>
          </w:p>
        </w:tc>
        <w:tc>
          <w:tcPr/>
          <w:p>
            <w:pPr>
              <w:pStyle w:val="Compact"/>
            </w:pPr>
            <w:r>
              <w:rPr>
                <w:rFonts w:hint="eastAsia"/>
              </w:rPr>
              <w:t xml:space="preserve">F&amp;O・Butters等の精読アラインは残タスク</w:t>
            </w:r>
          </w:p>
        </w:tc>
      </w:tr>
      <w:tr>
        <w:tc>
          <w:tcPr/>
          <w:p>
            <w:pPr>
              <w:pStyle w:val="Compact"/>
            </w:pPr>
            <w:r>
              <w:t xml:space="preserve">3 </w:t>
            </w:r>
            <w:r>
              <w:rPr>
                <w:rFonts w:hint="eastAsia"/>
              </w:rPr>
              <w:t xml:space="preserve">制度</w:t>
            </w:r>
          </w:p>
        </w:tc>
        <w:tc>
          <w:tcPr/>
          <w:p>
            <w:pPr>
              <w:pStyle w:val="Compact"/>
            </w:pPr>
            <w:r>
              <w:rPr>
                <w:rFonts w:hint="eastAsia"/>
              </w:rPr>
              <w:t xml:space="preserve">初稿</w:t>
            </w:r>
          </w:p>
        </w:tc>
        <w:tc>
          <w:tcPr/>
          <w:p>
            <w:pPr>
              <w:pStyle w:val="Compact"/>
            </w:pPr>
          </w:p>
        </w:tc>
      </w:tr>
      <w:tr>
        <w:tc>
          <w:tcPr/>
          <w:p>
            <w:pPr>
              <w:pStyle w:val="Compact"/>
            </w:pPr>
            <w:r>
              <w:t xml:space="preserve">4 データ</w:t>
            </w:r>
          </w:p>
        </w:tc>
        <w:tc>
          <w:tcPr/>
          <w:p>
            <w:pPr>
              <w:pStyle w:val="Compact"/>
            </w:pPr>
            <w:r>
              <w:rPr>
                <w:rFonts w:hint="eastAsia"/>
              </w:rPr>
              <w:t xml:space="preserve">初稿</w:t>
            </w:r>
          </w:p>
        </w:tc>
        <w:tc>
          <w:tcPr/>
          <w:p>
            <w:pPr>
              <w:pStyle w:val="Compact"/>
            </w:pPr>
          </w:p>
        </w:tc>
      </w:tr>
      <w:tr>
        <w:tc>
          <w:tcPr/>
          <w:p>
            <w:pPr>
              <w:pStyle w:val="Compact"/>
            </w:pPr>
            <w:r>
              <w:t xml:space="preserve">5 </w:t>
            </w:r>
            <w:r>
              <w:rPr>
                <w:rFonts w:hint="eastAsia"/>
              </w:rPr>
              <w:t xml:space="preserve">方法</w:t>
            </w:r>
          </w:p>
        </w:tc>
        <w:tc>
          <w:tcPr/>
          <w:p>
            <w:pPr>
              <w:pStyle w:val="Compact"/>
            </w:pPr>
            <w:r>
              <w:rPr>
                <w:rFonts w:hint="eastAsia"/>
              </w:rPr>
              <w:t xml:space="preserve">初稿＋更新</w:t>
            </w:r>
          </w:p>
        </w:tc>
        <w:tc>
          <w:tcPr/>
          <w:p>
            <w:pPr>
              <w:pStyle w:val="Compact"/>
            </w:pPr>
            <w:r>
              <w:rPr>
                <w:rFonts w:hint="eastAsia"/>
              </w:rPr>
              <w:t xml:space="preserve">水準係数付き価格過程（5.4.1）・容量価格のK依存（5.4.3）・空間分散の</w:t>
            </w:r>
            <w:r>
              <w:t xml:space="preserve"> λ </w:t>
            </w:r>
            <w:r>
              <w:rPr>
                <w:rFonts w:hint="eastAsia"/>
              </w:rPr>
              <w:t xml:space="preserve">定義（5.2.5）を反映</w:t>
            </w:r>
          </w:p>
        </w:tc>
      </w:tr>
      <w:tr>
        <w:tc>
          <w:tcPr/>
          <w:p>
            <w:pPr>
              <w:pStyle w:val="Compact"/>
            </w:pPr>
            <w:r>
              <w:t xml:space="preserve">6 </w:t>
            </w:r>
            <w:r>
              <w:rPr>
                <w:rFonts w:hint="eastAsia"/>
              </w:rPr>
              <w:t xml:space="preserve">実証I</w:t>
            </w:r>
          </w:p>
        </w:tc>
        <w:tc>
          <w:tcPr/>
          <w:p>
            <w:pPr>
              <w:pStyle w:val="Compact"/>
            </w:pPr>
            <w:r>
              <w:rPr>
                <w:rFonts w:hint="eastAsia"/>
              </w:rPr>
              <w:t xml:space="preserve">初稿＋更新</w:t>
            </w:r>
          </w:p>
        </w:tc>
        <w:tc>
          <w:tcPr/>
          <w:p>
            <w:pPr>
              <w:pStyle w:val="Compact"/>
            </w:pPr>
            <w:r>
              <w:rPr>
                <w:rFonts w:hint="eastAsia"/>
              </w:rPr>
              <w:t xml:space="preserve">季節区分変更を反映、6.4</w:t>
            </w:r>
            <w:r>
              <w:t xml:space="preserve"> </w:t>
            </w:r>
            <w:r>
              <w:rPr>
                <w:rFonts w:hint="eastAsia"/>
              </w:rPr>
              <w:t xml:space="preserve">空間分散シミュレーション（λ</w:t>
            </w:r>
            <w:r>
              <w:t xml:space="preserve"> </w:t>
            </w:r>
            <w:r>
              <w:rPr>
                <w:rFonts w:hint="eastAsia"/>
              </w:rPr>
              <w:t xml:space="preserve">を文献校正）・6.5.4</w:t>
            </w:r>
            <w:r>
              <w:t xml:space="preserve"> </w:t>
            </w:r>
            <w:r>
              <w:rPr>
                <w:rFonts w:hint="eastAsia"/>
              </w:rPr>
              <w:t xml:space="preserve">燃料危機期除外を追加</w:t>
            </w:r>
          </w:p>
        </w:tc>
      </w:tr>
      <w:tr>
        <w:tc>
          <w:tcPr/>
          <w:p>
            <w:pPr>
              <w:pStyle w:val="Compact"/>
            </w:pPr>
            <w:r>
              <w:t xml:space="preserve">7 </w:t>
            </w:r>
            <w:r>
              <w:rPr>
                <w:rFonts w:hint="eastAsia"/>
              </w:rPr>
              <w:t xml:space="preserve">実証II</w:t>
            </w:r>
          </w:p>
        </w:tc>
        <w:tc>
          <w:tcPr/>
          <w:p>
            <w:pPr>
              <w:pStyle w:val="Compact"/>
            </w:pPr>
            <w:r>
              <w:rPr>
                <w:rFonts w:hint="eastAsia"/>
              </w:rPr>
              <w:t xml:space="preserve">初稿</w:t>
            </w:r>
          </w:p>
        </w:tc>
        <w:tc>
          <w:tcPr/>
          <w:p>
            <w:pPr>
              <w:pStyle w:val="Compact"/>
            </w:pPr>
          </w:p>
        </w:tc>
      </w:tr>
      <w:tr>
        <w:tc>
          <w:tcPr/>
          <w:p>
            <w:pPr>
              <w:pStyle w:val="Compact"/>
            </w:pPr>
            <w:r>
              <w:t xml:space="preserve">8 </w:t>
            </w:r>
            <w:r>
              <w:rPr>
                <w:rFonts w:hint="eastAsia"/>
              </w:rPr>
              <w:t xml:space="preserve">均衡</w:t>
            </w:r>
          </w:p>
        </w:tc>
        <w:tc>
          <w:tcPr/>
          <w:p>
            <w:pPr>
              <w:pStyle w:val="Compact"/>
            </w:pPr>
            <w:r>
              <w:rPr>
                <w:rFonts w:hint="eastAsia"/>
              </w:rPr>
              <w:t xml:space="preserve">初稿＋更新</w:t>
            </w:r>
          </w:p>
        </w:tc>
        <w:tc>
          <w:tcPr/>
          <w:p>
            <w:pPr>
              <w:pStyle w:val="Compact"/>
            </w:pPr>
            <w:r>
              <w:t xml:space="preserve">8.1 </w:t>
            </w:r>
            <w:r>
              <w:rPr>
                <w:rFonts w:hint="eastAsia"/>
              </w:rPr>
              <w:t xml:space="preserve">水準係数付き価格過程の再現・θ、8.4</w:t>
            </w:r>
            <w:r>
              <w:t xml:space="preserve"> </w:t>
            </w:r>
            <w:r>
              <w:rPr>
                <w:rFonts w:hint="eastAsia"/>
              </w:rPr>
              <w:t xml:space="preserve">水準感応度、8.5</w:t>
            </w:r>
            <w:r>
              <w:t xml:space="preserve"> </w:t>
            </w:r>
            <w:r>
              <w:rPr>
                <w:rFonts w:hint="eastAsia"/>
              </w:rPr>
              <w:t xml:space="preserve">2次元の感応度面・P_cap(K)・EPRX</w:t>
            </w:r>
            <w:r>
              <w:t xml:space="preserve"> </w:t>
            </w:r>
            <w:r>
              <w:rPr>
                <w:rFonts w:hint="eastAsia"/>
              </w:rPr>
              <w:t xml:space="preserve">上限を追加。表8.1・8.2</w:t>
            </w:r>
            <w:r>
              <w:t xml:space="preserve"> </w:t>
            </w:r>
            <w:r>
              <w:rPr>
                <w:rFonts w:hint="eastAsia"/>
              </w:rPr>
              <w:t xml:space="preserve">を復元</w:t>
            </w:r>
          </w:p>
        </w:tc>
      </w:tr>
      <w:tr>
        <w:tc>
          <w:tcPr/>
          <w:p>
            <w:pPr>
              <w:pStyle w:val="Compact"/>
            </w:pPr>
            <w:r>
              <w:t xml:space="preserve">9 </w:t>
            </w:r>
            <w:r>
              <w:rPr>
                <w:rFonts w:hint="eastAsia"/>
              </w:rPr>
              <w:t xml:space="preserve">乖離</w:t>
            </w:r>
          </w:p>
        </w:tc>
        <w:tc>
          <w:tcPr/>
          <w:p>
            <w:pPr>
              <w:pStyle w:val="Compact"/>
            </w:pPr>
            <w:r>
              <w:rPr>
                <w:rFonts w:hint="eastAsia"/>
              </w:rPr>
              <w:t xml:space="preserve">骨子＋部分</w:t>
            </w:r>
          </w:p>
        </w:tc>
        <w:tc>
          <w:tcPr/>
          <w:p>
            <w:pPr>
              <w:pStyle w:val="Compact"/>
            </w:pPr>
            <w:r>
              <w:t xml:space="preserve">9.3.2 </w:t>
            </w:r>
            <w:r>
              <w:rPr>
                <w:rFonts w:hint="eastAsia"/>
              </w:rPr>
              <w:t xml:space="preserve">回避可能率・9.4</w:t>
            </w:r>
            <w:r>
              <w:t xml:space="preserve"> </w:t>
            </w:r>
            <w:r>
              <w:rPr>
                <w:rFonts w:hint="eastAsia"/>
              </w:rPr>
              <w:t xml:space="preserve">損益分岐面を追加。(b)</w:t>
            </w:r>
            <w:r>
              <w:t xml:space="preserve"> は LTDA </w:t>
            </w:r>
            <w:r>
              <w:rPr>
                <w:rFonts w:hint="eastAsia"/>
              </w:rPr>
              <w:t xml:space="preserve">2025年度結果の取り込み後に更新、(c)</w:t>
            </w:r>
            <w:r>
              <w:t xml:space="preserve"> は SII </w:t>
            </w:r>
            <w:r>
              <w:rPr>
                <w:rFonts w:hint="eastAsia"/>
              </w:rPr>
              <w:t xml:space="preserve">資料待ち</w:t>
            </w:r>
          </w:p>
        </w:tc>
      </w:tr>
      <w:tr>
        <w:tc>
          <w:tcPr/>
          <w:p>
            <w:pPr>
              <w:pStyle w:val="Compact"/>
            </w:pPr>
            <w:r>
              <w:t xml:space="preserve">10 </w:t>
            </w:r>
            <w:r>
              <w:rPr>
                <w:rFonts w:hint="eastAsia"/>
              </w:rPr>
              <w:t xml:space="preserve">価格の下限</w:t>
            </w:r>
          </w:p>
        </w:tc>
        <w:tc>
          <w:tcPr/>
          <w:p>
            <w:pPr>
              <w:pStyle w:val="Compact"/>
            </w:pPr>
            <w:r>
              <w:rPr>
                <w:rFonts w:hint="eastAsia"/>
              </w:rPr>
              <w:t xml:space="preserve">初稿（9/30</w:t>
            </w:r>
            <w:r>
              <w:t xml:space="preserve"> </w:t>
            </w:r>
            <w:r>
              <w:rPr>
                <w:rFonts w:hint="eastAsia"/>
              </w:rPr>
              <w:t xml:space="preserve">新設）</w:t>
            </w:r>
          </w:p>
        </w:tc>
        <w:tc>
          <w:tcPr/>
          <w:p>
            <w:pPr>
              <w:pStyle w:val="Compact"/>
            </w:pPr>
            <w:r>
              <w:rPr>
                <w:rFonts w:hint="eastAsia"/>
              </w:rPr>
              <w:t xml:space="preserve">下限価格の段差モデル・移転額・価格規制と数量規制の比較。De</w:t>
            </w:r>
            <w:r>
              <w:t xml:space="preserve"> </w:t>
            </w:r>
            <w:r>
              <w:rPr>
                <w:rFonts w:hint="eastAsia"/>
              </w:rPr>
              <w:t xml:space="preserve">Vos・Weitzman・エネ庁資料は原典未確認</w:t>
            </w:r>
          </w:p>
        </w:tc>
      </w:tr>
      <w:tr>
        <w:tc>
          <w:tcPr/>
          <w:p>
            <w:pPr>
              <w:pStyle w:val="Compact"/>
            </w:pPr>
            <w:r>
              <w:t xml:space="preserve">11 </w:t>
            </w:r>
            <w:r>
              <w:rPr>
                <w:rFonts w:hint="eastAsia"/>
              </w:rPr>
              <w:t xml:space="preserve">考察</w:t>
            </w:r>
          </w:p>
        </w:tc>
        <w:tc>
          <w:tcPr/>
          <w:p>
            <w:pPr>
              <w:pStyle w:val="Compact"/>
            </w:pPr>
            <w:r>
              <w:rPr>
                <w:rFonts w:hint="eastAsia"/>
              </w:rPr>
              <w:t xml:space="preserve">骨子＋更新</w:t>
            </w:r>
          </w:p>
        </w:tc>
        <w:tc>
          <w:tcPr/>
          <w:p>
            <w:pPr>
              <w:pStyle w:val="Compact"/>
            </w:pPr>
            <w:r>
              <w:rPr>
                <w:rFonts w:hint="eastAsia"/>
              </w:rPr>
              <w:t xml:space="preserve">6.4・第10章の含意を追記</w:t>
            </w:r>
          </w:p>
        </w:tc>
      </w:tr>
      <w:tr>
        <w:tc>
          <w:tcPr/>
          <w:p>
            <w:pPr>
              <w:pStyle w:val="Compact"/>
            </w:pPr>
            <w:r>
              <w:t xml:space="preserve">12 </w:t>
            </w:r>
            <w:r>
              <w:rPr>
                <w:rFonts w:hint="eastAsia"/>
              </w:rPr>
              <w:t xml:space="preserve">結論</w:t>
            </w:r>
          </w:p>
        </w:tc>
        <w:tc>
          <w:tcPr/>
          <w:p>
            <w:pPr>
              <w:pStyle w:val="Compact"/>
            </w:pPr>
            <w:r>
              <w:rPr>
                <w:rFonts w:hint="eastAsia"/>
              </w:rPr>
              <w:t xml:space="preserve">骨子＋更新</w:t>
            </w:r>
          </w:p>
        </w:tc>
        <w:tc>
          <w:tcPr/>
          <w:p>
            <w:pPr>
              <w:pStyle w:val="Compact"/>
            </w:pPr>
            <w:r>
              <w:rPr>
                <w:rFonts w:hint="eastAsia"/>
              </w:rPr>
              <w:t xml:space="preserve">発見(5)・政策含意・課題を追記</w:t>
            </w:r>
          </w:p>
        </w:tc>
      </w:tr>
    </w:tbl>
    <w:bookmarkEnd w:id="11"/>
    <w:bookmarkEnd w:id="12"/>
    <w:bookmarkStart w:id="24" w:name="第1章-序論"/>
    <w:p>
      <w:pPr>
        <w:pStyle w:val="Heading1"/>
      </w:pPr>
      <w:r>
        <w:rPr>
          <w:rFonts w:hint="eastAsia"/>
        </w:rPr>
        <w:t xml:space="preserve">第1章</w:t>
      </w:r>
      <w:r>
        <w:t xml:space="preserve"> </w:t>
      </w:r>
      <w:r>
        <w:rPr>
          <w:rFonts w:hint="eastAsia"/>
        </w:rPr>
        <w:t xml:space="preserve">序論</w:t>
      </w:r>
    </w:p>
    <w:bookmarkStart w:id="16" w:name="研究のきっかけと成り立ち"/>
    <w:p>
      <w:pPr>
        <w:pStyle w:val="Heading2"/>
      </w:pPr>
      <w:r>
        <w:t xml:space="preserve">1.1 </w:t>
      </w:r>
      <w:r>
        <w:rPr>
          <w:rFonts w:hint="eastAsia"/>
        </w:rPr>
        <w:t xml:space="preserve">研究のきっかけと成り立ち</w:t>
      </w:r>
    </w:p>
    <w:bookmarkStart w:id="13" w:name="きっかけ実務で直面した価値の測定問題"/>
    <w:p>
      <w:pPr>
        <w:pStyle w:val="Heading3"/>
      </w:pPr>
      <w:r>
        <w:t xml:space="preserve">1.1.1 </w:t>
      </w:r>
      <w:r>
        <w:rPr>
          <w:rFonts w:hint="eastAsia"/>
        </w:rPr>
        <w:t xml:space="preserve">きっかけ：実務で直面した「価値の測定」問題</w:t>
      </w:r>
    </w:p>
    <w:p>
      <w:pPr>
        <w:pStyle w:val="FirstParagraph"/>
      </w:pPr>
      <w:r>
        <w:rPr>
          <w:rFonts w:hint="eastAsia"/>
        </w:rPr>
        <w:t xml:space="preserve">本研究の出発点は、筆者がプライベート・エクイティ・ファンドの投資担当として太陽光発電および蓄電池のEPC（設計・調達・建設）事業への投資を検討した経験にある。2025年から2026年にかけて、系統用蓄電池は「来年から爆発的に増える」と語られる市場の熱気の中にあった。実際、系統用蓄電池の契約申込量は全国で約620万kW（2024年9月末）から約2,869万kW（2025年12月）へと1年余りで4倍以上に増え、接続検討申込は1億7,000万kWを超えた（第3章）。</w:t>
      </w:r>
    </w:p>
    <w:p>
      <w:pPr>
        <w:pStyle w:val="BodyText"/>
      </w:pPr>
      <w:r>
        <w:rPr>
          <w:rFonts w:hint="eastAsia"/>
        </w:rPr>
        <w:t xml:space="preserve">しかし投資案件の収益評価に取り組むと、ある違和感が残った。蓄電池の主要な収益源とされる卸電力市場（JEPXスポット市場）での裁定収益を、公表されている価格実績から計算すると、資本費を回収するには明らかに薄い。にもかかわらず、事業者は参入を続け、資金は集まり、パイプラインは膨らみ続けている。「市場は何を織り込んでいるのか」——この問いは、投資判断の実務にとって切実であると同時に、電力市場の均衡という経済学の問題でもあった。</w:t>
      </w:r>
    </w:p>
    <w:bookmarkEnd w:id="13"/>
    <w:bookmarkStart w:id="14" w:name="成り立ち九州太陽光から北海道風力へ"/>
    <w:p>
      <w:pPr>
        <w:pStyle w:val="Heading3"/>
      </w:pPr>
      <w:r>
        <w:t xml:space="preserve">1.1.2 </w:t>
      </w:r>
      <w:r>
        <w:rPr>
          <w:rFonts w:hint="eastAsia"/>
        </w:rPr>
        <w:t xml:space="preserve">成り立ち：九州・太陽光から北海道・風力へ</w:t>
      </w:r>
    </w:p>
    <w:p>
      <w:pPr>
        <w:pStyle w:val="FirstParagraph"/>
      </w:pPr>
      <w:r>
        <w:rPr>
          <w:rFonts w:hint="eastAsia"/>
        </w:rPr>
        <w:t xml:space="preserve">研究は当初、JEPXスポット市場における系統用蓄電池の「オプション価値」を算定することを目的として始まった。JEPXの前日スポット市場は、前日10時の一括約定によって翌日48コマ（30分単位）の価格が同時に決まるという、逐次的な意思決定を前提とする標準的なリアルオプション評価の枠組みには馴染みにくい情報構造を持つ。この構造の下で蓄電池の価値をどう定義し測定するかが最初の論点であった。</w:t>
      </w:r>
    </w:p>
    <w:p>
      <w:pPr>
        <w:pStyle w:val="BodyText"/>
      </w:pPr>
      <w:r>
        <w:rPr>
          <w:rFonts w:hint="eastAsia"/>
        </w:rPr>
        <w:t xml:space="preserve">予備的な実証は、太陽光発電の浸透が最も進んだ九州エリアを対象に、2016年度から2026年度上期までの10年半の実績価格を用いて行った。完全予見の下での4時間蓄電池の年間裁定価値は約1万円/kW-年にとどまり、資本費（約2〜3万円/kW-年）に届かないこと、そして太陽光が増え続けているにもかかわらず0.01円/kWhの下限価格に張り付くコマ数と日内スプレッドが2023年度をピークに減少に転じていることが観察された。「再エネが増えれば蓄電池の裁定機会は増える」という素朴な予想は、太陽光の先進地域ですでに反転していたのである。</w:t>
      </w:r>
    </w:p>
    <w:p>
      <w:pPr>
        <w:pStyle w:val="BodyText"/>
      </w:pPr>
      <w:r>
        <w:rPr>
          <w:rFonts w:hint="eastAsia"/>
        </w:rPr>
        <w:t xml:space="preserve">この観察を受けて、研究の対象を北海道エリアに転換した。北海道は風力導入量が全国最大（2024年末で約130万kW、直近2年で倍増）で、風力の電力量シェアが実測で10%を超え、洋上風力の促進区域が5海域控える「風力主導市場」である。太陽光と風力は変動の性質が根本的に異なるため、太陽光で得られた知見がそのまま風力主導市場に当てはまる保証はない。加えて北海道は、本州との連系線（北本連系線）が細く、系統用蓄電池の契約申込量がエリア最大需要の約4割に達する（全国1位）という、蓄電池と再エネと連系線制約が最も鋭く交錯する市場でもある。</w:t>
      </w:r>
    </w:p>
    <w:bookmarkEnd w:id="14"/>
    <w:bookmarkStart w:id="15" w:name="観察された謎"/>
    <w:p>
      <w:pPr>
        <w:pStyle w:val="Heading3"/>
      </w:pPr>
      <w:r>
        <w:t xml:space="preserve">1.1.3 </w:t>
      </w:r>
      <w:r>
        <w:rPr>
          <w:rFonts w:hint="eastAsia"/>
        </w:rPr>
        <w:t xml:space="preserve">観察された謎</w:t>
      </w:r>
    </w:p>
    <w:p>
      <w:pPr>
        <w:pStyle w:val="FirstParagraph"/>
      </w:pPr>
      <w:r>
        <w:rPr>
          <w:rFonts w:hint="eastAsia"/>
        </w:rPr>
        <w:t xml:space="preserve">北海道エリアの系統接続済み蓄電池は2026年5月末時点で約20万kWである。一方、契約申込は約234万kW、接続検討は約823万kWに達する。本研究の分析（第8章）が示すように、現行の資本費と価格構造の下で純粋に市場収益だけで参入が正当化される蓄電池容量はゼロに近い。それでも参入は続いている。この「市場収益では説明できない参入」こそが、本研究が最終的に解き明かそうとする謎である。</w:t>
      </w:r>
    </w:p>
    <w:bookmarkEnd w:id="15"/>
    <w:bookmarkEnd w:id="16"/>
    <w:bookmarkStart w:id="17" w:name="研究の目的"/>
    <w:p>
      <w:pPr>
        <w:pStyle w:val="Heading2"/>
      </w:pPr>
      <w:r>
        <w:t xml:space="preserve">1.2 </w:t>
      </w:r>
      <w:r>
        <w:rPr>
          <w:rFonts w:hint="eastAsia"/>
        </w:rPr>
        <w:t xml:space="preserve">研究の目的</w:t>
      </w:r>
    </w:p>
    <w:p>
      <w:pPr>
        <w:pStyle w:val="FirstParagraph"/>
      </w:pPr>
      <w:r>
        <w:rPr>
          <w:rFonts w:hint="eastAsia"/>
        </w:rPr>
        <w:t xml:space="preserve">本研究の主たるリサーチクエスチョンは次のとおりである。</w:t>
      </w:r>
    </w:p>
    <w:p>
      <w:pPr>
        <w:pStyle w:val="BlockText"/>
      </w:pPr>
      <w:r>
        <w:rPr>
          <w:rFonts w:hint="eastAsia"/>
          <w:b/>
          <w:bCs/>
        </w:rPr>
        <w:t xml:space="preserve">主RQ</w:t>
      </w:r>
      <w:r>
        <w:rPr>
          <w:rFonts w:hint="eastAsia"/>
        </w:rPr>
        <w:t xml:space="preserve">：北海道の市場構造と制度を所与としたとき、系統用蓄電池の均衡導入量</w:t>
      </w:r>
      <w:r>
        <w:t xml:space="preserve"> </w:t>
      </w:r>
      <m:oMath>
        <m:sSup>
          <m:e>
            <m:r>
              <m:t>K</m:t>
            </m:r>
          </m:e>
          <m:sup>
            <m:r>
              <m:t>*</m:t>
            </m:r>
          </m:sup>
        </m:sSup>
      </m:oMath>
      <w:r>
        <w:t xml:space="preserve"> </w:t>
      </w:r>
      <w:r>
        <w:rPr>
          <w:rFonts w:hint="eastAsia"/>
        </w:rPr>
        <w:t xml:space="preserve">はどこにあり、現実の参入との乖離は何によって（いくらで）説明されるのか。</w:t>
      </w:r>
    </w:p>
    <w:p>
      <w:pPr>
        <w:pStyle w:val="FirstParagraph"/>
      </w:pPr>
      <w:r>
        <w:rPr>
          <w:rFonts w:hint="eastAsia"/>
        </w:rPr>
        <w:t xml:space="preserve">これを次の5つのサブRQに分解する。</w:t>
      </w:r>
    </w:p>
    <w:p>
      <w:pPr>
        <w:pStyle w:val="Compact"/>
        <w:numPr>
          <w:ilvl w:val="0"/>
          <w:numId w:val="1002"/>
        </w:numPr>
      </w:pPr>
      <w:r>
        <w:rPr>
          <w:rFonts w:hint="eastAsia"/>
          <w:b/>
          <w:bCs/>
        </w:rPr>
        <w:t xml:space="preserve">RQ1（価格形成）</w:t>
      </w:r>
      <w:r>
        <w:rPr>
          <w:rFonts w:hint="eastAsia"/>
        </w:rPr>
        <w:t xml:space="preserve">：風力の増加は卸価格の水準・日内形状・多日変動をどう変えるか。太陽光と何が違うか。</w:t>
      </w:r>
    </w:p>
    <w:p>
      <w:pPr>
        <w:pStyle w:val="Compact"/>
        <w:numPr>
          <w:ilvl w:val="0"/>
          <w:numId w:val="1002"/>
        </w:numPr>
      </w:pPr>
      <w:r>
        <w:rPr>
          <w:rFonts w:hint="eastAsia"/>
          <w:b/>
          <w:bCs/>
        </w:rPr>
        <w:t xml:space="preserve">RQ2（系統用蓄電池の価値）</w:t>
      </w:r>
      <w:r>
        <w:rPr>
          <w:rFonts w:hint="eastAsia"/>
        </w:rPr>
        <w:t xml:space="preserve">：風力主導市場において蓄電池のスポット裁定価値はどう決まり、フリートの拡大とともにどう減衰するか。</w:t>
      </w:r>
    </w:p>
    <w:p>
      <w:pPr>
        <w:pStyle w:val="Compact"/>
        <w:numPr>
          <w:ilvl w:val="0"/>
          <w:numId w:val="1002"/>
        </w:numPr>
      </w:pPr>
      <w:r>
        <w:rPr>
          <w:rFonts w:hint="eastAsia"/>
          <w:b/>
          <w:bCs/>
        </w:rPr>
        <w:t xml:space="preserve">RQ3（均衡と均衡からの乖離）</w:t>
      </w:r>
      <w:r>
        <w:rPr>
          <w:rFonts w:hint="eastAsia"/>
        </w:rPr>
        <w:t xml:space="preserve">：スポット市場・容量市場・長期脱炭素電源オークション（LTDA）を通じた自由参入均衡</w:t>
      </w:r>
      <w:r>
        <w:t xml:space="preserve"> </w:t>
      </w:r>
      <m:oMath>
        <m:sSup>
          <m:e>
            <m:r>
              <m:t>K</m:t>
            </m:r>
          </m:e>
          <m:sup>
            <m:r>
              <m:t>*</m:t>
            </m:r>
          </m:sup>
        </m:sSup>
      </m:oMath>
      <w:r>
        <w:t xml:space="preserve"> </w:t>
      </w:r>
      <w:r>
        <w:t xml:space="preserve">はどこか。マーチャントの</w:t>
      </w:r>
      <w:r>
        <w:t xml:space="preserve"> </w:t>
      </w:r>
      <m:oMath>
        <m:sSup>
          <m:e>
            <m:r>
              <m:t>K</m:t>
            </m:r>
          </m:e>
          <m:sup>
            <m:r>
              <m:t>*</m:t>
            </m:r>
          </m:sup>
        </m:sSup>
      </m:oMath>
      <w:r>
        <w:t xml:space="preserve"> </w:t>
      </w:r>
      <w:r>
        <w:rPr>
          <w:rFonts w:hint="eastAsia"/>
        </w:rPr>
        <w:t xml:space="preserve">と実際のパイプラインの乖離はいくらで、何に帰属するか。</w:t>
      </w:r>
    </w:p>
    <w:p>
      <w:pPr>
        <w:pStyle w:val="Compact"/>
        <w:numPr>
          <w:ilvl w:val="0"/>
          <w:numId w:val="1002"/>
        </w:numPr>
      </w:pPr>
      <w:r>
        <w:rPr>
          <w:rFonts w:hint="eastAsia"/>
          <w:b/>
          <w:bCs/>
        </w:rPr>
        <w:t xml:space="preserve">RQ6（価格の下限）</w:t>
      </w:r>
      <w:r>
        <w:rPr>
          <w:rFonts w:hint="eastAsia"/>
        </w:rPr>
        <w:t xml:space="preserve">：スポット価格の下限（0.01円/kWh）は蓄電池の価値と均衡容量をどう歪め、負価格の導入は裁定価値・均衡容量・再エネ側の収入を何ほど変えるか。</w:t>
      </w:r>
    </w:p>
    <w:p>
      <w:pPr>
        <w:pStyle w:val="Compact"/>
        <w:numPr>
          <w:ilvl w:val="0"/>
          <w:numId w:val="1002"/>
        </w:numPr>
      </w:pPr>
      <w:r>
        <w:rPr>
          <w:rFonts w:hint="eastAsia"/>
          <w:b/>
          <w:bCs/>
        </w:rPr>
        <w:t xml:space="preserve">RQ4（併設蓄電池の価値）</w:t>
      </w:r>
      <w:r>
        <w:rPr>
          <w:rFonts w:hint="eastAsia"/>
        </w:rPr>
        <w:t xml:space="preserve">：エリア価格に映らないローカル系統制約の下で、併設蓄電池の固有価値はどれだけあり、どの条件で内生的な参入が立つか。</w:t>
      </w:r>
    </w:p>
    <w:p>
      <w:pPr>
        <w:pStyle w:val="Compact"/>
        <w:numPr>
          <w:ilvl w:val="0"/>
          <w:numId w:val="1002"/>
        </w:numPr>
      </w:pPr>
      <w:r>
        <w:rPr>
          <w:rFonts w:hint="eastAsia"/>
          <w:b/>
          <w:bCs/>
        </w:rPr>
        <w:t xml:space="preserve">RQ5（反転条件）</w:t>
      </w:r>
      <w:r>
        <w:rPr>
          <w:rFonts w:hint="eastAsia"/>
        </w:rPr>
        <w:t xml:space="preserve">：資本費・容量市場価格・スプレッド水準のどのような組み合わせで</w:t>
      </w:r>
      <w:r>
        <w:t xml:space="preserve"> </w:t>
      </w:r>
      <m:oMath>
        <m:sSup>
          <m:e>
            <m:r>
              <m:t>K</m:t>
            </m:r>
          </m:e>
          <m:sup>
            <m:r>
              <m:t>*</m:t>
            </m:r>
          </m:sup>
        </m:sSup>
        <m:r>
          <m:t>&gt;</m:t>
        </m:r>
        <m:r>
          <m:t>0</m:t>
        </m:r>
      </m:oMath>
      <w:r>
        <w:t xml:space="preserve"> </w:t>
      </w:r>
      <w:r>
        <w:rPr>
          <w:rFonts w:hint="eastAsia"/>
        </w:rPr>
        <w:t xml:space="preserve">に転じるか。</w:t>
      </w:r>
    </w:p>
    <w:bookmarkEnd w:id="17"/>
    <w:bookmarkStart w:id="21" w:name="研究の意義"/>
    <w:p>
      <w:pPr>
        <w:pStyle w:val="Heading2"/>
      </w:pPr>
      <w:r>
        <w:t xml:space="preserve">1.3 </w:t>
      </w:r>
      <w:r>
        <w:rPr>
          <w:rFonts w:hint="eastAsia"/>
        </w:rPr>
        <w:t xml:space="preserve">研究の意義</w:t>
      </w:r>
    </w:p>
    <w:bookmarkStart w:id="18" w:name="学術的意義"/>
    <w:p>
      <w:pPr>
        <w:pStyle w:val="Heading3"/>
      </w:pPr>
      <w:r>
        <w:rPr>
          <w:rFonts w:hint="eastAsia"/>
        </w:rPr>
        <w:t xml:space="preserve">学術的意義</w:t>
      </w:r>
    </w:p>
    <w:p>
      <w:pPr>
        <w:pStyle w:val="FirstParagraph"/>
      </w:pPr>
      <w:r>
        <w:rPr>
          <w:rFonts w:hint="eastAsia"/>
        </w:rPr>
        <w:t xml:space="preserve">第一に、「再エネの増加は価格ボラティリティを高める」という通説を、電源種（太陽光・風力）と時間スケール（レベル・日内形状・多日変動）で分解して検証する。先行研究は再エネと価格変動性の関係について市場や電源種によって符号が異なることを報告しているが（Rintamäki</w:t>
      </w:r>
      <w:r>
        <w:t xml:space="preserve"> et al. 2017; Schöniger and Morawetz </w:t>
      </w:r>
      <w:r>
        <w:rPr>
          <w:rFonts w:hint="eastAsia"/>
        </w:rPr>
        <w:t xml:space="preserve">2022）、風力主導市場でこれを日本のデータで体系的に扱った研究はない。国内の最類似研究（Fuke</w:t>
      </w:r>
      <w:r>
        <w:t xml:space="preserve"> and Ohashi </w:t>
      </w:r>
      <w:r>
        <w:rPr>
          <w:rFonts w:hint="eastAsia"/>
        </w:rPr>
        <w:t xml:space="preserve">2025）は日次集計に基づき、著者自身が時間値による日内変動の分析を今後の課題としており、海外でも日次集計が再エネの効果を過小評価することが時間値パネルで示されている（Tselika</w:t>
      </w:r>
      <w:r>
        <w:t xml:space="preserve"> </w:t>
      </w:r>
      <w:r>
        <w:rPr>
          <w:rFonts w:hint="eastAsia"/>
        </w:rPr>
        <w:t xml:space="preserve">2022）。第二に、蓄電池投資を内生化した自由参入均衡の枠組み（Butters,</w:t>
      </w:r>
      <w:r>
        <w:t xml:space="preserve"> Dorsey and Gowrisankaran </w:t>
      </w:r>
      <w:r>
        <w:rPr>
          <w:rFonts w:hint="eastAsia"/>
        </w:rPr>
        <w:t xml:space="preserve">2025）を、その限界として明記された条件——出力制御、duration、連系線制約、下限価格、複数市場——が一次的に重要となる市場に適用する。第三に、「市場が正当化する容量」と「現実の参入」の乖離を均衡からの乖離として定義し、その内訳を分解するという問いを定式化する。</w:t>
      </w:r>
    </w:p>
    <w:bookmarkEnd w:id="18"/>
    <w:bookmarkStart w:id="19" w:name="実務的意義"/>
    <w:p>
      <w:pPr>
        <w:pStyle w:val="Heading3"/>
      </w:pPr>
      <w:r>
        <w:rPr>
          <w:rFonts w:hint="eastAsia"/>
        </w:rPr>
        <w:t xml:space="preserve">実務的意義</w:t>
      </w:r>
    </w:p>
    <w:p>
      <w:pPr>
        <w:pStyle w:val="FirstParagraph"/>
      </w:pPr>
      <w:r>
        <w:rPr>
          <w:rFonts w:hint="eastAsia"/>
        </w:rPr>
        <w:t xml:space="preserve">蓄電池投資の収益は、スポット裁定・容量市場・LTDA・需給調整市場・併設による抑制回避といった複数の源泉からなる。本研究は各源泉の大きさと、参入の進展に伴う減衰の速度を測定する枠組みを提供する。これは投資判断における収益スタック評価の基礎となる。</w:t>
      </w:r>
    </w:p>
    <w:bookmarkEnd w:id="19"/>
    <w:bookmarkStart w:id="20" w:name="政策的意義"/>
    <w:p>
      <w:pPr>
        <w:pStyle w:val="Heading3"/>
      </w:pPr>
      <w:r>
        <w:rPr>
          <w:rFonts w:hint="eastAsia"/>
        </w:rPr>
        <w:t xml:space="preserve">政策的意義</w:t>
      </w:r>
    </w:p>
    <w:p>
      <w:pPr>
        <w:pStyle w:val="FirstParagraph"/>
      </w:pPr>
      <w:r>
        <w:rPr>
          <w:rFonts w:hint="eastAsia"/>
        </w:rPr>
        <w:t xml:space="preserve">政府の導入見通し（2030年度に系統用蓄電池14.1〜23.8GWh）は接続申込の実現率外挿であり、市場均衡の概念に基づいていない。本研究は、導入目標や支援策が市場均衡からどれだけ乖離しているかを可視化し、市場外収入に依存する容量の規模を定量的に示す。</w:t>
      </w:r>
    </w:p>
    <w:bookmarkEnd w:id="20"/>
    <w:bookmarkEnd w:id="21"/>
    <w:bookmarkStart w:id="22" w:name="主張の限定"/>
    <w:p>
      <w:pPr>
        <w:pStyle w:val="Heading2"/>
      </w:pPr>
      <w:r>
        <w:t xml:space="preserve">1.4 </w:t>
      </w:r>
      <w:r>
        <w:rPr>
          <w:rFonts w:hint="eastAsia"/>
        </w:rPr>
        <w:t xml:space="preserve">主張の限定</w:t>
      </w:r>
    </w:p>
    <w:p>
      <w:pPr>
        <w:pStyle w:val="FirstParagraph"/>
      </w:pPr>
      <w:r>
        <w:rPr>
          <w:rFonts w:hint="eastAsia"/>
        </w:rPr>
        <w:t xml:space="preserve">本研究は「蓄電池が何GWまで増えることが必然である」という予測命題を立てない。均衡容量</w:t>
      </w:r>
      <w:r>
        <w:t xml:space="preserve"> </w:t>
      </w:r>
      <m:oMath>
        <m:sSup>
          <m:e>
            <m:r>
              <m:t>K</m:t>
            </m:r>
          </m:e>
          <m:sup>
            <m:r>
              <m:t>*</m:t>
            </m:r>
          </m:sup>
        </m:sSup>
      </m:oMath>
      <w:r>
        <w:t xml:space="preserve"> </w:t>
      </w:r>
      <w:r>
        <w:rPr>
          <w:rFonts w:hint="eastAsia"/>
        </w:rPr>
        <w:t xml:space="preserve">は「これ以上入ると新規参入が市場収益では正当化されなくなる水準」であって、実際に到達する水準ではない。主張はすべて「現行の市場制度（優先給電・0.01円下限・容量市場の需要曲線等）と公表済みの構造イベントを所与とすれば」という条件節の下に置く。また、本研究は私的均衡の実証命題に限定し、厚生分析は扱わない。</w:t>
      </w:r>
    </w:p>
    <w:p>
      <w:pPr>
        <w:pStyle w:val="BodyText"/>
      </w:pPr>
      <w:r>
        <w:rPr>
          <w:rFonts w:hint="eastAsia"/>
        </w:rPr>
        <w:t xml:space="preserve">反証条件を明示しておく。第一に、スプレッドが損益分岐水準を上回ったまま契約申込と着工が2年以上停止すれば、本研究の枠組みは棄却される。第二に、</w:t>
      </w:r>
      <m:oMath>
        <m:sSup>
          <m:e>
            <m:r>
              <m:t>K</m:t>
            </m:r>
          </m:e>
          <m:sup>
            <m:r>
              <m:t>*</m:t>
            </m:r>
          </m:sup>
        </m:sSup>
      </m:oMath>
      <w:r>
        <w:t xml:space="preserve"> </w:t>
      </w:r>
      <w:r>
        <w:rPr>
          <w:rFonts w:hint="eastAsia"/>
        </w:rPr>
        <w:t xml:space="preserve">の推計値を大きく下回る容量でスプレッドが恒常的に損益分岐を割れば、本研究は</w:t>
      </w:r>
      <w:r>
        <w:t xml:space="preserve"> </w:t>
      </w:r>
      <m:oMath>
        <m:sSup>
          <m:e>
            <m:r>
              <m:t>K</m:t>
            </m:r>
          </m:e>
          <m:sup>
            <m:r>
              <m:t>*</m:t>
            </m:r>
          </m:sup>
        </m:sSup>
      </m:oMath>
      <w:r>
        <w:t xml:space="preserve"> </w:t>
      </w:r>
      <w:r>
        <w:rPr>
          <w:rFonts w:hint="eastAsia"/>
        </w:rPr>
        <w:t xml:space="preserve">を過大推計している。</w:t>
      </w:r>
    </w:p>
    <w:p>
      <w:pPr>
        <w:pStyle w:val="BodyText"/>
      </w:pPr>
      <w:r>
        <w:rPr>
          <w:rFonts w:hint="eastAsia"/>
        </w:rPr>
        <w:t xml:space="preserve">分析の前提は2026年6月末のデータと、同年9月末時点の公表情報で固定する。以後に公表される泊3号機の再稼働時期、混雑管理システムの運開、第4回LTDAの結果等は、頑健性の追記としてのみ扱う。</w:t>
      </w:r>
    </w:p>
    <w:bookmarkEnd w:id="22"/>
    <w:bookmarkStart w:id="23" w:name="論文の構成"/>
    <w:p>
      <w:pPr>
        <w:pStyle w:val="Heading2"/>
      </w:pPr>
      <w:r>
        <w:t xml:space="preserve">1.5 </w:t>
      </w:r>
      <w:r>
        <w:rPr>
          <w:rFonts w:hint="eastAsia"/>
        </w:rPr>
        <w:t xml:space="preserve">論文の構成</w:t>
      </w:r>
    </w:p>
    <w:p>
      <w:pPr>
        <w:pStyle w:val="FirstParagraph"/>
      </w:pPr>
      <w:r>
        <w:rPr>
          <w:rFonts w:hint="eastAsia"/>
        </w:rPr>
        <w:t xml:space="preserve">第2章で国内外の研究状況と動向を整理し、本研究の位置づけを示す。第3章で分析の前提となる制度的背景（JEPX・出力制御・容量市場・LTDA・需給調整市場・北海道の系統）を記述する。第4章でデータを、第5章で分析方法を説明する。第6章はRQ1に対応する実証結果、第7章はRQ2の前半（蓄電池のスポット価値の測定）、第8章は価格過程モデルとフリート内生化による均衡分析（RQ2後半・RQ3）、第9章は均衡からの乖離の分解（RQ3・RQ4・RQ5）、第10章は価格の下限と負価格の反実仮想（RQ6）である。第11章で結果を統合的に考察し、第12章で結論と課題を述べる。</w:t>
      </w:r>
    </w:p>
    <w:bookmarkEnd w:id="23"/>
    <w:bookmarkEnd w:id="24"/>
    <w:bookmarkStart w:id="36" w:name="第2章-国内外の研究状況と研究の動向"/>
    <w:p>
      <w:pPr>
        <w:pStyle w:val="Heading1"/>
      </w:pPr>
      <w:r>
        <w:rPr>
          <w:rFonts w:hint="eastAsia"/>
        </w:rPr>
        <w:t xml:space="preserve">第2章</w:t>
      </w:r>
      <w:r>
        <w:t xml:space="preserve"> </w:t>
      </w:r>
      <w:r>
        <w:rPr>
          <w:rFonts w:hint="eastAsia"/>
        </w:rPr>
        <w:t xml:space="preserve">国内外の研究状況と研究の動向</w:t>
      </w:r>
    </w:p>
    <w:p>
      <w:pPr>
        <w:pStyle w:val="FirstParagraph"/>
      </w:pPr>
      <w:r>
        <w:rPr>
          <w:rFonts w:hint="eastAsia"/>
        </w:rPr>
        <w:t xml:space="preserve">本章は、本研究に関係する文献を「再エネと電力価格」「蓄電池の経済学と均衡」「日本・JEPXの実証」「風力の時間・空間構造」「手法」の順に整理し、研究の動向と本研究の位置づけを示す。対象はコア文献41本（DOI検証済み、原典を精読）と、2026年9月の追加調査で見つけた編入候補である。整理の物差しは第5章で用いる「価格ボラティリティの3分解」——水準、日内形状、日間（多日）変動——であり、先行研究の結論が割れる主因がこの物差しの違いにあることを本章を通じて示す。</w:t>
      </w:r>
    </w:p>
    <w:bookmarkStart w:id="27" w:name="海外の研究状況①再エネと電力価格"/>
    <w:p>
      <w:pPr>
        <w:pStyle w:val="Heading2"/>
      </w:pPr>
      <w:r>
        <w:t xml:space="preserve">2.1 </w:t>
      </w:r>
      <w:r>
        <w:rPr>
          <w:rFonts w:hint="eastAsia"/>
        </w:rPr>
        <w:t xml:space="preserve">海外の研究状況①：再エネと電力価格</w:t>
      </w:r>
    </w:p>
    <w:bookmarkStart w:id="25" w:name="メリットオーダー効果価格水準"/>
    <w:p>
      <w:pPr>
        <w:pStyle w:val="Heading3"/>
      </w:pPr>
      <w:r>
        <w:t xml:space="preserve">2.1.1 </w:t>
      </w:r>
      <w:r>
        <w:rPr>
          <w:rFonts w:hint="eastAsia"/>
        </w:rPr>
        <w:t xml:space="preserve">メリットオーダー効果（価格水準）</w:t>
      </w:r>
    </w:p>
    <w:p>
      <w:pPr>
        <w:pStyle w:val="FirstParagraph"/>
      </w:pPr>
      <w:r>
        <w:rPr>
          <w:rFonts w:hint="eastAsia"/>
        </w:rPr>
        <w:t xml:space="preserve">限界費用がほぼゼロの再エネが供給曲線の左端に入り、火力を押し出して卸価格を下げる効果は、Sensfuß,</w:t>
      </w:r>
      <w:r>
        <w:t xml:space="preserve"> Ragwitz and Genoese (2008) </w:t>
      </w:r>
      <w:r>
        <w:rPr>
          <w:rFonts w:hint="eastAsia"/>
        </w:rPr>
        <w:t xml:space="preserve">がドイツで定量化して以来「メリットオーダー効果（MOE）」として確立している。Woo</w:t>
      </w:r>
      <w:r>
        <w:t xml:space="preserve"> et al. (2011) </w:t>
      </w:r>
      <w:r>
        <w:rPr>
          <w:rFonts w:hint="eastAsia"/>
        </w:rPr>
        <w:t xml:space="preserve">はテキサスERCOTの15分価格で、風力100MWhの増加がゾーン別に1.3〜4.4ドル/MWhの価格低下をもたらし、風力の立地するWestゾーンで効果が最大であることを示した。Ketterer</w:t>
      </w:r>
      <w:r>
        <w:t xml:space="preserve"> (2014) </w:t>
      </w:r>
      <w:r>
        <w:rPr>
          <w:rFonts w:hint="eastAsia"/>
        </w:rPr>
        <w:t xml:space="preserve">はドイツの日次価格のAR-GARCHモデルで、風力シェア1ポイントの上昇が価格を1.46%引き下げること、そしてMOEの大きさが時間とともに縮小することを報告した。Paraschiv,</w:t>
      </w:r>
      <w:r>
        <w:t xml:space="preserve"> Erni and Pietsch (2014) </w:t>
      </w:r>
      <w:r>
        <w:rPr>
          <w:rFonts w:hint="eastAsia"/>
        </w:rPr>
        <w:t xml:space="preserve">は時刻別の時変係数モデルで、太陽光の効果が正午に集中し、風力の効果が夜間から夕方に現れることを示し、電源種ごとに「効く時刻」が異なることを明らかにした。MOEの存在は市場を問わず頑健であり、効果の大きさは市場構造と手法に依存する（Würzburg,</w:t>
      </w:r>
      <w:r>
        <w:t xml:space="preserve"> Labandeira and Linares </w:t>
      </w:r>
      <w:r>
        <w:rPr>
          <w:rFonts w:hint="eastAsia"/>
        </w:rPr>
        <w:t xml:space="preserve">2013）。</w:t>
      </w:r>
    </w:p>
    <w:p>
      <w:pPr>
        <w:pStyle w:val="BodyText"/>
      </w:pPr>
      <w:r>
        <w:rPr>
          <w:rFonts w:hint="eastAsia"/>
        </w:rPr>
        <w:t xml:space="preserve">MOEを再エネ側から見た指標が「市場価値（value</w:t>
      </w:r>
      <w:r>
        <w:t xml:space="preserve"> </w:t>
      </w:r>
      <w:r>
        <w:rPr>
          <w:rFonts w:hint="eastAsia"/>
        </w:rPr>
        <w:t xml:space="preserve">factor）」である。Hirth</w:t>
      </w:r>
      <w:r>
        <w:t xml:space="preserve"> (2013) </w:t>
      </w:r>
      <w:r>
        <w:rPr>
          <w:rFonts w:hint="eastAsia"/>
        </w:rPr>
        <w:t xml:space="preserve">は、風力の市場価値が導入シェア0%から30%へ進む間に平均価格の110%から50〜80%へ低下し、太陽光は15%で同水準まで落ちることを示した。太陽光の価値低下が速いのは出力が正午に集中するためであり、本研究にとって重要なのは、彼が揚水（6〜8時間で満水になる短時間貯蔵）を2倍にしても風力の市場価値がほとんど改善しないと報告した点である。彼の説明は「風力の変動は主として日内より長い時間スケールで起こる」というもので、これは第6章の帯域分解の結果を先取りしている。</w:t>
      </w:r>
    </w:p>
    <w:bookmarkEnd w:id="25"/>
    <w:bookmarkStart w:id="26" w:name="変動性への影響定義電源種市場で符号が異なる"/>
    <w:p>
      <w:pPr>
        <w:pStyle w:val="Heading3"/>
      </w:pPr>
      <w:r>
        <w:t xml:space="preserve">2.1.2 </w:t>
      </w:r>
      <w:r>
        <w:rPr>
          <w:rFonts w:hint="eastAsia"/>
        </w:rPr>
        <w:t xml:space="preserve">変動性への影響：定義・電源種・市場で符号が異なる</w:t>
      </w:r>
    </w:p>
    <w:p>
      <w:pPr>
        <w:pStyle w:val="FirstParagraph"/>
      </w:pPr>
      <w:r>
        <w:rPr>
          <w:rFonts w:hint="eastAsia"/>
        </w:rPr>
        <w:t xml:space="preserve">価格の変動性への影響については一致した結論がないが、原典を精読すると、不一致の相当部分は「変動性」の定義の違いに帰着する。</w:t>
      </w:r>
    </w:p>
    <w:p>
      <w:pPr>
        <w:pStyle w:val="BodyText"/>
      </w:pPr>
      <w:r>
        <w:rPr>
          <w:rFonts w:hint="eastAsia"/>
        </w:rPr>
        <w:t xml:space="preserve">第一に、日次系列の条件付き分散（日間の変動性）を扱う研究群がある。Ketterer</w:t>
      </w:r>
      <w:r>
        <w:t xml:space="preserve"> (2014) </w:t>
      </w:r>
      <w:r>
        <w:rPr>
          <w:rFonts w:hint="eastAsia"/>
        </w:rPr>
        <w:t xml:space="preserve">はGARCHの分散方程式で風力の係数が正（+0.002）であることから「風力は変動性を高める」と結論し、Kyritsis,</w:t>
      </w:r>
      <w:r>
        <w:t xml:space="preserve"> Andersson and Serletis (2017) </w:t>
      </w:r>
      <w:r>
        <w:rPr>
          <w:rFonts w:hint="eastAsia"/>
        </w:rPr>
        <w:t xml:space="preserve">はドイツ2010〜15年のGARCH-Mで太陽光の分散係数が負（−1.48×10⁻⁵）、風力が正（+1.39×10⁻⁵、オフピークで+3.31×10⁻⁵）であることから「太陽光は安定化、風力は不安定化」と要約した。Woo</w:t>
      </w:r>
      <w:r>
        <w:t xml:space="preserve"> et al. (2011) </w:t>
      </w:r>
      <w:r>
        <w:rPr>
          <w:rFonts w:hint="eastAsia"/>
        </w:rPr>
        <w:t xml:space="preserve">の「風力は分散を高める」も、15分価格の無条件分散に対する設備10%増の投影であり、風力の立地しないゾーンでは+0.07〜0.57%と極小で、Westゾーンでのみ+5.4%である。Mwampashi</w:t>
      </w:r>
      <w:r>
        <w:t xml:space="preserve"> et al. (2021) </w:t>
      </w:r>
      <w:r>
        <w:rPr>
          <w:rFonts w:hint="eastAsia"/>
        </w:rPr>
        <w:t xml:space="preserve">は豪州NEMの日次eGARCHで、風力1GWhの増加が南豪州の変動性を+2%、タスマニアでは−3%動かし、浸透率50%付近まで変動性が低下してから反転すると報告した。これらはいずれも日次で集計した価格の日をまたぐ散らばりであり、日内の形状は測っていない。</w:t>
      </w:r>
    </w:p>
    <w:p>
      <w:pPr>
        <w:pStyle w:val="BodyText"/>
      </w:pPr>
      <w:r>
        <w:rPr>
          <w:rFonts w:hint="eastAsia"/>
        </w:rPr>
        <w:t xml:space="preserve">第二に、日内24時間の分散（日内形状）を扱う研究群がある。Wozabal,</w:t>
      </w:r>
      <w:r>
        <w:t xml:space="preserve"> Graf and Hirschmann (2016) </w:t>
      </w:r>
      <w:r>
        <w:rPr>
          <w:rFonts w:hint="eastAsia"/>
        </w:rPr>
        <w:t xml:space="preserve">はドイツの日次分散（24時間値の分散）を残余需要の関数として理論化し、逆S字の供給曲線から分散がU字を描くこと、そして同一導入量あたりの分散への効果が太陽光で風力の約12倍（−83対−7）であることを示した。Schöniger</w:t>
      </w:r>
      <w:r>
        <w:t xml:space="preserve"> and Morawetz (2022) </w:t>
      </w:r>
      <w:r>
        <w:rPr>
          <w:rFonts w:hint="eastAsia"/>
        </w:rPr>
        <w:t xml:space="preserve">は欧州9か国のパネルで同じ日次分散を用い、7か国でU字を確認し、最小分散は再エネシェア10〜40%にあること、太陽光の係数（32.55）が風力（9.69）より大きいこと、そして連系と柔軟電源の方が再エネの量や分散より変動性を規定することを示した。Rintamäki,</w:t>
      </w:r>
      <w:r>
        <w:t xml:space="preserve"> Siddiqui and Salo (2017) </w:t>
      </w:r>
      <w:r>
        <w:rPr>
          <w:rFonts w:hint="eastAsia"/>
        </w:rPr>
        <w:t xml:space="preserve">は日内分散と週内分散を分けて推定した点で本研究に最も近い。デンマークでは風力が日内変動性を下げ（−0.07〜−0.09%）、ドイツでは上げる（+0.03%）が、週内変動性は両国で上がる。彼らの説明は、デンマークでは風が終日ほぼ一様に吹き、水力を持つ北欧との連系が太いためピークとオフピークの価格が同じだけ下がるのに対し、ドイツでは風力が夜間に偏り連系が細いため価格が乖離する、というものである。Hagfors</w:t>
      </w:r>
      <w:r>
        <w:t xml:space="preserve"> et al. (2016) </w:t>
      </w:r>
      <w:r>
        <w:rPr>
          <w:rFonts w:hint="eastAsia"/>
        </w:rPr>
        <w:t xml:space="preserve">はドイツの負値価格が高風力×低需要の夜間に集中し（約65%）、モデルから風力を除くと予測力が失われることを示し、風力が分布の下側の裾を通じて価格に効くことを明らかにした。</w:t>
      </w:r>
    </w:p>
    <w:p>
      <w:pPr>
        <w:pStyle w:val="BodyText"/>
      </w:pPr>
      <w:r>
        <w:rPr>
          <w:rFonts w:hint="eastAsia"/>
        </w:rPr>
        <w:t xml:space="preserve">第三に、分位点回帰による分布の分解がある。Maciejowska</w:t>
      </w:r>
      <w:r>
        <w:t xml:space="preserve"> (2020) </w:t>
      </w:r>
      <w:r>
        <w:rPr>
          <w:rFonts w:hint="eastAsia"/>
        </w:rPr>
        <w:t xml:space="preserve">はドイツの日次・ピーク・オフピーク指数の分位点回帰で、変動性を条件付き分布の0.9分位と0.1分位の差（IQR）と定義した。風力のIQR効果は線形モデルで−0.006と有意でなく、需要水準で分けると低需要時に正（+0.179）、高需要時に負（−0.184）、太陽光は中需要時に負（−0.181）である。風力は下側の裾、太陽光は上側の裾に効くという非対称がここでも現れる。ただしこのIQRも日次指数の日間の散らばりであり、ピークとオフピークの差（日内形状）そのものは被説明変数になっていない。Tselika</w:t>
      </w:r>
      <w:r>
        <w:t xml:space="preserve"> (2022) </w:t>
      </w:r>
      <w:r>
        <w:rPr>
          <w:rFonts w:hint="eastAsia"/>
        </w:rPr>
        <w:t xml:space="preserve">は時間値を24時間の個体とするパネル分位点（MMQR）で、風力は下側の裾に、太陽光（ドイツ）は上側の裾にやや強く効くこと、日次集計が再エネの効果を（特に太陽光で）過小評価することを示した。彼女の変動性は時刻固定効果を除いた後の条件付き分布の尺度であり、風力はデンマークでも変動性を高める（尺度係数+0.429）という、Rintamäki</w:t>
      </w:r>
      <w:r>
        <w:t xml:space="preserve"> et al. </w:t>
      </w:r>
      <w:r>
        <w:rPr>
          <w:rFonts w:hint="eastAsia"/>
        </w:rPr>
        <w:t xml:space="preserve">の日内分散とは逆の結果を得ている。同じ国・同じ電源でも指標が変われば符号が変わることの端的な例である。</w:t>
      </w:r>
    </w:p>
    <w:p>
      <w:pPr>
        <w:pStyle w:val="BodyText"/>
      </w:pPr>
      <w:r>
        <w:rPr>
          <w:rFonts w:hint="eastAsia"/>
        </w:rPr>
        <w:t xml:space="preserve">第四に、長い時間スケールでは再エネは安定化要因として現れる。Navia</w:t>
      </w:r>
      <w:r>
        <w:t xml:space="preserve"> Simon and Diaz Anadon (2025) </w:t>
      </w:r>
      <w:r>
        <w:rPr>
          <w:rFonts w:hint="eastAsia"/>
        </w:rPr>
        <w:t xml:space="preserve">は欧州の2030年計画で電力価格のガス価格感応度が1.4から1.0へ低下し、追加導入で0.5を下回ることを示し、市場が内部化しない「保険価値」と名づけた。同時に、追加導入はカニバリゼーションを招くためマーチャントでの採算は疑わしいと留保している。</w:t>
      </w:r>
    </w:p>
    <w:p>
      <w:pPr>
        <w:pStyle w:val="BodyText"/>
      </w:pPr>
      <w:r>
        <w:rPr>
          <w:rFonts w:hint="eastAsia"/>
        </w:rPr>
        <w:t xml:space="preserve">以上から得られる相場観は次のとおりである。（i）「再エネは価格変動性を高める」という一般化は、どの時間スケールの変動性かを指定しなければ判定できない。（ii）電源種の非対称は頑健で、太陽光は日内形状（正午の谷）に、風力は水準と下側の裾に効く。（iii）柔軟性資源と連系の強さが再エネの量よりも変動性を規定する。（iv）風力が日内変動性を上げるか下げるかは、風力の日内プロファイル（ドイツの夜間偏りかデンマークの一様性か）と連系に依存する。北海道がどちらの型に属するかは、本研究の第6章の問いそのものである。</w:t>
      </w:r>
    </w:p>
    <w:bookmarkEnd w:id="26"/>
    <w:bookmarkEnd w:id="27"/>
    <w:bookmarkStart w:id="31" w:name="海外の研究状況②蓄電池の経済学と研究の動向"/>
    <w:p>
      <w:pPr>
        <w:pStyle w:val="Heading2"/>
      </w:pPr>
      <w:r>
        <w:t xml:space="preserve">2.2 </w:t>
      </w:r>
      <w:r>
        <w:rPr>
          <w:rFonts w:hint="eastAsia"/>
        </w:rPr>
        <w:t xml:space="preserve">海外の研究状況②：蓄電池の経済学と研究の動向</w:t>
      </w:r>
    </w:p>
    <w:bookmarkStart w:id="28" w:name="価値評価からカニバリゼーションへ"/>
    <w:p>
      <w:pPr>
        <w:pStyle w:val="Heading3"/>
      </w:pPr>
      <w:r>
        <w:t xml:space="preserve">2.2.1 </w:t>
      </w:r>
      <w:r>
        <w:rPr>
          <w:rFonts w:hint="eastAsia"/>
        </w:rPr>
        <w:t xml:space="preserve">価値評価からカニバリゼーションへ</w:t>
      </w:r>
    </w:p>
    <w:p>
      <w:pPr>
        <w:pStyle w:val="FirstParagraph"/>
      </w:pPr>
      <w:r>
        <w:rPr>
          <w:rFonts w:hint="eastAsia"/>
        </w:rPr>
        <w:t xml:space="preserve">蓄電池（電力貯蔵）の裁定価値の推定は、Sioshansi</w:t>
      </w:r>
      <w:r>
        <w:t xml:space="preserve"> et al. (2009) </w:t>
      </w:r>
      <w:r>
        <w:rPr>
          <w:rFonts w:hint="eastAsia"/>
        </w:rPr>
        <w:t xml:space="preserve">のPJMにおける分析が古典である。彼らは価格テイカー・完全予見の線形計画で12時間・往復効率80%の貯蔵の裁定価値が60から110ドル/kW-年へ上昇したことを示すとともに、捕捉可能な価値の半分超が最初の4時間分で得られ限界価値の膝が約8時間にあること、直前2週間の価格で最適化した運用を適用する「バックキャスト」でも完全予見の85%以上を捕捉できること、そして1GWの大規模貯蔵が価格差を平準化して自らの価値を1〜2割超侵食することを指摘した。Sioshansi</w:t>
      </w:r>
      <w:r>
        <w:t xml:space="preserve"> (2010) </w:t>
      </w:r>
      <w:r>
        <w:rPr>
          <w:rFonts w:hint="eastAsia"/>
        </w:rPr>
        <w:t xml:space="preserve">は所有構造によって貯蔵の使われ方が歪むこと（発電事業者所有は往復効率が低いと運用を止め、消費者所有は使いすぎる）を示している。Lamont</w:t>
      </w:r>
      <w:r>
        <w:t xml:space="preserve"> (2013) </w:t>
      </w:r>
      <w:r>
        <w:rPr>
          <w:rFonts w:hint="eastAsia"/>
        </w:rPr>
        <w:t xml:space="preserve">は貯蔵の充放電容量と貯蔵容量それぞれの限界価値を解析的に導き、限界価値＝限界費用で最適容量が決まり、浸透とともに限界価値が低下する構造を与えた。Lamont</w:t>
      </w:r>
      <w:r>
        <w:t xml:space="preserve"> (2013) </w:t>
      </w:r>
      <w:r>
        <w:rPr>
          <w:rFonts w:hint="eastAsia"/>
        </w:rPr>
        <w:t xml:space="preserve">はまた、貯蔵がオンピーク価格を下げる一方でオフピーク価格をほとんど上げないことを示しており、充電側の原資が床で消える構造を先取りしている。Mercier,</w:t>
      </w:r>
      <w:r>
        <w:t xml:space="preserve"> Olivier and De Jaeger (2023) </w:t>
      </w:r>
      <w:r>
        <w:rPr>
          <w:rFonts w:hint="eastAsia"/>
        </w:rPr>
        <w:t xml:space="preserve">は欧州の全入札ゾーン・2000〜2021年の日前市場の裁定価値を横断的に推定し、価値を決めるのは価格水準ではなく年次のボラティリティであること、durationの限界価値は4〜6時間を超えると非常に小さいこと、系統利用料が価値を20〜50%削り参加を大きく減らすことを示した。</w:t>
      </w:r>
    </w:p>
    <w:p>
      <w:pPr>
        <w:pStyle w:val="BodyText"/>
      </w:pPr>
      <w:r>
        <w:t xml:space="preserve">この「カニバリゼーション」は、Lamp and Samano (2022) </w:t>
      </w:r>
      <w:r>
        <w:rPr>
          <w:rFonts w:hint="eastAsia"/>
        </w:rPr>
        <w:t xml:space="preserve">がCAISOのデータで、新規蓄電池容量の追加がリアルタイム市場のスプレッドと最高価格を数週間にわたって圧縮することを示し、かつ実運用が最適裁定より鈍く、現行条件では蓄電池所有者にとって採算に乗らないことを報告したことで、理論から観察された事実になった。価格テイカーモデルの過大評価を補正する試みとして、Emmanuel</w:t>
      </w:r>
      <w:r>
        <w:t xml:space="preserve"> and Denholm (2022) </w:t>
      </w:r>
      <w:r>
        <w:rPr>
          <w:rFonts w:hint="eastAsia"/>
        </w:rPr>
        <w:t xml:space="preserve">は貯蔵を100MW刻みで1,000MWまで追加しながら価格への影響を回帰で戻す市場フィードバックの枠組みをPJMとCAISOに適用し、初期の裁定価値（CAISOで約50ドル/kW-年）が導入とともに単調に低下し、1,000MWが平均需要の4%にあたるCAISOでは0.6%のPJMより低下が急であることを示した。Karaduman</w:t>
      </w:r>
      <w:r>
        <w:t xml:space="preserve"> (2023) </w:t>
      </w:r>
      <w:r>
        <w:rPr>
          <w:rFonts w:hint="eastAsia"/>
        </w:rPr>
        <w:t xml:space="preserve">は南豪州の入札データで供給関数均衡を解き、価格インパクトを無視すると単一の蓄電池でも収益性を約2倍過大評価することを示した。彼の対象は風力シェア約35%・連系線1本の南豪州で、本研究の北海道に最も近い市場条件である。彼はさらに、風力を倍増して出力抑制が発生すると蓄電池が抑制電力を吸収して風力の収入を増やす（抑制の前は代替、後は補完）ことを示し、私的には不採算だが消費者余剰の増分が費用を上回るため容量市場による補償を提案している。</w:t>
      </w:r>
    </w:p>
    <w:p>
      <w:pPr>
        <w:pStyle w:val="BodyText"/>
      </w:pPr>
      <w:r>
        <w:rPr>
          <w:rFonts w:hint="eastAsia"/>
        </w:rPr>
        <w:t xml:space="preserve">市場の実績はこの速度が極めて速いことを示している。ERCOTでは蓄電池容量が約200MWから約14GWへ拡大する中で、蓄電池の年間収益は2023年の約193ドル/kWから2025年には約29ドル/kWへと2年で約6分の1に低下し、調整力市場の収益は約90%減少した（Modo</w:t>
      </w:r>
      <w:r>
        <w:t xml:space="preserve"> Energy </w:t>
      </w:r>
      <w:r>
        <w:rPr>
          <w:rFonts w:hint="eastAsia"/>
        </w:rPr>
        <w:t xml:space="preserve">2025）。</w:t>
      </w:r>
    </w:p>
    <w:bookmarkEnd w:id="28"/>
    <w:bookmarkStart w:id="29" w:name="均衡分析への動向"/>
    <w:p>
      <w:pPr>
        <w:pStyle w:val="Heading3"/>
      </w:pPr>
      <w:r>
        <w:t xml:space="preserve">2.2.2 </w:t>
      </w:r>
      <w:r>
        <w:rPr>
          <w:rFonts w:hint="eastAsia"/>
        </w:rPr>
        <w:t xml:space="preserve">均衡分析への動向</w:t>
      </w:r>
    </w:p>
    <w:p>
      <w:pPr>
        <w:pStyle w:val="FirstParagraph"/>
      </w:pPr>
      <w:r>
        <w:rPr>
          <w:rFonts w:hint="eastAsia"/>
        </w:rPr>
        <w:t xml:space="preserve">研究の最前線は、蓄電池投資を内生化した均衡分析へ移っている。Butters,</w:t>
      </w:r>
      <w:r>
        <w:t xml:space="preserve"> Dorsey and Gowrisankaran (2025,</w:t>
      </w:r>
      <w:r>
        <w:t xml:space="preserve"> </w:t>
      </w:r>
      <w:r>
        <w:rPr>
          <w:i/>
          <w:iCs/>
        </w:rPr>
        <w:t xml:space="preserve">Econometrica</w:t>
      </w:r>
      <w:r>
        <w:t xml:space="preserve">) </w:t>
      </w:r>
      <w:r>
        <w:rPr>
          <w:rFonts w:hint="eastAsia"/>
        </w:rPr>
        <w:t xml:space="preserve">は、CAISOの5分値データで運用モデルと動学的競争均衡の参入モデルを推定し、最初の5,000MWhの蓄電池が卸価格を5.6%下げるが25,000から50,000MWhへの増加は2.6%しか下げないこと、再エネ比率50%の下で単位価値が10MWhの280ドル/kWhから10,000MWhの230ドル、50,000MWhの140ドルへ低下すること、補助も義務もなければ最初の設置が2026年で2030年でも288MWhにとどまるが資本費30%の補助で2024年に5,000MWh超が入ること、そして価格不確実性下の実行可能戦略が完全予見の約70%を達成することを示した。彼らが結論で明示する自らの限界は、火力容量と供給関係を固定していること（退出の内生化なし）、ランプ費用下の供給関係が動学寡占の近似であること、系統の信頼度を扱わないこと、資本費の低下を外生としていること、標本内の週次の再エネ変動から高浸透の将来を外挿していること、最適補助金を解いていないことの6点である。これに加えて彼らの設定には、出力制御を明示的にモデル化しないこと（脚注で「抑制を回避する経路は蓄電池の価値を本研究の推計以上に高めうる」と述べる）、durationを4時間に固定すること、追加的な蓄電池はエネルギー裁定で稼ぐとして調整力・容量市場を分析対象外とすることという仮定が含まれ、連系線制約と価格下限には言及がない。</w:t>
      </w:r>
    </w:p>
    <w:p>
      <w:pPr>
        <w:pStyle w:val="BodyText"/>
      </w:pPr>
      <w:r>
        <w:t xml:space="preserve">Zhao et al. (2022) </w:t>
      </w:r>
      <w:r>
        <w:rPr>
          <w:rFonts w:hint="eastAsia"/>
        </w:rPr>
        <w:t xml:space="preserve">はCAISOで線形の価格インパクト関数を推定し、複数投資家のCournot–Nash均衡を解いた。投資家数が増えるほど個別の利潤と容量は減り総容量は増え、無限大の極限で総容量は独占の2倍に収束する。裁定価値は価格と純需要の傾きに反比例し（傾きが大きい小さな市場ほど早く枯渇する）、太陽光の増加は昼を下げ夜に影響しないためスプレッドを広げる一方、風力の増加は夜をやや大きく下げるためスプレッドを「まず縮め、その後広げる」という非単調性をシミュレーションで示した。この結果は第6章・第8章の実証と直接対応する。</w:t>
      </w:r>
    </w:p>
    <w:p>
      <w:pPr>
        <w:pStyle w:val="BodyText"/>
      </w:pPr>
      <w:r>
        <w:rPr>
          <w:rFonts w:hint="eastAsia"/>
        </w:rPr>
        <w:t xml:space="preserve">理論面では、Schmalensee</w:t>
      </w:r>
      <w:r>
        <w:t xml:space="preserve"> (2022) </w:t>
      </w:r>
      <w:r>
        <w:rPr>
          <w:rFonts w:hint="eastAsia"/>
        </w:rPr>
        <w:t xml:space="preserve">がBoiteux–Turvey型のピークロード・プライシングに太陽光と貯蔵を組み込み、価格に上限がなければ競争的貯蔵のゼロ利潤均衡が期待システム費用の最小化と一致すること、逆に価格上限があれば発電と同様に貯蔵の裁定投資の誘因も不足し「容量メカニズムの類」が必要になりうることを示した。Andrés-Cerezo</w:t>
      </w:r>
      <w:r>
        <w:t xml:space="preserve"> and Fabra (2023) </w:t>
      </w:r>
      <w:r>
        <w:rPr>
          <w:rFonts w:hint="eastAsia"/>
        </w:rPr>
        <w:t xml:space="preserve">は貯蔵の自由参入条件を「平均投資費用＝裁定スプレッド」として定式化し、発電側の市場支配力は価格曲線を急峻にして貯蔵の過剰投資を、貯蔵側の市場支配力は運用の平準化を通じて過少投資を招き、垂直統合が最悪であることを示したうえで、小規模事業者限定の貯蔵容量オークションを推奨した。Brown</w:t>
      </w:r>
      <w:r>
        <w:t xml:space="preserve"> and Reichenberg (2021) </w:t>
      </w:r>
      <w:r>
        <w:rPr>
          <w:rFonts w:hint="eastAsia"/>
        </w:rPr>
        <w:t xml:space="preserve">は再エネについて、市場価値の低下が固有の統合問題ではなく政策選択の産物であり、長期均衡ではMV＝LCOE−μ（μは等価な支援額）が成り立つことを示した。この「市場外収入μ」の枠組みは、本研究の均衡からの乖離の蓄電池版といえる。López</w:t>
      </w:r>
      <w:r>
        <w:t xml:space="preserve"> Prol and Schill (2021) </w:t>
      </w:r>
      <w:r>
        <w:rPr>
          <w:rFonts w:hint="eastAsia"/>
        </w:rPr>
        <w:t xml:space="preserve">の総説は、再エネと貯蔵が補完的であると同時にある程度は代替的でもあり、貯蔵には逓減的な限界収益があること、そして変動性への効果が時間枠・技術・系統条件で符号を変えることを整理している。Shen,</w:t>
      </w:r>
      <w:r>
        <w:t xml:space="preserve"> Ilic and Parsons (2026) </w:t>
      </w:r>
      <w:r>
        <w:rPr>
          <w:rFonts w:hint="eastAsia"/>
        </w:rPr>
        <w:t xml:space="preserve">は二期のピークロード価格モデルにduration制約付き貯蔵を入れ、貯蔵のエネルギー容量費はピークイベントの回数で償却される（出力費はピーカーと同様にピーク時間で償却される）こと、および最適規模・最適運転の下では需給バランスの双対価格による営業利益が固定費をちょうど回収する（ゼロ利潤の恒等式）ことを示した。ただし自由参入の競争均衡との同値や不確実性は扱っていない。</w:t>
      </w:r>
    </w:p>
    <w:p>
      <w:pPr>
        <w:pStyle w:val="BodyText"/>
      </w:pPr>
      <w:r>
        <w:rPr>
          <w:rFonts w:hint="eastAsia"/>
        </w:rPr>
        <w:t xml:space="preserve">これらの均衡研究の動向を要約すると、誘導形の価格実証から蓄電池投資を内生化した構造・均衡分析へ移行しつつあり、共通して「価格テイカー評価は過大」「競争的参入は総容量を増やし利潤を消す」「マーチャントでは社会的に望ましい容量に届かない」という結論を得ている。ただし対象はすべて太陽光主導の海外市場（CAISO・ドイツ）か理論モデルであり、風力主導市場で実データからπ(K)と均衡容量を推計し、政策収入を参入条件に明示的に並べた研究は見当たらない。</w:t>
      </w:r>
    </w:p>
    <w:bookmarkEnd w:id="29"/>
    <w:bookmarkStart w:id="30" w:name="併設ハイブリッドと抑制回避"/>
    <w:p>
      <w:pPr>
        <w:pStyle w:val="Heading3"/>
      </w:pPr>
      <w:r>
        <w:t xml:space="preserve">2.2.3 </w:t>
      </w:r>
      <w:r>
        <w:rPr>
          <w:rFonts w:hint="eastAsia"/>
        </w:rPr>
        <w:t xml:space="preserve">併設（ハイブリッド）と抑制回避</w:t>
      </w:r>
    </w:p>
    <w:p>
      <w:pPr>
        <w:pStyle w:val="FirstParagraph"/>
      </w:pPr>
      <w:r>
        <w:rPr>
          <w:rFonts w:hint="eastAsia"/>
        </w:rPr>
        <w:t xml:space="preserve">再エネと蓄電池の併設に関する研究も蓄積しつつある。Atherton</w:t>
      </w:r>
      <w:r>
        <w:t xml:space="preserve"> et al. (2023) </w:t>
      </w:r>
      <w:r>
        <w:rPr>
          <w:rFonts w:hint="eastAsia"/>
        </w:rPr>
        <w:t xml:space="preserve">は英国の47の風力サイト（2021年、1MWhの併設蓄電池）を評価し、全サイトが2〜3年で回収するがその主因はどのサイトでも価格裁定であり、抑制削減が裁定損失を上回るのは3サイトにすぎないこと、抑制の多いスコットランドのサイトでは回収が遅い代わりに抑制削減が大きいことを示した。Loukatou</w:t>
      </w:r>
      <w:r>
        <w:t xml:space="preserve"> et al. (2021) </w:t>
      </w:r>
      <w:r>
        <w:rPr>
          <w:rFonts w:hint="eastAsia"/>
        </w:rPr>
        <w:t xml:space="preserve">は英国陸上風力とリチウム電池の併設を確率的最適制御で評価し、補助（CfD）なしでは風力込みのプロジェクトが採算に乗らず、蓄電池の追加は年収益を4〜14%増やすにすぎない（抑制は扱っていない）と結論した。Maji</w:t>
      </w:r>
      <w:r>
        <w:t xml:space="preserve"> et al. (2025) </w:t>
      </w:r>
      <w:r>
        <w:rPr>
          <w:rFonts w:hint="eastAsia"/>
        </w:rPr>
        <w:t xml:space="preserve">はERCOTの2023年ノード別データで、20%のノードが抑制電力量の77%を占め、抑制イベントの74.3%（抑制電力量の93.4%）が余剰ではなく送電混雑に起因することをノード価格とハブ価格の差から識別した。抑制はローカルな現象であり、ノーダル価格のある市場ではその価値が価格に映る。技術経済側では、Grimaldi</w:t>
      </w:r>
      <w:r>
        <w:t xml:space="preserve"> et al. (2025) </w:t>
      </w:r>
      <w:r>
        <w:rPr>
          <w:rFonts w:hint="eastAsia"/>
        </w:rPr>
        <w:t xml:space="preserve">がイタリアの風力サイトについて劣化を含む混合整数計画で併設蓄電池を最適化し、最適容量が風力1kWあたり0.1kWh程度と小さく、収益の主因は抑制回避ではなく卸裁定であることを示し、30か国45市場（JEPXの8市場を含む）で併設と単独設置の価値を比較し、英国では単独設置が併設を上回る一方で北日本の風力を含む一部の市場では併設が優位になること、最適な蓄電池規模は再エネ100MWあたり60〜140MW（4時間）であること（Landy</w:t>
      </w:r>
      <w:r>
        <w:t xml:space="preserve"> et al. </w:t>
      </w:r>
      <w:r>
        <w:rPr>
          <w:rFonts w:hint="eastAsia"/>
        </w:rPr>
        <w:t xml:space="preserve">2026。ただし併設による抑制回避は負価格時と接続容量超過分に限られ、混雑起因の抑制や系統利用料は扱われていない）や、米国のハイブリッド発電所の実態（LBNL,</w:t>
      </w:r>
      <w:r>
        <w:t xml:space="preserve"> Hybrid Power Plants </w:t>
      </w:r>
      <w:r>
        <w:rPr>
          <w:rFonts w:hint="eastAsia"/>
        </w:rPr>
        <w:t xml:space="preserve">2024）が報告されている。ただし、これらはノーダル価格市場か運用最適化の研究であり、ゾーン価格しかない市場でローカル制約の価値がエリア価格に映らないことを市場均衡の文脈で位置づけた研究は見当たらない。</w:t>
      </w:r>
    </w:p>
    <w:bookmarkEnd w:id="30"/>
    <w:bookmarkEnd w:id="31"/>
    <w:bookmarkStart w:id="32" w:name="国内の研究状況"/>
    <w:p>
      <w:pPr>
        <w:pStyle w:val="Heading2"/>
      </w:pPr>
      <w:r>
        <w:t xml:space="preserve">2.3 </w:t>
      </w:r>
      <w:r>
        <w:rPr>
          <w:rFonts w:hint="eastAsia"/>
        </w:rPr>
        <w:t xml:space="preserve">国内の研究状況</w:t>
      </w:r>
    </w:p>
    <w:p>
      <w:pPr>
        <w:pStyle w:val="FirstParagraph"/>
      </w:pPr>
      <w:r>
        <w:rPr>
          <w:rFonts w:hint="eastAsia"/>
        </w:rPr>
        <w:t xml:space="preserve">日本の卸電力市場（JEPX）を対象とした実証は、Maekawa</w:t>
      </w:r>
      <w:r>
        <w:t xml:space="preserve"> et al. (2018) </w:t>
      </w:r>
      <w:r>
        <w:rPr>
          <w:rFonts w:hint="eastAsia"/>
        </w:rPr>
        <w:t xml:space="preserve">が9エリアの時間値パネルで、気象データを再エネの代理変数として日射1時間の増加がスポット価格を約7%下げることを確認したことに始まる。彼らは北海道のエリア固定効果が正であることを、島であるがゆえの連系制約と地域独占によって説明している。Sakaguchi</w:t>
      </w:r>
      <w:r>
        <w:t xml:space="preserve"> and Fujii (2021) </w:t>
      </w:r>
      <w:r>
        <w:rPr>
          <w:rFonts w:hint="eastAsia"/>
        </w:rPr>
        <w:t xml:space="preserve">は実発電量を用いてエリア別に2016〜2019年度のOLSと分位点回帰を行い、北海道の風力MOEが全期間で−4.8円/kWh</w:t>
      </w:r>
      <w:r>
        <w:t xml:space="preserve"> per </w:t>
      </w:r>
      <w:r>
        <w:rPr>
          <w:rFonts w:hint="eastAsia"/>
        </w:rPr>
        <w:t xml:space="preserve">GWh/h（FY2019で−7.0）と四地域で最大であり、風力のMOEが高価格分位で最も大きいこと、そして全国では風力のMOEが太陽光の数倍であることを示した。これは北海道×風力を直接扱った唯一の先行研究であるが、対象期間は風力設備が現在の半分以下だった時期にとどまり、著者自身が連系線を通じた電力の出入りを考慮していないことを限界として挙げている。北海道の分位点係数は図でのみ示されている。</w:t>
      </w:r>
    </w:p>
    <w:p>
      <w:pPr>
        <w:pStyle w:val="BodyText"/>
      </w:pPr>
      <w:r>
        <w:t xml:space="preserve">Ma et al. (2023) </w:t>
      </w:r>
      <w:r>
        <w:rPr>
          <w:rFonts w:hint="eastAsia"/>
        </w:rPr>
        <w:t xml:space="preserve">は東北から東京への連系線潮流を第1段で予測する二段階推定で、東北の太陽光・風力1%の増加が東京価格を0.013%・0.003%下げること、混雑時にはこの効果が消えること、そして東京域内の太陽光は日次の実現ボラティリティを有意に上げるが風力は上げないことを示した。彼らが報告する北海道–東北の市場分断率92.3%（FY2018）と価格相関0.67は、北海道が独立した価格ゾーンであることの根拠でもある。Li</w:t>
      </w:r>
      <w:r>
        <w:t xml:space="preserve"> et al. (2024) </w:t>
      </w:r>
      <w:r>
        <w:rPr>
          <w:rFonts w:hint="eastAsia"/>
        </w:rPr>
        <w:t xml:space="preserve">は九州・四国・北海道で、時間別の太陽光比率が0.70を超えると価格中央値がほぼゼロになること、北海道の価格が太陽光比率に「特に敏感」なのは需要のピークが朝夕にあり太陽光と重ならないためであること、そして完全予見の混合整数計画で長時間貯蔵の裁定利益が2016年から2022年へ急増したことを報告している。</w:t>
      </w:r>
    </w:p>
    <w:p>
      <w:pPr>
        <w:pStyle w:val="BodyText"/>
      </w:pPr>
      <w:r>
        <w:rPr>
          <w:rFonts w:hint="eastAsia"/>
        </w:rPr>
        <w:t xml:space="preserve">最類似研究である</w:t>
      </w:r>
      <w:r>
        <w:t xml:space="preserve"> Fuke and Ohashi (2025,</w:t>
      </w:r>
      <w:r>
        <w:t xml:space="preserve"> </w:t>
      </w:r>
      <w:r>
        <w:rPr>
          <w:i/>
          <w:iCs/>
        </w:rPr>
        <w:t xml:space="preserve">Journal of Commodity Markets</w:t>
      </w:r>
      <w:r>
        <w:t xml:space="preserve">) </w:t>
      </w:r>
      <w:r>
        <w:rPr>
          <w:rFonts w:hint="eastAsia"/>
        </w:rPr>
        <w:t xml:space="preserve">は、太陽光の浸透が最も進んだ九州エリアを対象に、2016年4月から2020年3月の日次データで</w:t>
      </w:r>
      <w:r>
        <w:t xml:space="preserve"> Maciejowska (2020) </w:t>
      </w:r>
      <w:r>
        <w:rPr>
          <w:rFonts w:hint="eastAsia"/>
        </w:rPr>
        <w:t xml:space="preserve">型の分位点回帰を行い、MOEが全季節で存在し冬に最も強く高分位ほど大きいこと、そして太陽光の増加が価格変動性を春と夏には低下させるが秋と冬には低下させないことを示した。ここで変動性は、条件付き分布の0.9分位と0.1分位の差（IQR）で定義され、彼らはこの季節性を、電力需要と太陽光発電の相関が夏にのみ正になる（冷房需要と日射が同時に増える）ことによると解釈している。本研究にとって重要なのは、彼らの被説明変数が「太陽光が発電している昼間時間帯の平均価格」の日次系列である点である。IQRはこの昼間平均価格が日をまたいでどれだけ散らばるかを測る指標であり、日内の価格形状は日次平均化の段階で失われている。著者自身も、日次集計が日内の価格変動を捨てており時間値データの利用が今後の課題であると明記している。本研究は、この研究を（i）対象を風力主導の北海道へ、（ii）変動性の測定を日間から日内・帯域別へ、（iii）手法を誘導形の記述から構造モデルと自由参入均衡へ、（iv）問いを「変動性がどう変わったか」から「蓄電池が何GWまでが均衡整合的か」へ拡張するものとして位置づけられる。</w:t>
      </w:r>
    </w:p>
    <w:p>
      <w:pPr>
        <w:pStyle w:val="BodyText"/>
      </w:pPr>
      <w:r>
        <w:rPr>
          <w:rFonts w:hint="eastAsia"/>
        </w:rPr>
        <w:t xml:space="preserve">市場制度に関する実証としては、Ikeda</w:t>
      </w:r>
      <w:r>
        <w:t xml:space="preserve"> (2019) </w:t>
      </w:r>
      <w:r>
        <w:rPr>
          <w:rFonts w:hint="eastAsia"/>
        </w:rPr>
        <w:t xml:space="preserve">が2005〜15年のJEPXの暗黙のスプレッドコストを電力の内在価値の約15.7%と推定し、取引量の増加がそれを下げないことを示した。Kanamura</w:t>
      </w:r>
      <w:r>
        <w:t xml:space="preserve"> and Bunn (2022) </w:t>
      </w:r>
      <w:r>
        <w:rPr>
          <w:rFonts w:hint="eastAsia"/>
        </w:rPr>
        <w:t xml:space="preserve">は2017年のマーケットメイク（グロスビディング）介入の前後で、買い超過のコマの比率が5%から60%へ増え、価格形成が需給と気温により整合的になったことをレジームスイッチモデルで示した。Rassi</w:t>
      </w:r>
      <w:r>
        <w:t xml:space="preserve"> and Kanamura (2023) </w:t>
      </w:r>
      <w:r>
        <w:rPr>
          <w:rFonts w:hint="eastAsia"/>
        </w:rPr>
        <w:t xml:space="preserve">は2021年1月の価格高騰（最高250円/kWh）について、LNGスポット価格が入札行動を通じて即時に価格曲線を上方シフトさせる構造モデルを提示し、右裾のスパイクが再エネではなく燃料と需給逼迫で説明されることを示した。Li</w:t>
      </w:r>
      <w:r>
        <w:t xml:space="preserve"> et al. (2025) </w:t>
      </w:r>
      <w:r>
        <w:rPr>
          <w:rFonts w:hint="eastAsia"/>
        </w:rPr>
        <w:t xml:space="preserve">は同じ危機を制度の側面から分析し、上限のないインバランス料金（北海道の係数Kが全国最大）、情報開示の不足、ヘッジ市場の未成熟を要因として挙げている。蓄電池を主体とした国内研究は、工学系で同時市場においてプライスメーカーとして参加する蓄電池事業者の損益評価手法が提案されている（電気学会論文誌B,</w:t>
      </w:r>
      <w:r>
        <w:t xml:space="preserve"> </w:t>
      </w:r>
      <w:r>
        <w:rPr>
          <w:rFonts w:hint="eastAsia"/>
        </w:rPr>
        <w:t xml:space="preserve">2026）ほか、経済産業省の定置用蓄電システム普及拡大検討会が収益スタック（卸市場・需給調整市場・容量市場・長期脱炭素電源オークション）と併設蓄電池の課題を整理し、需給調整市場の収益性試算を公表している。</w:t>
      </w:r>
    </w:p>
    <w:p>
      <w:pPr>
        <w:pStyle w:val="BodyText"/>
      </w:pPr>
      <w:r>
        <w:rPr>
          <w:rFonts w:hint="eastAsia"/>
        </w:rPr>
        <w:t xml:space="preserve">国内研究を総括すると、価格側は誘導形のMOE・変動性の実証と制度分析が中心で、蓄電池を内生化した均衡分析は見当たらない。経済産業省の2030年度導入見通し（14.1〜23.8GWh）も接続申込の実現率外挿であって、均衡概念に基づくものではない。</w:t>
      </w:r>
    </w:p>
    <w:bookmarkEnd w:id="32"/>
    <w:bookmarkStart w:id="33" w:name="風力の時間構造と空間平滑化"/>
    <w:p>
      <w:pPr>
        <w:pStyle w:val="Heading2"/>
      </w:pPr>
      <w:r>
        <w:t xml:space="preserve">2.4 </w:t>
      </w:r>
      <w:r>
        <w:rPr>
          <w:rFonts w:hint="eastAsia"/>
        </w:rPr>
        <w:t xml:space="preserve">風力の時間構造と空間平滑化</w:t>
      </w:r>
    </w:p>
    <w:p>
      <w:pPr>
        <w:pStyle w:val="FirstParagraph"/>
      </w:pPr>
      <w:r>
        <w:rPr>
          <w:rFonts w:hint="eastAsia"/>
        </w:rPr>
        <w:t xml:space="preserve">風力の変動は空間的に集約されると高周波成分から相殺される。St.</w:t>
      </w:r>
      <w:r>
        <w:t xml:space="preserve"> Martin, Lundquist and Handschy (2015) </w:t>
      </w:r>
      <w:r>
        <w:rPr>
          <w:rFonts w:hint="eastAsia"/>
        </w:rPr>
        <w:t xml:space="preserve">は風力の相関距離が時間スケールに依存し、6時間スケールでは数km〜30kmで無相関化する一方、1日を超える低周波は270〜370kmまで相関が残ることを示した。Malvaldi</w:t>
      </w:r>
      <w:r>
        <w:t xml:space="preserve"> et al. (2017) </w:t>
      </w:r>
      <w:r>
        <w:rPr>
          <w:rFonts w:hint="eastAsia"/>
        </w:rPr>
        <w:t xml:space="preserve">はデンマークからドイツにまたがる集約でも相関が残ることを、Handschy,</w:t>
      </w:r>
      <w:r>
        <w:t xml:space="preserve"> Rose and Apt (2017) </w:t>
      </w:r>
      <w:r>
        <w:rPr>
          <w:rFonts w:hint="eastAsia"/>
        </w:rPr>
        <w:t xml:space="preserve">は米国本土の互いに低相関な9地点を集約すると設備容量比5%未満の低出力時間が年2,140時間から36時間へ激減する一方、15%未満の時間は年720時間残ることを示している。Ohlendorf</w:t>
      </w:r>
      <w:r>
        <w:t xml:space="preserve"> and Schill (2020) </w:t>
      </w:r>
      <w:r>
        <w:rPr>
          <w:rFonts w:hint="eastAsia"/>
        </w:rPr>
        <w:t xml:space="preserve">はドイツの40年再解析で数日規模の低風力イベントの頻度と持続を定量化した。Hirth</w:t>
      </w:r>
      <w:r>
        <w:t xml:space="preserve"> (2013) </w:t>
      </w:r>
      <w:r>
        <w:rPr>
          <w:rFonts w:hint="eastAsia"/>
        </w:rPr>
        <w:t xml:space="preserve">が短時間貯蔵は風力の市場価値をほとんど改善しないと述べた理由もここにある。これらは、風力の変動の主戦場が「数日から週」の帯域にあることを示しており、日内サイクルを刈り取る4時間蓄電池との関係を考えるうえで基礎となる。ただし</w:t>
      </w:r>
      <w:r>
        <w:t xml:space="preserve"> Paraschiv et al. (2014) と Rintamäki et al. (2017) </w:t>
      </w:r>
      <w:r>
        <w:rPr>
          <w:rFonts w:hint="eastAsia"/>
        </w:rPr>
        <w:t xml:space="preserve">が示したように、ドイツの風力は夜間に偏るため下側の裾を通じて日内レンジを広げうる。北海道の風力に系統的な日内偏りがないこと、および0.01円/kWhの価格下限が下側の裾を圧縮することを、本研究は第6章で示す必要がある。</w:t>
      </w:r>
    </w:p>
    <w:bookmarkEnd w:id="33"/>
    <w:bookmarkStart w:id="34" w:name="手法の系譜"/>
    <w:p>
      <w:pPr>
        <w:pStyle w:val="Heading2"/>
      </w:pPr>
      <w:r>
        <w:t xml:space="preserve">2.5 </w:t>
      </w:r>
      <w:r>
        <w:rPr>
          <w:rFonts w:hint="eastAsia"/>
        </w:rPr>
        <w:t xml:space="preserve">手法の系譜</w:t>
      </w:r>
    </w:p>
    <w:p>
      <w:pPr>
        <w:pStyle w:val="FirstParagraph"/>
      </w:pPr>
      <w:r>
        <w:rPr>
          <w:rFonts w:hint="eastAsia"/>
        </w:rPr>
        <w:t xml:space="preserve">本研究が用いる手法の出典を簡潔に記す。価格の時間スケール分解は、実現ボラティリティを日・週・月の成分の加算カスケードとして表す</w:t>
      </w:r>
      <w:r>
        <w:t xml:space="preserve"> Corsi (2009) </w:t>
      </w:r>
      <w:r>
        <w:rPr>
          <w:rFonts w:hint="eastAsia"/>
        </w:rPr>
        <w:t xml:space="preserve">のHARモデルと同型である。価格過程モデルの類型は</w:t>
      </w:r>
      <w:r>
        <w:t xml:space="preserve"> Weron (2014) </w:t>
      </w:r>
      <w:r>
        <w:rPr>
          <w:rFonts w:hint="eastAsia"/>
        </w:rPr>
        <w:t xml:space="preserve">の5類型（マルチエージェント・基礎・簡約・統計・計算知能）に従い、本研究の純需要→価格の局所供給曲線は基礎モデル、時刻プレミアムと分断レジームの混合は統計・レジームスイッチの要素にあたる。検証の作法は</w:t>
      </w:r>
      <w:r>
        <w:t xml:space="preserve"> Lago et al. (2021) </w:t>
      </w:r>
      <w:r>
        <w:rPr>
          <w:rFonts w:hint="eastAsia"/>
        </w:rPr>
        <w:t xml:space="preserve">の13項目（1年以上のテスト期間・最終区間・再校正・DM/GW検定）を参照する。欧州の簡約形モデルは負値価格を独立の複合ポアソン過程として明示的に生成する（Fanone,</w:t>
      </w:r>
      <w:r>
        <w:t xml:space="preserve"> Gamba and Prokopczuk </w:t>
      </w:r>
      <w:r>
        <w:rPr>
          <w:rFonts w:hint="eastAsia"/>
        </w:rPr>
        <w:t xml:space="preserve">2013）が、彼らが脚注で触れたフランスの0.01ユーロ/MWhの下限と同様に、日本の0.01円/kWhは打ち切りとして扱う。蓄電池の運用は</w:t>
      </w:r>
      <w:r>
        <w:t xml:space="preserve"> Sioshansi et al. (2009) </w:t>
      </w:r>
      <w:r>
        <w:rPr>
          <w:rFonts w:hint="eastAsia"/>
        </w:rPr>
        <w:t xml:space="preserve">型の完全予見線形計画を上界とし、Jiang</w:t>
      </w:r>
      <w:r>
        <w:t xml:space="preserve"> and Powell (2015) </w:t>
      </w:r>
      <w:r>
        <w:rPr>
          <w:rFonts w:hint="eastAsia"/>
        </w:rPr>
        <w:t xml:space="preserve">が近似動的計画に対して調整済みルールベース戦略が収益の55〜69%にとどまると報告したことを、実行可能戦略のcapture率の目安とする。投資の期待については、競争均衡では他社の参入が価格過程に与える効果を無視する近視眼的な参入トリガーが最適であるという</w:t>
      </w:r>
      <w:r>
        <w:t xml:space="preserve"> Leahy (1993) </w:t>
      </w:r>
      <w:r>
        <w:rPr>
          <w:rFonts w:hint="eastAsia"/>
        </w:rPr>
        <w:t xml:space="preserve">の命題と、n社のCournot–Nash均衡で待機オプションのプレミアムが2社で50%、5社で15%、無限大で0に落ちるという</w:t>
      </w:r>
      <w:r>
        <w:t xml:space="preserve"> Grenadier (2002) </w:t>
      </w:r>
      <w:r>
        <w:rPr>
          <w:rFonts w:hint="eastAsia"/>
        </w:rPr>
        <w:t xml:space="preserve">の結果を、第9章の解釈枠組みとする。単独の投資機会に対するLSMCによる投資タイミングの計算例（Shin</w:t>
      </w:r>
      <w:r>
        <w:t xml:space="preserve"> and Lee </w:t>
      </w:r>
      <w:r>
        <w:rPr>
          <w:rFonts w:hint="eastAsia"/>
        </w:rPr>
        <w:t xml:space="preserve">2024）は、競争的参入との対照として参照する。</w:t>
      </w:r>
    </w:p>
    <w:p>
      <w:pPr>
        <w:pStyle w:val="BodyText"/>
      </w:pPr>
      <w:r>
        <w:rPr>
          <w:rFonts w:hint="eastAsia"/>
        </w:rPr>
        <w:t xml:space="preserve">負の価格については、Fanone</w:t>
      </w:r>
      <w:r>
        <w:t xml:space="preserve"> et al. (2013) </w:t>
      </w:r>
      <w:r>
        <w:rPr>
          <w:rFonts w:hint="eastAsia"/>
        </w:rPr>
        <w:t xml:space="preserve">がドイツの日前市場で負値を明示的に生成する価格過程を提案し、De</w:t>
      </w:r>
      <w:r>
        <w:t xml:space="preserve"> Vos (2015) </w:t>
      </w:r>
      <w:r>
        <w:rPr>
          <w:rFonts w:hint="eastAsia"/>
        </w:rPr>
        <w:t xml:space="preserve">が独仏ベルギーの日前・当日・リアルタイム市場で負価格の頻度と深さが再エネの余剰と補助制度の設計（固定価格買取の下では発電を止める誘因がない）に依存することを示した。日本のスポット市場は0.01円/kWhの下限を持ち、余剰は価格ではなく出力制御という数量で調整される。価格による調整と数量による調整の比較は</w:t>
      </w:r>
      <w:r>
        <w:t xml:space="preserve"> Weitzman (1974) </w:t>
      </w:r>
      <w:r>
        <w:rPr>
          <w:rFonts w:hint="eastAsia"/>
        </w:rPr>
        <w:t xml:space="preserve">の古典的な枠組みに帰着し、限界費用の不確実性が大きく限界便益の傾きが緩いときに価格規制が優位になる。本研究は第10章で、下限価格を負の価格に置き換える反実仮想を同じ価格過程の上で評価し、この枠組みを蓄電池の参入に適用する。</w:t>
      </w:r>
    </w:p>
    <w:bookmarkEnd w:id="34"/>
    <w:bookmarkStart w:id="35" w:name="本研究の位置づけ"/>
    <w:p>
      <w:pPr>
        <w:pStyle w:val="Heading2"/>
      </w:pPr>
      <w:r>
        <w:t xml:space="preserve">2.6 </w:t>
      </w:r>
      <w:r>
        <w:rPr>
          <w:rFonts w:hint="eastAsia"/>
        </w:rPr>
        <w:t xml:space="preserve">本研究の位置づけ</w:t>
      </w:r>
    </w:p>
    <w:p>
      <w:pPr>
        <w:pStyle w:val="FirstParagraph"/>
      </w:pPr>
      <w:r>
        <w:rPr>
          <w:rFonts w:hint="eastAsia"/>
        </w:rPr>
        <w:t xml:space="preserve">以上を総合すると、次のギャップが浮かび上がる。第一に、再エネと価格変動性の関係は、日間（GARCH条件付き分散・日次IQR）と日内（24時間分散）で別々に測られてきたが、同一データ上で両者を並べて符号の差を時間スケールの差として示した研究は</w:t>
      </w:r>
      <w:r>
        <w:t xml:space="preserve"> Rintamäki et al. (2017) </w:t>
      </w:r>
      <w:r>
        <w:rPr>
          <w:rFonts w:hint="eastAsia"/>
        </w:rPr>
        <w:t xml:space="preserve">の日次・週次の対比を除いて乏しく、日本ではない。第二に、均衡分析（2.2.2）はすべて太陽光主導の海外市場か理論モデルを対象とし、出力制御・複数市場・価格下限・連系線制約は仮定によって捨象されるか対象外に置かれている。第三に、国内研究（2.3）は誘導形と制度分析にとどまり、蓄電池の内生化はなされていない。第四に、風力主導市場における価格形成と蓄電池価値の実証は、欧州は連系が強く豪州は太陽光と混合しているため手薄で、Karaduman</w:t>
      </w:r>
      <w:r>
        <w:t xml:space="preserve"> (2023) </w:t>
      </w:r>
      <w:r>
        <w:rPr>
          <w:rFonts w:hint="eastAsia"/>
        </w:rPr>
        <w:t xml:space="preserve">の南豪州が最も近いが単一設備の分析である。第五に、併設蓄電池のローカル価値はノーダル価格市場でのみ扱われ、ゾーン価格市場での不可視性は扱われていない。</w:t>
      </w:r>
    </w:p>
    <w:p>
      <w:pPr>
        <w:pStyle w:val="BodyText"/>
      </w:pPr>
      <w:r>
        <w:rPr>
          <w:rFonts w:hint="eastAsia"/>
        </w:rPr>
        <w:t xml:space="preserve">本研究は「風力主導市場</w:t>
      </w:r>
      <w:r>
        <w:t xml:space="preserve"> × </w:t>
      </w:r>
      <w:r>
        <w:rPr>
          <w:rFonts w:hint="eastAsia"/>
        </w:rPr>
        <w:t xml:space="preserve">蓄電池の自由参入均衡</w:t>
      </w:r>
      <w:r>
        <w:t xml:space="preserve"> × </w:t>
      </w:r>
      <w:r>
        <w:rPr>
          <w:rFonts w:hint="eastAsia"/>
        </w:rPr>
        <w:t xml:space="preserve">制度（容量市場・LTDA・出力制御）込み」という空白を埋める。差別化の軸は三つ——対象（九州・太陽光から北海道・風力へ）、手法（誘導形から構造モデルと均衡へ）、問い（変動性の記述から均衡容量と均衡からの乖離へ）——である。接続の作法は、Sakaguchi</w:t>
      </w:r>
      <w:r>
        <w:t xml:space="preserve"> and Fujii (2021) </w:t>
      </w:r>
      <w:r>
        <w:rPr>
          <w:rFonts w:hint="eastAsia"/>
        </w:rPr>
        <w:t xml:space="preserve">の分位点回帰と</w:t>
      </w:r>
      <w:r>
        <w:t xml:space="preserve"> Fuke and Ohashi (2025) </w:t>
      </w:r>
      <w:r>
        <w:rPr>
          <w:rFonts w:hint="eastAsia"/>
        </w:rPr>
        <w:t xml:space="preserve">のIQR回帰を同一データで再現・延長し、Butters</w:t>
      </w:r>
      <w:r>
        <w:t xml:space="preserve"> et al. (2025) </w:t>
      </w:r>
      <w:r>
        <w:rPr>
          <w:rFonts w:hint="eastAsia"/>
        </w:rPr>
        <w:t xml:space="preserve">のcapture水準を追試することで信頼を確保したうえで、Butters</w:t>
      </w:r>
      <w:r>
        <w:t xml:space="preserve"> et al. </w:t>
      </w:r>
      <w:r>
        <w:rPr>
          <w:rFonts w:hint="eastAsia"/>
        </w:rPr>
        <w:t xml:space="preserve">の設定（太陽光主導・単一市場・4時間固定・出力制御なし）を北海道の制度環境に置き換えたときに均衡がどう変わるかを問い、風力の長周期性と北海道の制度条件で新規性を主張する、というものである。新規性の主張は四つに絞る。（1）風力主導・単一価格ゾーン市場で「再エネ→変動性」を時間スケール別に分解し、先行研究の指標を再現したうえで日内指標との符号差を示す。（2）風力倍増と連系線増強を跨ぐ10年でMOEの減衰と市場分断の方向転換を示す。（3）π(K)曲線と契約型とマーチャントの2区分による参入均衡でマーチャントの均衡容量を推計し、均衡からの乖離を分解する。（4）エリア価格に映らないローカル抑制回避価値を均衡の文脈に置く。</w:t>
      </w:r>
    </w:p>
    <w:bookmarkEnd w:id="35"/>
    <w:bookmarkEnd w:id="36"/>
    <w:bookmarkStart w:id="44" w:name="第3章-制度的背景"/>
    <w:p>
      <w:pPr>
        <w:pStyle w:val="Heading1"/>
      </w:pPr>
      <w:r>
        <w:rPr>
          <w:rFonts w:hint="eastAsia"/>
        </w:rPr>
        <w:t xml:space="preserve">第3章</w:t>
      </w:r>
      <w:r>
        <w:t xml:space="preserve"> </w:t>
      </w:r>
      <w:r>
        <w:rPr>
          <w:rFonts w:hint="eastAsia"/>
        </w:rPr>
        <w:t xml:space="preserve">制度的背景</w:t>
      </w:r>
    </w:p>
    <w:p>
      <w:pPr>
        <w:pStyle w:val="FirstParagraph"/>
      </w:pPr>
      <w:r>
        <w:rPr>
          <w:rFonts w:hint="eastAsia"/>
        </w:rPr>
        <w:t xml:space="preserve">本章は分析の前提となる制度と市場の事実を記述する。制度は本研究において予測対象ではなく構造パラメータであり、以下の記述は2026年9月末時点で公表されている情報に基づく。</w:t>
      </w:r>
    </w:p>
    <w:bookmarkStart w:id="37" w:name="jepxスポット市場"/>
    <w:p>
      <w:pPr>
        <w:pStyle w:val="Heading2"/>
      </w:pPr>
      <w:r>
        <w:t xml:space="preserve">3.1 </w:t>
      </w:r>
      <w:r>
        <w:rPr>
          <w:rFonts w:hint="eastAsia"/>
        </w:rPr>
        <w:t xml:space="preserve">JEPXスポット市場</w:t>
      </w:r>
    </w:p>
    <w:p>
      <w:pPr>
        <w:pStyle w:val="FirstParagraph"/>
      </w:pPr>
      <w:r>
        <w:rPr>
          <w:rFonts w:hint="eastAsia"/>
        </w:rPr>
        <w:t xml:space="preserve">日本卸電力取引所（JEPX）の前日スポット市場は、受渡日前日の午前10時に締め切られる一括入札によって、翌日48コマ（30分単位）の価格を同時に決定する。各エリアの価格はシステムプライスを基準に、連系線制約が拘束する場合にエリアごとに分断される（市場分断）。北海道エリアは本州と北本連系線（運用容量90万kW、2028年3月に新々北本の運開で120万kWへ）でのみ接続されており、分断が頻繁に生じる。</w:t>
      </w:r>
    </w:p>
    <w:p>
      <w:pPr>
        <w:pStyle w:val="BodyText"/>
      </w:pPr>
      <w:r>
        <w:rPr>
          <w:rFonts w:hint="eastAsia"/>
        </w:rPr>
        <w:t xml:space="preserve">価格には0.01円/kWhの下限があり、欧州市場のような負の価格は存在しない。再エネの余剰時にはこの下限に張り付くコマ（本研究では「床」と呼ぶ）が発生し、蓄電池にとっては充電コストがほぼゼロになる時間帯となる。この打ち切り（censoring）は、欧州の文献を直輸入できない日本固有の制度条件であり、分析手法（第5章）と均衡の機構（第8章）の双方に影響する。</w:t>
      </w:r>
    </w:p>
    <w:bookmarkEnd w:id="37"/>
    <w:bookmarkStart w:id="38" w:name="優先給電と出力制御"/>
    <w:p>
      <w:pPr>
        <w:pStyle w:val="Heading2"/>
      </w:pPr>
      <w:r>
        <w:t xml:space="preserve">3.2 </w:t>
      </w:r>
      <w:r>
        <w:rPr>
          <w:rFonts w:hint="eastAsia"/>
        </w:rPr>
        <w:t xml:space="preserve">優先給電と出力制御</w:t>
      </w:r>
    </w:p>
    <w:p>
      <w:pPr>
        <w:pStyle w:val="FirstParagraph"/>
      </w:pPr>
      <w:r>
        <w:rPr>
          <w:rFonts w:hint="eastAsia"/>
        </w:rPr>
        <w:t xml:space="preserve">需給バランス維持のための優先給電ルールでは、火力の抑制・揚水と蓄電池による吸収・連系線を活用した他エリアへの送電を行ったうえで、なお余剰が残る場合に太陽光・風力を抑制する。北海道の風力抑制は2022年5月8日に初めて発生した。エネルギーベースの抑制率は2022〜2024年度で0.01〜0.04%と無視できる水準にあったが、2025年度に0.10%、2026年度上期（4〜6月）には1.35%へと立ち上がっている（第9章）。</w:t>
      </w:r>
    </w:p>
    <w:p>
      <w:pPr>
        <w:pStyle w:val="BodyText"/>
      </w:pPr>
      <w:r>
        <w:rPr>
          <w:rFonts w:hint="eastAsia"/>
        </w:rPr>
        <w:t xml:space="preserve">これとは別に、ローカル系統の混雑に起因する抑制がある。ノンファーム型接続は送電容量の空きを前提に接続を認める代わりに混雑時の出力制御を受け入れる制度で、2023年からローカル系統にも適用された。北海道では2025年11月、66kV岩松線の混雑解消を目的とした出力制御が道内で初めて実施され、以後、電力広域的運営推進機関（OCCTO）が月次の検証結果を公表している。基幹系統の混雑は2023年12月から再給電方式（一定の順序）で処理され、ローカル系統の混雑管理システムは2026年度末に運開予定である。日本にはノーダル価格が存在しないため、ローカル制約による抑制の損失はエリア価格に反映されず、抑制を受ける発電所に物理的に集中する。この点は併設蓄電池の価値（第9章）の中核をなす。</w:t>
      </w:r>
    </w:p>
    <w:bookmarkEnd w:id="38"/>
    <w:bookmarkStart w:id="39" w:name="容量市場"/>
    <w:p>
      <w:pPr>
        <w:pStyle w:val="Heading2"/>
      </w:pPr>
      <w:r>
        <w:t xml:space="preserve">3.3 </w:t>
      </w:r>
      <w:r>
        <w:rPr>
          <w:rFonts w:hint="eastAsia"/>
        </w:rPr>
        <w:t xml:space="preserve">容量市場</w:t>
      </w:r>
    </w:p>
    <w:p>
      <w:pPr>
        <w:pStyle w:val="FirstParagraph"/>
      </w:pPr>
      <w:r>
        <w:rPr>
          <w:rFonts w:hint="eastAsia"/>
        </w:rPr>
        <w:t xml:space="preserve">容量市場は4年後の供給力（kW）を確保するオークションであり、蓄電池は放電可能時間3時間以上・期待容量1,000kW以上であれば「安定電源」として参加する。契約容量は設備容量に調整係数κを乗じた期待容量で、κは放電可能時間とエリア・月に応じてOCCTOが公表する。北海道の4時間蓄電池のκは対象実需給年度2024年度向けの73.1%から2029年度向けの83.6%へ上昇しており、6時間で93.2%、8時間で98.3%である。</w:t>
      </w:r>
    </w:p>
    <w:p>
      <w:pPr>
        <w:pStyle w:val="BodyText"/>
      </w:pPr>
      <w:r>
        <w:rPr>
          <w:rFonts w:hint="eastAsia"/>
        </w:rPr>
        <w:t xml:space="preserve">北海道エリアの約定価格は4期連続で不足ブロックとなり、8,749円/kW（2026年度向け、マルチプライス適用）、13,287円（2027）、14,812円（2028）、14,972円（2029）と上限価格近傍で推移している。2029年度向けの指標価格（Net</w:t>
      </w:r>
      <w:r>
        <w:t xml:space="preserve"> </w:t>
      </w:r>
      <w:r>
        <w:rPr>
          <w:rFonts w:hint="eastAsia"/>
        </w:rPr>
        <w:t xml:space="preserve">CONE）は10,075円/kWで、上限価格はその1.5倍の15,112.5円である。Net</w:t>
      </w:r>
      <w:r>
        <w:t xml:space="preserve"> </w:t>
      </w:r>
      <w:r>
        <w:rPr>
          <w:rFonts w:hint="eastAsia"/>
        </w:rPr>
        <w:t xml:space="preserve">CONEはガス火力新設の年間固定費（Gross</w:t>
      </w:r>
      <w:r>
        <w:t xml:space="preserve"> CONE </w:t>
      </w:r>
      <w:r>
        <w:rPr>
          <w:rFonts w:hint="eastAsia"/>
        </w:rPr>
        <w:t xml:space="preserve">15,264円）から他市場収益（34%、5,190円）を控除した値であり、容量市場は「エネルギー市場収益を前提とした残余固定費の回収」市場として設計されている。4時間蓄電池の実効容量収入は2029年度向けで約14,972×0.836≒1.25万円/kW-年である。なお2030年度向けからはモデルプラントの変更によりNet</w:t>
      </w:r>
      <w:r>
        <w:t xml:space="preserve"> </w:t>
      </w:r>
      <w:r>
        <w:rPr>
          <w:rFonts w:hint="eastAsia"/>
        </w:rPr>
        <w:t xml:space="preserve">CONEが約20,911円/kWへ約2倍となり、約定方式も2段階化される方向にある。</w:t>
      </w:r>
    </w:p>
    <w:p>
      <w:pPr>
        <w:pStyle w:val="BodyText"/>
      </w:pPr>
      <w:r>
        <w:rPr>
          <w:rFonts w:hint="eastAsia"/>
        </w:rPr>
        <w:t xml:space="preserve">容量市場に参加した安定電源は、余力を卸市場または需給調整市場に応札する義務、需給ひっ迫時の供給指示への対応義務、低予備率コマでのアセスメントを負い、未達の場合は契約金額の減額（月18.3%・年110%が上限）を受ける。蓄電池の応札容量は全国で2027年度向け8万kWから2029年度向け169万kWへ2期で約21倍に急増しており、容量市場においても蓄電池参入による価格押し下げがこれから始まる局面にある。</w:t>
      </w:r>
    </w:p>
    <w:bookmarkEnd w:id="39"/>
    <w:bookmarkStart w:id="40" w:name="長期脱炭素電源オークションltda"/>
    <w:p>
      <w:pPr>
        <w:pStyle w:val="Heading2"/>
      </w:pPr>
      <w:r>
        <w:t xml:space="preserve">3.4 </w:t>
      </w:r>
      <w:r>
        <w:rPr>
          <w:rFonts w:hint="eastAsia"/>
        </w:rPr>
        <w:t xml:space="preserve">長期脱炭素電源オークション（LTDA）</w:t>
      </w:r>
    </w:p>
    <w:p>
      <w:pPr>
        <w:pStyle w:val="FirstParagraph"/>
      </w:pPr>
      <w:r>
        <w:rPr>
          <w:rFonts w:hint="eastAsia"/>
        </w:rPr>
        <w:t xml:space="preserve">LTDAは脱炭素電源の新規投資を促すため、原則20年間の固定的な容量収入を保証する制度である。落札電源は他市場収益の約9割を還付する。蓄電池の落札は第1回（2023年度応札）109.2万kW、第2回137.0万kW、第3回125.1万kW、累計371.3万kWに達し、北海道分は案件名から推定して少なくとも43.7万kWである。電源種別の約定価格は非公表だが、ブロック平均は5.8万〜8.0万円/kW/年、応札上限は10万円/kW/年である。2025年度からは放電時間6時間未満の蓄電池は参加できない。LTDAの落札分は市場収益と無関係に建設義務を負う「市場外収入に依存する容量」のストックであり、本研究では外生的に扱う。</w:t>
      </w:r>
    </w:p>
    <w:bookmarkEnd w:id="40"/>
    <w:bookmarkStart w:id="41" w:name="需給調整市場eprx"/>
    <w:p>
      <w:pPr>
        <w:pStyle w:val="Heading2"/>
      </w:pPr>
      <w:r>
        <w:t xml:space="preserve">3.5 </w:t>
      </w:r>
      <w:r>
        <w:rPr>
          <w:rFonts w:hint="eastAsia"/>
        </w:rPr>
        <w:t xml:space="preserve">需給調整市場（EPRX）</w:t>
      </w:r>
    </w:p>
    <w:p>
      <w:pPr>
        <w:pStyle w:val="FirstParagraph"/>
      </w:pPr>
      <w:r>
        <w:rPr>
          <w:rFonts w:hint="eastAsia"/>
        </w:rPr>
        <w:t xml:space="preserve">需給調整市場は一次（応動10秒）から三次②（45分）までの5商品を扱い、ΔkW（容量）をマルチプライスで約定する。応札価格のガイドラインは「逸失利益（機会費用）＋合理的な固定費相当額」を上限とし、蓄電池の充電状態制約も明示的に扱う。2026年3月には一次〜三次①の調達が週間から前日へ移行し、スポット市場に余力を入札した後の売れ残りを需給調整市場へ回す逐次構造となった。蓄電池の一次調整力の約定価格は2024年度の330円/ΔkW·hから2025年度上期の59円へ急落している。2030年代前半にはkWhとΔkWを同時約定する同時市場（SCUC/SCED）への移行が予定されている。</w:t>
      </w:r>
    </w:p>
    <w:p>
      <w:pPr>
        <w:pStyle w:val="BodyText"/>
      </w:pPr>
      <w:r>
        <w:rPr>
          <w:rFonts w:hint="eastAsia"/>
        </w:rPr>
        <w:t xml:space="preserve">本研究は、機会費用による価格上限、逐次構造、実績の価格崩落、および同時市場への移行を根拠に、均衡分析において需給調整市場をゼロレント（スポット市場の機会費用と無差別）として扱い、移行期のレントは上限バンドとして感応度に示す（第5章5.4）。</w:t>
      </w:r>
    </w:p>
    <w:bookmarkEnd w:id="41"/>
    <w:bookmarkStart w:id="42" w:name="北海道の系統と電源"/>
    <w:p>
      <w:pPr>
        <w:pStyle w:val="Heading2"/>
      </w:pPr>
      <w:r>
        <w:t xml:space="preserve">3.6 </w:t>
      </w:r>
      <w:r>
        <w:rPr>
          <w:rFonts w:hint="eastAsia"/>
        </w:rPr>
        <w:t xml:space="preserve">北海道の系統と電源</w:t>
      </w:r>
    </w:p>
    <w:p>
      <w:pPr>
        <w:pStyle w:val="FirstParagraph"/>
      </w:pPr>
      <w:r>
        <w:rPr>
          <w:rFonts w:hint="eastAsia"/>
        </w:rPr>
        <w:t xml:space="preserve">北海道は本州と北本連系線でのみ接続され、風力適地（道北・道央）から需要地への送電が細い。泊原子力発電所3号機（91.2万kW）は2027年の再稼働を目標としており、再稼働後は長期固定電源として最後に制御される。一方、ラピダスの半導体工場（2027年後半量産開始、フル稼働時約60万kW）やデータセンターの立地により、24時間フラット型の需要増が見込まれる。泊の再稼働は夜間の余剰を拡大し、フラット需要は余剰を縮小するため、両者は同規模・同時期・逆方向で価格の下裾に効く。石狩湾新港LNG2号（58万kW、2030年度）、奈井江・砂川の石炭火力廃止（2027年3月）など供給側のイベントも控える。</w:t>
      </w:r>
    </w:p>
    <w:bookmarkEnd w:id="42"/>
    <w:bookmarkStart w:id="43" w:name="蓄電池の導入状況と資本費"/>
    <w:p>
      <w:pPr>
        <w:pStyle w:val="Heading2"/>
      </w:pPr>
      <w:r>
        <w:t xml:space="preserve">3.7 </w:t>
      </w:r>
      <w:r>
        <w:rPr>
          <w:rFonts w:hint="eastAsia"/>
        </w:rPr>
        <w:t xml:space="preserve">蓄電池の導入状況と資本費</w:t>
      </w:r>
    </w:p>
    <w:p>
      <w:pPr>
        <w:pStyle w:val="FirstParagraph"/>
      </w:pPr>
      <w:r>
        <w:rPr>
          <w:rFonts w:hint="eastAsia"/>
        </w:rPr>
        <w:t xml:space="preserve">全国の系統用蓄電池の連系済み容量は2024年12月末の約17万kWから2025年12月末の約64万kWへ急増しているが、契約申込約2,869万kW・接続検討約1億7,200万kWと比べると実現はごく一部である。北海道の契約申込は176万kW（2025年12月）から234万kW（2026年）へ増加し、エリア最大需要に対する比率は約42%で全国1位である。北豊富（24万kW/72万kWh、2023年3月、風力送電網併設）、Helios札幌（5万kW/10.4万kWh、2025年12月、マーチャント）など大型案件が運開している。</w:t>
      </w:r>
    </w:p>
    <w:p>
      <w:pPr>
        <w:pStyle w:val="BodyText"/>
      </w:pPr>
      <w:r>
        <w:rPr>
          <w:rFonts w:hint="eastAsia"/>
        </w:rPr>
        <w:t xml:space="preserve">蓄電池の資本費については、調達価格等算定委員会に政府想定は存在せず、経済産業省の定置用蓄電システム普及拡大検討会が補助事業の実績から集計した系統用蓄電システムの実勢価格が唯一の公式系列である。総額（システム＋工事費）は2022年度6.1万円/kWh、2023年度7.6万円/kWh（資源価格高騰・円安）、2024年度6.8万円/kWhであり、50MWh以上の大規模案件は6.0万円/kWhである。同検討会の公式諸元（運転維持費5,000円/kW/年、廃止措置費用は建設費の5%、稼働20年）を用いると、4時間蓄電池の年間固定費（AFC）は割引率5〜6%で約2.5〜3.0万円/kW-年となる。これに託送料金と発電側課金の固定費（約0.69万円/kW-年）を加えた参入に必要な年間収益</w:t>
      </w:r>
      <w:r>
        <w:t xml:space="preserve"> </w:t>
      </w:r>
      <m:oMath>
        <m:sSub>
          <m:e>
            <m:r>
              <m:t>c</m:t>
            </m:r>
          </m:e>
          <m:sub>
            <m:r>
              <m:t>r</m:t>
            </m:r>
            <m:r>
              <m:t>e</m:t>
            </m:r>
            <m:r>
              <m:t>q</m:t>
            </m:r>
          </m:sub>
        </m:sSub>
      </m:oMath>
      <w:r>
        <w:t xml:space="preserve"> </w:t>
      </w:r>
      <w:r>
        <w:rPr>
          <w:rFonts w:hint="eastAsia"/>
        </w:rPr>
        <w:t xml:space="preserve">は約3.2〜3.7万円/kW-年である。</w:t>
      </w:r>
    </w:p>
    <w:bookmarkEnd w:id="43"/>
    <w:bookmarkEnd w:id="44"/>
    <w:bookmarkStart w:id="50" w:name="第4章-データ"/>
    <w:p>
      <w:pPr>
        <w:pStyle w:val="Heading1"/>
      </w:pPr>
      <w:r>
        <w:rPr>
          <w:rFonts w:hint="eastAsia"/>
        </w:rPr>
        <w:t xml:space="preserve">第4章</w:t>
      </w:r>
      <w:r>
        <w:t xml:space="preserve"> データ</w:t>
      </w:r>
    </w:p>
    <w:bookmarkStart w:id="45" w:name="需給実績と価格の時間パネル"/>
    <w:p>
      <w:pPr>
        <w:pStyle w:val="Heading2"/>
      </w:pPr>
      <w:r>
        <w:t xml:space="preserve">4.1 </w:t>
      </w:r>
      <w:r>
        <w:rPr>
          <w:rFonts w:hint="eastAsia"/>
        </w:rPr>
        <w:t xml:space="preserve">需給実績と価格の時間パネル</w:t>
      </w:r>
    </w:p>
    <w:p>
      <w:pPr>
        <w:pStyle w:val="FirstParagraph"/>
      </w:pPr>
      <w:r>
        <w:rPr>
          <w:rFonts w:hint="eastAsia"/>
        </w:rPr>
        <w:t xml:space="preserve">分析の基盤は、一般送配電事業者が公表する需給実績とJEPXエリアプライスを結合した時間パネルである。対象は北海道エリア（主）、東北エリアおよび九州エリア（比較・検証用）で、期間は2016年4月1日から2026年6月30日である。需給実績は北海道電力ネットワーク・東北電力ネットワーク・九州電力送配電が公表する30分値（旧様式・新様式を統合）で、エリア需要、原子力、火力、水力、揚水、太陽光・風力の実績と抑制量、連系線潮流を含む。価格はJEPXスポットのエリアプライスとシステムプライスの30分値である。すべて60分平均に変換して統一した。北海道パネルは約9万時間、九州パネルを合わせて約13万時間の観測を持つ。</w:t>
      </w:r>
    </w:p>
    <w:p>
      <w:pPr>
        <w:pStyle w:val="BodyText"/>
      </w:pPr>
      <w:r>
        <w:rPr>
          <w:rFonts w:hint="eastAsia"/>
        </w:rPr>
        <w:t xml:space="preserve">北海道と東北の新様式では時刻ラベルがコマの開始時刻を指し（九州は終了時刻）、連系線潮流の符号は受電を正とする。旧様式は4行の前書きと日付の前方補完を要する。これらの様式差は構築時に検証し、需給の恒等式（供給合計＝需要＋揚水＋送電）の残差が0.27GW以内であることを確認した。</w:t>
      </w:r>
    </w:p>
    <w:bookmarkEnd w:id="45"/>
    <w:bookmarkStart w:id="46" w:name="導入量系列と設備利用率過程"/>
    <w:p>
      <w:pPr>
        <w:pStyle w:val="Heading2"/>
      </w:pPr>
      <w:r>
        <w:t xml:space="preserve">4.2 </w:t>
      </w:r>
      <w:r>
        <w:rPr>
          <w:rFonts w:hint="eastAsia"/>
        </w:rPr>
        <w:t xml:space="preserve">導入量系列と設備利用率過程</w:t>
      </w:r>
    </w:p>
    <w:p>
      <w:pPr>
        <w:pStyle w:val="FirstParagraph"/>
      </w:pPr>
      <w:r>
        <w:rPr>
          <w:rFonts w:hint="eastAsia"/>
        </w:rPr>
        <w:t xml:space="preserve">太陽光・風力の導入量は、経済産業省のFIT/FIP情報公表用ウェブサイトの表B（市町村別導入容量）45四半期分（2014年6月〜2025年12月）から都道府県別に集計し、エリア別（北海道、東北＝東北6県＋新潟、九州）に月次で線形補間した。太陽光は10kW未満と10kW以上、風力は20kW未満と20kW以上の合計である。2025年12月以降は直近値で延長した。</w:t>
      </w:r>
    </w:p>
    <w:p>
      <w:pPr>
        <w:pStyle w:val="BodyText"/>
      </w:pPr>
      <w:r>
        <w:rPr>
          <w:rFonts w:hint="eastAsia"/>
        </w:rPr>
        <w:t xml:space="preserve">制御前出力（実績＋抑制量）を導入量で除した設備利用率（cf）過程を抽出し、北海道の年平均は風力24〜30%、太陽光12〜17%である。この</w:t>
      </w:r>
      <w:r>
        <w:t xml:space="preserve"> cf </w:t>
      </w:r>
      <w:r>
        <w:rPr>
          <w:rFonts w:hint="eastAsia"/>
        </w:rPr>
        <w:t xml:space="preserve">過程は、導入量をシナリオ変数として動かす際に気象パスを保存するために用いる（第5章5.4）。</w:t>
      </w:r>
    </w:p>
    <w:bookmarkEnd w:id="46"/>
    <w:bookmarkStart w:id="47" w:name="検証アンカー"/>
    <w:p>
      <w:pPr>
        <w:pStyle w:val="Heading2"/>
      </w:pPr>
      <w:r>
        <w:t xml:space="preserve">4.3 </w:t>
      </w:r>
      <w:r>
        <w:rPr>
          <w:rFonts w:hint="eastAsia"/>
        </w:rPr>
        <w:t xml:space="preserve">検証アンカー</w:t>
      </w:r>
    </w:p>
    <w:p>
      <w:pPr>
        <w:pStyle w:val="FirstParagraph"/>
      </w:pPr>
      <w:r>
        <w:rPr>
          <w:rFonts w:hint="eastAsia"/>
        </w:rPr>
        <w:t xml:space="preserve">パネルの品質は外部情報との突合で確認した。第一に、出力制御の初発生日はパネルで北海道2022年5月8日、東北2022年4月10日であり、各社の公表と一致する。第二に、2018年9月6日から26日の価格欠測480時間は北海道胆振東部地震によるブラックアウトに対応し、データの欠陥ではない。第三に、風力導入量は2016年末32.0万kW・2023年末86.4万kW・2024年末130.0万kWで、日本風力発電協会（JWPA）の年末値（36・83・128万kW）と整合し、太陽光は2025年3月末234.3万kWで次世代電力系統ワーキンググループの接続量（236万kW）と整合する。第四に、九州の分析装置（バックテスト・要因分解）を北海道パネルに適用した結果が、既知の構造差（床コマの少なさ等）と整合する。</w:t>
      </w:r>
    </w:p>
    <w:bookmarkEnd w:id="47"/>
    <w:bookmarkStart w:id="48" w:name="補助データ"/>
    <w:p>
      <w:pPr>
        <w:pStyle w:val="Heading2"/>
      </w:pPr>
      <w:r>
        <w:t xml:space="preserve">4.4 </w:t>
      </w:r>
      <w:r>
        <w:rPr>
          <w:rFonts w:hint="eastAsia"/>
        </w:rPr>
        <w:t xml:space="preserve">補助データ</w:t>
      </w:r>
    </w:p>
    <w:p>
      <w:pPr>
        <w:pStyle w:val="FirstParagraph"/>
      </w:pPr>
      <w:r>
        <w:rPr>
          <w:rFonts w:hint="eastAsia"/>
        </w:rPr>
        <w:t xml:space="preserve">制度パラメータは一次資料から取得した。容量市場のメインオークション約定結果（2026〜2029年度向け）、需要曲線（2027〜2029年度向け）、調整係数（2024〜2029年度向け、11,826行）、LTDAの約定結果と落札電源一覧（第1〜3回、蓄電池76案件）、定置用蓄電システム普及拡大検討会の実勢価格資料、調達価格等算定委員会の意見案（令和3〜8年度向け、風力・太陽光のコスト想定）である。系統用蓄電池の導入状況は次世代電力系統ワーキンググループ資料および北海道電力ネットワークの公表に依拠する。</w:t>
      </w:r>
    </w:p>
    <w:bookmarkEnd w:id="48"/>
    <w:bookmarkStart w:id="49" w:name="主要変数の定義"/>
    <w:p>
      <w:pPr>
        <w:pStyle w:val="Heading2"/>
      </w:pPr>
      <w:r>
        <w:t xml:space="preserve">4.5 </w:t>
      </w:r>
      <w:r>
        <w:rPr>
          <w:rFonts w:hint="eastAsia"/>
        </w:rPr>
        <w:t xml:space="preserve">主要変数の定義</w:t>
      </w:r>
    </w:p>
    <w:p>
      <w:pPr>
        <w:pStyle w:val="Compact"/>
        <w:numPr>
          <w:ilvl w:val="0"/>
          <w:numId w:val="1003"/>
        </w:numPr>
      </w:pPr>
      <w:r>
        <w:rPr>
          <w:rFonts w:hint="eastAsia"/>
          <w:b/>
          <w:bCs/>
        </w:rPr>
        <w:t xml:space="preserve">床コマ・床時間</w:t>
      </w:r>
      <w:r>
        <w:rPr>
          <w:rFonts w:hint="eastAsia"/>
        </w:rPr>
        <w:t xml:space="preserve">：エリアプライスが0.01円/kWh（60分平均では0.011円以下）のコマまたは時間。</w:t>
      </w:r>
    </w:p>
    <w:p>
      <w:pPr>
        <w:pStyle w:val="Compact"/>
        <w:numPr>
          <w:ilvl w:val="0"/>
          <w:numId w:val="1003"/>
        </w:numPr>
      </w:pPr>
      <w:r>
        <w:rPr>
          <w:rFonts w:hint="eastAsia"/>
          <w:b/>
          <w:bCs/>
        </w:rPr>
        <w:t xml:space="preserve">日平均価格</w:t>
      </w:r>
      <w:r>
        <w:rPr>
          <w:rFonts w:hint="eastAsia"/>
        </w:rPr>
        <w:t xml:space="preserve">：24時間のエリアプライスの平均（水準の指標）。</w:t>
      </w:r>
    </w:p>
    <w:p>
      <w:pPr>
        <w:pStyle w:val="Compact"/>
        <w:numPr>
          <w:ilvl w:val="0"/>
          <w:numId w:val="1003"/>
        </w:numPr>
      </w:pPr>
      <w:r>
        <w:rPr>
          <w:b/>
          <w:bCs/>
        </w:rPr>
        <w:t xml:space="preserve">TB4hスプレッド</w:t>
      </w:r>
      <w:r>
        <w:rPr>
          <w:rFonts w:hint="eastAsia"/>
        </w:rPr>
        <w:t xml:space="preserve">：日内で価格の高い4時間の平均から低い4時間の平均を引いた値（日内形状・4時間蓄電池の裁定原資の指標）。</w:t>
      </w:r>
    </w:p>
    <w:p>
      <w:pPr>
        <w:pStyle w:val="Compact"/>
        <w:numPr>
          <w:ilvl w:val="0"/>
          <w:numId w:val="1003"/>
        </w:numPr>
      </w:pPr>
      <w:r>
        <w:rPr>
          <w:rFonts w:hint="eastAsia"/>
          <w:b/>
          <w:bCs/>
        </w:rPr>
        <w:t xml:space="preserve">日内標準偏差</w:t>
      </w:r>
      <w:r>
        <w:rPr>
          <w:rFonts w:hint="eastAsia"/>
        </w:rPr>
        <w:t xml:space="preserve">：24時間の価格の標準偏差（変動性の補助指標）。</w:t>
      </w:r>
    </w:p>
    <w:p>
      <w:pPr>
        <w:pStyle w:val="Compact"/>
        <w:numPr>
          <w:ilvl w:val="0"/>
          <w:numId w:val="1003"/>
        </w:numPr>
      </w:pPr>
      <w:r>
        <w:rPr>
          <w:rFonts w:hint="eastAsia"/>
          <w:b/>
          <w:bCs/>
        </w:rPr>
        <w:t xml:space="preserve">市場分断</w:t>
      </w:r>
      <w:r>
        <w:rPr>
          <w:rFonts w:hint="eastAsia"/>
        </w:rPr>
        <w:t xml:space="preserve">：エリアプライスとシステムプライスの差が±0.01円を超える時間を、高値分断（道内＞本州）・安値分断（道内＜本州）に区分。</w:t>
      </w:r>
    </w:p>
    <w:p>
      <w:pPr>
        <w:pStyle w:val="Compact"/>
        <w:numPr>
          <w:ilvl w:val="0"/>
          <w:numId w:val="1003"/>
        </w:numPr>
      </w:pPr>
      <w:r>
        <w:rPr>
          <w:rFonts w:hint="eastAsia"/>
          <w:b/>
          <w:bCs/>
        </w:rPr>
        <w:t xml:space="preserve">制御前出力</w:t>
      </w:r>
      <w:r>
        <w:rPr>
          <w:rFonts w:hint="eastAsia"/>
        </w:rPr>
        <w:t xml:space="preserve">：太陽光・風力の実績出力に抑制量を加えた値。</w:t>
      </w:r>
    </w:p>
    <w:p>
      <w:pPr>
        <w:pStyle w:val="Compact"/>
        <w:numPr>
          <w:ilvl w:val="0"/>
          <w:numId w:val="1003"/>
        </w:numPr>
      </w:pPr>
      <w:r>
        <w:rPr>
          <w:rFonts w:hint="eastAsia"/>
          <w:b/>
          <w:bCs/>
        </w:rPr>
        <w:t xml:space="preserve">PF価値</w:t>
      </w:r>
      <w:r>
        <w:rPr>
          <w:rFonts w:hint="eastAsia"/>
        </w:rPr>
        <w:t xml:space="preserve">：完全予見（perfect</w:t>
      </w:r>
      <w:r>
        <w:t xml:space="preserve"> </w:t>
      </w:r>
      <w:r>
        <w:rPr>
          <w:rFonts w:hint="eastAsia"/>
        </w:rPr>
        <w:t xml:space="preserve">foresight）の下で4時間蓄電池が日次サイクルで得る年間裁定粗利（円/kW-年、往復効率0.85を放電側に一括適用）。</w:t>
      </w:r>
    </w:p>
    <w:p>
      <w:pPr>
        <w:pStyle w:val="FirstParagraph"/>
      </w:pPr>
      <w:r>
        <w:rPr>
          <w:rFonts w:hint="eastAsia"/>
        </w:rPr>
        <w:t xml:space="preserve">記述統計は付録Aに示す。</w:t>
      </w:r>
    </w:p>
    <w:bookmarkEnd w:id="49"/>
    <w:bookmarkEnd w:id="50"/>
    <w:bookmarkStart w:id="71" w:name="第5章-分析方法"/>
    <w:p>
      <w:pPr>
        <w:pStyle w:val="Heading1"/>
      </w:pPr>
      <w:r>
        <w:rPr>
          <w:rFonts w:hint="eastAsia"/>
        </w:rPr>
        <w:t xml:space="preserve">第5章</w:t>
      </w:r>
      <w:r>
        <w:t xml:space="preserve"> </w:t>
      </w:r>
      <w:r>
        <w:rPr>
          <w:rFonts w:hint="eastAsia"/>
        </w:rPr>
        <w:t xml:space="preserve">分析方法</w:t>
      </w:r>
    </w:p>
    <w:bookmarkStart w:id="51" w:name="分析の全体構成"/>
    <w:p>
      <w:pPr>
        <w:pStyle w:val="Heading2"/>
      </w:pPr>
      <w:r>
        <w:t xml:space="preserve">5.1 </w:t>
      </w:r>
      <w:r>
        <w:rPr>
          <w:rFonts w:hint="eastAsia"/>
        </w:rPr>
        <w:t xml:space="preserve">分析の全体構成</w:t>
      </w:r>
    </w:p>
    <w:p>
      <w:pPr>
        <w:pStyle w:val="FirstParagraph"/>
      </w:pPr>
      <w:r>
        <w:rPr>
          <w:rFonts w:hint="eastAsia"/>
        </w:rPr>
        <w:t xml:space="preserve">本研究の分析は、序論の5段階の論理——①通説の検証、②電源種による分解、③蓄電池価値の測定、④均衡、⑤乖離の分解——に対応する4つの手法群からなる（表5.1）。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論理の流れ</w:t>
            </w:r>
          </w:p>
        </w:tc>
        <w:tc>
          <w:tcPr/>
          <w:p>
            <w:pPr>
              <w:pStyle w:val="Compact"/>
            </w:pPr>
            <w:r>
              <w:rPr>
                <w:rFonts w:hint="eastAsia"/>
              </w:rPr>
              <w:t xml:space="preserve">章</w:t>
            </w:r>
          </w:p>
        </w:tc>
        <w:tc>
          <w:tcPr/>
          <w:p>
            <w:pPr>
              <w:pStyle w:val="Compact"/>
            </w:pPr>
            <w:r>
              <w:rPr>
                <w:rFonts w:hint="eastAsia"/>
              </w:rPr>
              <w:t xml:space="preserve">手法</w:t>
            </w:r>
          </w:p>
        </w:tc>
        <w:tc>
          <w:tcPr/>
          <w:p>
            <w:pPr>
              <w:pStyle w:val="Compact"/>
            </w:pPr>
            <w:r>
              <w:rPr>
                <w:rFonts w:hint="eastAsia"/>
              </w:rPr>
              <w:t xml:space="preserve">主な出力</w:t>
            </w:r>
          </w:p>
        </w:tc>
      </w:tr>
      <w:tr>
        <w:tc>
          <w:tcPr/>
          <w:p>
            <w:pPr>
              <w:pStyle w:val="Compact"/>
            </w:pPr>
            <w:r>
              <w:t xml:space="preserve">①② </w:t>
            </w:r>
            <w:r>
              <w:rPr>
                <w:rFonts w:hint="eastAsia"/>
              </w:rPr>
              <w:t xml:space="preserve">再エネと価格</w:t>
            </w:r>
          </w:p>
        </w:tc>
        <w:tc>
          <w:tcPr/>
          <w:p>
            <w:pPr>
              <w:pStyle w:val="Compact"/>
            </w:pPr>
            <w:r>
              <w:rPr>
                <w:rFonts w:hint="eastAsia"/>
              </w:rPr>
              <w:t xml:space="preserve">第6章</w:t>
            </w:r>
          </w:p>
        </w:tc>
        <w:tc>
          <w:tcPr/>
          <w:p>
            <w:pPr>
              <w:pStyle w:val="Compact"/>
            </w:pPr>
            <w:r>
              <w:rPr>
                <w:rFonts w:hint="eastAsia"/>
              </w:rPr>
              <w:t xml:space="preserve">ボラティリティの3分解、帯域分解、季節交互作用つき回帰、打ち切り分位点回帰、空間分散シミュレーション</w:t>
            </w:r>
          </w:p>
        </w:tc>
        <w:tc>
          <w:tcPr/>
          <w:p>
            <w:pPr>
              <w:pStyle w:val="Compact"/>
            </w:pPr>
            <w:r>
              <w:rPr>
                <w:rFonts w:hint="eastAsia"/>
              </w:rPr>
              <w:t xml:space="preserve">電源種×時間スケール別の価格への影響</w:t>
            </w:r>
          </w:p>
        </w:tc>
      </w:tr>
      <w:tr>
        <w:tc>
          <w:tcPr/>
          <w:p>
            <w:pPr>
              <w:pStyle w:val="Compact"/>
            </w:pPr>
            <w:r>
              <w:t xml:space="preserve">③ </w:t>
            </w:r>
            <w:r>
              <w:rPr>
                <w:rFonts w:hint="eastAsia"/>
              </w:rPr>
              <w:t xml:space="preserve">蓄電池価値</w:t>
            </w:r>
          </w:p>
        </w:tc>
        <w:tc>
          <w:tcPr/>
          <w:p>
            <w:pPr>
              <w:pStyle w:val="Compact"/>
            </w:pPr>
            <w:r>
              <w:rPr>
                <w:rFonts w:hint="eastAsia"/>
              </w:rPr>
              <w:t xml:space="preserve">第7章</w:t>
            </w:r>
          </w:p>
        </w:tc>
        <w:tc>
          <w:tcPr/>
          <w:p>
            <w:pPr>
              <w:pStyle w:val="Compact"/>
            </w:pPr>
            <w:r>
              <w:rPr>
                <w:rFonts w:hint="eastAsia"/>
              </w:rPr>
              <w:t xml:space="preserve">完全予見バックテスト、実行可能戦略のcapture率、duration曲線</w:t>
            </w:r>
          </w:p>
        </w:tc>
        <w:tc>
          <w:tcPr/>
          <w:p>
            <w:pPr>
              <w:pStyle w:val="Compact"/>
            </w:pPr>
            <w:r>
              <w:rPr>
                <w:rFonts w:hint="eastAsia"/>
              </w:rPr>
              <w:t xml:space="preserve">PF価値、ヘアカット、h別価値</w:t>
            </w:r>
          </w:p>
        </w:tc>
      </w:tr>
      <w:tr>
        <w:tc>
          <w:tcPr/>
          <w:p>
            <w:pPr>
              <w:pStyle w:val="Compact"/>
            </w:pPr>
            <w:r>
              <w:t xml:space="preserve">④ </w:t>
            </w:r>
            <w:r>
              <w:rPr>
                <w:rFonts w:hint="eastAsia"/>
              </w:rPr>
              <w:t xml:space="preserve">均衡</w:t>
            </w:r>
          </w:p>
        </w:tc>
        <w:tc>
          <w:tcPr/>
          <w:p>
            <w:pPr>
              <w:pStyle w:val="Compact"/>
            </w:pPr>
            <w:r>
              <w:rPr>
                <w:rFonts w:hint="eastAsia"/>
              </w:rPr>
              <w:t xml:space="preserve">第8章</w:t>
            </w:r>
          </w:p>
        </w:tc>
        <w:tc>
          <w:tcPr/>
          <w:p>
            <w:pPr>
              <w:pStyle w:val="Compact"/>
            </w:pPr>
            <w:r>
              <w:rPr>
                <w:rFonts w:hint="eastAsia"/>
              </w:rPr>
              <w:t xml:space="preserve">価格過程モデル、フリート内生化（増分ディスパッチ）、ゼロレント条件</w:t>
            </w:r>
          </w:p>
        </w:tc>
        <w:tc>
          <w:tcPr/>
          <w:p>
            <w:pPr>
              <w:pStyle w:val="Compact"/>
            </w:pPr>
            <m:oMath>
              <m:r>
                <m:t>π</m:t>
              </m:r>
              <m:r>
                <m:t>(</m:t>
              </m:r>
              <m:r>
                <m:t>K</m:t>
              </m:r>
              <m:r>
                <m:t>)</m:t>
              </m:r>
            </m:oMath>
            <w:r>
              <w:t xml:space="preserve">、</w:t>
            </w:r>
            <m:oMath>
              <m:sSup>
                <m:e>
                  <m:r>
                    <m:t>K</m:t>
                  </m:r>
                </m:e>
                <m:sup>
                  <m:r>
                    <m:t>*</m:t>
                  </m:r>
                </m:sup>
              </m:sSup>
            </m:oMath>
            <w:r>
              <w:rPr>
                <w:rFonts w:hint="eastAsia"/>
              </w:rPr>
              <w:t xml:space="preserve">、2次元の感応度面</w:t>
            </w:r>
          </w:p>
        </w:tc>
      </w:tr>
      <w:tr>
        <w:tc>
          <w:tcPr/>
          <w:p>
            <w:pPr>
              <w:pStyle w:val="Compact"/>
            </w:pPr>
            <w:r>
              <w:t xml:space="preserve">⑤ </w:t>
            </w:r>
            <w:r>
              <w:rPr>
                <w:rFonts w:hint="eastAsia"/>
              </w:rPr>
              <w:t xml:space="preserve">乖離</w:t>
            </w:r>
          </w:p>
        </w:tc>
        <w:tc>
          <w:tcPr/>
          <w:p>
            <w:pPr>
              <w:pStyle w:val="Compact"/>
            </w:pPr>
            <w:r>
              <w:rPr>
                <w:rFonts w:hint="eastAsia"/>
              </w:rPr>
              <w:t xml:space="preserve">第9章</w:t>
            </w:r>
          </w:p>
        </w:tc>
        <w:tc>
          <w:tcPr/>
          <w:p>
            <w:pPr>
              <w:pStyle w:val="Compact"/>
            </w:pPr>
            <w:r>
              <w:rPr>
                <w:rFonts w:hint="eastAsia"/>
              </w:rPr>
              <w:t xml:space="preserve">収益源別の計測、抑制回避価値の試算</w:t>
            </w:r>
          </w:p>
        </w:tc>
        <w:tc>
          <w:tcPr/>
          <w:p>
            <w:pPr>
              <w:pStyle w:val="Compact"/>
            </w:pPr>
            <w:r>
              <w:rPr>
                <w:rFonts w:hint="eastAsia"/>
              </w:rPr>
              <w:t xml:space="preserve">均衡からの乖離の内訳</w:t>
            </w:r>
          </w:p>
        </w:tc>
      </w:tr>
      <w:tr>
        <w:tc>
          <w:tcPr/>
          <w:p>
            <w:pPr>
              <w:pStyle w:val="Compact"/>
            </w:pPr>
            <w:r>
              <w:t xml:space="preserve">⑥ </w:t>
            </w:r>
            <w:r>
              <w:rPr>
                <w:rFonts w:hint="eastAsia"/>
              </w:rPr>
              <w:t xml:space="preserve">価格の下限</w:t>
            </w:r>
          </w:p>
        </w:tc>
        <w:tc>
          <w:tcPr/>
          <w:p>
            <w:pPr>
              <w:pStyle w:val="Compact"/>
            </w:pPr>
            <w:r>
              <w:rPr>
                <w:rFonts w:hint="eastAsia"/>
              </w:rPr>
              <w:t xml:space="preserve">第10章</w:t>
            </w:r>
          </w:p>
        </w:tc>
        <w:tc>
          <w:tcPr/>
          <w:p>
            <w:pPr>
              <w:pStyle w:val="Compact"/>
            </w:pPr>
            <w:r>
              <w:rPr>
                <w:rFonts w:hint="eastAsia"/>
              </w:rPr>
              <w:t xml:space="preserve">下限価格の段差モデル（負価格</w:t>
            </w:r>
            <w:r>
              <w:t xml:space="preserve"> </w:t>
            </w:r>
            <w:r>
              <w:rPr>
                <w:rFonts w:hint="eastAsia"/>
              </w:rPr>
              <w:t xml:space="preserve">−c）、影の価格と移転額の計測</w:t>
            </w:r>
          </w:p>
        </w:tc>
        <w:tc>
          <w:tcPr/>
          <w:p>
            <w:pPr>
              <w:pStyle w:val="Compact"/>
            </w:pPr>
            <w:r>
              <w:rPr>
                <w:rFonts w:hint="eastAsia"/>
              </w:rPr>
              <w:t xml:space="preserve">下限別の</w:t>
            </w:r>
            <w:r>
              <w:t xml:space="preserve"> </w:t>
            </w:r>
            <m:oMath>
              <m:r>
                <m:t>π</m:t>
              </m:r>
              <m:r>
                <m:t>(</m:t>
              </m:r>
              <m:r>
                <m:t>K</m:t>
              </m:r>
              <m:r>
                <m:t>)</m:t>
              </m:r>
            </m:oMath>
            <w:r>
              <w:t xml:space="preserve">・</w:t>
            </w:r>
            <m:oMath>
              <m:sSup>
                <m:e>
                  <m:r>
                    <m:t>θ</m:t>
                  </m:r>
                </m:e>
                <m:sup>
                  <m:r>
                    <m:t>*</m:t>
                  </m:r>
                </m:sup>
              </m:sSup>
            </m:oMath>
            <w:r>
              <w:rPr>
                <w:rFonts w:hint="eastAsia"/>
              </w:rPr>
              <w:t xml:space="preserve">、再エネ側の収入変化</w:t>
            </w:r>
          </w:p>
        </w:tc>
      </w:tr>
    </w:tbl>
    <w:p>
      <w:pPr>
        <w:pStyle w:val="BodyText"/>
      </w:pPr>
      <w:r>
        <w:rPr>
          <w:rFonts w:hint="eastAsia"/>
        </w:rPr>
        <w:t xml:space="preserve">表5.1</w:t>
      </w:r>
      <w:r>
        <w:t xml:space="preserve"> </w:t>
      </w:r>
      <w:r>
        <w:rPr>
          <w:rFonts w:hint="eastAsia"/>
        </w:rPr>
        <w:t xml:space="preserve">分析の全体構成（論理の流れの段階・章・手法・出力の対応）</w:t>
      </w:r>
    </w:p>
    <w:bookmarkEnd w:id="51"/>
    <w:bookmarkStart w:id="61" w:name="実証分析の方法第6章"/>
    <w:p>
      <w:pPr>
        <w:pStyle w:val="Heading2"/>
      </w:pPr>
      <w:r>
        <w:t xml:space="preserve">5.2 </w:t>
      </w:r>
      <w:r>
        <w:rPr>
          <w:rFonts w:hint="eastAsia"/>
        </w:rPr>
        <w:t xml:space="preserve">実証分析の方法（第6章）</w:t>
      </w:r>
    </w:p>
    <w:bookmarkStart w:id="52" w:name="ボラティリティの3分解"/>
    <w:p>
      <w:pPr>
        <w:pStyle w:val="Heading3"/>
      </w:pPr>
      <w:r>
        <w:t xml:space="preserve">5.2.1 </w:t>
      </w:r>
      <w:r>
        <w:rPr>
          <w:rFonts w:hint="eastAsia"/>
        </w:rPr>
        <w:t xml:space="preserve">ボラティリティの3分解</w:t>
      </w:r>
    </w:p>
    <w:p>
      <w:pPr>
        <w:pStyle w:val="FirstParagraph"/>
      </w:pPr>
      <w:r>
        <w:rPr>
          <w:rFonts w:hint="eastAsia"/>
        </w:rPr>
        <w:t xml:space="preserve">「価格ボラティリティ」を次の3つに分けて測る。（i）レベル＝日平均価格（MOEの対象）、（ii）日内形状＝TB4hスプレッドおよび日内標準偏差（ダックカーブと蓄電池の裁定原資の対象）、（iii）多日変動＝日平均価格の日次系列の変動（風力の長周期変動の対象）。通説はこの3つを区別しておらず、本研究は各電源がどの成分に効くかを分けて示す。この分解は先行研究の指標を整理する物差しでもある。Wozabal</w:t>
      </w:r>
      <w:r>
        <w:t xml:space="preserve"> et al. (2016) </w:t>
      </w:r>
      <w:r>
        <w:rPr>
          <w:rFonts w:hint="eastAsia"/>
        </w:rPr>
        <w:t xml:space="preserve">の「日次分散」と</w:t>
      </w:r>
      <w:r>
        <w:t xml:space="preserve"> Rintamäki et al. (2017) </w:t>
      </w:r>
      <w:r>
        <w:rPr>
          <w:rFonts w:hint="eastAsia"/>
        </w:rPr>
        <w:t xml:space="preserve">の「日次変動性」は24時間の日内分散であり（ii）に、Rintamäki</w:t>
      </w:r>
      <w:r>
        <w:t xml:space="preserve"> et al. </w:t>
      </w:r>
      <w:r>
        <w:rPr>
          <w:rFonts w:hint="eastAsia"/>
        </w:rPr>
        <w:t xml:space="preserve">の「週次変動性」（週内の日平均価格の分散）と</w:t>
      </w:r>
      <w:r>
        <w:t xml:space="preserve"> Fuke and Ohashi (2025) </w:t>
      </w:r>
      <w:r>
        <w:rPr>
          <w:rFonts w:hint="eastAsia"/>
        </w:rPr>
        <w:t xml:space="preserve">の日間IQRは（iii）に、Ketterer</w:t>
      </w:r>
      <w:r>
        <w:t xml:space="preserve"> (2014) や Kyritsis et al. (2017) </w:t>
      </w:r>
      <w:r>
        <w:rPr>
          <w:rFonts w:hint="eastAsia"/>
        </w:rPr>
        <w:t xml:space="preserve">のGARCH条件付き分散は日次系列の（iii）に対応する。先行研究で符号が割れる一因は、この物差しの違いにある。</w:t>
      </w:r>
    </w:p>
    <w:bookmarkEnd w:id="52"/>
    <w:bookmarkStart w:id="53" w:name="帯域分解"/>
    <w:p>
      <w:pPr>
        <w:pStyle w:val="Heading3"/>
      </w:pPr>
      <w:r>
        <w:t xml:space="preserve">5.2.2 </w:t>
      </w:r>
      <w:r>
        <w:rPr>
          <w:rFonts w:hint="eastAsia"/>
        </w:rPr>
        <w:t xml:space="preserve">帯域分解</w:t>
      </w:r>
    </w:p>
    <w:p>
      <w:pPr>
        <w:pStyle w:val="FirstParagraph"/>
      </w:pPr>
      <w:r>
        <w:rPr>
          <w:rFonts w:hint="eastAsia"/>
        </w:rPr>
        <w:t xml:space="preserve">再エネ出力（フリート集約・制御前）の分散を時間スケール別に分解するため、移動平均カスケードを用いる。系列</w:t>
      </w:r>
      <w:r>
        <w:t xml:space="preserve"> </w:t>
      </w:r>
      <m:oMath>
        <m:r>
          <m:t>x</m:t>
        </m:r>
      </m:oMath>
      <w:r>
        <w:t xml:space="preserve"> </w:t>
      </w:r>
      <w:r>
        <w:rPr>
          <w:rFonts w:hint="eastAsia"/>
        </w:rPr>
        <w:t xml:space="preserve">に対し中心化した6時間・24時間・168時間の移動平均</w:t>
      </w:r>
      <w:r>
        <w:t xml:space="preserve"> </w:t>
      </w:r>
      <m:oMath>
        <m:r>
          <m:t>M</m:t>
        </m:r>
        <m:sSub>
          <m:e>
            <m:r>
              <m:t>A</m:t>
            </m:r>
          </m:e>
          <m:sub>
            <m:r>
              <m:t>6</m:t>
            </m:r>
          </m:sub>
        </m:sSub>
        <m:r>
          <m:t>,</m:t>
        </m:r>
        <m:r>
          <m:t>M</m:t>
        </m:r>
        <m:sSub>
          <m:e>
            <m:r>
              <m:t>A</m:t>
            </m:r>
          </m:e>
          <m:sub>
            <m:r>
              <m:t>24</m:t>
            </m:r>
          </m:sub>
        </m:sSub>
        <m:r>
          <m:t>,</m:t>
        </m:r>
        <m:r>
          <m:t>M</m:t>
        </m:r>
        <m:sSub>
          <m:e>
            <m:r>
              <m:t>A</m:t>
            </m:r>
          </m:e>
          <m:sub>
            <m:r>
              <m:t>168</m:t>
            </m:r>
          </m:sub>
        </m:sSub>
      </m:oMath>
      <w:r>
        <w:t xml:space="preserve"> </w:t>
      </w:r>
      <w:r>
        <w:rPr>
          <w:rFonts w:hint="eastAsia"/>
        </w:rPr>
        <w:t xml:space="preserve">を取り、</w:t>
      </w:r>
    </w:p>
    <w:p>
      <w:pPr>
        <w:pStyle w:val="BodyText"/>
      </w:pPr>
      <m:oMathPara>
        <m:oMathParaPr>
          <m:jc m:val="center"/>
        </m:oMathParaPr>
        <m:oMath>
          <m:r>
            <m:t>x</m:t>
          </m:r>
          <m:r>
            <m:t>−</m:t>
          </m:r>
          <m:acc>
            <m:accPr>
              <m:chr m:val="‾"/>
            </m:accPr>
            <m:e>
              <m:r>
                <m:t>x</m:t>
              </m:r>
            </m:e>
          </m:acc>
          <m:r>
            <m:t>=</m:t>
          </m:r>
          <m:r>
            <m:t>(</m:t>
          </m:r>
          <m:r>
            <m:t>x</m:t>
          </m:r>
          <m:r>
            <m:t>−</m:t>
          </m:r>
          <m:r>
            <m:t>M</m:t>
          </m:r>
          <m:sSub>
            <m:e>
              <m:r>
                <m:t>A</m:t>
              </m:r>
            </m:e>
            <m:sub>
              <m:r>
                <m:t>6</m:t>
              </m:r>
            </m:sub>
          </m:sSub>
          <m:r>
            <m:t>)</m:t>
          </m:r>
          <m:r>
            <m:t>+</m:t>
          </m:r>
          <m:r>
            <m:t>(</m:t>
          </m:r>
          <m:r>
            <m:t>M</m:t>
          </m:r>
          <m:sSub>
            <m:e>
              <m:r>
                <m:t>A</m:t>
              </m:r>
            </m:e>
            <m:sub>
              <m:r>
                <m:t>6</m:t>
              </m:r>
            </m:sub>
          </m:sSub>
          <m:r>
            <m:t>−</m:t>
          </m:r>
          <m:r>
            <m:t>M</m:t>
          </m:r>
          <m:sSub>
            <m:e>
              <m:r>
                <m:t>A</m:t>
              </m:r>
            </m:e>
            <m:sub>
              <m:r>
                <m:t>24</m:t>
              </m:r>
            </m:sub>
          </m:sSub>
          <m:r>
            <m:t>)</m:t>
          </m:r>
          <m:r>
            <m:t>+</m:t>
          </m:r>
          <m:r>
            <m:t>(</m:t>
          </m:r>
          <m:r>
            <m:t>M</m:t>
          </m:r>
          <m:sSub>
            <m:e>
              <m:r>
                <m:t>A</m:t>
              </m:r>
            </m:e>
            <m:sub>
              <m:r>
                <m:t>24</m:t>
              </m:r>
            </m:sub>
          </m:sSub>
          <m:r>
            <m:t>−</m:t>
          </m:r>
          <m:r>
            <m:t>M</m:t>
          </m:r>
          <m:sSub>
            <m:e>
              <m:r>
                <m:t>A</m:t>
              </m:r>
            </m:e>
            <m:sub>
              <m:r>
                <m:t>168</m:t>
              </m:r>
            </m:sub>
          </m:sSub>
          <m:r>
            <m:t>)</m:t>
          </m:r>
          <m:r>
            <m:t>+</m:t>
          </m:r>
          <m:r>
            <m:t>(</m:t>
          </m:r>
          <m:r>
            <m:t>M</m:t>
          </m:r>
          <m:sSub>
            <m:e>
              <m:r>
                <m:t>A</m:t>
              </m:r>
            </m:e>
            <m:sub>
              <m:r>
                <m:t>168</m:t>
              </m:r>
            </m:sub>
          </m:sSub>
          <m:r>
            <m:t>−</m:t>
          </m:r>
          <m:acc>
            <m:accPr>
              <m:chr m:val="‾"/>
            </m:accPr>
            <m:e>
              <m:r>
                <m:t>x</m:t>
              </m:r>
            </m:e>
          </m:acc>
          <m:r>
            <m:t>)</m:t>
          </m:r>
        </m:oMath>
      </m:oMathPara>
    </w:p>
    <w:p>
      <w:pPr>
        <w:pStyle w:val="FirstParagraph"/>
      </w:pPr>
      <w:r>
        <w:rPr>
          <w:rFonts w:hint="eastAsia"/>
        </w:rPr>
        <w:t xml:space="preserve">の4成分（6時間未満、6〜24時間、1〜7日、7日超）に分け、各成分の分散を元系列の分散で除した分散シェアを報告する。移動平均は鋭いバンドパスではないため成分は非直交で、交差項によりシェアの合計は100%にならない。同一のフィルタを北海道・九州の風力・太陽光に適用して比較する。年度別にも計算し、帯域構造の安定性を確認する。時間スケール別の加算的な成分分解という発想は、実現ボラティリティを日・週・月の成分のカスケードとして表す</w:t>
      </w:r>
      <w:r>
        <w:t xml:space="preserve"> Corsi (2009) </w:t>
      </w:r>
      <w:r>
        <w:rPr>
          <w:rFonts w:hint="eastAsia"/>
        </w:rPr>
        <w:t xml:space="preserve">のHARモデルと同型であり、風力の空間集約が高周波成分から相殺されるという</w:t>
      </w:r>
      <w:r>
        <w:t xml:space="preserve"> St. Martin, Lundquist and Handschy (2015) </w:t>
      </w:r>
      <w:r>
        <w:rPr>
          <w:rFonts w:hint="eastAsia"/>
        </w:rPr>
        <w:t xml:space="preserve">の相関距離の知見を、価格側で検証する準備でもある。</w:t>
      </w:r>
    </w:p>
    <w:bookmarkEnd w:id="53"/>
    <w:bookmarkStart w:id="57" w:name="回帰仕様"/>
    <w:p>
      <w:pPr>
        <w:pStyle w:val="Heading3"/>
      </w:pPr>
      <w:r>
        <w:t xml:space="preserve">5.2.3 </w:t>
      </w:r>
      <w:r>
        <w:rPr>
          <w:rFonts w:hint="eastAsia"/>
        </w:rPr>
        <w:t xml:space="preserve">回帰仕様</w:t>
      </w:r>
    </w:p>
    <w:p>
      <w:pPr>
        <w:pStyle w:val="FirstParagraph"/>
      </w:pPr>
      <w:r>
        <w:rPr>
          <w:rFonts w:hint="eastAsia"/>
        </w:rPr>
        <w:t xml:space="preserve">日次パネルで、被説明変数</w:t>
      </w:r>
      <w:r>
        <w:t xml:space="preserve"> </w:t>
      </w:r>
      <m:oMath>
        <m:sSub>
          <m:e>
            <m:r>
              <m:t>y</m:t>
            </m:r>
          </m:e>
          <m:sub>
            <m:r>
              <m:t>d</m:t>
            </m:r>
          </m:sub>
        </m:sSub>
      </m:oMath>
      <w:r>
        <w:rPr>
          <w:rFonts w:hint="eastAsia"/>
        </w:rPr>
        <w:t xml:space="preserve">（日平均価格、日内標準偏差、TB4hスプレッドの3種）を再エネの日次発電量（制御前、GWh/日）に回帰する。</w:t>
      </w:r>
    </w:p>
    <w:p>
      <w:pPr>
        <w:pStyle w:val="BodyText"/>
      </w:pPr>
      <m:oMathPara>
        <m:oMathParaPr>
          <m:jc m:val="center"/>
        </m:oMathParaPr>
        <m:oMath>
          <m:sSub>
            <m:e>
              <m:r>
                <m:t>y</m:t>
              </m:r>
            </m:e>
            <m:sub>
              <m:r>
                <m:t>d</m:t>
              </m:r>
            </m:sub>
          </m:sSub>
          <m:r>
            <m:t>=</m:t>
          </m:r>
          <m:nary>
            <m:naryPr>
              <m:chr m:val="∑"/>
              <m:limLoc m:val="undOvr"/>
              <m:subHide m:val="off"/>
              <m:supHide m:val="on"/>
            </m:naryPr>
            <m:sub>
              <m:r>
                <m:t>s</m:t>
              </m:r>
            </m:sub>
            <m:sup>
              <m:r>
                <m:t>​</m:t>
              </m:r>
            </m:sup>
            <m:e>
              <m:d>
                <m:dPr>
                  <m:begChr m:val="["/>
                  <m:sepChr m:val=""/>
                  <m:endChr m:val="]"/>
                  <m:grow/>
                </m:dPr>
                <m:e>
                  <m:sSubSup>
                    <m:e>
                      <m:r>
                        <m:t>β</m:t>
                      </m:r>
                    </m:e>
                    <m:sub>
                      <m:r>
                        <m:t>s</m:t>
                      </m:r>
                    </m:sub>
                    <m:sup>
                      <m:r>
                        <m:t>s</m:t>
                      </m:r>
                      <m:r>
                        <m:t>o</m:t>
                      </m:r>
                      <m:r>
                        <m:t>l</m:t>
                      </m:r>
                      <m:r>
                        <m:t>a</m:t>
                      </m:r>
                      <m:r>
                        <m:t>r</m:t>
                      </m:r>
                    </m:sup>
                  </m:sSubSup>
                  <m:r>
                    <m:t>⋅</m:t>
                  </m:r>
                  <m:r>
                    <m:t>S</m:t>
                  </m:r>
                  <m:r>
                    <m:t>o</m:t>
                  </m:r>
                  <m:r>
                    <m:t>l</m:t>
                  </m:r>
                  <m:r>
                    <m:t>a</m:t>
                  </m:r>
                  <m:sSub>
                    <m:e>
                      <m:r>
                        <m:t>r</m:t>
                      </m:r>
                    </m:e>
                    <m:sub>
                      <m:r>
                        <m:t>d</m:t>
                      </m:r>
                    </m:sub>
                  </m:sSub>
                  <m:r>
                    <m:t>+</m:t>
                  </m:r>
                  <m:sSubSup>
                    <m:e>
                      <m:r>
                        <m:t>β</m:t>
                      </m:r>
                    </m:e>
                    <m:sub>
                      <m:r>
                        <m:t>s</m:t>
                      </m:r>
                    </m:sub>
                    <m:sup>
                      <m:r>
                        <m:t>w</m:t>
                      </m:r>
                      <m:r>
                        <m:t>i</m:t>
                      </m:r>
                      <m:r>
                        <m:t>n</m:t>
                      </m:r>
                      <m:r>
                        <m:t>d</m:t>
                      </m:r>
                    </m:sup>
                  </m:sSubSup>
                  <m:r>
                    <m:t>⋅</m:t>
                  </m:r>
                  <m:r>
                    <m:t>W</m:t>
                  </m:r>
                  <m:r>
                    <m:t>i</m:t>
                  </m:r>
                  <m:r>
                    <m:t>n</m:t>
                  </m:r>
                  <m:sSub>
                    <m:e>
                      <m:r>
                        <m:t>d</m:t>
                      </m:r>
                    </m:e>
                    <m:sub>
                      <m:r>
                        <m:t>d</m:t>
                      </m:r>
                    </m:sub>
                  </m:sSub>
                </m:e>
              </m:d>
            </m:e>
          </m:nary>
          <m:r>
            <m:t>⋅</m:t>
          </m:r>
          <m:r>
            <m:rPr>
              <m:sty m:val="b"/>
            </m:rPr>
            <m:t>1</m:t>
          </m:r>
          <m:r>
            <m:t>{</m:t>
          </m:r>
          <m:r>
            <m:t>s</m:t>
          </m:r>
          <m:r>
            <m:t>e</m:t>
          </m:r>
          <m:r>
            <m:t>a</m:t>
          </m:r>
          <m:r>
            <m:t>s</m:t>
          </m:r>
          <m:r>
            <m:t>o</m:t>
          </m:r>
          <m:sSub>
            <m:e>
              <m:r>
                <m:t>n</m:t>
              </m:r>
            </m:e>
            <m:sub>
              <m:r>
                <m:t>d</m:t>
              </m:r>
            </m:sub>
          </m:sSub>
          <m:r>
            <m:t>=</m:t>
          </m:r>
          <m:r>
            <m:t>s</m:t>
          </m:r>
          <m:r>
            <m:t>}</m:t>
          </m:r>
          <m:r>
            <m:t>+</m:t>
          </m:r>
          <m:r>
            <m:t>γ</m:t>
          </m:r>
          <m:r>
            <m:t>⋅</m:t>
          </m:r>
          <m:r>
            <m:t>D</m:t>
          </m:r>
          <m:r>
            <m:t>e</m:t>
          </m:r>
          <m:r>
            <m:t>m</m:t>
          </m:r>
          <m:r>
            <m:t>a</m:t>
          </m:r>
          <m:r>
            <m:t>n</m:t>
          </m:r>
          <m:sSub>
            <m:e>
              <m:r>
                <m:t>d</m:t>
              </m:r>
            </m:e>
            <m:sub>
              <m:r>
                <m:t>d</m:t>
              </m:r>
            </m:sub>
          </m:sSub>
          <m:r>
            <m:t>+</m:t>
          </m:r>
          <m:sSub>
            <m:e>
              <m:r>
                <m:t>α</m:t>
              </m:r>
            </m:e>
            <m:sub>
              <m:r>
                <m:t>F</m:t>
              </m:r>
              <m:r>
                <m:t>Y</m:t>
              </m:r>
            </m:sub>
          </m:sSub>
          <m:r>
            <m:t>+</m:t>
          </m:r>
          <m:sSub>
            <m:e>
              <m:r>
                <m:t>δ</m:t>
              </m:r>
            </m:e>
            <m:sub>
              <m:r>
                <m:t>s</m:t>
              </m:r>
            </m:sub>
          </m:sSub>
          <m:r>
            <m:t>+</m:t>
          </m:r>
          <m:sSub>
            <m:e>
              <m:r>
                <m:t>ε</m:t>
              </m:r>
            </m:e>
            <m:sub>
              <m:r>
                <m:t>d</m:t>
              </m:r>
            </m:sub>
          </m:sSub>
        </m:oMath>
      </m:oMathPara>
    </w:p>
    <w:p>
      <w:pPr>
        <w:pStyle w:val="FirstParagraph"/>
      </w:pPr>
      <w:r>
        <w:rPr>
          <w:rFonts w:hint="eastAsia"/>
        </w:rPr>
        <w:t xml:space="preserve">季節</w:t>
      </w:r>
      <w:r>
        <w:t xml:space="preserve"> </w:t>
      </w:r>
      <m:oMath>
        <m:r>
          <m:t>s</m:t>
        </m:r>
      </m:oMath>
      <w:r>
        <w:t xml:space="preserve"> </w:t>
      </w:r>
      <w:r>
        <w:rPr>
          <w:rFonts w:hint="eastAsia"/>
        </w:rPr>
        <w:t xml:space="preserve">は需要期・夏（7〜8月）、需要期・冬（12〜2月）、不需要期（3〜6月、10〜11月）、端境期（9月）とし、季節交互作用によって電源種×季節別の係数を得る。端境期は推定に含めるが係数は報告しない。第6章の記述統計（図6.1・6.2・6.4、表7.3）も同じ3季節で集計する。年度固定効果</w:t>
      </w:r>
      <w:r>
        <w:t xml:space="preserve"> </w:t>
      </w:r>
      <m:oMath>
        <m:sSub>
          <m:e>
            <m:r>
              <m:t>α</m:t>
            </m:r>
          </m:e>
          <m:sub>
            <m:r>
              <m:t>F</m:t>
            </m:r>
            <m:r>
              <m:t>Y</m:t>
            </m:r>
          </m:sub>
        </m:sSub>
      </m:oMath>
      <w:r>
        <w:t xml:space="preserve"> </w:t>
      </w:r>
      <w:r>
        <w:rPr>
          <w:rFonts w:hint="eastAsia"/>
        </w:rPr>
        <w:t xml:space="preserve">は燃料価格等による年次の水準シフトを吸収し、識別は年度内の日次変動による。燃料危機期（FY2021〜22）を除外した推定を6.5.4に併記する。需要をコントロールし、HC3頑健標準誤差を用いる。再エネの日次発電量は気象によって決まり、日次の価格ショックに対して外生とみなせる。同一仕様を北海道と九州で推定し、Fuke</w:t>
      </w:r>
      <w:r>
        <w:t xml:space="preserve"> and Ohashi (2025) </w:t>
      </w:r>
      <w:r>
        <w:rPr>
          <w:rFonts w:hint="eastAsia"/>
        </w:rPr>
        <w:t xml:space="preserve">が対象とした九州でのクロスチェックとする。</w:t>
      </w:r>
    </w:p>
    <w:p>
      <w:pPr>
        <w:pStyle w:val="CaptionedFigure"/>
      </w:pPr>
      <w:r>
        <w:drawing>
          <wp:inline>
            <wp:extent cx="5334000" cy="2013529"/>
            <wp:effectExtent b="0" l="0" r="0" t="0"/>
            <wp:docPr descr="図6.1 太陽光大小×3季節の時間帯別価格カーブ（FY2023〜25）" title="" id="55" name="Picture"/>
            <a:graphic>
              <a:graphicData uri="http://schemas.openxmlformats.org/drawingml/2006/picture">
                <pic:pic>
                  <pic:nvPicPr>
                    <pic:cNvPr descr="/home/user/work/thesis/figures/hokkaido/price_curve_shapes_fy2023-25.png" id="56" name="Picture"/>
                    <pic:cNvPicPr>
                      <a:picLocks noChangeArrowheads="1" noChangeAspect="1"/>
                    </pic:cNvPicPr>
                  </pic:nvPicPr>
                  <pic:blipFill>
                    <a:blip r:embed="rId54"/>
                    <a:stretch>
                      <a:fillRect/>
                    </a:stretch>
                  </pic:blipFill>
                  <pic:spPr bwMode="auto">
                    <a:xfrm>
                      <a:off x="0" y="0"/>
                      <a:ext cx="5334000" cy="2013529"/>
                    </a:xfrm>
                    <a:prstGeom prst="rect">
                      <a:avLst/>
                    </a:prstGeom>
                    <a:noFill/>
                    <a:ln w="9525">
                      <a:noFill/>
                      <a:headEnd/>
                      <a:tailEnd/>
                    </a:ln>
                  </pic:spPr>
                </pic:pic>
              </a:graphicData>
            </a:graphic>
          </wp:inline>
        </w:drawing>
      </w:r>
    </w:p>
    <w:p>
      <w:pPr>
        <w:pStyle w:val="ImageCaption"/>
      </w:pPr>
      <w:r>
        <w:rPr>
          <w:rFonts w:hint="eastAsia"/>
        </w:rPr>
        <w:t xml:space="preserve">図6.1</w:t>
      </w:r>
      <w:r>
        <w:t xml:space="preserve"> </w:t>
      </w:r>
      <w:r>
        <w:rPr>
          <w:rFonts w:hint="eastAsia"/>
        </w:rPr>
        <w:t xml:space="preserve">太陽光大小×3季節の時間帯別価格カーブ（FY2023〜25）</w:t>
      </w:r>
    </w:p>
    <w:bookmarkEnd w:id="57"/>
    <w:bookmarkStart w:id="58" w:name="打ち切り分位点回帰"/>
    <w:p>
      <w:pPr>
        <w:pStyle w:val="Heading3"/>
      </w:pPr>
      <w:r>
        <w:t xml:space="preserve">5.2.4 </w:t>
      </w:r>
      <w:r>
        <w:rPr>
          <w:rFonts w:hint="eastAsia"/>
        </w:rPr>
        <w:t xml:space="preserve">打ち切り分位点回帰</w:t>
      </w:r>
    </w:p>
    <w:p>
      <w:pPr>
        <w:pStyle w:val="FirstParagraph"/>
      </w:pPr>
      <w:r>
        <w:t xml:space="preserve">Sakaguchi and Fujii (2021) </w:t>
      </w:r>
      <w:r>
        <w:rPr>
          <w:rFonts w:hint="eastAsia"/>
        </w:rPr>
        <w:t xml:space="preserve">の仕様に沿い、時間別価格を被説明変数、風力・太陽光出力等を説明変数とする分位点回帰を推定する。0.01円/kWhの下限はデータの左側打ち切りであり、打ち切り分位点回帰で対処する。FY2016〜19（先行研究の期間）とFY2023〜25で係数を比較し、風力倍増後の変化を示す。</w:t>
      </w:r>
    </w:p>
    <w:bookmarkEnd w:id="58"/>
    <w:bookmarkStart w:id="59" w:name="空間分散シミュレーション"/>
    <w:p>
      <w:pPr>
        <w:pStyle w:val="Heading3"/>
      </w:pPr>
      <w:r>
        <w:t xml:space="preserve">5.2.5 </w:t>
      </w:r>
      <w:r>
        <w:rPr>
          <w:rFonts w:hint="eastAsia"/>
        </w:rPr>
        <w:t xml:space="preserve">空間分散シミュレーション</w:t>
      </w:r>
    </w:p>
    <w:p>
      <w:pPr>
        <w:pStyle w:val="FirstParagraph"/>
      </w:pPr>
      <w:r>
        <w:rPr>
          <w:rFonts w:hint="eastAsia"/>
        </w:rPr>
        <w:t xml:space="preserve">風力が日内スプレッドに与える影響が市場によって符号を変える理由として、本研究は北海道の特性——広いエリアが単一の統一価格で約定し、地理的に分散した風力がフリートとして集約されてから価格に効く——に注目する。この機構を検証するため、第8章の価格過程モデル上で反実仮想シミュレーションを行う。（i）実際のフリート集約風力（分散効果あり）と、（ii）同一導入量・同一日次エネルギーのまま日内帯域（6時間未満と6〜24時間）の振幅を</w:t>
      </w:r>
      <w:r>
        <w:t xml:space="preserve"> </w:t>
      </w:r>
      <m:oMath>
        <m:r>
          <m:t>λ</m:t>
        </m:r>
      </m:oMath>
      <w:r>
        <w:t xml:space="preserve"> </w:t>
      </w:r>
      <w:r>
        <w:rPr>
          <w:rFonts w:hint="eastAsia"/>
        </w:rPr>
        <w:t xml:space="preserve">倍に増幅した合成系列（集中立地の反実仮想。分散シェアは</w:t>
      </w:r>
      <w:r>
        <w:t xml:space="preserve"> </w:t>
      </w:r>
      <m:oMath>
        <m:sSup>
          <m:e>
            <m:r>
              <m:t>λ</m:t>
            </m:r>
          </m:e>
          <m:sup>
            <m:r>
              <m:t>2</m:t>
            </m:r>
          </m:sup>
        </m:sSup>
      </m:oMath>
      <w:r>
        <w:t xml:space="preserve"> </w:t>
      </w:r>
      <w:r>
        <w:rPr>
          <w:rFonts w:hint="eastAsia"/>
        </w:rPr>
        <w:t xml:space="preserve">で効き、出力は0と設備容量で打ち切る）を同じ価格過程に通し、日内スプレッドと床時間の差を「分散効果×単一価格ゾーンの価値」として定量化する。</w:t>
      </w:r>
      <m:oMath>
        <m:r>
          <m:t>λ</m:t>
        </m:r>
      </m:oMath>
      <w:r>
        <w:t xml:space="preserve"> </w:t>
      </w:r>
      <w:r>
        <w:rPr>
          <w:rFonts w:hint="eastAsia"/>
        </w:rPr>
        <w:t xml:space="preserve">は文献の単一サイトの帯域構造から校正し、感応度を併記する。</w:t>
      </w:r>
    </w:p>
    <w:bookmarkEnd w:id="59"/>
    <w:bookmarkStart w:id="60" w:name="先行研究仕様への整合fuke-and-ohashi-型の再現"/>
    <w:p>
      <w:pPr>
        <w:pStyle w:val="Heading3"/>
      </w:pPr>
      <w:r>
        <w:t xml:space="preserve">5.2.6 </w:t>
      </w:r>
      <w:r>
        <w:rPr>
          <w:rFonts w:hint="eastAsia"/>
        </w:rPr>
        <w:t xml:space="preserve">先行研究仕様への整合（Fuke</w:t>
      </w:r>
      <w:r>
        <w:t xml:space="preserve"> and Ohashi </w:t>
      </w:r>
      <w:r>
        <w:rPr>
          <w:rFonts w:hint="eastAsia"/>
        </w:rPr>
        <w:t xml:space="preserve">型の再現）</w:t>
      </w:r>
    </w:p>
    <w:p>
      <w:pPr>
        <w:pStyle w:val="FirstParagraph"/>
      </w:pPr>
      <w:r>
        <w:rPr>
          <w:rFonts w:hint="eastAsia"/>
        </w:rPr>
        <w:t xml:space="preserve">6.5の頑健性として、Fuke</w:t>
      </w:r>
      <w:r>
        <w:t xml:space="preserve"> and Ohashi (2025) </w:t>
      </w:r>
      <w:r>
        <w:rPr>
          <w:rFonts w:hint="eastAsia"/>
        </w:rPr>
        <w:t xml:space="preserve">の仕様を九州FY2016〜19で再現し、同一の日次サンプル上で本研究の指標に置き換えたときに何が変わるかを示す。被説明変数は彼らに従い「太陽光が発電している時間帯の時間値価格の単純平均」（PV</w:t>
      </w:r>
      <w:r>
        <w:t xml:space="preserve"> </w:t>
      </w:r>
      <w:r>
        <w:rPr>
          <w:rFonts w:hint="eastAsia"/>
        </w:rPr>
        <w:t xml:space="preserve">time日次価格）とし、説明変数は季節ダミー（冬12/16〜3/15、春3/16〜6/30、夏7/1〜9/30、秋10/1〜12/15）と需要（エリア需要＋域外送電）・太陽光・原子力の交互作用、7日分のラグ価格、土日祝ダミー、バイオマス増設ダミー（2018年10月以降）である。τ=0.1〜0.9の分位点回帰を推定し、変動性への効果を</w:t>
      </w:r>
      <w:r>
        <w:t xml:space="preserve"> </w:t>
      </w:r>
      <m:oMath>
        <m:sSub>
          <m:e>
            <m:r>
              <m:t>β</m:t>
            </m:r>
          </m:e>
          <m:sub>
            <m:r>
              <m:t>0.9</m:t>
            </m:r>
          </m:sub>
        </m:sSub>
        <m:r>
          <m:t>−</m:t>
        </m:r>
        <m:sSub>
          <m:e>
            <m:r>
              <m:t>β</m:t>
            </m:r>
          </m:e>
          <m:sub>
            <m:r>
              <m:t>0.1</m:t>
            </m:r>
          </m:sub>
        </m:sSub>
      </m:oMath>
      <w:r>
        <w:rPr>
          <w:rFonts w:hint="eastAsia"/>
        </w:rPr>
        <w:t xml:space="preserve">（IQR係数）で測り、ペア・ブートストラップで検定する。次に、同じ日次サンプル・同じ説明変数で被説明変数をTB4hスプレッド（日内）に替えたOLSを推定する。前者は昼間平均価格の日間の散らばり、後者は日内の形状を測るため、両者の符号の違いが時間スケールの違いを示す。同仕様を北海道（風力を追加）とFY2023〜25にも適用する。</w:t>
      </w:r>
    </w:p>
    <w:bookmarkEnd w:id="60"/>
    <w:bookmarkEnd w:id="61"/>
    <w:bookmarkStart w:id="64" w:name="蓄電池価値の測定方法第7章"/>
    <w:p>
      <w:pPr>
        <w:pStyle w:val="Heading2"/>
      </w:pPr>
      <w:r>
        <w:t xml:space="preserve">5.3 </w:t>
      </w:r>
      <w:r>
        <w:rPr>
          <w:rFonts w:hint="eastAsia"/>
        </w:rPr>
        <w:t xml:space="preserve">蓄電池価値の測定方法（第7章）</w:t>
      </w:r>
    </w:p>
    <w:bookmarkStart w:id="62" w:name="完全予見バックテストと実行可能戦略"/>
    <w:p>
      <w:pPr>
        <w:pStyle w:val="Heading3"/>
      </w:pPr>
      <w:r>
        <w:t xml:space="preserve">5.3.1 </w:t>
      </w:r>
      <w:r>
        <w:rPr>
          <w:rFonts w:hint="eastAsia"/>
        </w:rPr>
        <w:t xml:space="preserve">完全予見バックテストと実行可能戦略</w:t>
      </w:r>
    </w:p>
    <w:p>
      <w:pPr>
        <w:pStyle w:val="FirstParagraph"/>
      </w:pPr>
      <w:r>
        <w:rPr>
          <w:rFonts w:hint="eastAsia"/>
        </w:rPr>
        <w:t xml:space="preserve">蓄電池の仕様は出力1MW・容量4MWh（4時間）、往復効率0.85（放電側に一括適用）、1日1サイクル、日をまたぐ持ち越しなし、価格テイカーとする。完全予見（PF）戦略は当日の実現価格を知って最安4時間に充電・最高4時間に放電し、粗利が負の日は休止する。PFは実現可能収益の上界である。価格テイカー・完全予見の裁定を線形計画で解く定式化は</w:t>
      </w:r>
      <w:r>
        <w:t xml:space="preserve"> Sioshansi et al. (2009) </w:t>
      </w:r>
      <w:r>
        <w:rPr>
          <w:rFonts w:hint="eastAsia"/>
        </w:rPr>
        <w:t xml:space="preserve">以来の標準であり、Lamp</w:t>
      </w:r>
      <w:r>
        <w:t xml:space="preserve"> and Samano (2022) </w:t>
      </w:r>
      <w:r>
        <w:rPr>
          <w:rFonts w:hint="eastAsia"/>
        </w:rPr>
        <w:t xml:space="preserve">がCAISOで示したように実運用はこの上界に届かない。</w:t>
      </w:r>
    </w:p>
    <w:p>
      <w:pPr>
        <w:pStyle w:val="BodyText"/>
      </w:pPr>
      <w:r>
        <w:rPr>
          <w:rFonts w:hint="eastAsia"/>
        </w:rPr>
        <w:t xml:space="preserve">実行可能戦略として、（a）前日の実現価格の時間帯ランクをそのまま使う戦略、（b）D−2までの実績から需要（平日/休日別28日平均）と太陽光（7日平均）を予測し残余需要のランクで配置する戦略、（c）過去28日・同曜日区分の平均価格のランクを使う戦略（気候値）を評価し、PFに対する比率（capture率）をヘアカットの校正に用いる。DP（SoC制約下の厳密最適）との比較でランク法の妥当性を確認する。価格モデルを置かずに履歴から学習する近似動的計画（Jiang</w:t>
      </w:r>
      <w:r>
        <w:t xml:space="preserve"> and Powell </w:t>
      </w:r>
      <w:r>
        <w:rPr>
          <w:rFonts w:hint="eastAsia"/>
        </w:rPr>
        <w:t xml:space="preserve">2015）のような高度な実行可能戦略も存在するが、本研究はヘアカットの校正が目的であるため、透明で再現可能な単純戦略を用いる。</w:t>
      </w:r>
    </w:p>
    <w:bookmarkEnd w:id="62"/>
    <w:bookmarkStart w:id="63" w:name="duration曲線"/>
    <w:p>
      <w:pPr>
        <w:pStyle w:val="Heading3"/>
      </w:pPr>
      <w:r>
        <w:t xml:space="preserve">5.3.2 </w:t>
      </w:r>
      <w:r>
        <w:rPr>
          <w:rFonts w:hint="eastAsia"/>
        </w:rPr>
        <w:t xml:space="preserve">duration曲線</w:t>
      </w:r>
    </w:p>
    <w:p>
      <w:pPr>
        <w:pStyle w:val="FirstParagraph"/>
      </w:pPr>
      <w:r>
        <w:rPr>
          <w:rFonts w:hint="eastAsia"/>
        </w:rPr>
        <w:t xml:space="preserve">充放電時間</w:t>
      </w:r>
      <w:r>
        <w:t xml:space="preserve"> </w:t>
      </w:r>
      <m:oMath>
        <m:r>
          <m:t>h</m:t>
        </m:r>
        <m:r>
          <m:t>∈</m:t>
        </m:r>
        <m:r>
          <m:t>{</m:t>
        </m:r>
        <m:r>
          <m:t>2</m:t>
        </m:r>
        <m:r>
          <m:t>,</m:t>
        </m:r>
        <m:r>
          <m:t>4</m:t>
        </m:r>
        <m:r>
          <m:t>,</m:t>
        </m:r>
        <m:r>
          <m:t>6</m:t>
        </m:r>
        <m:r>
          <m:t>,</m:t>
        </m:r>
        <m:r>
          <m:t>8</m:t>
        </m:r>
        <m:r>
          <m:t>}</m:t>
        </m:r>
      </m:oMath>
      <w:r>
        <w:t xml:space="preserve"> </w:t>
      </w:r>
      <w:r>
        <w:rPr>
          <w:rFonts w:hint="eastAsia"/>
        </w:rPr>
        <w:t xml:space="preserve">についてPF価値を計算し、スポット側のh別価値を得る。容量市場の調整係数</w:t>
      </w:r>
      <w:r>
        <w:t xml:space="preserve"> </w:t>
      </w:r>
      <m:oMath>
        <m:r>
          <m:t>κ</m:t>
        </m:r>
        <m:r>
          <m:t>(</m:t>
        </m:r>
        <m:r>
          <m:t>h</m:t>
        </m:r>
        <m:r>
          <m:t>)</m:t>
        </m:r>
      </m:oMath>
      <w:r>
        <w:t xml:space="preserve"> </w:t>
      </w:r>
      <w:r>
        <w:rPr>
          <w:rFonts w:hint="eastAsia"/>
        </w:rPr>
        <w:t xml:space="preserve">と併置して、両市場を合算したdurationの価値を示す。</w:t>
      </w:r>
    </w:p>
    <w:bookmarkEnd w:id="63"/>
    <w:bookmarkEnd w:id="64"/>
    <w:bookmarkStart w:id="68" w:name="構造モデルと均衡の方法第8章"/>
    <w:p>
      <w:pPr>
        <w:pStyle w:val="Heading2"/>
      </w:pPr>
      <w:r>
        <w:t xml:space="preserve">5.4 </w:t>
      </w:r>
      <w:r>
        <w:rPr>
          <w:rFonts w:hint="eastAsia"/>
        </w:rPr>
        <w:t xml:space="preserve">構造モデルと均衡の方法（第8章）</w:t>
      </w:r>
    </w:p>
    <w:bookmarkStart w:id="65" w:name="価格過程モデル"/>
    <w:p>
      <w:pPr>
        <w:pStyle w:val="Heading3"/>
      </w:pPr>
      <w:r>
        <w:t xml:space="preserve">5.4.1 </w:t>
      </w:r>
      <w:r>
        <w:rPr>
          <w:rFonts w:hint="eastAsia"/>
        </w:rPr>
        <w:t xml:space="preserve">価格過程モデル</w:t>
      </w:r>
    </w:p>
    <w:p>
      <w:pPr>
        <w:pStyle w:val="FirstParagraph"/>
      </w:pPr>
      <w:r>
        <w:rPr>
          <w:rFonts w:hint="eastAsia"/>
        </w:rPr>
        <w:t xml:space="preserve">エリアプライスを純需要</w:t>
      </w:r>
      <w:r>
        <w:t xml:space="preserve"> </w:t>
      </w:r>
      <m:oMath>
        <m:r>
          <m:t>n</m:t>
        </m:r>
        <m:r>
          <m:t>e</m:t>
        </m:r>
        <m:r>
          <m:t>t</m:t>
        </m:r>
      </m:oMath>
      <w:r>
        <w:rPr>
          <w:rFonts w:hint="eastAsia"/>
        </w:rPr>
        <w:t xml:space="preserve">（需要</w:t>
      </w:r>
      <w:r>
        <w:t xml:space="preserve"> − </w:t>
      </w:r>
      <w:r>
        <w:rPr>
          <w:rFonts w:hint="eastAsia"/>
        </w:rPr>
        <w:t xml:space="preserve">制御前太陽光</w:t>
      </w:r>
      <w:r>
        <w:t xml:space="preserve"> − </w:t>
      </w:r>
      <w:r>
        <w:rPr>
          <w:rFonts w:hint="eastAsia"/>
        </w:rPr>
        <w:t xml:space="preserve">制御前風力</w:t>
      </w:r>
      <w:r>
        <w:t xml:space="preserve"> − </w:t>
      </w:r>
      <w:r>
        <w:rPr>
          <w:rFonts w:hint="eastAsia"/>
        </w:rPr>
        <w:t xml:space="preserve">原子力）の関数として</w:t>
      </w:r>
    </w:p>
    <w:p>
      <w:pPr>
        <w:pStyle w:val="BodyText"/>
      </w:pPr>
      <m:oMathPara>
        <m:oMathParaPr>
          <m:jc m:val="center"/>
        </m:oMathParaPr>
        <m:oMath>
          <m:sSub>
            <m:e>
              <m:r>
                <m:t>p</m:t>
              </m:r>
            </m:e>
            <m:sub>
              <m:r>
                <m:t>t</m:t>
              </m:r>
            </m:sub>
          </m:sSub>
          <m:r>
            <m:t>=</m:t>
          </m:r>
          <m:r>
            <m:t>g</m:t>
          </m:r>
          <m:r>
            <m:t>(</m:t>
          </m:r>
          <m:r>
            <m:t>n</m:t>
          </m:r>
          <m:r>
            <m:t>e</m:t>
          </m:r>
          <m:sSub>
            <m:e>
              <m:r>
                <m:t>t</m:t>
              </m:r>
            </m:e>
            <m:sub>
              <m:r>
                <m:t>t</m:t>
              </m:r>
            </m:sub>
          </m:sSub>
          <m:r>
            <m:t>;</m:t>
          </m:r>
          <m:r>
            <m:t>s</m:t>
          </m:r>
          <m:r>
            <m:t>e</m:t>
          </m:r>
          <m:r>
            <m:t>a</m:t>
          </m:r>
          <m:r>
            <m:t>s</m:t>
          </m:r>
          <m:r>
            <m:t>o</m:t>
          </m:r>
          <m:r>
            <m:t>n</m:t>
          </m:r>
          <m:r>
            <m:t>)</m:t>
          </m:r>
          <m:r>
            <m:t>+</m:t>
          </m:r>
          <m:r>
            <m:t>μ</m:t>
          </m:r>
          <m:r>
            <m:t>(</m:t>
          </m:r>
          <m:r>
            <m:t>s</m:t>
          </m:r>
          <m:r>
            <m:t>e</m:t>
          </m:r>
          <m:r>
            <m:t>a</m:t>
          </m:r>
          <m:r>
            <m:t>s</m:t>
          </m:r>
          <m:r>
            <m:t>o</m:t>
          </m:r>
          <m:r>
            <m:t>n</m:t>
          </m:r>
          <m:r>
            <m:t>,</m:t>
          </m:r>
          <m:r>
            <m:t>h</m:t>
          </m:r>
          <m:r>
            <m:t>o</m:t>
          </m:r>
          <m:r>
            <m:t>u</m:t>
          </m:r>
          <m:r>
            <m:t>r</m:t>
          </m:r>
          <m:r>
            <m:t>)</m:t>
          </m:r>
          <m:r>
            <m:t>,</m:t>
          </m:r>
          <m:r>
            <m:t> </m:t>
          </m:r>
          <m:sSub>
            <m:e>
              <m:r>
                <m:t>p</m:t>
              </m:r>
            </m:e>
            <m:sub>
              <m:r>
                <m:t>t</m:t>
              </m:r>
            </m:sub>
          </m:sSub>
          <m:r>
            <m:t>≥</m:t>
          </m:r>
          <m:r>
            <m:t>0.01</m:t>
          </m:r>
        </m:oMath>
      </m:oMathPara>
    </w:p>
    <w:p>
      <w:pPr>
        <w:pStyle w:val="FirstParagraph"/>
      </w:pPr>
      <w:r>
        <w:rPr>
          <w:rFonts w:hint="eastAsia"/>
        </w:rPr>
        <w:t xml:space="preserve">でモデル化する。</w:t>
      </w:r>
      <m:oMath>
        <m:r>
          <m:t>g</m:t>
        </m:r>
      </m:oMath>
      <w:r>
        <w:t xml:space="preserve"> </w:t>
      </w:r>
      <w:r>
        <w:rPr>
          <w:rFonts w:hint="eastAsia"/>
        </w:rPr>
        <w:t xml:space="preserve">は季節別に</w:t>
      </w:r>
      <w:r>
        <w:t xml:space="preserve"> </w:t>
      </w:r>
      <m:oMath>
        <m:r>
          <m:t>n</m:t>
        </m:r>
        <m:r>
          <m:t>e</m:t>
        </m:r>
        <m:r>
          <m:t>t</m:t>
        </m:r>
      </m:oMath>
      <w:r>
        <w:t xml:space="preserve"> </w:t>
      </w:r>
      <w:r>
        <w:rPr>
          <w:rFonts w:hint="eastAsia"/>
        </w:rPr>
        <w:t xml:space="preserve">の80分位ビンの中央値を単調化した局所供給曲線、</w:t>
      </w:r>
      <m:oMath>
        <m:r>
          <m:t>μ</m:t>
        </m:r>
      </m:oMath>
      <w:r>
        <w:t xml:space="preserve"> </w:t>
      </w:r>
      <w:r>
        <w:t xml:space="preserve">は</w:t>
      </w:r>
      <w:r>
        <w:t xml:space="preserve"> </w:t>
      </w:r>
      <m:oMath>
        <m:r>
          <m:t>g</m:t>
        </m:r>
      </m:oMath>
      <w:r>
        <w:t xml:space="preserve"> </w:t>
      </w:r>
      <w:r>
        <w:rPr>
          <w:rFonts w:hint="eastAsia"/>
        </w:rPr>
        <w:t xml:space="preserve">の残差の季節×時刻別中央値（夕方のランプ・希少性プレミアム）である。ここでの季節は気象学的な4区分（12〜2月、3〜5月、6〜8月、9〜11月）であり、第6章の報告用の季節区分（5.2.3）とは別である。市場分断を扱うため、安値分断・連系・高値分断の3レジームを</w:t>
      </w:r>
      <w:r>
        <w:t xml:space="preserve"> </w:t>
      </w:r>
      <m:oMath>
        <m:r>
          <m:t>n</m:t>
        </m:r>
        <m:r>
          <m:t>e</m:t>
        </m:r>
        <m:r>
          <m:t>t</m:t>
        </m:r>
      </m:oMath>
      <w:r>
        <w:t xml:space="preserve"> </w:t>
      </w:r>
      <w:r>
        <w:rPr>
          <w:rFonts w:hint="eastAsia"/>
        </w:rPr>
        <w:t xml:space="preserve">の多項ロジットで確率化し、連系時はシステムプライスを外生に適用する混合仕様も推定する。推定期間はFY2023〜25で、FY2026上期をout-of-sampleとする。制御前太陽光・風力は</w:t>
      </w:r>
      <w:r>
        <w:t xml:space="preserve"> </w:t>
      </w:r>
      <m:oMath>
        <m:r>
          <m:t>c</m:t>
        </m:r>
        <m:r>
          <m:t>f</m:t>
        </m:r>
        <m:r>
          <m:t>×</m:t>
        </m:r>
        <m:sSub>
          <m:e>
            <m:r>
              <m:t>K</m:t>
            </m:r>
          </m:e>
          <m:sub>
            <m:r>
              <m:t>p</m:t>
            </m:r>
            <m:r>
              <m:t>v</m:t>
            </m:r>
          </m:sub>
        </m:sSub>
        <m:r>
          <m:t>,</m:t>
        </m:r>
        <m:r>
          <m:t>c</m:t>
        </m:r>
        <m:r>
          <m:t>f</m:t>
        </m:r>
        <m:r>
          <m:t>×</m:t>
        </m:r>
        <m:sSub>
          <m:e>
            <m:r>
              <m:t>K</m:t>
            </m:r>
          </m:e>
          <m:sub>
            <m:r>
              <m:t>w</m:t>
            </m:r>
            <m:r>
              <m:t>i</m:t>
            </m:r>
            <m:r>
              <m:t>n</m:t>
            </m:r>
            <m:r>
              <m:t>d</m:t>
            </m:r>
          </m:sub>
        </m:sSub>
      </m:oMath>
      <w:r>
        <w:t xml:space="preserve"> </w:t>
      </w:r>
      <w:r>
        <w:rPr>
          <w:rFonts w:hint="eastAsia"/>
        </w:rPr>
        <w:t xml:space="preserve">で表され、導入量をシナリオ変数として気象パスを保存したまま動かせる。</w:t>
      </w:r>
    </w:p>
    <w:p>
      <w:pPr>
        <w:pStyle w:val="BodyText"/>
      </w:pPr>
      <w:r>
        <w:rPr>
          <w:rFonts w:hint="eastAsia"/>
        </w:rPr>
        <w:t xml:space="preserve">電力価格モデルの類型（Weron</w:t>
      </w:r>
      <w:r>
        <w:t xml:space="preserve"> </w:t>
      </w:r>
      <w:r>
        <w:rPr>
          <w:rFonts w:hint="eastAsia"/>
        </w:rPr>
        <w:t xml:space="preserve">2014）でいえば、</w:t>
      </w:r>
      <m:oMath>
        <m:r>
          <m:t>g</m:t>
        </m:r>
      </m:oMath>
      <w:r>
        <w:t xml:space="preserve"> </w:t>
      </w:r>
      <w:r>
        <w:rPr>
          <w:rFonts w:hint="eastAsia"/>
        </w:rPr>
        <w:t xml:space="preserve">は純需要から価格を導く基礎（fundamental）モデル、</w:t>
      </w:r>
      <m:oMath>
        <m:r>
          <m:t>μ</m:t>
        </m:r>
      </m:oMath>
      <w:r>
        <w:t xml:space="preserve"> </w:t>
      </w:r>
      <w:r>
        <w:rPr>
          <w:rFonts w:hint="eastAsia"/>
        </w:rPr>
        <w:t xml:space="preserve">と分断レジームの混合は統計・レジームスイッチの要素であり、JEPXにおける買い・売り主導のレジーム転換（Kanamura</w:t>
      </w:r>
      <w:r>
        <w:t xml:space="preserve"> and Bunn </w:t>
      </w:r>
      <w:r>
        <w:rPr>
          <w:rFonts w:hint="eastAsia"/>
        </w:rPr>
        <w:t xml:space="preserve">2022）を分断の3レジームに置き換えたものにあたる。欧州の簡約形モデルが負値価格を明示的に生成する（Fanone</w:t>
      </w:r>
      <w:r>
        <w:t xml:space="preserve"> et al. </w:t>
      </w:r>
      <w:r>
        <w:rPr>
          <w:rFonts w:hint="eastAsia"/>
        </w:rPr>
        <w:t xml:space="preserve">2013）のに対し、日本の0.01円/kWh下限は分布の左側打ち切りとして扱う。推定期間外の検証は</w:t>
      </w:r>
      <w:r>
        <w:t xml:space="preserve"> Lago et al. (2021) </w:t>
      </w:r>
      <w:r>
        <w:rPr>
          <w:rFonts w:hint="eastAsia"/>
        </w:rPr>
        <w:t xml:space="preserve">の作法（最終区間・1年以上）に従うべきところ、FY2026上期は3か月分にとどまるため暫定的な検証である。</w:t>
      </w:r>
    </w:p>
    <w:p>
      <w:pPr>
        <w:pStyle w:val="BodyText"/>
      </w:pPr>
      <w:r>
        <w:rPr>
          <w:rFonts w:hint="eastAsia"/>
        </w:rPr>
        <w:t xml:space="preserve">供給曲線の上側は燃料価格や電源構成で年々動く非定常項であり、FY2023〜25で推定した定常な</w:t>
      </w:r>
      <w:r>
        <w:t xml:space="preserve"> </w:t>
      </w:r>
      <m:oMath>
        <m:r>
          <m:t>g</m:t>
        </m:r>
      </m:oMath>
      <w:r>
        <w:rPr>
          <w:rFonts w:hint="eastAsia"/>
        </w:rPr>
        <w:t xml:space="preserve">（基本仕様）はFY2026上期の高スプレッドを再現できない。そこで拡張として年度別の価格水準係数</w:t>
      </w:r>
      <w:r>
        <w:t xml:space="preserve"> </w:t>
      </w:r>
      <m:oMath>
        <m:sSub>
          <m:e>
            <m:r>
              <m:t>θ</m:t>
            </m:r>
          </m:e>
          <m:sub>
            <m:r>
              <m:t>F</m:t>
            </m:r>
            <m:r>
              <m:t>Y</m:t>
            </m:r>
          </m:sub>
        </m:sSub>
      </m:oMath>
      <w:r>
        <w:t xml:space="preserve"> </w:t>
      </w:r>
      <w:r>
        <w:rPr>
          <w:rFonts w:hint="eastAsia"/>
        </w:rPr>
        <w:t xml:space="preserve">を導入する。</w:t>
      </w:r>
    </w:p>
    <w:p>
      <w:pPr>
        <w:pStyle w:val="BodyText"/>
      </w:pPr>
      <m:oMathPara>
        <m:oMathParaPr>
          <m:jc m:val="center"/>
        </m:oMathParaPr>
        <m:oMath>
          <m:sSub>
            <m:e>
              <m:r>
                <m:t>p</m:t>
              </m:r>
            </m:e>
            <m:sub>
              <m:r>
                <m:t>t</m:t>
              </m:r>
            </m:sub>
          </m:sSub>
          <m:r>
            <m:t>=</m:t>
          </m:r>
          <m:r>
            <m:t>max</m:t>
          </m:r>
          <m:r>
            <m:t>{</m:t>
          </m:r>
          <m:r>
            <m:t>0.01</m:t>
          </m:r>
          <m:r>
            <m:t>,</m:t>
          </m:r>
          <m:r>
            <m:t> </m:t>
          </m:r>
          <m:r>
            <m:t>0.01</m:t>
          </m:r>
          <m:r>
            <m:t>+</m:t>
          </m:r>
          <m:sSub>
            <m:e>
              <m:r>
                <m:t>θ</m:t>
              </m:r>
            </m:e>
            <m:sub>
              <m:r>
                <m:t>F</m:t>
              </m:r>
              <m:r>
                <m:t>Y</m:t>
              </m:r>
            </m:sub>
          </m:sSub>
          <m:r>
            <m:t> </m:t>
          </m:r>
          <m:r>
            <m:t>[</m:t>
          </m:r>
          <m:r>
            <m:t> </m:t>
          </m:r>
          <m:r>
            <m:t>g</m:t>
          </m:r>
          <m:r>
            <m:t>(</m:t>
          </m:r>
          <m:r>
            <m:t>n</m:t>
          </m:r>
          <m:r>
            <m:t>e</m:t>
          </m:r>
          <m:sSub>
            <m:e>
              <m:r>
                <m:t>t</m:t>
              </m:r>
            </m:e>
            <m:sub>
              <m:r>
                <m:t>t</m:t>
              </m:r>
            </m:sub>
          </m:sSub>
          <m:r>
            <m:t>;</m:t>
          </m:r>
          <m:r>
            <m:t>s</m:t>
          </m:r>
          <m:r>
            <m:t>e</m:t>
          </m:r>
          <m:r>
            <m:t>a</m:t>
          </m:r>
          <m:r>
            <m:t>s</m:t>
          </m:r>
          <m:r>
            <m:t>o</m:t>
          </m:r>
          <m:r>
            <m:t>n</m:t>
          </m:r>
          <m:r>
            <m:t>)</m:t>
          </m:r>
          <m:r>
            <m:t>+</m:t>
          </m:r>
          <m:r>
            <m:t>μ</m:t>
          </m:r>
          <m:r>
            <m:t>(</m:t>
          </m:r>
          <m:r>
            <m:t>s</m:t>
          </m:r>
          <m:r>
            <m:t>e</m:t>
          </m:r>
          <m:r>
            <m:t>a</m:t>
          </m:r>
          <m:r>
            <m:t>s</m:t>
          </m:r>
          <m:r>
            <m:t>o</m:t>
          </m:r>
          <m:r>
            <m:t>n</m:t>
          </m:r>
          <m:r>
            <m:t>,</m:t>
          </m:r>
          <m:r>
            <m:t>h</m:t>
          </m:r>
          <m:r>
            <m:t>o</m:t>
          </m:r>
          <m:r>
            <m:t>u</m:t>
          </m:r>
          <m:r>
            <m:t>r</m:t>
          </m:r>
          <m:r>
            <m:t>)</m:t>
          </m:r>
          <m:r>
            <m:t>−</m:t>
          </m:r>
          <m:r>
            <m:t>0.01</m:t>
          </m:r>
          <m:r>
            <m:t> </m:t>
          </m:r>
          <m:r>
            <m:t>]</m:t>
          </m:r>
          <m:r>
            <m:t>}</m:t>
          </m:r>
        </m:oMath>
      </m:oMathPara>
    </w:p>
    <w:p>
      <w:pPr>
        <w:pStyle w:val="FirstParagraph"/>
      </w:pPr>
      <w:r>
        <w:rPr>
          <w:rFonts w:hint="eastAsia"/>
        </w:rPr>
        <w:t xml:space="preserve">床（0.01円）より上の部分だけをスケールするのは、再エネ・水力のゼロ限界費用セグメントは動かず、火力セグメントが燃料価格に比例して動くというメリットオーダーの読みによる。形状</w:t>
      </w:r>
      <w:r>
        <w:t xml:space="preserve"> </w:t>
      </w:r>
      <m:oMath>
        <m:r>
          <m:t>g</m:t>
        </m:r>
        <m:r>
          <m:t>,</m:t>
        </m:r>
        <m:r>
          <m:t>μ</m:t>
        </m:r>
      </m:oMath>
      <w:r>
        <w:t xml:space="preserve"> </w:t>
      </w:r>
      <w:r>
        <w:t xml:space="preserve">は</w:t>
      </w:r>
      <w:r>
        <w:t xml:space="preserve"> </w:t>
      </w:r>
      <m:oMath>
        <m:r>
          <m:t>θ</m:t>
        </m:r>
      </m:oMath>
      <w:r>
        <w:t xml:space="preserve"> </w:t>
      </w:r>
      <w:r>
        <w:rPr>
          <w:rFonts w:hint="eastAsia"/>
        </w:rPr>
        <w:t xml:space="preserve">で割り戻した価格に対してFY2023〜25で推定し（</w:t>
      </w:r>
      <m:oMath>
        <m:r>
          <m:t>θ</m:t>
        </m:r>
      </m:oMath>
      <w:r>
        <w:t xml:space="preserve"> </w:t>
      </w:r>
      <w:r>
        <w:rPr>
          <w:rFonts w:hint="eastAsia"/>
        </w:rPr>
        <w:t xml:space="preserve">と形状を交互に更新し、FY2023〜25の時間加重平均が1になるよう正規化）、形状を固定したままFY2022（燃料危機）とFY2026上期の</w:t>
      </w:r>
      <w:r>
        <w:t xml:space="preserve"> </w:t>
      </w:r>
      <m:oMath>
        <m:r>
          <m:t>θ</m:t>
        </m:r>
      </m:oMath>
      <w:r>
        <w:t xml:space="preserve"> </w:t>
      </w:r>
      <w:r>
        <w:rPr>
          <w:rFonts w:hint="eastAsia"/>
        </w:rPr>
        <w:t xml:space="preserve">を1パラメータで推定してout-of-sampleの検証とする。</w:t>
      </w:r>
      <m:oMath>
        <m:r>
          <m:t>θ</m:t>
        </m:r>
      </m:oMath>
      <w:r>
        <w:t xml:space="preserve"> </w:t>
      </w:r>
      <w:r>
        <w:rPr>
          <w:rFonts w:hint="eastAsia"/>
        </w:rPr>
        <w:t xml:space="preserve">は原点回帰（基準価格3円以上・床でない時間）で推定する外部指数によらない「価格水準指数」であり、月次でも算出する。均衡分析では</w:t>
      </w:r>
      <w:r>
        <w:t xml:space="preserve"> </w:t>
      </w:r>
      <m:oMath>
        <m:r>
          <m:t>θ</m:t>
        </m:r>
      </m:oMath>
      <w:r>
        <w:t xml:space="preserve"> </w:t>
      </w:r>
      <w:r>
        <w:rPr>
          <w:rFonts w:hint="eastAsia"/>
        </w:rPr>
        <w:t xml:space="preserve">を価格水準のシナリオ変数として扱う。</w:t>
      </w:r>
    </w:p>
    <w:bookmarkEnd w:id="65"/>
    <w:bookmarkStart w:id="66" w:name="フリートの内生化"/>
    <w:p>
      <w:pPr>
        <w:pStyle w:val="Heading3"/>
      </w:pPr>
      <w:r>
        <w:t xml:space="preserve">5.4.2 </w:t>
      </w:r>
      <w:r>
        <w:rPr>
          <w:rFonts w:hint="eastAsia"/>
        </w:rPr>
        <w:t xml:space="preserve">フリートの内生化</w:t>
      </w:r>
    </w:p>
    <w:p>
      <w:pPr>
        <w:pStyle w:val="FirstParagraph"/>
      </w:pPr>
      <w:r>
        <w:rPr>
          <w:rFonts w:hint="eastAsia"/>
        </w:rPr>
        <w:t xml:space="preserve">規模</w:t>
      </w:r>
      <w:r>
        <w:t xml:space="preserve"> </w:t>
      </w:r>
      <m:oMath>
        <m:r>
          <m:t>K</m:t>
        </m:r>
      </m:oMath>
      <w:r>
        <w:t xml:space="preserve"> </w:t>
      </w:r>
      <w:r>
        <w:rPr>
          <w:rFonts w:hint="eastAsia"/>
        </w:rPr>
        <w:t xml:space="preserve">の蓄電池フリートを10万kW刻みで逐次投入する増分貪欲ディスパッチにより、フリートが価格に与える影響を内生化する。各増分はその時点の価格で最安4時間に充電・最高4時間に放電し（正マージンの日のみ）、純需要と価格を更新する。これは「各参入者が残されたスプレッドを順に取る」競争均衡の近似である。価格テイカーモデルが貯蔵の価値を過大評価する問題に対し、Emmanuel</w:t>
      </w:r>
      <w:r>
        <w:t xml:space="preserve"> and Denholm (2022) </w:t>
      </w:r>
      <w:r>
        <w:rPr>
          <w:rFonts w:hint="eastAsia"/>
        </w:rPr>
        <w:t xml:space="preserve">は貯蔵を100MW刻みで追加しながら価格への影響を回帰で戻す市場フィードバックの枠組みを提案しており、本研究の増分投入は同じ発想を供給曲線モデル上で実装したものである。Karaduman</w:t>
      </w:r>
      <w:r>
        <w:t xml:space="preserve"> (2023) </w:t>
      </w:r>
      <w:r>
        <w:rPr>
          <w:rFonts w:hint="eastAsia"/>
        </w:rPr>
        <w:t xml:space="preserve">は南豪州で価格インパクトを無視すると収益性を約2倍過大評価することを示している。フリート</w:t>
      </w:r>
      <w:r>
        <w:t xml:space="preserve"> </w:t>
      </w:r>
      <m:oMath>
        <m:r>
          <m:t>K</m:t>
        </m:r>
      </m:oMath>
      <w:r>
        <w:t xml:space="preserve"> </w:t>
      </w:r>
      <w:r>
        <w:rPr>
          <w:rFonts w:hint="eastAsia"/>
        </w:rPr>
        <w:t xml:space="preserve">投入後の価格での限界参入者（価格テイカー・完全予見）の年間裁定粗利を</w:t>
      </w:r>
      <w:r>
        <w:t xml:space="preserve"> </w:t>
      </w:r>
      <m:oMath>
        <m:sSub>
          <m:e>
            <m:r>
              <m:t>π</m:t>
            </m:r>
          </m:e>
          <m:sub>
            <m:r>
              <m:t>s</m:t>
            </m:r>
            <m:r>
              <m:t>p</m:t>
            </m:r>
            <m:r>
              <m:t>o</m:t>
            </m:r>
            <m:r>
              <m:t>t</m:t>
            </m:r>
          </m:sub>
        </m:sSub>
        <m:r>
          <m:t>(</m:t>
        </m:r>
        <m:r>
          <m:t>K</m:t>
        </m:r>
        <m:r>
          <m:t>)</m:t>
        </m:r>
      </m:oMath>
      <w:r>
        <w:t xml:space="preserve"> </w:t>
      </w:r>
      <w:r>
        <w:rPr>
          <w:rFonts w:hint="eastAsia"/>
        </w:rPr>
        <w:t xml:space="preserve">とし、実現可能収益は</w:t>
      </w:r>
      <w:r>
        <w:t xml:space="preserve"> </w:t>
      </w:r>
      <w:r>
        <w:rPr>
          <w:rFonts w:hint="eastAsia"/>
        </w:rPr>
        <w:t xml:space="preserve">capture率と充電側の託送従量負担を控除して求める。</w:t>
      </w:r>
    </w:p>
    <w:bookmarkEnd w:id="66"/>
    <w:bookmarkStart w:id="67" w:name="均衡条件"/>
    <w:p>
      <w:pPr>
        <w:pStyle w:val="Heading3"/>
      </w:pPr>
      <w:r>
        <w:t xml:space="preserve">5.4.3 </w:t>
      </w:r>
      <w:r>
        <w:rPr>
          <w:rFonts w:hint="eastAsia"/>
        </w:rPr>
        <w:t xml:space="preserve">均衡条件</w:t>
      </w:r>
    </w:p>
    <w:p>
      <w:pPr>
        <w:pStyle w:val="FirstParagraph"/>
      </w:pPr>
      <w:r>
        <w:rPr>
          <w:rFonts w:hint="eastAsia"/>
        </w:rPr>
        <w:t xml:space="preserve">自由参入均衡は限界参入者のレントがゼロとなる条件</w:t>
      </w:r>
    </w:p>
    <w:p>
      <w:pPr>
        <w:pStyle w:val="BodyText"/>
      </w:pPr>
      <m:oMathPara>
        <m:oMathParaPr>
          <m:jc m:val="center"/>
        </m:oMathParaPr>
        <m:oMath>
          <m:sSub>
            <m:e>
              <m:r>
                <m:t>π</m:t>
              </m:r>
            </m:e>
            <m:sub>
              <m:r>
                <m:t>s</m:t>
              </m:r>
              <m:r>
                <m:t>p</m:t>
              </m:r>
              <m:r>
                <m:t>o</m:t>
              </m:r>
              <m:r>
                <m:t>t</m:t>
              </m:r>
            </m:sub>
          </m:sSub>
          <m:r>
            <m:t>(</m:t>
          </m:r>
          <m:r>
            <m:t>K</m:t>
          </m:r>
          <m:r>
            <m:t>)</m:t>
          </m:r>
          <m:r>
            <m:t>⋅</m:t>
          </m:r>
          <m:r>
            <m:t>c</m:t>
          </m:r>
          <m:r>
            <m:t>+</m:t>
          </m:r>
          <m:r>
            <m:t>κ</m:t>
          </m:r>
          <m:r>
            <m:t>⋅</m:t>
          </m:r>
          <m:sSub>
            <m:e>
              <m:r>
                <m:t>P</m:t>
              </m:r>
            </m:e>
            <m:sub>
              <m:r>
                <m:t>c</m:t>
              </m:r>
              <m:r>
                <m:t>a</m:t>
              </m:r>
              <m:r>
                <m:t>p</m:t>
              </m:r>
            </m:sub>
          </m:sSub>
          <m:r>
            <m:t>−</m:t>
          </m:r>
          <m:sSub>
            <m:e>
              <m:r>
                <m:t>c</m:t>
              </m:r>
            </m:e>
            <m:sub>
              <m:r>
                <m:t>r</m:t>
              </m:r>
              <m:r>
                <m:t>e</m:t>
              </m:r>
              <m:r>
                <m:t>q</m:t>
              </m:r>
            </m:sub>
          </m:sSub>
          <m:r>
            <m:t>=</m:t>
          </m:r>
          <m:r>
            <m:t>0</m:t>
          </m:r>
        </m:oMath>
      </m:oMathPara>
    </w:p>
    <w:p>
      <w:pPr>
        <w:pStyle w:val="FirstParagraph"/>
      </w:pPr>
      <w:r>
        <w:rPr>
          <w:rFonts w:hint="eastAsia"/>
        </w:rPr>
        <w:t xml:space="preserve">で定義し、その解を</w:t>
      </w:r>
      <w:r>
        <w:t xml:space="preserve"> </w:t>
      </w:r>
      <m:oMath>
        <m:sSup>
          <m:e>
            <m:r>
              <m:t>K</m:t>
            </m:r>
          </m:e>
          <m:sup>
            <m:r>
              <m:t>*</m:t>
            </m:r>
          </m:sup>
        </m:sSup>
      </m:oMath>
      <w:r>
        <w:t xml:space="preserve"> </w:t>
      </w:r>
      <w:r>
        <w:rPr>
          <w:rFonts w:hint="eastAsia"/>
        </w:rPr>
        <w:t xml:space="preserve">とする（</w:t>
      </w:r>
      <m:oMath>
        <m:r>
          <m:t>c</m:t>
        </m:r>
      </m:oMath>
      <w:r>
        <w:t xml:space="preserve"> </w:t>
      </w:r>
      <w:r>
        <w:rPr>
          <w:rFonts w:hint="eastAsia"/>
        </w:rPr>
        <w:t xml:space="preserve">はcapture率、</w:t>
      </w:r>
      <m:oMath>
        <m:r>
          <m:t>κ</m:t>
        </m:r>
        <m:r>
          <m:t>⋅</m:t>
        </m:r>
        <m:sSub>
          <m:e>
            <m:r>
              <m:t>P</m:t>
            </m:r>
          </m:e>
          <m:sub>
            <m:r>
              <m:t>c</m:t>
            </m:r>
            <m:r>
              <m:t>a</m:t>
            </m:r>
            <m:r>
              <m:t>p</m:t>
            </m:r>
          </m:sub>
        </m:sSub>
      </m:oMath>
      <w:r>
        <w:t xml:space="preserve"> </w:t>
      </w:r>
      <w:r>
        <w:rPr>
          <w:rFonts w:hint="eastAsia"/>
        </w:rPr>
        <w:t xml:space="preserve">は実効容量収入、</w:t>
      </w:r>
      <m:oMath>
        <m:sSub>
          <m:e>
            <m:r>
              <m:t>c</m:t>
            </m:r>
          </m:e>
          <m:sub>
            <m:r>
              <m:t>r</m:t>
            </m:r>
            <m:r>
              <m:t>e</m:t>
            </m:r>
            <m:r>
              <m:t>q</m:t>
            </m:r>
          </m:sub>
        </m:sSub>
      </m:oMath>
      <w:r>
        <w:t xml:space="preserve"> </w:t>
      </w:r>
      <w:r>
        <w:rPr>
          <w:rFonts w:hint="eastAsia"/>
        </w:rPr>
        <w:t xml:space="preserve">は年間固定費に託送等固定費を加えた参入必要収益）。参入は契約型とマーチャントの2区分とし、LTDA・補助金による契約型容量は外生、マーチャント容量のみがゼロレント条件に従う。主結果は市場外収入に依存する容量を除いたマーチャントのみのケースで報告する。このゼロレント条件は</w:t>
      </w:r>
      <w:r>
        <w:t xml:space="preserve"> Butters et al. (2025) </w:t>
      </w:r>
      <w:r>
        <w:rPr>
          <w:rFonts w:hint="eastAsia"/>
        </w:rPr>
        <w:t xml:space="preserve">の動学的参入均衡の定常・確定版にあたり、投資家間の競争が進むほど個別利潤が消えて総容量が決まるという</w:t>
      </w:r>
      <w:r>
        <w:t xml:space="preserve"> Zhao et al. (2022) </w:t>
      </w:r>
      <w:r>
        <w:rPr>
          <w:rFonts w:hint="eastAsia"/>
        </w:rPr>
        <w:t xml:space="preserve">の極限に対応する。競争的参入の下で待機オプションの価値が侵食され参入が近視眼的なNPV判断に近づくこと（Leahy</w:t>
      </w:r>
      <w:r>
        <w:t xml:space="preserve"> 1993; Grenadier </w:t>
      </w:r>
      <w:r>
        <w:rPr>
          <w:rFonts w:hint="eastAsia"/>
        </w:rPr>
        <w:t xml:space="preserve">2002）が、静学的なゼロレント条件を用いる根拠である。</w:t>
      </w:r>
    </w:p>
    <w:p>
      <w:pPr>
        <w:pStyle w:val="BodyText"/>
      </w:pPr>
      <w:r>
        <w:rPr>
          <w:rFonts w:hint="eastAsia"/>
        </w:rPr>
        <w:t xml:space="preserve">需給調整市場は、機会費用に基づく価格上限・前日調達への移行・実績の価格崩落・同時市場への移行を根拠にゼロレントとして扱い、調達量×実勢ΔkW価格÷Kで定義したレントの上限を感応度として示す。容量市場価格のK依存（容量市場側のカニバリ）は公表需要曲線から閉形式で導ける。主結果では定数として扱い、8.5で北海道ブロック按分と全国連系の2境界として内生化し、9.4の均衡容量に反映する。</w:t>
      </w:r>
    </w:p>
    <w:bookmarkEnd w:id="67"/>
    <w:bookmarkEnd w:id="68"/>
    <w:bookmarkStart w:id="69" w:name="市場外収入と均衡からの乖離の分解方法第9章"/>
    <w:p>
      <w:pPr>
        <w:pStyle w:val="Heading2"/>
      </w:pPr>
      <w:r>
        <w:t xml:space="preserve">5.5 </w:t>
      </w:r>
      <w:r>
        <w:rPr>
          <w:rFonts w:hint="eastAsia"/>
        </w:rPr>
        <w:t xml:space="preserve">市場外収入と均衡からの乖離の分解方法（第9章）</w:t>
      </w:r>
    </w:p>
    <w:p>
      <w:pPr>
        <w:pStyle w:val="FirstParagraph"/>
      </w:pPr>
      <w:r>
        <w:t xml:space="preserve">マーチャントの</w:t>
      </w:r>
      <w:r>
        <w:t xml:space="preserve"> </w:t>
      </w:r>
      <m:oMath>
        <m:sSup>
          <m:e>
            <m:r>
              <m:t>K</m:t>
            </m:r>
          </m:e>
          <m:sup>
            <m:r>
              <m:t>*</m:t>
            </m:r>
          </m:sup>
        </m:sSup>
      </m:oMath>
      <w:r>
        <w:t xml:space="preserve"> </w:t>
      </w:r>
      <w:r>
        <w:rPr>
          <w:rFonts w:hint="eastAsia"/>
        </w:rPr>
        <w:t xml:space="preserve">と現実（接続済み</w:t>
      </w:r>
      <w:r>
        <w:t xml:space="preserve"> </w:t>
      </w:r>
      <m:oMath>
        <m:sSub>
          <m:e>
            <m:r>
              <m:t>K</m:t>
            </m:r>
          </m:e>
          <m:sub>
            <m:r>
              <m:t>0</m:t>
            </m:r>
          </m:sub>
        </m:sSub>
      </m:oMath>
      <w:r>
        <w:rPr>
          <w:rFonts w:hint="eastAsia"/>
        </w:rPr>
        <w:t xml:space="preserve">、契約申込）の乖離を、参入者が直面する収益源に分解する。（a）容量市場収入は約定価格×調整係数、（b）LTDAは約定結果と還付構造から実効値、（c）補助金は公募要領の補助率、（d）併設蓄電池のローカル抑制回避価値は抑制率×設備利用率×FIP価格で上限を求め、容量制約（併設容量0.64kWh/kW）下の回避可能率で実効値に補正する。（a）〜（d）で説明できない残差を（e）期待（将来スプレッド水準・資本費低下・移行期レント）として定義し、実物オプションの枠組みで解釈する。</w:t>
      </w:r>
    </w:p>
    <w:bookmarkEnd w:id="69"/>
    <w:bookmarkStart w:id="70" w:name="価格の下限の反実仮想第10章"/>
    <w:p>
      <w:pPr>
        <w:pStyle w:val="Heading2"/>
      </w:pPr>
      <w:r>
        <w:t xml:space="preserve">5.6 </w:t>
      </w:r>
      <w:r>
        <w:rPr>
          <w:rFonts w:hint="eastAsia"/>
        </w:rPr>
        <w:t xml:space="preserve">価格の下限の反実仮想（第10章）</w:t>
      </w:r>
    </w:p>
    <w:p>
      <w:pPr>
        <w:pStyle w:val="FirstParagraph"/>
      </w:pPr>
      <w:r>
        <w:rPr>
          <w:rFonts w:hint="eastAsia"/>
        </w:rPr>
        <w:t xml:space="preserve">価格過程の下限0.01円/kWhを、床に達する時間だけ</w:t>
      </w:r>
      <w:r>
        <w:t xml:space="preserve"> </w:t>
      </w:r>
      <m:oMath>
        <m:r>
          <m:t>−</m:t>
        </m:r>
        <m:r>
          <m:t>c</m:t>
        </m:r>
      </m:oMath>
      <w:r>
        <w:t xml:space="preserve"> </w:t>
      </w:r>
      <w:r>
        <w:rPr>
          <w:rFonts w:hint="eastAsia"/>
        </w:rPr>
        <w:t xml:space="preserve">円/kWh（</w:t>
      </w:r>
      <m:oMath>
        <m:r>
          <m:t>c</m:t>
        </m:r>
      </m:oMath>
      <w:r>
        <w:rPr>
          <w:rFonts w:hint="eastAsia"/>
        </w:rPr>
        <w:t xml:space="preserve">=0・5・10円）に置く段差モデルで負価格の導入を表し、8.3と同じフリート内生化で</w:t>
      </w:r>
      <w:r>
        <w:t xml:space="preserve"> </w:t>
      </w:r>
      <m:oMath>
        <m:r>
          <m:t>π</m:t>
        </m:r>
        <m:r>
          <m:t>(</m:t>
        </m:r>
        <m:r>
          <m:t>K</m:t>
        </m:r>
        <m:r>
          <m:t>)</m:t>
        </m:r>
      </m:oMath>
      <w:r>
        <w:t xml:space="preserve"> </w:t>
      </w:r>
      <w:r>
        <w:t xml:space="preserve">と</w:t>
      </w:r>
      <w:r>
        <w:t xml:space="preserve"> </w:t>
      </w:r>
      <m:oMath>
        <m:sSup>
          <m:e>
            <m:r>
              <m:t>θ</m:t>
            </m:r>
          </m:e>
          <m:sup>
            <m:r>
              <m:t>*</m:t>
            </m:r>
          </m:sup>
        </m:sSup>
      </m:oMath>
      <w:r>
        <w:t xml:space="preserve"> </w:t>
      </w:r>
      <w:r>
        <w:rPr>
          <w:rFonts w:hint="eastAsia"/>
        </w:rPr>
        <w:t xml:space="preserve">を再計算する。負の領域の供給曲線は打ち切りデータから識別できないため、</w:t>
      </w:r>
      <m:oMath>
        <m:r>
          <m:t>c</m:t>
        </m:r>
      </m:oMath>
      <w:r>
        <w:t xml:space="preserve"> </w:t>
      </w:r>
      <w:r>
        <w:rPr>
          <w:rFonts w:hint="eastAsia"/>
        </w:rPr>
        <w:t xml:space="preserve">は外生とし、余剰時の電源の支払意思（FIT電源は0円、FIP電源はプレミアム、起動費のある電源はそれ以上）を目安に幅を置く。併せて、実績の価格と出力から、床の時間に発電していた再エネ出力に</w:t>
      </w:r>
      <w:r>
        <w:t xml:space="preserve"> </w:t>
      </w:r>
      <m:oMath>
        <m:r>
          <m:t>0.01</m:t>
        </m:r>
        <m:r>
          <m:t>+</m:t>
        </m:r>
        <m:r>
          <m:t>c</m:t>
        </m:r>
      </m:oMath>
      <w:r>
        <w:t xml:space="preserve"> </w:t>
      </w:r>
      <w:r>
        <w:rPr>
          <w:rFonts w:hint="eastAsia"/>
        </w:rPr>
        <w:t xml:space="preserve">を掛けた再エネ側の収入減と、出力制御量に</w:t>
      </w:r>
      <w:r>
        <w:t xml:space="preserve"> </w:t>
      </w:r>
      <m:oMath>
        <m:r>
          <m:t>c</m:t>
        </m:r>
      </m:oMath>
      <w:r>
        <w:t xml:space="preserve"> </w:t>
      </w:r>
      <w:r>
        <w:rPr>
          <w:rFonts w:hint="eastAsia"/>
        </w:rPr>
        <w:t xml:space="preserve">を掛けた影の価格の価値を計測する。</w:t>
      </w:r>
    </w:p>
    <w:bookmarkEnd w:id="70"/>
    <w:bookmarkEnd w:id="71"/>
    <w:bookmarkStart w:id="98" w:name="第6章-実証結果i再エネは価格に何をするか-通説の検証"/>
    <w:p>
      <w:pPr>
        <w:pStyle w:val="Heading1"/>
      </w:pPr>
      <w:r>
        <w:rPr>
          <w:rFonts w:hint="eastAsia"/>
        </w:rPr>
        <w:t xml:space="preserve">第6章</w:t>
      </w:r>
      <w:r>
        <w:t xml:space="preserve"> </w:t>
      </w:r>
      <w:r>
        <w:rPr>
          <w:rFonts w:hint="eastAsia"/>
        </w:rPr>
        <w:t xml:space="preserve">実証結果I：再エネは価格に何をするか</w:t>
      </w:r>
      <w:r>
        <w:t xml:space="preserve"> — </w:t>
      </w:r>
      <w:r>
        <w:rPr>
          <w:rFonts w:hint="eastAsia"/>
        </w:rPr>
        <w:t xml:space="preserve">通説の検証</w:t>
      </w:r>
    </w:p>
    <w:bookmarkStart w:id="84" w:name="記述的証拠"/>
    <w:p>
      <w:pPr>
        <w:pStyle w:val="Heading2"/>
      </w:pPr>
      <w:r>
        <w:t xml:space="preserve">6.1 </w:t>
      </w:r>
      <w:r>
        <w:rPr>
          <w:rFonts w:hint="eastAsia"/>
        </w:rPr>
        <w:t xml:space="preserve">記述的証拠</w:t>
      </w:r>
    </w:p>
    <w:bookmarkStart w:id="75" w:name="価格カーブ太陽光は昼を彫り風力は一日を平行に沈める"/>
    <w:p>
      <w:pPr>
        <w:pStyle w:val="Heading3"/>
      </w:pPr>
      <w:r>
        <w:t xml:space="preserve">6.1.1 </w:t>
      </w:r>
      <w:r>
        <w:rPr>
          <w:rFonts w:hint="eastAsia"/>
        </w:rPr>
        <w:t xml:space="preserve">価格カーブ：太陽光は昼を彫り、風力は一日を平行に沈める</w:t>
      </w:r>
    </w:p>
    <w:p>
      <w:pPr>
        <w:pStyle w:val="FirstParagraph"/>
      </w:pPr>
      <w:r>
        <w:rPr>
          <w:rFonts w:hint="eastAsia"/>
        </w:rPr>
        <w:t xml:space="preserve">図6.1は、FY2023〜25の北海道について、各季節内で日次の太陽光発電量（制御前）が上位3分の1の日と下位3分の1の日の時刻別平均価格を示す。不需要期（3〜6月・10〜11月）では、太陽光の多い日の価格が正午に約3.3円/kWhまで陥没し、少ない日（約8円）との差は正午前後で−4.7円/kWhに達する。需要期の夏（−2.6円）と冬（−1.8円）ではこの差が小さい。一方、夕方のピーク（夏18時に約19〜20円、冬17時に約14〜15円）は太陽光の多寡によらず残る。太陽光は「昼を彫る」が「夕方を削らない」。</w:t>
      </w:r>
    </w:p>
    <w:p>
      <w:pPr>
        <w:pStyle w:val="BodyText"/>
      </w:pPr>
      <w:r>
        <w:rPr>
          <w:rFonts w:hint="eastAsia"/>
        </w:rPr>
        <w:t xml:space="preserve">図6.2は同じ図の風力版である。風力の多い日は全時間帯で価格が−1.1〜−1.6円/kWh低く、曲線の形はほぼ変わらない。風力の日内振幅（時刻別平均の最大値と最小値の差を平均で割った値）は14〜18%にとどまり、太陽光の数倍の振幅と対照的である。風力は「一日全体を平行に沈める」。</w:t>
      </w:r>
    </w:p>
    <w:p>
      <w:pPr>
        <w:pStyle w:val="CaptionedFigure"/>
      </w:pPr>
      <w:r>
        <w:drawing>
          <wp:inline>
            <wp:extent cx="5334000" cy="2014462"/>
            <wp:effectExtent b="0" l="0" r="0" t="0"/>
            <wp:docPr descr="図6.2 風力大小×3季節の時間帯別価格カーブ（FY2023〜25）" title="" id="73" name="Picture"/>
            <a:graphic>
              <a:graphicData uri="http://schemas.openxmlformats.org/drawingml/2006/picture">
                <pic:pic>
                  <pic:nvPicPr>
                    <pic:cNvPr descr="/home/user/work/thesis/figures/hokkaido/wind_price_curves_fy2023-25.png" id="74" name="Picture"/>
                    <pic:cNvPicPr>
                      <a:picLocks noChangeArrowheads="1" noChangeAspect="1"/>
                    </pic:cNvPicPr>
                  </pic:nvPicPr>
                  <pic:blipFill>
                    <a:blip r:embed="rId72"/>
                    <a:stretch>
                      <a:fillRect/>
                    </a:stretch>
                  </pic:blipFill>
                  <pic:spPr bwMode="auto">
                    <a:xfrm>
                      <a:off x="0" y="0"/>
                      <a:ext cx="5334000" cy="2014462"/>
                    </a:xfrm>
                    <a:prstGeom prst="rect">
                      <a:avLst/>
                    </a:prstGeom>
                    <a:noFill/>
                    <a:ln w="9525">
                      <a:noFill/>
                      <a:headEnd/>
                      <a:tailEnd/>
                    </a:ln>
                  </pic:spPr>
                </pic:pic>
              </a:graphicData>
            </a:graphic>
          </wp:inline>
        </w:drawing>
      </w:r>
    </w:p>
    <w:p>
      <w:pPr>
        <w:pStyle w:val="ImageCaption"/>
      </w:pPr>
      <w:r>
        <w:rPr>
          <w:rFonts w:hint="eastAsia"/>
        </w:rPr>
        <w:t xml:space="preserve">図6.2</w:t>
      </w:r>
      <w:r>
        <w:t xml:space="preserve"> </w:t>
      </w:r>
      <w:r>
        <w:rPr>
          <w:rFonts w:hint="eastAsia"/>
        </w:rPr>
        <w:t xml:space="preserve">風力大小×3季節の時間帯別価格カーブ（FY2023〜25）</w:t>
      </w:r>
    </w:p>
    <w:bookmarkEnd w:id="75"/>
    <w:bookmarkStart w:id="79" w:name="帯域分解風力の変動は長周期に太陽光は日内に"/>
    <w:p>
      <w:pPr>
        <w:pStyle w:val="Heading3"/>
      </w:pPr>
      <w:r>
        <w:t xml:space="preserve">6.1.2 </w:t>
      </w:r>
      <w:r>
        <w:rPr>
          <w:rFonts w:hint="eastAsia"/>
        </w:rPr>
        <w:t xml:space="preserve">帯域分解：風力の変動は長周期に、太陽光は日内に</w:t>
      </w:r>
    </w:p>
    <w:p>
      <w:pPr>
        <w:pStyle w:val="FirstParagraph"/>
      </w:pPr>
      <w:r>
        <w:rPr>
          <w:rFonts w:hint="eastAsia"/>
        </w:rPr>
        <w:t xml:space="preserve">表6.1は制御前出力の帯域分解（FY2022〜25）である。北海道の風力は1〜7日帯に35.7%、7日超帯に38.6%と、分散の約4分の3が1日を超える長周期に分布し、日内（6時間未満と6〜24時間の合計）は1割弱である。北海道の太陽光は6〜24時間帯が65.4%を占める。九州の風力（1〜7日44.0%、7日超27.7%）と九州の太陽光（6〜24時間65.4%）も同じ構造を示し、帯域構造は地域ではなく電源種の性質である。年度別の分解（図6.3）では、風力導入量が約4倍になったFY2016〜25の10年間で北海道風力の帯域シェアはほぼ不変（1〜7日帯38〜45%、7日超帯26〜36%）であり、九州・北海道の太陽光も6〜24時間帯が63〜66%で安定している。</w:t>
      </w:r>
    </w:p>
    <w:p>
      <w:pPr>
        <w:pStyle w:val="CaptionedFigure"/>
      </w:pPr>
      <w:r>
        <w:drawing>
          <wp:inline>
            <wp:extent cx="5334000" cy="2865569"/>
            <wp:effectExtent b="0" l="0" r="0" t="0"/>
            <wp:docPr descr="図6.3 帯域分解の年度別推移" title="" id="77" name="Picture"/>
            <a:graphic>
              <a:graphicData uri="http://schemas.openxmlformats.org/drawingml/2006/picture">
                <pic:pic>
                  <pic:nvPicPr>
                    <pic:cNvPr descr="/home/user/work/thesis/figures/hokkaido/wind_bands_timeseries.png" id="78" name="Picture"/>
                    <pic:cNvPicPr>
                      <a:picLocks noChangeArrowheads="1" noChangeAspect="1"/>
                    </pic:cNvPicPr>
                  </pic:nvPicPr>
                  <pic:blipFill>
                    <a:blip r:embed="rId76"/>
                    <a:stretch>
                      <a:fillRect/>
                    </a:stretch>
                  </pic:blipFill>
                  <pic:spPr bwMode="auto">
                    <a:xfrm>
                      <a:off x="0" y="0"/>
                      <a:ext cx="5334000" cy="2865569"/>
                    </a:xfrm>
                    <a:prstGeom prst="rect">
                      <a:avLst/>
                    </a:prstGeom>
                    <a:noFill/>
                    <a:ln w="9525">
                      <a:noFill/>
                      <a:headEnd/>
                      <a:tailEnd/>
                    </a:ln>
                  </pic:spPr>
                </pic:pic>
              </a:graphicData>
            </a:graphic>
          </wp:inline>
        </w:drawing>
      </w:r>
    </w:p>
    <w:p>
      <w:pPr>
        <w:pStyle w:val="ImageCaption"/>
      </w:pPr>
      <w:r>
        <w:rPr>
          <w:rFonts w:hint="eastAsia"/>
        </w:rPr>
        <w:t xml:space="preserve">図6.3</w:t>
      </w:r>
      <w:r>
        <w:t xml:space="preserve"> </w:t>
      </w:r>
      <w:r>
        <w:rPr>
          <w:rFonts w:hint="eastAsia"/>
        </w:rPr>
        <w:t xml:space="preserve">帯域分解の年度別推移</w:t>
      </w:r>
    </w:p>
    <w:p>
      <w:pPr>
        <w:pStyle w:val="BodyText"/>
      </w:pPr>
      <w:r>
        <w:rPr>
          <w:rFonts w:hint="eastAsia"/>
        </w:rPr>
        <w:t xml:space="preserve">風力の6時間未満帯が2%弱と太陽光（6%）より小さいのは、サイト間相関の低い高周波成分がフリート集約で相殺されるためである（St.</w:t>
      </w:r>
      <w:r>
        <w:t xml:space="preserve"> Martin et al. </w:t>
      </w:r>
      <w:r>
        <w:rPr>
          <w:rFonts w:hint="eastAsia"/>
        </w:rPr>
        <w:t xml:space="preserve">2015）。「風力はギザギザ」という単一サイトの直観と、フリート集約出力の滑らかさは矛盾しない。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帯域</w:t>
            </w:r>
          </w:p>
        </w:tc>
        <w:tc>
          <w:tcPr/>
          <w:p>
            <w:pPr>
              <w:pStyle w:val="Compact"/>
            </w:pPr>
            <w:r>
              <w:rPr>
                <w:rFonts w:hint="eastAsia"/>
              </w:rPr>
              <w:t xml:space="preserve">北海道</w:t>
            </w:r>
            <w:r>
              <w:t xml:space="preserve"> </w:t>
            </w:r>
            <w:r>
              <w:rPr>
                <w:rFonts w:hint="eastAsia"/>
              </w:rPr>
              <w:t xml:space="preserve">風力</w:t>
            </w:r>
          </w:p>
        </w:tc>
        <w:tc>
          <w:tcPr/>
          <w:p>
            <w:pPr>
              <w:pStyle w:val="Compact"/>
            </w:pPr>
            <w:r>
              <w:rPr>
                <w:rFonts w:hint="eastAsia"/>
              </w:rPr>
              <w:t xml:space="preserve">北海道</w:t>
            </w:r>
            <w:r>
              <w:t xml:space="preserve"> </w:t>
            </w:r>
            <w:r>
              <w:rPr>
                <w:rFonts w:hint="eastAsia"/>
              </w:rPr>
              <w:t xml:space="preserve">太陽光</w:t>
            </w:r>
          </w:p>
        </w:tc>
        <w:tc>
          <w:tcPr/>
          <w:p>
            <w:pPr>
              <w:pStyle w:val="Compact"/>
            </w:pPr>
            <w:r>
              <w:rPr>
                <w:rFonts w:hint="eastAsia"/>
              </w:rPr>
              <w:t xml:space="preserve">九州</w:t>
            </w:r>
            <w:r>
              <w:t xml:space="preserve"> </w:t>
            </w:r>
            <w:r>
              <w:rPr>
                <w:rFonts w:hint="eastAsia"/>
              </w:rPr>
              <w:t xml:space="preserve">風力</w:t>
            </w:r>
          </w:p>
        </w:tc>
        <w:tc>
          <w:tcPr/>
          <w:p>
            <w:pPr>
              <w:pStyle w:val="Compact"/>
            </w:pPr>
            <w:r>
              <w:rPr>
                <w:rFonts w:hint="eastAsia"/>
              </w:rPr>
              <w:t xml:space="preserve">九州</w:t>
            </w:r>
            <w:r>
              <w:t xml:space="preserve"> </w:t>
            </w:r>
            <w:r>
              <w:rPr>
                <w:rFonts w:hint="eastAsia"/>
              </w:rPr>
              <w:t xml:space="preserve">太陽光</w:t>
            </w:r>
          </w:p>
        </w:tc>
      </w:tr>
      <w:tr>
        <w:tc>
          <w:tcPr/>
          <w:p>
            <w:pPr>
              <w:pStyle w:val="Compact"/>
            </w:pPr>
            <w:r>
              <w:rPr>
                <w:rFonts w:hint="eastAsia"/>
              </w:rPr>
              <w:t xml:space="preserve">6時間未満</w:t>
            </w:r>
          </w:p>
        </w:tc>
        <w:tc>
          <w:tcPr/>
          <w:p>
            <w:pPr>
              <w:pStyle w:val="Compact"/>
            </w:pPr>
            <w:r>
              <w:t xml:space="preserve">1.7%</w:t>
            </w:r>
          </w:p>
        </w:tc>
        <w:tc>
          <w:tcPr/>
          <w:p>
            <w:pPr>
              <w:pStyle w:val="Compact"/>
            </w:pPr>
            <w:r>
              <w:t xml:space="preserve">6.0%</w:t>
            </w:r>
          </w:p>
        </w:tc>
        <w:tc>
          <w:tcPr/>
          <w:p>
            <w:pPr>
              <w:pStyle w:val="Compact"/>
            </w:pPr>
            <w:r>
              <w:t xml:space="preserve">1.8%</w:t>
            </w:r>
          </w:p>
        </w:tc>
        <w:tc>
          <w:tcPr/>
          <w:p>
            <w:pPr>
              <w:pStyle w:val="Compact"/>
            </w:pPr>
            <w:r>
              <w:t xml:space="preserve">6.2%</w:t>
            </w:r>
          </w:p>
        </w:tc>
      </w:tr>
      <w:tr>
        <w:tc>
          <w:tcPr/>
          <w:p>
            <w:pPr>
              <w:pStyle w:val="Compact"/>
            </w:pPr>
            <w:r>
              <w:rPr>
                <w:rFonts w:hint="eastAsia"/>
              </w:rPr>
              <w:t xml:space="preserve">6〜24時間</w:t>
            </w:r>
          </w:p>
        </w:tc>
        <w:tc>
          <w:tcPr/>
          <w:p>
            <w:pPr>
              <w:pStyle w:val="Compact"/>
            </w:pPr>
            <w:r>
              <w:t xml:space="preserve">7.9%</w:t>
            </w:r>
          </w:p>
        </w:tc>
        <w:tc>
          <w:tcPr/>
          <w:p>
            <w:pPr>
              <w:pStyle w:val="Compact"/>
            </w:pPr>
            <w:r>
              <w:t xml:space="preserve">65.4%</w:t>
            </w:r>
          </w:p>
        </w:tc>
        <w:tc>
          <w:tcPr/>
          <w:p>
            <w:pPr>
              <w:pStyle w:val="Compact"/>
            </w:pPr>
            <w:r>
              <w:t xml:space="preserve">7.9%</w:t>
            </w:r>
          </w:p>
        </w:tc>
        <w:tc>
          <w:tcPr/>
          <w:p>
            <w:pPr>
              <w:pStyle w:val="Compact"/>
            </w:pPr>
            <w:r>
              <w:t xml:space="preserve">65.4%</w:t>
            </w:r>
          </w:p>
        </w:tc>
      </w:tr>
      <w:tr>
        <w:tc>
          <w:tcPr/>
          <w:p>
            <w:pPr>
              <w:pStyle w:val="Compact"/>
            </w:pPr>
            <w:r>
              <w:rPr>
                <w:rFonts w:hint="eastAsia"/>
              </w:rPr>
              <w:t xml:space="preserve">1〜7日</w:t>
            </w:r>
          </w:p>
        </w:tc>
        <w:tc>
          <w:tcPr/>
          <w:p>
            <w:pPr>
              <w:pStyle w:val="Compact"/>
            </w:pPr>
            <w:r>
              <w:t xml:space="preserve">35.7%</w:t>
            </w:r>
          </w:p>
        </w:tc>
        <w:tc>
          <w:tcPr/>
          <w:p>
            <w:pPr>
              <w:pStyle w:val="Compact"/>
            </w:pPr>
            <w:r>
              <w:t xml:space="preserve">4.2%</w:t>
            </w:r>
          </w:p>
        </w:tc>
        <w:tc>
          <w:tcPr/>
          <w:p>
            <w:pPr>
              <w:pStyle w:val="Compact"/>
            </w:pPr>
            <w:r>
              <w:t xml:space="preserve">44.0%</w:t>
            </w:r>
          </w:p>
        </w:tc>
        <w:tc>
          <w:tcPr/>
          <w:p>
            <w:pPr>
              <w:pStyle w:val="Compact"/>
            </w:pPr>
            <w:r>
              <w:t xml:space="preserve">4.7%</w:t>
            </w:r>
          </w:p>
        </w:tc>
      </w:tr>
      <w:tr>
        <w:tc>
          <w:tcPr/>
          <w:p>
            <w:pPr>
              <w:pStyle w:val="Compact"/>
            </w:pPr>
            <w:r>
              <w:rPr>
                <w:rFonts w:hint="eastAsia"/>
              </w:rPr>
              <w:t xml:space="preserve">7日超</w:t>
            </w:r>
          </w:p>
        </w:tc>
        <w:tc>
          <w:tcPr/>
          <w:p>
            <w:pPr>
              <w:pStyle w:val="Compact"/>
            </w:pPr>
            <w:r>
              <w:t xml:space="preserve">38.6%</w:t>
            </w:r>
          </w:p>
        </w:tc>
        <w:tc>
          <w:tcPr/>
          <w:p>
            <w:pPr>
              <w:pStyle w:val="Compact"/>
            </w:pPr>
            <w:r>
              <w:t xml:space="preserve">4.7%</w:t>
            </w:r>
          </w:p>
        </w:tc>
        <w:tc>
          <w:tcPr/>
          <w:p>
            <w:pPr>
              <w:pStyle w:val="Compact"/>
            </w:pPr>
            <w:r>
              <w:t xml:space="preserve">27.7%</w:t>
            </w:r>
          </w:p>
        </w:tc>
        <w:tc>
          <w:tcPr/>
          <w:p>
            <w:pPr>
              <w:pStyle w:val="Compact"/>
            </w:pPr>
            <w:r>
              <w:t xml:space="preserve">3.2%</w:t>
            </w:r>
          </w:p>
        </w:tc>
      </w:tr>
    </w:tbl>
    <w:p>
      <w:pPr>
        <w:pStyle w:val="BodyText"/>
      </w:pPr>
      <w:r>
        <w:rPr>
          <w:rFonts w:hint="eastAsia"/>
        </w:rPr>
        <w:t xml:space="preserve">表6.1</w:t>
      </w:r>
      <w:r>
        <w:t xml:space="preserve"> </w:t>
      </w:r>
      <w:r>
        <w:rPr>
          <w:rFonts w:hint="eastAsia"/>
        </w:rPr>
        <w:t xml:space="preserve">制御前出力の帯域分解（分散シェア、FY2022〜25、非直交のため合計≠100%）</w:t>
      </w:r>
    </w:p>
    <w:bookmarkEnd w:id="79"/>
    <w:bookmarkStart w:id="83" w:name="発電量と価格の関係水準と日内形状の分離"/>
    <w:p>
      <w:pPr>
        <w:pStyle w:val="Heading3"/>
      </w:pPr>
      <w:r>
        <w:t xml:space="preserve">6.1.3 </w:t>
      </w:r>
      <w:r>
        <w:rPr>
          <w:rFonts w:hint="eastAsia"/>
        </w:rPr>
        <w:t xml:space="preserve">発電量と価格の関係：水準と日内形状の分離</w:t>
      </w:r>
    </w:p>
    <w:p>
      <w:pPr>
        <w:pStyle w:val="FirstParagraph"/>
      </w:pPr>
      <w:r>
        <w:rPr>
          <w:rFonts w:hint="eastAsia"/>
        </w:rPr>
        <w:t xml:space="preserve">図6.4は、各季節で日次発電量の五分位に日を分け、日平均価格（水準）とTB4hスプレッド（日内形状）を発電量に対してプロットしたものである。風力は発電量が増えるほど水準が下がる（Q1→Q5で夏−0.5、冬−2.0、不需要期−2.1円/kWh）が、スプレッドは増えない（同−0.1、−1.3、−1.2円）。太陽光は水準の低下（−0.8、−0.9、−2.8円）に加えてスプレッドが拡大する（+3.5、+0.6、+3.9円）。不需要期の太陽光では水準線とスプレッド線が交差し、晴れるほど平均が下がりスプレッドが上がる。</w:t>
      </w:r>
    </w:p>
    <w:p>
      <w:pPr>
        <w:pStyle w:val="CaptionedFigure"/>
      </w:pPr>
      <w:r>
        <w:drawing>
          <wp:inline>
            <wp:extent cx="5334000" cy="3374571"/>
            <wp:effectExtent b="0" l="0" r="0" t="0"/>
            <wp:docPr descr="図6.4 発電量五分位×日平均価格・TB4hスプレッド" title="" id="81" name="Picture"/>
            <a:graphic>
              <a:graphicData uri="http://schemas.openxmlformats.org/drawingml/2006/picture">
                <pic:pic>
                  <pic:nvPicPr>
                    <pic:cNvPr descr="/home/user/work/thesis/figures/hokkaido/gen_vs_price_shape.png" id="82" name="Picture"/>
                    <pic:cNvPicPr>
                      <a:picLocks noChangeArrowheads="1" noChangeAspect="1"/>
                    </pic:cNvPicPr>
                  </pic:nvPicPr>
                  <pic:blipFill>
                    <a:blip r:embed="rId80"/>
                    <a:stretch>
                      <a:fillRect/>
                    </a:stretch>
                  </pic:blipFill>
                  <pic:spPr bwMode="auto">
                    <a:xfrm>
                      <a:off x="0" y="0"/>
                      <a:ext cx="5334000" cy="3374571"/>
                    </a:xfrm>
                    <a:prstGeom prst="rect">
                      <a:avLst/>
                    </a:prstGeom>
                    <a:noFill/>
                    <a:ln w="9525">
                      <a:noFill/>
                      <a:headEnd/>
                      <a:tailEnd/>
                    </a:ln>
                  </pic:spPr>
                </pic:pic>
              </a:graphicData>
            </a:graphic>
          </wp:inline>
        </w:drawing>
      </w:r>
    </w:p>
    <w:p>
      <w:pPr>
        <w:pStyle w:val="ImageCaption"/>
      </w:pPr>
      <w:r>
        <w:rPr>
          <w:rFonts w:hint="eastAsia"/>
        </w:rPr>
        <w:t xml:space="preserve">図6.4</w:t>
      </w:r>
      <w:r>
        <w:t xml:space="preserve"> </w:t>
      </w:r>
      <w:r>
        <w:rPr>
          <w:rFonts w:hint="eastAsia"/>
        </w:rPr>
        <w:t xml:space="preserve">発電量五分位×日平均価格・TB4hスプレッド</w:t>
      </w:r>
    </w:p>
    <w:bookmarkEnd w:id="83"/>
    <w:bookmarkEnd w:id="84"/>
    <w:bookmarkStart w:id="85" w:name="回帰結果"/>
    <w:p>
      <w:pPr>
        <w:pStyle w:val="Heading2"/>
      </w:pPr>
      <w:r>
        <w:t xml:space="preserve">6.2 </w:t>
      </w:r>
      <w:r>
        <w:rPr>
          <w:rFonts w:hint="eastAsia"/>
        </w:rPr>
        <w:t xml:space="preserve">回帰結果</w:t>
      </w:r>
    </w:p>
    <w:p>
      <w:pPr>
        <w:pStyle w:val="FirstParagraph"/>
      </w:pPr>
      <w:r>
        <w:rPr>
          <w:rFonts w:hint="eastAsia"/>
        </w:rPr>
        <w:t xml:space="preserve">表6.2は5.2.3の仕様による推定結果である（FY2016〜25、北海道3,632日、九州3,652日）。</w:t>
      </w:r>
    </w:p>
    <w:p>
      <w:pPr>
        <w:pStyle w:val="BodyText"/>
      </w:pPr>
      <w:r>
        <w:rPr>
          <w:rFonts w:hint="eastAsia"/>
          <w:b/>
          <w:bCs/>
        </w:rPr>
        <w:t xml:space="preserve">北海道</w:t>
      </w:r>
      <w:r>
        <w:rPr>
          <w:rFonts w:hint="eastAsia"/>
        </w:rPr>
        <w:t xml:space="preserve">。水準（日平均価格）に対して、太陽光は夏−0.46、冬−0.76、不需要期−0.35円/kWh</w:t>
      </w:r>
      <w:r>
        <w:t xml:space="preserve"> per </w:t>
      </w:r>
      <w:r>
        <w:rPr>
          <w:rFonts w:hint="eastAsia"/>
        </w:rPr>
        <w:t xml:space="preserve">GWh/日、風力は−0.28、−0.35、−0.36で、いずれも1%水準で有意である。日内形状に対しては電源種で明確に分かれる。太陽光は不需要期にTB4hスプレッドを+0.24円/GWh（1%有意）、日内標準偏差を+0.09（同）増加させる一方、冬には減少させる（TB4h</w:t>
      </w:r>
      <w:r>
        <w:t xml:space="preserve"> </w:t>
      </w:r>
      <w:r>
        <w:rPr>
          <w:rFonts w:hint="eastAsia"/>
        </w:rPr>
        <w:t xml:space="preserve">−0.80）。風力はTB4hに対して夏−0.35、冬−0.36（いずれも1%有意）、不需要期−0.07（非有意）であり、</w:t>
      </w:r>
      <w:r>
        <w:rPr>
          <w:rFonts w:hint="eastAsia"/>
          <w:b/>
          <w:bCs/>
        </w:rPr>
        <w:t xml:space="preserve">いかなる季節においても日内形状を拡大させない</w:t>
      </w:r>
      <w:r>
        <w:rPr>
          <w:rFonts w:hint="eastAsia"/>
        </w:rPr>
        <w:t xml:space="preserve">。電源種の非対称は、Wozabal</w:t>
      </w:r>
      <w:r>
        <w:t xml:space="preserve"> et al. (2016) </w:t>
      </w:r>
      <w:r>
        <w:rPr>
          <w:rFonts w:hint="eastAsia"/>
        </w:rPr>
        <w:t xml:space="preserve">がドイツの日次分散（日内24時間の分散）で示した「太陽光の効果は風力の約12倍」と同じ方向である。Kyritsis</w:t>
      </w:r>
      <w:r>
        <w:t xml:space="preserve"> et al. (2017) </w:t>
      </w:r>
      <w:r>
        <w:rPr>
          <w:rFonts w:hint="eastAsia"/>
        </w:rPr>
        <w:t xml:space="preserve">がドイツのGARCHで得た「太陽光は変動性を下げ風力は上げる」とは逆に見えるが、彼らの変動性は日次系列の条件付き分散（日間）であり、対象が異なる（6.5）。</w:t>
      </w:r>
    </w:p>
    <w:p>
      <w:pPr>
        <w:pStyle w:val="BodyText"/>
      </w:pPr>
      <w:r>
        <w:rPr>
          <w:rFonts w:hint="eastAsia"/>
          <w:b/>
          <w:bCs/>
        </w:rPr>
        <w:t xml:space="preserve">九州</w:t>
      </w:r>
      <w:r>
        <w:rPr>
          <w:rFonts w:hint="eastAsia"/>
        </w:rPr>
        <w:t xml:space="preserve">。太陽光は冬（TB4h</w:t>
      </w:r>
      <w:r>
        <w:t xml:space="preserve"> </w:t>
      </w:r>
      <w:r>
        <w:rPr>
          <w:rFonts w:hint="eastAsia"/>
        </w:rPr>
        <w:t xml:space="preserve">+0.123）と不需要期（+0.104）で日内スプレッドを有意に拡大させ、水準への効果はGWhあたり−0.06円と北海道より小さい（フリート規模が大きく、床への到達により限界的な効果が飽和しているため）。風力は導入量が小さく、水準への有意な効果は検出されない。日内形状については、不需要期にTB4hを+0.275（5%有意）、日内標準偏差を+0.115（1%有意）拡大させる。床がすでに形成されている九州の不需要期で風力がスプレッドを開くことは、6.5.3および第8章で述べる「床に達した後は下側だけが切り取られてスプレッドが開く」機構と整合的であるが、九州の風力は規模が小さく、係数の精度は低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被説明変数</w:t>
            </w:r>
          </w:p>
        </w:tc>
        <w:tc>
          <w:tcPr/>
          <w:p>
            <w:pPr>
              <w:pStyle w:val="Compact"/>
            </w:pPr>
            <w:r>
              <w:rPr>
                <w:rFonts w:hint="eastAsia"/>
              </w:rPr>
              <w:t xml:space="preserve">係数</w:t>
            </w:r>
          </w:p>
        </w:tc>
        <w:tc>
          <w:tcPr/>
          <w:p>
            <w:pPr>
              <w:pStyle w:val="Compact"/>
            </w:pPr>
            <w:r>
              <w:rPr>
                <w:rFonts w:hint="eastAsia"/>
              </w:rPr>
              <w:t xml:space="preserve">北海道</w:t>
            </w:r>
          </w:p>
        </w:tc>
        <w:tc>
          <w:tcPr/>
          <w:p>
            <w:pPr>
              <w:pStyle w:val="Compact"/>
            </w:pPr>
            <w:r>
              <w:rPr>
                <w:rFonts w:hint="eastAsia"/>
              </w:rPr>
              <w:t xml:space="preserve">九州</w:t>
            </w:r>
          </w:p>
        </w:tc>
      </w:tr>
      <w:tr>
        <w:tc>
          <w:tcPr/>
          <w:p>
            <w:pPr>
              <w:pStyle w:val="Compact"/>
            </w:pPr>
            <w:r>
              <w:rPr>
                <w:rFonts w:hint="eastAsia"/>
              </w:rPr>
              <w:t xml:space="preserve">水準</w:t>
            </w:r>
          </w:p>
        </w:tc>
        <w:tc>
          <w:tcPr/>
          <w:p>
            <w:pPr>
              <w:pStyle w:val="Compact"/>
            </w:pPr>
            <w:r>
              <w:rPr>
                <w:rFonts w:hint="eastAsia"/>
              </w:rPr>
              <w:t xml:space="preserve">太陽光・夏</w:t>
            </w:r>
          </w:p>
        </w:tc>
        <w:tc>
          <w:tcPr/>
          <w:p>
            <w:pPr>
              <w:pStyle w:val="Compact"/>
            </w:pPr>
            <w:r>
              <w:t xml:space="preserve">−0.460***</w:t>
            </w:r>
          </w:p>
        </w:tc>
        <w:tc>
          <w:tcPr/>
          <w:p>
            <w:pPr>
              <w:pStyle w:val="Compact"/>
            </w:pPr>
            <w:r>
              <w:t xml:space="preserve">−0.064***</w:t>
            </w:r>
          </w:p>
        </w:tc>
      </w:tr>
      <w:tr>
        <w:tc>
          <w:tcPr/>
          <w:p>
            <w:pPr>
              <w:pStyle w:val="Compact"/>
            </w:pPr>
          </w:p>
        </w:tc>
        <w:tc>
          <w:tcPr/>
          <w:p>
            <w:pPr>
              <w:pStyle w:val="Compact"/>
            </w:pPr>
            <w:r>
              <w:rPr>
                <w:rFonts w:hint="eastAsia"/>
              </w:rPr>
              <w:t xml:space="preserve">太陽光・冬</w:t>
            </w:r>
          </w:p>
        </w:tc>
        <w:tc>
          <w:tcPr/>
          <w:p>
            <w:pPr>
              <w:pStyle w:val="Compact"/>
            </w:pPr>
            <w:r>
              <w:t xml:space="preserve">−0.756***</w:t>
            </w:r>
          </w:p>
        </w:tc>
        <w:tc>
          <w:tcPr/>
          <w:p>
            <w:pPr>
              <w:pStyle w:val="Compact"/>
            </w:pPr>
            <w:r>
              <w:t xml:space="preserve">−0.061***</w:t>
            </w:r>
          </w:p>
        </w:tc>
      </w:tr>
      <w:tr>
        <w:tc>
          <w:tcPr/>
          <w:p>
            <w:pPr>
              <w:pStyle w:val="Compact"/>
            </w:pPr>
          </w:p>
        </w:tc>
        <w:tc>
          <w:tcPr/>
          <w:p>
            <w:pPr>
              <w:pStyle w:val="Compact"/>
            </w:pPr>
            <w:r>
              <w:rPr>
                <w:rFonts w:hint="eastAsia"/>
              </w:rPr>
              <w:t xml:space="preserve">太陽光・不需要期</w:t>
            </w:r>
          </w:p>
        </w:tc>
        <w:tc>
          <w:tcPr/>
          <w:p>
            <w:pPr>
              <w:pStyle w:val="Compact"/>
            </w:pPr>
            <w:r>
              <w:t xml:space="preserve">−0.347***</w:t>
            </w:r>
          </w:p>
        </w:tc>
        <w:tc>
          <w:tcPr/>
          <w:p>
            <w:pPr>
              <w:pStyle w:val="Compact"/>
            </w:pPr>
            <w:r>
              <w:t xml:space="preserve">−0.055***</w:t>
            </w:r>
          </w:p>
        </w:tc>
      </w:tr>
      <w:tr>
        <w:tc>
          <w:tcPr/>
          <w:p>
            <w:pPr>
              <w:pStyle w:val="Compact"/>
            </w:pPr>
          </w:p>
        </w:tc>
        <w:tc>
          <w:tcPr/>
          <w:p>
            <w:pPr>
              <w:pStyle w:val="Compact"/>
            </w:pPr>
            <w:r>
              <w:rPr>
                <w:rFonts w:hint="eastAsia"/>
              </w:rPr>
              <w:t xml:space="preserve">風力・夏</w:t>
            </w:r>
          </w:p>
        </w:tc>
        <w:tc>
          <w:tcPr/>
          <w:p>
            <w:pPr>
              <w:pStyle w:val="Compact"/>
            </w:pPr>
            <w:r>
              <w:t xml:space="preserve">−0.282***</w:t>
            </w:r>
          </w:p>
        </w:tc>
        <w:tc>
          <w:tcPr/>
          <w:p>
            <w:pPr>
              <w:pStyle w:val="Compact"/>
            </w:pPr>
            <w:r>
              <w:t xml:space="preserve">−0.041</w:t>
            </w:r>
          </w:p>
        </w:tc>
      </w:tr>
      <w:tr>
        <w:tc>
          <w:tcPr/>
          <w:p>
            <w:pPr>
              <w:pStyle w:val="Compact"/>
            </w:pPr>
          </w:p>
        </w:tc>
        <w:tc>
          <w:tcPr/>
          <w:p>
            <w:pPr>
              <w:pStyle w:val="Compact"/>
            </w:pPr>
            <w:r>
              <w:rPr>
                <w:rFonts w:hint="eastAsia"/>
              </w:rPr>
              <w:t xml:space="preserve">風力・冬</w:t>
            </w:r>
          </w:p>
        </w:tc>
        <w:tc>
          <w:tcPr/>
          <w:p>
            <w:pPr>
              <w:pStyle w:val="Compact"/>
            </w:pPr>
            <w:r>
              <w:t xml:space="preserve">−0.354***</w:t>
            </w:r>
          </w:p>
        </w:tc>
        <w:tc>
          <w:tcPr/>
          <w:p>
            <w:pPr>
              <w:pStyle w:val="Compact"/>
            </w:pPr>
            <w:r>
              <w:t xml:space="preserve">−0.273</w:t>
            </w:r>
          </w:p>
        </w:tc>
      </w:tr>
      <w:tr>
        <w:tc>
          <w:tcPr/>
          <w:p>
            <w:pPr>
              <w:pStyle w:val="Compact"/>
            </w:pPr>
          </w:p>
        </w:tc>
        <w:tc>
          <w:tcPr/>
          <w:p>
            <w:pPr>
              <w:pStyle w:val="Compact"/>
            </w:pPr>
            <w:r>
              <w:rPr>
                <w:rFonts w:hint="eastAsia"/>
              </w:rPr>
              <w:t xml:space="preserve">風力・不需要期</w:t>
            </w:r>
          </w:p>
        </w:tc>
        <w:tc>
          <w:tcPr/>
          <w:p>
            <w:pPr>
              <w:pStyle w:val="Compact"/>
            </w:pPr>
            <w:r>
              <w:t xml:space="preserve">−0.358***</w:t>
            </w:r>
          </w:p>
        </w:tc>
        <w:tc>
          <w:tcPr/>
          <w:p>
            <w:pPr>
              <w:pStyle w:val="Compact"/>
            </w:pPr>
            <w:r>
              <w:t xml:space="preserve">0.069</w:t>
            </w:r>
          </w:p>
        </w:tc>
      </w:tr>
      <w:tr>
        <w:tc>
          <w:tcPr/>
          <w:p>
            <w:pPr>
              <w:pStyle w:val="Compact"/>
            </w:pPr>
            <w:r>
              <w:t xml:space="preserve">TB4h</w:t>
            </w:r>
          </w:p>
        </w:tc>
        <w:tc>
          <w:tcPr/>
          <w:p>
            <w:pPr>
              <w:pStyle w:val="Compact"/>
            </w:pPr>
            <w:r>
              <w:rPr>
                <w:rFonts w:hint="eastAsia"/>
              </w:rPr>
              <w:t xml:space="preserve">太陽光・夏</w:t>
            </w:r>
          </w:p>
        </w:tc>
        <w:tc>
          <w:tcPr/>
          <w:p>
            <w:pPr>
              <w:pStyle w:val="Compact"/>
            </w:pPr>
            <w:r>
              <w:t xml:space="preserve">−0.096</w:t>
            </w:r>
          </w:p>
        </w:tc>
        <w:tc>
          <w:tcPr/>
          <w:p>
            <w:pPr>
              <w:pStyle w:val="Compact"/>
            </w:pPr>
            <w:r>
              <w:t xml:space="preserve">0.016</w:t>
            </w:r>
          </w:p>
        </w:tc>
      </w:tr>
      <w:tr>
        <w:tc>
          <w:tcPr/>
          <w:p>
            <w:pPr>
              <w:pStyle w:val="Compact"/>
            </w:pPr>
          </w:p>
        </w:tc>
        <w:tc>
          <w:tcPr/>
          <w:p>
            <w:pPr>
              <w:pStyle w:val="Compact"/>
            </w:pPr>
            <w:r>
              <w:rPr>
                <w:rFonts w:hint="eastAsia"/>
              </w:rPr>
              <w:t xml:space="preserve">太陽光・冬</w:t>
            </w:r>
          </w:p>
        </w:tc>
        <w:tc>
          <w:tcPr/>
          <w:p>
            <w:pPr>
              <w:pStyle w:val="Compact"/>
            </w:pPr>
            <w:r>
              <w:t xml:space="preserve">−0.803***</w:t>
            </w:r>
          </w:p>
        </w:tc>
        <w:tc>
          <w:tcPr/>
          <w:p>
            <w:pPr>
              <w:pStyle w:val="Compact"/>
            </w:pPr>
            <w:r>
              <w:t xml:space="preserve">0.123***</w:t>
            </w:r>
          </w:p>
        </w:tc>
      </w:tr>
      <w:tr>
        <w:tc>
          <w:tcPr/>
          <w:p>
            <w:pPr>
              <w:pStyle w:val="Compact"/>
            </w:pPr>
          </w:p>
        </w:tc>
        <w:tc>
          <w:tcPr/>
          <w:p>
            <w:pPr>
              <w:pStyle w:val="Compact"/>
            </w:pPr>
            <w:r>
              <w:rPr>
                <w:rFonts w:hint="eastAsia"/>
              </w:rPr>
              <w:t xml:space="preserve">太陽光・不需要期</w:t>
            </w:r>
          </w:p>
        </w:tc>
        <w:tc>
          <w:tcPr/>
          <w:p>
            <w:pPr>
              <w:pStyle w:val="Compact"/>
            </w:pPr>
            <w:r>
              <w:rPr>
                <w:b/>
                <w:bCs/>
              </w:rPr>
              <w:t xml:space="preserve">0.235***</w:t>
            </w:r>
          </w:p>
        </w:tc>
        <w:tc>
          <w:tcPr/>
          <w:p>
            <w:pPr>
              <w:pStyle w:val="Compact"/>
            </w:pPr>
            <w:r>
              <w:rPr>
                <w:b/>
                <w:bCs/>
              </w:rPr>
              <w:t xml:space="preserve">0.104***</w:t>
            </w:r>
          </w:p>
        </w:tc>
      </w:tr>
      <w:tr>
        <w:tc>
          <w:tcPr/>
          <w:p>
            <w:pPr>
              <w:pStyle w:val="Compact"/>
            </w:pPr>
          </w:p>
        </w:tc>
        <w:tc>
          <w:tcPr/>
          <w:p>
            <w:pPr>
              <w:pStyle w:val="Compact"/>
            </w:pPr>
            <w:r>
              <w:rPr>
                <w:rFonts w:hint="eastAsia"/>
              </w:rPr>
              <w:t xml:space="preserve">風力・夏</w:t>
            </w:r>
          </w:p>
        </w:tc>
        <w:tc>
          <w:tcPr/>
          <w:p>
            <w:pPr>
              <w:pStyle w:val="Compact"/>
            </w:pPr>
            <w:r>
              <w:t xml:space="preserve">−0.348***</w:t>
            </w:r>
          </w:p>
        </w:tc>
        <w:tc>
          <w:tcPr/>
          <w:p>
            <w:pPr>
              <w:pStyle w:val="Compact"/>
            </w:pPr>
            <w:r>
              <w:t xml:space="preserve">−0.248</w:t>
            </w:r>
          </w:p>
        </w:tc>
      </w:tr>
      <w:tr>
        <w:tc>
          <w:tcPr/>
          <w:p>
            <w:pPr>
              <w:pStyle w:val="Compact"/>
            </w:pPr>
          </w:p>
        </w:tc>
        <w:tc>
          <w:tcPr/>
          <w:p>
            <w:pPr>
              <w:pStyle w:val="Compact"/>
            </w:pPr>
            <w:r>
              <w:rPr>
                <w:rFonts w:hint="eastAsia"/>
              </w:rPr>
              <w:t xml:space="preserve">風力・冬</w:t>
            </w:r>
          </w:p>
        </w:tc>
        <w:tc>
          <w:tcPr/>
          <w:p>
            <w:pPr>
              <w:pStyle w:val="Compact"/>
            </w:pPr>
            <w:r>
              <w:t xml:space="preserve">−0.364***</w:t>
            </w:r>
          </w:p>
        </w:tc>
        <w:tc>
          <w:tcPr/>
          <w:p>
            <w:pPr>
              <w:pStyle w:val="Compact"/>
            </w:pPr>
            <w:r>
              <w:t xml:space="preserve">−0.351</w:t>
            </w:r>
          </w:p>
        </w:tc>
      </w:tr>
      <w:tr>
        <w:tc>
          <w:tcPr/>
          <w:p>
            <w:pPr>
              <w:pStyle w:val="Compact"/>
            </w:pPr>
          </w:p>
        </w:tc>
        <w:tc>
          <w:tcPr/>
          <w:p>
            <w:pPr>
              <w:pStyle w:val="Compact"/>
            </w:pPr>
            <w:r>
              <w:rPr>
                <w:rFonts w:hint="eastAsia"/>
              </w:rPr>
              <w:t xml:space="preserve">風力・不需要期</w:t>
            </w:r>
          </w:p>
        </w:tc>
        <w:tc>
          <w:tcPr/>
          <w:p>
            <w:pPr>
              <w:pStyle w:val="Compact"/>
            </w:pPr>
            <w:r>
              <w:t xml:space="preserve">−0.069</w:t>
            </w:r>
          </w:p>
        </w:tc>
        <w:tc>
          <w:tcPr/>
          <w:p>
            <w:pPr>
              <w:pStyle w:val="Compact"/>
            </w:pPr>
            <w:r>
              <w:t xml:space="preserve">0.275**</w:t>
            </w:r>
          </w:p>
        </w:tc>
      </w:tr>
    </w:tbl>
    <w:p>
      <w:pPr>
        <w:pStyle w:val="BodyText"/>
      </w:pPr>
      <w:r>
        <w:rPr>
          <w:rFonts w:hint="eastAsia"/>
        </w:rPr>
        <w:t xml:space="preserve">表6.2</w:t>
      </w:r>
      <w:r>
        <w:t xml:space="preserve"> </w:t>
      </w:r>
      <w:r>
        <w:rPr>
          <w:rFonts w:hint="eastAsia"/>
        </w:rPr>
        <w:t xml:space="preserve">日次回帰の係数（円/kWh</w:t>
      </w:r>
      <w:r>
        <w:t xml:space="preserve"> per </w:t>
      </w:r>
      <w:r>
        <w:rPr>
          <w:rFonts w:hint="eastAsia"/>
        </w:rPr>
        <w:t xml:space="preserve">GWh/日、FY固定効果・季節固定効果・需要コントロール、HC3。***p&lt;0.01、**p&lt;0.05）</w:t>
      </w:r>
    </w:p>
    <w:bookmarkEnd w:id="85"/>
    <w:bookmarkStart w:id="86" w:name="分位点回帰高分位のmoeとその減衰"/>
    <w:p>
      <w:pPr>
        <w:pStyle w:val="Heading2"/>
      </w:pPr>
      <w:r>
        <w:t xml:space="preserve">6.3 </w:t>
      </w:r>
      <w:r>
        <w:rPr>
          <w:rFonts w:hint="eastAsia"/>
        </w:rPr>
        <w:t xml:space="preserve">分位点回帰：高分位のMOEとその減衰</w:t>
      </w:r>
    </w:p>
    <w:p>
      <w:pPr>
        <w:pStyle w:val="FirstParagraph"/>
      </w:pPr>
      <w:r>
        <w:t xml:space="preserve">Sakaguchi and Fujii (2021) </w:t>
      </w:r>
      <w:r>
        <w:rPr>
          <w:rFonts w:hint="eastAsia"/>
        </w:rPr>
        <w:t xml:space="preserve">の仕様を再現・延長した分位点回帰（本研究の再推定。彼らの北海道の分位点係数は図でのみ示され、表としては全国分析と各エリアのOLS——北海道の風力は全期間で−4.8、FY2019で−7.0円/kWh</w:t>
      </w:r>
      <w:r>
        <w:t xml:space="preserve"> per </w:t>
      </w:r>
      <w:r>
        <w:rPr>
          <w:rFonts w:hint="eastAsia"/>
        </w:rPr>
        <w:t xml:space="preserve">GWh/h——が報告されている）では、北海道の風力MOEは高分位ほど強く、τ=0.9で−11.2円/kWh</w:t>
      </w:r>
      <w:r>
        <w:t xml:space="preserve"> per </w:t>
      </w:r>
      <w:r>
        <w:rPr>
          <w:rFonts w:hint="eastAsia"/>
        </w:rPr>
        <w:t xml:space="preserve">GW（FY2016〜19）であった。風力が倍増したFY2023〜25では−4〜−7円/kWhへ減衰している。この減衰は北本連系線の増強と市場統合による実効市場サイズの拡大と整合的であり、市場分断の方向が高値分断（道内＞本州）87〜92%から約60%へ、安値分断が1〜5%から約30%へと転換したこと（表6.3）と表裏の関係にある。「シェアが増えるほどMOEが強まる」という単純な外挿は北海道では成立しない。連系が強い市場ほど再エネの変動性への効果が小さいという</w:t>
      </w:r>
      <w:r>
        <w:t xml:space="preserve"> Schöniger and Morawetz (2022) </w:t>
      </w:r>
      <w:r>
        <w:rPr>
          <w:rFonts w:hint="eastAsia"/>
        </w:rPr>
        <w:t xml:space="preserve">の欧州横断の結果、および東北の再エネが東京価格に効く度合いが連系容量で制限されるという</w:t>
      </w:r>
      <w:r>
        <w:t xml:space="preserve"> Ma et al. (2023) </w:t>
      </w:r>
      <w:r>
        <w:rPr>
          <w:rFonts w:hint="eastAsia"/>
        </w:rPr>
        <w:t xml:space="preserve">の観察と整合する。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t xml:space="preserve">FY2016〜19</w:t>
            </w:r>
          </w:p>
        </w:tc>
        <w:tc>
          <w:tcPr/>
          <w:p>
            <w:pPr>
              <w:pStyle w:val="Compact"/>
            </w:pPr>
            <w:r>
              <w:t xml:space="preserve">FY2023〜25</w:t>
            </w:r>
          </w:p>
        </w:tc>
      </w:tr>
      <w:tr>
        <w:tc>
          <w:tcPr/>
          <w:p>
            <w:pPr>
              <w:pStyle w:val="Compact"/>
            </w:pPr>
            <w:r>
              <w:rPr>
                <w:rFonts w:hint="eastAsia"/>
              </w:rPr>
              <w:t xml:space="preserve">高値分断（道内＞本州）</w:t>
            </w:r>
          </w:p>
        </w:tc>
        <w:tc>
          <w:tcPr/>
          <w:p>
            <w:pPr>
              <w:pStyle w:val="Compact"/>
            </w:pPr>
            <w:r>
              <w:t xml:space="preserve">89.5%</w:t>
            </w:r>
          </w:p>
        </w:tc>
        <w:tc>
          <w:tcPr/>
          <w:p>
            <w:pPr>
              <w:pStyle w:val="Compact"/>
            </w:pPr>
            <w:r>
              <w:t xml:space="preserve">60%</w:t>
            </w:r>
          </w:p>
        </w:tc>
      </w:tr>
      <w:tr>
        <w:tc>
          <w:tcPr/>
          <w:p>
            <w:pPr>
              <w:pStyle w:val="Compact"/>
            </w:pPr>
            <w:r>
              <w:rPr>
                <w:rFonts w:hint="eastAsia"/>
              </w:rPr>
              <w:t xml:space="preserve">連系（±0.01円以内）</w:t>
            </w:r>
          </w:p>
        </w:tc>
        <w:tc>
          <w:tcPr/>
          <w:p>
            <w:pPr>
              <w:pStyle w:val="Compact"/>
            </w:pPr>
            <w:r>
              <w:t xml:space="preserve">7.5%</w:t>
            </w:r>
          </w:p>
        </w:tc>
        <w:tc>
          <w:tcPr/>
          <w:p>
            <w:pPr>
              <w:pStyle w:val="Compact"/>
            </w:pPr>
            <w:r>
              <w:t xml:space="preserve">11%</w:t>
            </w:r>
          </w:p>
        </w:tc>
      </w:tr>
      <w:tr>
        <w:tc>
          <w:tcPr/>
          <w:p>
            <w:pPr>
              <w:pStyle w:val="Compact"/>
            </w:pPr>
            <w:r>
              <w:rPr>
                <w:rFonts w:hint="eastAsia"/>
              </w:rPr>
              <w:t xml:space="preserve">安値分断（道内＜本州）</w:t>
            </w:r>
          </w:p>
        </w:tc>
        <w:tc>
          <w:tcPr/>
          <w:p>
            <w:pPr>
              <w:pStyle w:val="Compact"/>
            </w:pPr>
            <w:r>
              <w:t xml:space="preserve">3%</w:t>
            </w:r>
          </w:p>
        </w:tc>
        <w:tc>
          <w:tcPr/>
          <w:p>
            <w:pPr>
              <w:pStyle w:val="Compact"/>
            </w:pPr>
            <w:r>
              <w:t xml:space="preserve">29%</w:t>
            </w:r>
          </w:p>
        </w:tc>
      </w:tr>
    </w:tbl>
    <w:p>
      <w:pPr>
        <w:pStyle w:val="BodyText"/>
      </w:pPr>
      <w:r>
        <w:rPr>
          <w:rFonts w:hint="eastAsia"/>
        </w:rPr>
        <w:t xml:space="preserve">表6.3</w:t>
      </w:r>
      <w:r>
        <w:t xml:space="preserve"> </w:t>
      </w:r>
      <w:r>
        <w:rPr>
          <w:rFonts w:hint="eastAsia"/>
        </w:rPr>
        <w:t xml:space="preserve">市場分断の方向（北海道エリアプライスとシステムプライスの関係、コマ構成比。年度レンジの代表値）</w:t>
      </w:r>
    </w:p>
    <w:p>
      <w:pPr>
        <w:pStyle w:val="BodyText"/>
      </w:pPr>
      <w:r>
        <w:rPr>
          <w:rFonts w:hint="eastAsia"/>
        </w:rPr>
        <w:t xml:space="preserve">風力の多い日には安値分断の時間が夏8.1→11.3、冬3.1→8.3、不需要期4.8→9.2時間/日と増加する。風力は現時点で、床（0.01円）を作る前に、輸出の飽和による道内価格の本州からの切り離しを駆動している。</w:t>
      </w:r>
    </w:p>
    <w:bookmarkEnd w:id="86"/>
    <w:bookmarkStart w:id="90" w:name="空間分散シミュレーション-1"/>
    <w:p>
      <w:pPr>
        <w:pStyle w:val="Heading2"/>
      </w:pPr>
      <w:r>
        <w:t xml:space="preserve">6.4 </w:t>
      </w:r>
      <w:r>
        <w:rPr>
          <w:rFonts w:hint="eastAsia"/>
        </w:rPr>
        <w:t xml:space="preserve">空間分散シミュレーション</w:t>
      </w:r>
    </w:p>
    <w:p>
      <w:pPr>
        <w:pStyle w:val="FirstParagraph"/>
      </w:pPr>
      <w:r>
        <w:rPr>
          <w:rFonts w:hint="eastAsia"/>
        </w:rPr>
        <w:t xml:space="preserve">5.2.5の設計に従い、北海道の風力が日内形状を変えない性質が地理的分散による日内高周波の相殺にどの程度依存するかを、集中立地の反実仮想で検証した。FY2023〜25の実フリート風力（制御前）を6.1.2と同じ移動平均カスケードで帯域分解すると、6時間未満と6〜24時間の日内帯域は分散の10.8%を占める（1〜7日40.1%、7日超31.2%）。この日内帯域の振幅を</w:t>
      </w:r>
      <w:r>
        <w:t xml:space="preserve"> </w:t>
      </w:r>
      <m:oMath>
        <m:r>
          <m:t>λ</m:t>
        </m:r>
      </m:oMath>
      <w:r>
        <w:t xml:space="preserve"> </w:t>
      </w:r>
      <w:r>
        <w:rPr>
          <w:rFonts w:hint="eastAsia"/>
        </w:rPr>
        <w:t xml:space="preserve">倍に増幅し（日次エネルギーは保存し、出力は0と設備容量で打ち切る）、</w:t>
      </w:r>
      <m:oMath>
        <m:r>
          <m:t>λ</m:t>
        </m:r>
      </m:oMath>
      <w:r>
        <w:rPr>
          <w:rFonts w:hint="eastAsia"/>
        </w:rPr>
        <w:t xml:space="preserve">=1（実フリート）から4までの合成系列を水準係数付き価格過程（</w:t>
      </w:r>
      <m:oMath>
        <m:r>
          <m:t>θ</m:t>
        </m:r>
      </m:oMath>
      <w:r>
        <w:rPr>
          <w:rFonts w:hint="eastAsia"/>
        </w:rPr>
        <w:t xml:space="preserve">=1）に通した結果を表6.4と図6.5に示す。</w:t>
      </w:r>
      <m:oMath>
        <m:r>
          <m:t>λ</m:t>
        </m:r>
      </m:oMath>
      <w:r>
        <w:rPr>
          <w:rFonts w:hint="eastAsia"/>
        </w:rPr>
        <w:t xml:space="preserve">=2で日内帯域の分散シェアは25%、3で35%、4で41%となる。</w:t>
      </w:r>
      <m:oMath>
        <m:r>
          <m:t>λ</m:t>
        </m:r>
      </m:oMath>
      <w:r>
        <w:t xml:space="preserve"> </w:t>
      </w:r>
      <w:r>
        <w:rPr>
          <w:rFonts w:hint="eastAsia"/>
        </w:rPr>
        <w:t xml:space="preserve">の目安は</w:t>
      </w:r>
      <w:r>
        <w:t xml:space="preserve"> St. Martin, Lundquist and Handschy (2015) </w:t>
      </w:r>
      <w:r>
        <w:rPr>
          <w:rFonts w:hint="eastAsia"/>
        </w:rPr>
        <w:t xml:space="preserve">の相関距離から得られる。風力変動の相関距離は時間スケールに依存し、6時間スケールでは数km〜30km、1日スケールで30〜130km、1日を大きく超えると270〜370kmで飽和する。北海道の面積（約8万km²）に当てはめると、6時間未満帯の分散はフリート集約で単一サイトの13分の1〜78分の1、6〜24時間帯は1〜4分の1程度に低減し、1日超の帯域はほとんど低減しない。この比率を実フリートの帯域シェアに逆算すると、単一サイト相当の日内分散シェアは32〜72%、振幅倍率では</w:t>
      </w:r>
      <w:r>
        <w:t xml:space="preserve"> </w:t>
      </w:r>
      <m:oMath>
        <m:r>
          <m:t>λ</m:t>
        </m:r>
      </m:oMath>
      <w:r>
        <w:rPr>
          <w:rFonts w:hint="eastAsia"/>
        </w:rPr>
        <w:t xml:space="preserve">≈1.8〜4（中央値2.3）に相当する。Malvaldi</w:t>
      </w:r>
      <w:r>
        <w:t xml:space="preserve"> et al. (2017) </w:t>
      </w:r>
      <w:r>
        <w:rPr>
          <w:rFonts w:hint="eastAsia"/>
        </w:rPr>
        <w:t xml:space="preserve">が示す国別出力と欧州10か国集約の分散比（2.1〜6.5倍）も</w:t>
      </w:r>
      <w:r>
        <w:t xml:space="preserve"> </w:t>
      </w:r>
      <m:oMath>
        <m:r>
          <m:t>λ</m:t>
        </m:r>
      </m:oMath>
      <w:r>
        <w:rPr>
          <w:rFonts w:hint="eastAsia"/>
        </w:rPr>
        <w:t xml:space="preserve">≈2に対応する。以下では</w:t>
      </w:r>
      <w:r>
        <w:t xml:space="preserve"> </w:t>
      </w:r>
      <m:oMath>
        <m:r>
          <m:t>λ</m:t>
        </m:r>
      </m:oMath>
      <w:r>
        <w:rPr>
          <w:rFonts w:hint="eastAsia"/>
        </w:rPr>
        <w:t xml:space="preserve">=2〜3を文献校正の基準、4を上限として読む。</w:t>
      </w:r>
    </w:p>
    <w:p>
      <w:pPr>
        <w:pStyle w:val="CaptionedFigure"/>
      </w:pPr>
      <w:r>
        <w:drawing>
          <wp:inline>
            <wp:extent cx="5334000" cy="2258346"/>
            <wp:effectExtent b="0" l="0" r="0" t="0"/>
            <wp:docPr descr="図6.5 空間分散シミュレーション（日内帯域の振幅倍率 λ）" title="" id="88" name="Picture"/>
            <a:graphic>
              <a:graphicData uri="http://schemas.openxmlformats.org/drawingml/2006/picture">
                <pic:pic>
                  <pic:nvPicPr>
                    <pic:cNvPr descr="/home/user/work/thesis/figures/hokkaido/spatial_dispersion.png" id="89" name="Picture"/>
                    <pic:cNvPicPr>
                      <a:picLocks noChangeArrowheads="1" noChangeAspect="1"/>
                    </pic:cNvPicPr>
                  </pic:nvPicPr>
                  <pic:blipFill>
                    <a:blip r:embed="rId87"/>
                    <a:stretch>
                      <a:fillRect/>
                    </a:stretch>
                  </pic:blipFill>
                  <pic:spPr bwMode="auto">
                    <a:xfrm>
                      <a:off x="0" y="0"/>
                      <a:ext cx="5334000" cy="2258346"/>
                    </a:xfrm>
                    <a:prstGeom prst="rect">
                      <a:avLst/>
                    </a:prstGeom>
                    <a:noFill/>
                    <a:ln w="9525">
                      <a:noFill/>
                      <a:headEnd/>
                      <a:tailEnd/>
                    </a:ln>
                  </pic:spPr>
                </pic:pic>
              </a:graphicData>
            </a:graphic>
          </wp:inline>
        </w:drawing>
      </w:r>
    </w:p>
    <w:p>
      <w:pPr>
        <w:pStyle w:val="ImageCaption"/>
      </w:pPr>
      <w:r>
        <w:rPr>
          <w:rFonts w:hint="eastAsia"/>
        </w:rPr>
        <w:t xml:space="preserve">図6.5</w:t>
      </w:r>
      <w:r>
        <w:t xml:space="preserve"> </w:t>
      </w:r>
      <w:r>
        <w:rPr>
          <w:rFonts w:hint="eastAsia"/>
        </w:rPr>
        <w:t xml:space="preserve">空間分散シミュレーション（日内帯域の振幅倍率</w:t>
      </w:r>
      <w:r>
        <w:t xml:space="preserve"> </w:t>
      </w:r>
      <w:r>
        <w:rPr>
          <w:rFonts w:hint="eastAsia"/>
        </w:rPr>
        <w:t xml:space="preserve">λ）</w:t>
      </w:r>
    </w:p>
    <w:p>
      <w:pPr>
        <w:pStyle w:val="BodyText"/>
      </w:pPr>
      <w:r>
        <w:rPr>
          <w:rFonts w:hint="eastAsia"/>
        </w:rPr>
        <w:t xml:space="preserve">結果は、分散立地の寄与が小さいことを示す。日内帯域を4倍に増幅しても、TB4h中央値は7.96円から8.31円/kWh（+4%）、PF価値は8,266円から8,846円/kW-年（+7%）、床時間は115時間から126時間に増えるにすぎない。風力の日次発電量がTB4hに与える効果（表6.2と同じ仕様の日次回帰をモデル価格上で推定）は、夏で−0.084から−0.072、冬で−0.020から+0.006、不需要期で+0.137から+0.158へと、いずれも0.01〜0.03の範囲でしか動かない。日内の高周波を単一サイト並みに増やしても風力が日内スプレッドの拡大要因にならないのは、増幅された変動に系統的な日内位相がなく、日ごとの上位4時間と下位4時間の差にほとんど寄与しないためである。</w:t>
      </w:r>
    </w:p>
    <w:p>
      <w:pPr>
        <w:pStyle w:val="BodyText"/>
      </w:pPr>
      <w:r>
        <w:rPr>
          <w:rFonts w:hint="eastAsia"/>
        </w:rPr>
        <w:t xml:space="preserve">したがって11.3で述べる二つの機構のうち、北海道の風力が日内形状を変えない性質の本質は「風力に系統的な日内サイクルがない」ことにあり、広域単一価格ゾーンの下でフリートとして集約されることは平行シフトを滑らかにする補助機構にとどまる。ドイツで風力が日内変動性を高める（Paraschiv</w:t>
      </w:r>
      <w:r>
        <w:t xml:space="preserve"> et al. 2014; Rintamäki et al. </w:t>
      </w:r>
      <w:r>
        <w:rPr>
          <w:rFonts w:hint="eastAsia"/>
        </w:rPr>
        <w:t xml:space="preserve">2017）のは夜間に偏った系統的な日内位相があるためであり、集中立地の有無よりも日内位相と床の有無が符号を決める。豪州で風力が価格の条件付き分散を高めるという結果（Mwampashi</w:t>
      </w:r>
      <w:r>
        <w:t xml:space="preserve"> et al. </w:t>
      </w:r>
      <w:r>
        <w:rPr>
          <w:rFonts w:hint="eastAsia"/>
        </w:rPr>
        <w:t xml:space="preserve">2021、南豪州で最大2%）も日次系列の日間変動の指標であり、日内形状の議論とは対象が異なる（6.5.5）。なお、この反実仮想はモデル価格上の比較であり、モデルは不需要期において実績よりも床の機構を強く出す（</w:t>
      </w:r>
      <m:oMath>
        <m:r>
          <m:t>λ</m:t>
        </m:r>
      </m:oMath>
      <w:r>
        <w:rPr>
          <w:rFonts w:hint="eastAsia"/>
        </w:rPr>
        <w:t xml:space="preserve">=1でも不需要期の係数が正である一方、実績価格では−0.029で非有意）ため、水準ではなく</w:t>
      </w:r>
      <w:r>
        <w:t xml:space="preserve"> </w:t>
      </w:r>
      <m:oMath>
        <m:r>
          <m:t>λ</m:t>
        </m:r>
      </m:oMath>
      <w:r>
        <w:t xml:space="preserve"> </w:t>
      </w:r>
      <w:r>
        <w:rPr>
          <w:rFonts w:hint="eastAsia"/>
        </w:rPr>
        <w:t xml:space="preserve">間の差で判断している。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λ</w:t>
            </w:r>
          </w:p>
        </w:tc>
        <w:tc>
          <w:tcPr/>
          <w:p>
            <w:pPr>
              <w:pStyle w:val="Compact"/>
            </w:pPr>
            <w:r>
              <w:rPr>
                <w:rFonts w:hint="eastAsia"/>
              </w:rPr>
              <w:t xml:space="preserve">日内帯域の分散シェア</w:t>
            </w:r>
          </w:p>
        </w:tc>
        <w:tc>
          <w:tcPr/>
          <w:p>
            <w:pPr>
              <w:pStyle w:val="Compact"/>
            </w:pPr>
            <w:r>
              <w:rPr>
                <w:rFonts w:hint="eastAsia"/>
              </w:rPr>
              <w:t xml:space="preserve">床時間（h/年）</w:t>
            </w:r>
          </w:p>
        </w:tc>
        <w:tc>
          <w:tcPr/>
          <w:p>
            <w:pPr>
              <w:pStyle w:val="Compact"/>
            </w:pPr>
            <w:r>
              <w:rPr>
                <w:rFonts w:hint="eastAsia"/>
              </w:rPr>
              <w:t xml:space="preserve">TB4h中央値</w:t>
            </w:r>
          </w:p>
        </w:tc>
        <w:tc>
          <w:tcPr/>
          <w:p>
            <w:pPr>
              <w:pStyle w:val="Compact"/>
            </w:pPr>
            <w:r>
              <w:t xml:space="preserve">p95</w:t>
            </w:r>
          </w:p>
        </w:tc>
        <w:tc>
          <w:tcPr/>
          <w:p>
            <w:pPr>
              <w:pStyle w:val="Compact"/>
            </w:pPr>
            <w:r>
              <w:rPr>
                <w:rFonts w:hint="eastAsia"/>
              </w:rPr>
              <w:t xml:space="preserve">PF価値（円/kW-年）</w:t>
            </w:r>
          </w:p>
        </w:tc>
        <w:tc>
          <w:tcPr/>
          <w:p>
            <w:pPr>
              <w:pStyle w:val="Compact"/>
            </w:pPr>
            <w:r>
              <w:rPr>
                <w:rFonts w:hint="eastAsia"/>
              </w:rPr>
              <w:t xml:space="preserve">風力→TB4h</w:t>
            </w:r>
            <w:r>
              <w:t xml:space="preserve"> </w:t>
            </w:r>
            <w:r>
              <w:rPr>
                <w:rFonts w:hint="eastAsia"/>
              </w:rPr>
              <w:t xml:space="preserve">夏／冬／不需要期</w:t>
            </w:r>
          </w:p>
        </w:tc>
      </w:tr>
      <w:tr>
        <w:tc>
          <w:tcPr/>
          <w:p>
            <w:pPr>
              <w:pStyle w:val="Compact"/>
            </w:pPr>
            <w:r>
              <w:rPr>
                <w:rFonts w:hint="eastAsia"/>
              </w:rPr>
              <w:t xml:space="preserve">1（実フリート）</w:t>
            </w:r>
          </w:p>
        </w:tc>
        <w:tc>
          <w:tcPr/>
          <w:p>
            <w:pPr>
              <w:pStyle w:val="Compact"/>
            </w:pPr>
            <w:r>
              <w:t xml:space="preserve">10.8%</w:t>
            </w:r>
          </w:p>
        </w:tc>
        <w:tc>
          <w:tcPr/>
          <w:p>
            <w:pPr>
              <w:pStyle w:val="Compact"/>
            </w:pPr>
            <w:r>
              <w:t xml:space="preserve">115</w:t>
            </w:r>
          </w:p>
        </w:tc>
        <w:tc>
          <w:tcPr/>
          <w:p>
            <w:pPr>
              <w:pStyle w:val="Compact"/>
            </w:pPr>
            <w:r>
              <w:t xml:space="preserve">7.96</w:t>
            </w:r>
          </w:p>
        </w:tc>
        <w:tc>
          <w:tcPr/>
          <w:p>
            <w:pPr>
              <w:pStyle w:val="Compact"/>
            </w:pPr>
            <w:r>
              <w:t xml:space="preserve">18.08</w:t>
            </w:r>
          </w:p>
        </w:tc>
        <w:tc>
          <w:tcPr/>
          <w:p>
            <w:pPr>
              <w:pStyle w:val="Compact"/>
            </w:pPr>
            <w:r>
              <w:t xml:space="preserve">8,266</w:t>
            </w:r>
          </w:p>
        </w:tc>
        <w:tc>
          <w:tcPr/>
          <w:p>
            <w:pPr>
              <w:pStyle w:val="Compact"/>
            </w:pPr>
            <w:r>
              <w:rPr>
                <w:rFonts w:hint="eastAsia"/>
              </w:rPr>
              <w:t xml:space="preserve">−0.084／−0.020／+0.137</w:t>
            </w:r>
          </w:p>
        </w:tc>
      </w:tr>
      <w:tr>
        <w:tc>
          <w:tcPr/>
          <w:p>
            <w:pPr>
              <w:pStyle w:val="Compact"/>
            </w:pPr>
            <w:r>
              <w:t xml:space="preserve">1.5</w:t>
            </w:r>
          </w:p>
        </w:tc>
        <w:tc>
          <w:tcPr/>
          <w:p>
            <w:pPr>
              <w:pStyle w:val="Compact"/>
            </w:pPr>
            <w:r>
              <w:t xml:space="preserve">18.4%</w:t>
            </w:r>
          </w:p>
        </w:tc>
        <w:tc>
          <w:tcPr/>
          <w:p>
            <w:pPr>
              <w:pStyle w:val="Compact"/>
            </w:pPr>
            <w:r>
              <w:t xml:space="preserve">116</w:t>
            </w:r>
          </w:p>
        </w:tc>
        <w:tc>
          <w:tcPr/>
          <w:p>
            <w:pPr>
              <w:pStyle w:val="Compact"/>
            </w:pPr>
            <w:r>
              <w:t xml:space="preserve">8.02</w:t>
            </w:r>
          </w:p>
        </w:tc>
        <w:tc>
          <w:tcPr/>
          <w:p>
            <w:pPr>
              <w:pStyle w:val="Compact"/>
            </w:pPr>
            <w:r>
              <w:t xml:space="preserve">18.12</w:t>
            </w:r>
          </w:p>
        </w:tc>
        <w:tc>
          <w:tcPr/>
          <w:p>
            <w:pPr>
              <w:pStyle w:val="Compact"/>
            </w:pPr>
            <w:r>
              <w:t xml:space="preserve">8,344</w:t>
            </w:r>
          </w:p>
        </w:tc>
        <w:tc>
          <w:tcPr/>
          <w:p>
            <w:pPr>
              <w:pStyle w:val="Compact"/>
            </w:pPr>
            <w:r>
              <w:rPr>
                <w:rFonts w:hint="eastAsia"/>
              </w:rPr>
              <w:t xml:space="preserve">−0.086／−0.018／+0.139</w:t>
            </w:r>
          </w:p>
        </w:tc>
      </w:tr>
      <w:tr>
        <w:tc>
          <w:tcPr/>
          <w:p>
            <w:pPr>
              <w:pStyle w:val="Compact"/>
            </w:pPr>
            <w:r>
              <w:t xml:space="preserve">2</w:t>
            </w:r>
          </w:p>
        </w:tc>
        <w:tc>
          <w:tcPr/>
          <w:p>
            <w:pPr>
              <w:pStyle w:val="Compact"/>
            </w:pPr>
            <w:r>
              <w:t xml:space="preserve">25.2%</w:t>
            </w:r>
          </w:p>
        </w:tc>
        <w:tc>
          <w:tcPr/>
          <w:p>
            <w:pPr>
              <w:pStyle w:val="Compact"/>
            </w:pPr>
            <w:r>
              <w:t xml:space="preserve">117</w:t>
            </w:r>
          </w:p>
        </w:tc>
        <w:tc>
          <w:tcPr/>
          <w:p>
            <w:pPr>
              <w:pStyle w:val="Compact"/>
            </w:pPr>
            <w:r>
              <w:t xml:space="preserve">8.10</w:t>
            </w:r>
          </w:p>
        </w:tc>
        <w:tc>
          <w:tcPr/>
          <w:p>
            <w:pPr>
              <w:pStyle w:val="Compact"/>
            </w:pPr>
            <w:r>
              <w:t xml:space="preserve">18.16</w:t>
            </w:r>
          </w:p>
        </w:tc>
        <w:tc>
          <w:tcPr/>
          <w:p>
            <w:pPr>
              <w:pStyle w:val="Compact"/>
            </w:pPr>
            <w:r>
              <w:t xml:space="preserve">8,456</w:t>
            </w:r>
          </w:p>
        </w:tc>
        <w:tc>
          <w:tcPr/>
          <w:p>
            <w:pPr>
              <w:pStyle w:val="Compact"/>
            </w:pPr>
            <w:r>
              <w:rPr>
                <w:rFonts w:hint="eastAsia"/>
              </w:rPr>
              <w:t xml:space="preserve">−0.085／−0.018／+0.143</w:t>
            </w:r>
          </w:p>
        </w:tc>
      </w:tr>
      <w:tr>
        <w:tc>
          <w:tcPr/>
          <w:p>
            <w:pPr>
              <w:pStyle w:val="Compact"/>
            </w:pPr>
            <w:r>
              <w:t xml:space="preserve">3</w:t>
            </w:r>
          </w:p>
        </w:tc>
        <w:tc>
          <w:tcPr/>
          <w:p>
            <w:pPr>
              <w:pStyle w:val="Compact"/>
            </w:pPr>
            <w:r>
              <w:t xml:space="preserve">35.2%</w:t>
            </w:r>
          </w:p>
        </w:tc>
        <w:tc>
          <w:tcPr/>
          <w:p>
            <w:pPr>
              <w:pStyle w:val="Compact"/>
            </w:pPr>
            <w:r>
              <w:t xml:space="preserve">126</w:t>
            </w:r>
          </w:p>
        </w:tc>
        <w:tc>
          <w:tcPr/>
          <w:p>
            <w:pPr>
              <w:pStyle w:val="Compact"/>
            </w:pPr>
            <w:r>
              <w:t xml:space="preserve">8.21</w:t>
            </w:r>
          </w:p>
        </w:tc>
        <w:tc>
          <w:tcPr/>
          <w:p>
            <w:pPr>
              <w:pStyle w:val="Compact"/>
            </w:pPr>
            <w:r>
              <w:t xml:space="preserve">18.24</w:t>
            </w:r>
          </w:p>
        </w:tc>
        <w:tc>
          <w:tcPr/>
          <w:p>
            <w:pPr>
              <w:pStyle w:val="Compact"/>
            </w:pPr>
            <w:r>
              <w:t xml:space="preserve">8,673</w:t>
            </w:r>
          </w:p>
        </w:tc>
        <w:tc>
          <w:tcPr/>
          <w:p>
            <w:pPr>
              <w:pStyle w:val="Compact"/>
            </w:pPr>
            <w:r>
              <w:rPr>
                <w:rFonts w:hint="eastAsia"/>
              </w:rPr>
              <w:t xml:space="preserve">−0.082／−0.007／+0.149</w:t>
            </w:r>
          </w:p>
        </w:tc>
      </w:tr>
      <w:tr>
        <w:tc>
          <w:tcPr/>
          <w:p>
            <w:pPr>
              <w:pStyle w:val="Compact"/>
            </w:pPr>
            <w:r>
              <w:t xml:space="preserve">4</w:t>
            </w:r>
          </w:p>
        </w:tc>
        <w:tc>
          <w:tcPr/>
          <w:p>
            <w:pPr>
              <w:pStyle w:val="Compact"/>
            </w:pPr>
            <w:r>
              <w:t xml:space="preserve">41.4%</w:t>
            </w:r>
          </w:p>
        </w:tc>
        <w:tc>
          <w:tcPr/>
          <w:p>
            <w:pPr>
              <w:pStyle w:val="Compact"/>
            </w:pPr>
            <w:r>
              <w:t xml:space="preserve">126</w:t>
            </w:r>
          </w:p>
        </w:tc>
        <w:tc>
          <w:tcPr/>
          <w:p>
            <w:pPr>
              <w:pStyle w:val="Compact"/>
            </w:pPr>
            <w:r>
              <w:t xml:space="preserve">8.31</w:t>
            </w:r>
          </w:p>
        </w:tc>
        <w:tc>
          <w:tcPr/>
          <w:p>
            <w:pPr>
              <w:pStyle w:val="Compact"/>
            </w:pPr>
            <w:r>
              <w:t xml:space="preserve">18.31</w:t>
            </w:r>
          </w:p>
        </w:tc>
        <w:tc>
          <w:tcPr/>
          <w:p>
            <w:pPr>
              <w:pStyle w:val="Compact"/>
            </w:pPr>
            <w:r>
              <w:t xml:space="preserve">8,846</w:t>
            </w:r>
          </w:p>
        </w:tc>
        <w:tc>
          <w:tcPr/>
          <w:p>
            <w:pPr>
              <w:pStyle w:val="Compact"/>
            </w:pPr>
            <w:r>
              <w:rPr>
                <w:rFonts w:hint="eastAsia"/>
              </w:rPr>
              <w:t xml:space="preserve">−0.072／+0.006／+0.158</w:t>
            </w:r>
          </w:p>
        </w:tc>
      </w:tr>
    </w:tbl>
    <w:p>
      <w:pPr>
        <w:pStyle w:val="BodyText"/>
      </w:pPr>
      <w:r>
        <w:rPr>
          <w:rFonts w:hint="eastAsia"/>
        </w:rPr>
        <w:t xml:space="preserve">表6.4</w:t>
      </w:r>
      <w:r>
        <w:t xml:space="preserve"> </w:t>
      </w:r>
      <w:r>
        <w:rPr>
          <w:rFonts w:hint="eastAsia"/>
        </w:rPr>
        <w:t xml:space="preserve">集中立地の反実仮想（日内帯域の振幅倍率</w:t>
      </w:r>
      <w:r>
        <w:t xml:space="preserve"> </w:t>
      </w:r>
      <w:r>
        <w:rPr>
          <w:rFonts w:hint="eastAsia"/>
        </w:rPr>
        <w:t xml:space="preserve">λ）と価格指標（水準係数付き価格過程</w:t>
      </w:r>
      <w:r>
        <w:t xml:space="preserve"> </w:t>
      </w:r>
      <w:r>
        <w:rPr>
          <w:rFonts w:hint="eastAsia"/>
        </w:rPr>
        <w:t xml:space="preserve">θ=1、FY2023〜25パス。TB4h・p95は円/kWh、係数は円/kWh</w:t>
      </w:r>
      <w:r>
        <w:t xml:space="preserve"> per </w:t>
      </w:r>
      <w:r>
        <w:rPr>
          <w:rFonts w:hint="eastAsia"/>
        </w:rPr>
        <w:t xml:space="preserve">GWh/日でFY・季節ダミー・太陽光×季節・需要をコントロール）</w:t>
      </w:r>
    </w:p>
    <w:bookmarkEnd w:id="90"/>
    <w:bookmarkStart w:id="96" w:name="頑健性先行研究仕様の再現と時間スケールの分離"/>
    <w:p>
      <w:pPr>
        <w:pStyle w:val="Heading2"/>
      </w:pPr>
      <w:r>
        <w:t xml:space="preserve">6.5 </w:t>
      </w:r>
      <w:r>
        <w:rPr>
          <w:rFonts w:hint="eastAsia"/>
        </w:rPr>
        <w:t xml:space="preserve">頑健性：先行研究仕様の再現と時間スケールの分離</w:t>
      </w:r>
    </w:p>
    <w:bookmarkStart w:id="91" w:name="fuke-and-ohashi-2025-の再現"/>
    <w:p>
      <w:pPr>
        <w:pStyle w:val="Heading3"/>
      </w:pPr>
      <w:r>
        <w:t xml:space="preserve">6.5.1 Fuke and Ohashi (2025) </w:t>
      </w:r>
      <w:r>
        <w:rPr>
          <w:rFonts w:hint="eastAsia"/>
        </w:rPr>
        <w:t xml:space="preserve">の再現</w:t>
      </w:r>
    </w:p>
    <w:p>
      <w:pPr>
        <w:pStyle w:val="FirstParagraph"/>
      </w:pPr>
      <w:r>
        <w:rPr>
          <w:rFonts w:hint="eastAsia"/>
        </w:rPr>
        <w:t xml:space="preserve">5.2.6の仕様で</w:t>
      </w:r>
      <w:r>
        <w:t xml:space="preserve"> Fuke and Ohashi (2025) </w:t>
      </w:r>
      <w:r>
        <w:rPr>
          <w:rFonts w:hint="eastAsia"/>
        </w:rPr>
        <w:t xml:space="preserve">を九州FY2016〜19で再現した結果を表6.5に示す（PV</w:t>
      </w:r>
      <w:r>
        <w:t xml:space="preserve"> </w:t>
      </w:r>
      <w:r>
        <w:rPr>
          <w:rFonts w:hint="eastAsia"/>
        </w:rPr>
        <w:t xml:space="preserve">time日次価格、n=1,434日、ペア・ブートストラップ150回）。需要のIQR係数は夏のみ有意に正で、太陽光のIQR係数は春のみ有意に負、夏は負だが非有意、秋・冬は非有意である。符号・大きさ・有意性のいずれも彼らの表9とほぼ一致し、水準の分位点係数（太陽光は冬が最も負で夏が最も弱く、高分位ほど大きい）も再現された。需要に域外送電を加える近似、外れ値の非除外、祝日判定の実装が彼らと異なるが、結果は影響を受けていな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IQR係数（β₀.₉−β₀.₁）</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需要：本研究の再現</w:t>
            </w:r>
          </w:p>
        </w:tc>
        <w:tc>
          <w:tcPr/>
          <w:p>
            <w:pPr>
              <w:pStyle w:val="Compact"/>
            </w:pPr>
            <w:r>
              <w:t xml:space="preserve">0.111</w:t>
            </w:r>
          </w:p>
        </w:tc>
        <w:tc>
          <w:tcPr/>
          <w:p>
            <w:pPr>
              <w:pStyle w:val="Compact"/>
            </w:pPr>
            <w:r>
              <w:t xml:space="preserve">0.158</w:t>
            </w:r>
          </w:p>
        </w:tc>
        <w:tc>
          <w:tcPr/>
          <w:p>
            <w:pPr>
              <w:pStyle w:val="Compact"/>
            </w:pPr>
            <w:r>
              <w:rPr>
                <w:b/>
                <w:bCs/>
              </w:rPr>
              <w:t xml:space="preserve">0.330</w:t>
            </w:r>
            <w:r>
              <w:t xml:space="preserve">**</w:t>
            </w:r>
          </w:p>
        </w:tc>
        <w:tc>
          <w:tcPr/>
          <w:p>
            <w:pPr>
              <w:pStyle w:val="Compact"/>
            </w:pPr>
            <w:r>
              <w:t xml:space="preserve">0.168</w:t>
            </w:r>
          </w:p>
        </w:tc>
      </w:tr>
      <w:tr>
        <w:tc>
          <w:tcPr/>
          <w:p>
            <w:pPr>
              <w:pStyle w:val="Compact"/>
            </w:pPr>
            <w:r>
              <w:rPr>
                <w:rFonts w:hint="eastAsia"/>
              </w:rPr>
              <w:t xml:space="preserve">需要：F&amp;O</w:t>
            </w:r>
            <w:r>
              <w:t xml:space="preserve"> </w:t>
            </w:r>
            <w:r>
              <w:rPr>
                <w:rFonts w:hint="eastAsia"/>
              </w:rPr>
              <w:t xml:space="preserve">表9</w:t>
            </w:r>
          </w:p>
        </w:tc>
        <w:tc>
          <w:tcPr/>
          <w:p>
            <w:pPr>
              <w:pStyle w:val="Compact"/>
            </w:pPr>
            <w:r>
              <w:t xml:space="preserve">0.189</w:t>
            </w:r>
          </w:p>
        </w:tc>
        <w:tc>
          <w:tcPr/>
          <w:p>
            <w:pPr>
              <w:pStyle w:val="Compact"/>
            </w:pPr>
            <w:r>
              <w:t xml:space="preserve">0.195</w:t>
            </w:r>
          </w:p>
        </w:tc>
        <w:tc>
          <w:tcPr/>
          <w:p>
            <w:pPr>
              <w:pStyle w:val="Compact"/>
            </w:pPr>
            <w:r>
              <w:rPr>
                <w:b/>
                <w:bCs/>
              </w:rPr>
              <w:t xml:space="preserve">0.325</w:t>
            </w:r>
            <w:r>
              <w:t xml:space="preserve">**</w:t>
            </w:r>
          </w:p>
        </w:tc>
        <w:tc>
          <w:tcPr/>
          <w:p>
            <w:pPr>
              <w:pStyle w:val="Compact"/>
            </w:pPr>
            <w:r>
              <w:t xml:space="preserve">0.212</w:t>
            </w:r>
          </w:p>
        </w:tc>
      </w:tr>
      <w:tr>
        <w:tc>
          <w:tcPr/>
          <w:p>
            <w:pPr>
              <w:pStyle w:val="Compact"/>
            </w:pPr>
            <w:r>
              <w:rPr>
                <w:rFonts w:hint="eastAsia"/>
              </w:rPr>
              <w:t xml:space="preserve">太陽光：本研究の再現</w:t>
            </w:r>
          </w:p>
        </w:tc>
        <w:tc>
          <w:tcPr/>
          <w:p>
            <w:pPr>
              <w:pStyle w:val="Compact"/>
            </w:pPr>
            <w:r>
              <w:t xml:space="preserve">−0.100</w:t>
            </w:r>
          </w:p>
        </w:tc>
        <w:tc>
          <w:tcPr/>
          <w:p>
            <w:pPr>
              <w:pStyle w:val="Compact"/>
            </w:pPr>
            <w:r>
              <w:rPr>
                <w:b/>
                <w:bCs/>
              </w:rPr>
              <w:t xml:space="preserve">−0.259</w:t>
            </w:r>
            <w:r>
              <w:t xml:space="preserve">**</w:t>
            </w:r>
          </w:p>
        </w:tc>
        <w:tc>
          <w:tcPr/>
          <w:p>
            <w:pPr>
              <w:pStyle w:val="Compact"/>
            </w:pPr>
            <w:r>
              <w:t xml:space="preserve">−0.421</w:t>
            </w:r>
          </w:p>
        </w:tc>
        <w:tc>
          <w:tcPr/>
          <w:p>
            <w:pPr>
              <w:pStyle w:val="Compact"/>
            </w:pPr>
            <w:r>
              <w:t xml:space="preserve">−0.189</w:t>
            </w:r>
          </w:p>
        </w:tc>
      </w:tr>
      <w:tr>
        <w:tc>
          <w:tcPr/>
          <w:p>
            <w:pPr>
              <w:pStyle w:val="Compact"/>
            </w:pPr>
            <w:r>
              <w:rPr>
                <w:rFonts w:hint="eastAsia"/>
              </w:rPr>
              <w:t xml:space="preserve">太陽光：F&amp;O</w:t>
            </w:r>
            <w:r>
              <w:t xml:space="preserve"> </w:t>
            </w:r>
            <w:r>
              <w:rPr>
                <w:rFonts w:hint="eastAsia"/>
              </w:rPr>
              <w:t xml:space="preserve">表9</w:t>
            </w:r>
          </w:p>
        </w:tc>
        <w:tc>
          <w:tcPr/>
          <w:p>
            <w:pPr>
              <w:pStyle w:val="Compact"/>
            </w:pPr>
            <w:r>
              <w:t xml:space="preserve">−0.280</w:t>
            </w:r>
          </w:p>
        </w:tc>
        <w:tc>
          <w:tcPr/>
          <w:p>
            <w:pPr>
              <w:pStyle w:val="Compact"/>
            </w:pPr>
            <w:r>
              <w:rPr>
                <w:b/>
                <w:bCs/>
              </w:rPr>
              <w:t xml:space="preserve">−0.228</w:t>
            </w:r>
            <w:r>
              <w:t xml:space="preserve">*</w:t>
            </w:r>
          </w:p>
        </w:tc>
        <w:tc>
          <w:tcPr/>
          <w:p>
            <w:pPr>
              <w:pStyle w:val="Compact"/>
            </w:pPr>
            <w:r>
              <w:t xml:space="preserve">−0.356</w:t>
            </w:r>
          </w:p>
        </w:tc>
        <w:tc>
          <w:tcPr/>
          <w:p>
            <w:pPr>
              <w:pStyle w:val="Compact"/>
            </w:pPr>
            <w:r>
              <w:t xml:space="preserve">−0.197</w:t>
            </w:r>
          </w:p>
        </w:tc>
      </w:tr>
    </w:tbl>
    <w:p>
      <w:pPr>
        <w:pStyle w:val="BodyText"/>
      </w:pPr>
      <w:r>
        <w:rPr>
          <w:rFonts w:hint="eastAsia"/>
        </w:rPr>
        <w:t xml:space="preserve">表6.5</w:t>
      </w:r>
      <w:r>
        <w:t xml:space="preserve"> Fuke and Ohashi (2025) </w:t>
      </w:r>
      <w:r>
        <w:rPr>
          <w:rFonts w:hint="eastAsia"/>
        </w:rPr>
        <w:t xml:space="preserve">仕様の再現（九州FY2016〜19、円/kWh</w:t>
      </w:r>
      <w:r>
        <w:t xml:space="preserve"> per GW、*** p&lt;0.01、** p&lt;0.05、* </w:t>
      </w:r>
      <w:r>
        <w:rPr>
          <w:rFonts w:hint="eastAsia"/>
        </w:rPr>
        <w:t xml:space="preserve">p&lt;0.1）</w:t>
      </w:r>
    </w:p>
    <w:bookmarkEnd w:id="91"/>
    <w:bookmarkStart w:id="92" w:name="同一サンプルで被説明変数を日内スプレッドに替える"/>
    <w:p>
      <w:pPr>
        <w:pStyle w:val="Heading3"/>
      </w:pPr>
      <w:r>
        <w:t xml:space="preserve">6.5.2 </w:t>
      </w:r>
      <w:r>
        <w:rPr>
          <w:rFonts w:hint="eastAsia"/>
        </w:rPr>
        <w:t xml:space="preserve">同一サンプルで被説明変数を日内スプレッドに替える</w:t>
      </w:r>
    </w:p>
    <w:p>
      <w:pPr>
        <w:pStyle w:val="FirstParagraph"/>
      </w:pPr>
      <w:r>
        <w:rPr>
          <w:rFonts w:hint="eastAsia"/>
        </w:rPr>
        <w:t xml:space="preserve">同じ日次サンプル・同じ説明変数で、被説明変数をTB4hスプレッド（日内）に替えたOLSの結果を、F&amp;O型のIQR係数（日間）と並べて表6.6に示す。九州FY2016〜19では、太陽光は春に日間IQRを縮小させる一方で日内スプレッドを拡大させ、冬・秋でも日内スプレッドを有意に拡大させる。夏は両指標とも効果が弱い——冷房需要と日射が同方向に動くため昼間平均価格が安定し、かつ日内の落ち込みも需要に吸収される。FY2023〜25の九州では乖離がさらに明瞭で、太陽光は全季節で日間IQRを縮小させ（−0.42〜−0.74）、全季節で日内スプレッドを拡大させる（+0.77〜+2.15）。太陽光は昼間平均価格を日々安定させながら、昼と夕方の差を開いている。Fuke</w:t>
      </w:r>
      <w:r>
        <w:t xml:space="preserve"> and Ohashi </w:t>
      </w:r>
      <w:r>
        <w:rPr>
          <w:rFonts w:hint="eastAsia"/>
        </w:rPr>
        <w:t xml:space="preserve">の「太陽光は変動性を下げる」と本研究の「太陽光は日内スプレッドを広げる」は、同一データ・同一説明変数の上で同時に成立する別の量の記述である。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太陽光の係数</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九州FY2016〜19：日間IQR</w:t>
            </w:r>
          </w:p>
        </w:tc>
        <w:tc>
          <w:tcPr/>
          <w:p>
            <w:pPr>
              <w:pStyle w:val="Compact"/>
            </w:pPr>
            <w:r>
              <w:t xml:space="preserve">−0.100</w:t>
            </w:r>
          </w:p>
        </w:tc>
        <w:tc>
          <w:tcPr/>
          <w:p>
            <w:pPr>
              <w:pStyle w:val="Compact"/>
            </w:pPr>
            <w:r>
              <w:t xml:space="preserve">−0.259**</w:t>
            </w:r>
          </w:p>
        </w:tc>
        <w:tc>
          <w:tcPr/>
          <w:p>
            <w:pPr>
              <w:pStyle w:val="Compact"/>
            </w:pPr>
            <w:r>
              <w:t xml:space="preserve">−0.421</w:t>
            </w:r>
          </w:p>
        </w:tc>
        <w:tc>
          <w:tcPr/>
          <w:p>
            <w:pPr>
              <w:pStyle w:val="Compact"/>
            </w:pPr>
            <w:r>
              <w:t xml:space="preserve">−0.189</w:t>
            </w:r>
          </w:p>
        </w:tc>
      </w:tr>
      <w:tr>
        <w:tc>
          <w:tcPr/>
          <w:p>
            <w:pPr>
              <w:pStyle w:val="Compact"/>
            </w:pPr>
            <w:r>
              <w:rPr>
                <w:rFonts w:hint="eastAsia"/>
              </w:rPr>
              <w:t xml:space="preserve">九州FY2016〜19：日内TB4h</w:t>
            </w:r>
          </w:p>
        </w:tc>
        <w:tc>
          <w:tcPr/>
          <w:p>
            <w:pPr>
              <w:pStyle w:val="Compact"/>
            </w:pPr>
            <w:r>
              <w:t xml:space="preserve">+0.739***</w:t>
            </w:r>
          </w:p>
        </w:tc>
        <w:tc>
          <w:tcPr/>
          <w:p>
            <w:pPr>
              <w:pStyle w:val="Compact"/>
            </w:pPr>
            <w:r>
              <w:t xml:space="preserve">+0.284***</w:t>
            </w:r>
          </w:p>
        </w:tc>
        <w:tc>
          <w:tcPr/>
          <w:p>
            <w:pPr>
              <w:pStyle w:val="Compact"/>
            </w:pPr>
            <w:r>
              <w:t xml:space="preserve">+0.016</w:t>
            </w:r>
          </w:p>
        </w:tc>
        <w:tc>
          <w:tcPr/>
          <w:p>
            <w:pPr>
              <w:pStyle w:val="Compact"/>
            </w:pPr>
            <w:r>
              <w:t xml:space="preserve">+0.913***</w:t>
            </w:r>
          </w:p>
        </w:tc>
      </w:tr>
      <w:tr>
        <w:tc>
          <w:tcPr/>
          <w:p>
            <w:pPr>
              <w:pStyle w:val="Compact"/>
            </w:pPr>
            <w:r>
              <w:rPr>
                <w:rFonts w:hint="eastAsia"/>
              </w:rPr>
              <w:t xml:space="preserve">九州FY2023〜25：日間IQR</w:t>
            </w:r>
          </w:p>
        </w:tc>
        <w:tc>
          <w:tcPr/>
          <w:p>
            <w:pPr>
              <w:pStyle w:val="Compact"/>
            </w:pPr>
            <w:r>
              <w:t xml:space="preserve">−0.542***</w:t>
            </w:r>
          </w:p>
        </w:tc>
        <w:tc>
          <w:tcPr/>
          <w:p>
            <w:pPr>
              <w:pStyle w:val="Compact"/>
            </w:pPr>
            <w:r>
              <w:t xml:space="preserve">−0.738***</w:t>
            </w:r>
          </w:p>
        </w:tc>
        <w:tc>
          <w:tcPr/>
          <w:p>
            <w:pPr>
              <w:pStyle w:val="Compact"/>
            </w:pPr>
            <w:r>
              <w:t xml:space="preserve">−0.478</w:t>
            </w:r>
          </w:p>
        </w:tc>
        <w:tc>
          <w:tcPr/>
          <w:p>
            <w:pPr>
              <w:pStyle w:val="Compact"/>
            </w:pPr>
            <w:r>
              <w:t xml:space="preserve">−0.423*</w:t>
            </w:r>
          </w:p>
        </w:tc>
      </w:tr>
      <w:tr>
        <w:tc>
          <w:tcPr/>
          <w:p>
            <w:pPr>
              <w:pStyle w:val="Compact"/>
            </w:pPr>
            <w:r>
              <w:rPr>
                <w:rFonts w:hint="eastAsia"/>
              </w:rPr>
              <w:t xml:space="preserve">九州FY2023〜25：日内TB4h</w:t>
            </w:r>
          </w:p>
        </w:tc>
        <w:tc>
          <w:tcPr/>
          <w:p>
            <w:pPr>
              <w:pStyle w:val="Compact"/>
            </w:pPr>
            <w:r>
              <w:t xml:space="preserve">+2.111***</w:t>
            </w:r>
          </w:p>
        </w:tc>
        <w:tc>
          <w:tcPr/>
          <w:p>
            <w:pPr>
              <w:pStyle w:val="Compact"/>
            </w:pPr>
            <w:r>
              <w:t xml:space="preserve">+1.678***</w:t>
            </w:r>
          </w:p>
        </w:tc>
        <w:tc>
          <w:tcPr/>
          <w:p>
            <w:pPr>
              <w:pStyle w:val="Compact"/>
            </w:pPr>
            <w:r>
              <w:t xml:space="preserve">+0.770***</w:t>
            </w:r>
          </w:p>
        </w:tc>
        <w:tc>
          <w:tcPr/>
          <w:p>
            <w:pPr>
              <w:pStyle w:val="Compact"/>
            </w:pPr>
            <w:r>
              <w:t xml:space="preserve">+2.152***</w:t>
            </w:r>
          </w:p>
        </w:tc>
      </w:tr>
      <w:tr>
        <w:tc>
          <w:tcPr/>
          <w:p>
            <w:pPr>
              <w:pStyle w:val="Compact"/>
            </w:pPr>
            <w:r>
              <w:rPr>
                <w:rFonts w:hint="eastAsia"/>
              </w:rPr>
              <w:t xml:space="preserve">北海道FY2016〜19：日間IQR</w:t>
            </w:r>
          </w:p>
        </w:tc>
        <w:tc>
          <w:tcPr/>
          <w:p>
            <w:pPr>
              <w:pStyle w:val="Compact"/>
            </w:pPr>
            <w:r>
              <w:t xml:space="preserve">+1.454</w:t>
            </w:r>
          </w:p>
        </w:tc>
        <w:tc>
          <w:tcPr/>
          <w:p>
            <w:pPr>
              <w:pStyle w:val="Compact"/>
            </w:pPr>
            <w:r>
              <w:t xml:space="preserve">+3.276**</w:t>
            </w:r>
          </w:p>
        </w:tc>
        <w:tc>
          <w:tcPr/>
          <w:p>
            <w:pPr>
              <w:pStyle w:val="Compact"/>
            </w:pPr>
            <w:r>
              <w:t xml:space="preserve">+2.096</w:t>
            </w:r>
          </w:p>
        </w:tc>
        <w:tc>
          <w:tcPr/>
          <w:p>
            <w:pPr>
              <w:pStyle w:val="Compact"/>
            </w:pPr>
            <w:r>
              <w:t xml:space="preserve">+0.870</w:t>
            </w:r>
          </w:p>
        </w:tc>
      </w:tr>
      <w:tr>
        <w:tc>
          <w:tcPr/>
          <w:p>
            <w:pPr>
              <w:pStyle w:val="Compact"/>
            </w:pPr>
            <w:r>
              <w:rPr>
                <w:rFonts w:hint="eastAsia"/>
              </w:rPr>
              <w:t xml:space="preserve">北海道FY2016〜19：日内TB4h</w:t>
            </w:r>
          </w:p>
        </w:tc>
        <w:tc>
          <w:tcPr/>
          <w:p>
            <w:pPr>
              <w:pStyle w:val="Compact"/>
            </w:pPr>
            <w:r>
              <w:t xml:space="preserve">+4.363*</w:t>
            </w:r>
          </w:p>
        </w:tc>
        <w:tc>
          <w:tcPr/>
          <w:p>
            <w:pPr>
              <w:pStyle w:val="Compact"/>
            </w:pPr>
            <w:r>
              <w:t xml:space="preserve">+7.169***</w:t>
            </w:r>
          </w:p>
        </w:tc>
        <w:tc>
          <w:tcPr/>
          <w:p>
            <w:pPr>
              <w:pStyle w:val="Compact"/>
            </w:pPr>
            <w:r>
              <w:t xml:space="preserve">+2.174</w:t>
            </w:r>
          </w:p>
        </w:tc>
        <w:tc>
          <w:tcPr/>
          <w:p>
            <w:pPr>
              <w:pStyle w:val="Compact"/>
            </w:pPr>
            <w:r>
              <w:t xml:space="preserve">+5.748***</w:t>
            </w:r>
          </w:p>
        </w:tc>
      </w:tr>
      <w:tr>
        <w:tc>
          <w:tcPr/>
          <w:p>
            <w:pPr>
              <w:pStyle w:val="Compact"/>
            </w:pPr>
            <w:r>
              <w:rPr>
                <w:rFonts w:hint="eastAsia"/>
              </w:rPr>
              <w:t xml:space="preserve">北海道FY2023〜25：日間IQR</w:t>
            </w:r>
          </w:p>
        </w:tc>
        <w:tc>
          <w:tcPr/>
          <w:p>
            <w:pPr>
              <w:pStyle w:val="Compact"/>
            </w:pPr>
            <w:r>
              <w:t xml:space="preserve">−1.964</w:t>
            </w:r>
          </w:p>
        </w:tc>
        <w:tc>
          <w:tcPr/>
          <w:p>
            <w:pPr>
              <w:pStyle w:val="Compact"/>
            </w:pPr>
            <w:r>
              <w:t xml:space="preserve">−2.909*</w:t>
            </w:r>
          </w:p>
        </w:tc>
        <w:tc>
          <w:tcPr/>
          <w:p>
            <w:pPr>
              <w:pStyle w:val="Compact"/>
            </w:pPr>
            <w:r>
              <w:t xml:space="preserve">+0.773</w:t>
            </w:r>
          </w:p>
        </w:tc>
        <w:tc>
          <w:tcPr/>
          <w:p>
            <w:pPr>
              <w:pStyle w:val="Compact"/>
            </w:pPr>
            <w:r>
              <w:t xml:space="preserve">−3.864**</w:t>
            </w:r>
          </w:p>
        </w:tc>
      </w:tr>
      <w:tr>
        <w:tc>
          <w:tcPr/>
          <w:p>
            <w:pPr>
              <w:pStyle w:val="Compact"/>
            </w:pPr>
            <w:r>
              <w:rPr>
                <w:rFonts w:hint="eastAsia"/>
              </w:rPr>
              <w:t xml:space="preserve">北海道FY2023〜25：日内TB4h</w:t>
            </w:r>
          </w:p>
        </w:tc>
        <w:tc>
          <w:tcPr/>
          <w:p>
            <w:pPr>
              <w:pStyle w:val="Compact"/>
            </w:pPr>
            <w:r>
              <w:t xml:space="preserve">+4.399***</w:t>
            </w:r>
          </w:p>
        </w:tc>
        <w:tc>
          <w:tcPr/>
          <w:p>
            <w:pPr>
              <w:pStyle w:val="Compact"/>
            </w:pPr>
            <w:r>
              <w:t xml:space="preserve">+7.716***</w:t>
            </w:r>
          </w:p>
        </w:tc>
        <w:tc>
          <w:tcPr/>
          <w:p>
            <w:pPr>
              <w:pStyle w:val="Compact"/>
            </w:pPr>
            <w:r>
              <w:t xml:space="preserve">+4.974***</w:t>
            </w:r>
          </w:p>
        </w:tc>
        <w:tc>
          <w:tcPr/>
          <w:p>
            <w:pPr>
              <w:pStyle w:val="Compact"/>
            </w:pPr>
            <w:r>
              <w:t xml:space="preserve">+4.747***</w:t>
            </w:r>
          </w:p>
        </w:tc>
      </w:tr>
    </w:tbl>
    <w:p>
      <w:pPr>
        <w:pStyle w:val="BodyText"/>
      </w:pPr>
      <w:r>
        <w:rPr>
          <w:rFonts w:hint="eastAsia"/>
        </w:rPr>
        <w:t xml:space="preserve">表6.6</w:t>
      </w:r>
      <w:r>
        <w:t xml:space="preserve"> </w:t>
      </w:r>
      <w:r>
        <w:rPr>
          <w:rFonts w:hint="eastAsia"/>
        </w:rPr>
        <w:t xml:space="preserve">太陽光の日間変動性（IQR係数）と日内スプレッド（TB4h・OLS）への効果（円/kWh</w:t>
      </w:r>
      <w:r>
        <w:t xml:space="preserve"> per </w:t>
      </w:r>
      <w:r>
        <w:rPr>
          <w:rFonts w:hint="eastAsia"/>
        </w:rPr>
        <w:t xml:space="preserve">GW）</w:t>
      </w:r>
    </w:p>
    <w:bookmarkEnd w:id="92"/>
    <w:bookmarkStart w:id="93" w:name="風力についての同一比較"/>
    <w:p>
      <w:pPr>
        <w:pStyle w:val="Heading3"/>
      </w:pPr>
      <w:r>
        <w:t xml:space="preserve">6.5.3 </w:t>
      </w:r>
      <w:r>
        <w:rPr>
          <w:rFonts w:hint="eastAsia"/>
        </w:rPr>
        <w:t xml:space="preserve">風力についての同一比較</w:t>
      </w:r>
    </w:p>
    <w:p>
      <w:pPr>
        <w:pStyle w:val="FirstParagraph"/>
      </w:pPr>
      <w:r>
        <w:rPr>
          <w:rFonts w:hint="eastAsia"/>
        </w:rPr>
        <w:t xml:space="preserve">北海道で風力を加えた結果を表6.7に示す。日間では、風力はFY2016〜19に有意な効果を持たず、FY2023〜25には冬・秋で日間IQRを有意に縮小させる。風力のMOEは高分位で最も強く（τ=0.9の係数が最も負）、上側の裾を圧縮するためである。これは6.3の分位点回帰および</w:t>
      </w:r>
      <w:r>
        <w:t xml:space="preserve"> Sakaguchi and Fujii (2021) </w:t>
      </w:r>
      <w:r>
        <w:rPr>
          <w:rFonts w:hint="eastAsia"/>
        </w:rPr>
        <w:t xml:space="preserve">と整合する。日内では、FY2016〜19に風力はスプレッドを拡大させず（春はむしろ縮小）、FY2023〜25の春・夏で正に転じる。この転換は6.3で述べた床の形成と整合的である。導入量が倍増した後の春の昼間には風力が価格を床に押し付ける日が現れ、下側だけが切り取られて夕方との差が開く。第8章の反実仮想が示す「床を通じてのみ風力は価値を作る」機構が、標本内で観察され始めてい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風力の係数（北海道）</w:t>
            </w:r>
          </w:p>
        </w:tc>
        <w:tc>
          <w:tcPr/>
          <w:p>
            <w:pPr>
              <w:pStyle w:val="Compact"/>
            </w:pPr>
            <w:r>
              <w:rPr>
                <w:rFonts w:hint="eastAsia"/>
              </w:rPr>
              <w:t xml:space="preserve">冬</w:t>
            </w:r>
          </w:p>
        </w:tc>
        <w:tc>
          <w:tcPr/>
          <w:p>
            <w:pPr>
              <w:pStyle w:val="Compact"/>
            </w:pPr>
            <w:r>
              <w:rPr>
                <w:rFonts w:hint="eastAsia"/>
              </w:rPr>
              <w:t xml:space="preserve">春</w:t>
            </w:r>
          </w:p>
        </w:tc>
        <w:tc>
          <w:tcPr/>
          <w:p>
            <w:pPr>
              <w:pStyle w:val="Compact"/>
            </w:pPr>
            <w:r>
              <w:rPr>
                <w:rFonts w:hint="eastAsia"/>
              </w:rPr>
              <w:t xml:space="preserve">夏</w:t>
            </w:r>
          </w:p>
        </w:tc>
        <w:tc>
          <w:tcPr/>
          <w:p>
            <w:pPr>
              <w:pStyle w:val="Compact"/>
            </w:pPr>
            <w:r>
              <w:rPr>
                <w:rFonts w:hint="eastAsia"/>
              </w:rPr>
              <w:t xml:space="preserve">秋</w:t>
            </w:r>
          </w:p>
        </w:tc>
      </w:tr>
      <w:tr>
        <w:tc>
          <w:tcPr/>
          <w:p>
            <w:pPr>
              <w:pStyle w:val="Compact"/>
            </w:pPr>
            <w:r>
              <w:rPr>
                <w:rFonts w:hint="eastAsia"/>
              </w:rPr>
              <w:t xml:space="preserve">FY2016〜19：日間IQR</w:t>
            </w:r>
          </w:p>
        </w:tc>
        <w:tc>
          <w:tcPr/>
          <w:p>
            <w:pPr>
              <w:pStyle w:val="Compact"/>
            </w:pPr>
            <w:r>
              <w:t xml:space="preserve">+3.303</w:t>
            </w:r>
          </w:p>
        </w:tc>
        <w:tc>
          <w:tcPr/>
          <w:p>
            <w:pPr>
              <w:pStyle w:val="Compact"/>
            </w:pPr>
            <w:r>
              <w:t xml:space="preserve">−2.438</w:t>
            </w:r>
          </w:p>
        </w:tc>
        <w:tc>
          <w:tcPr/>
          <w:p>
            <w:pPr>
              <w:pStyle w:val="Compact"/>
            </w:pPr>
            <w:r>
              <w:t xml:space="preserve">+3.574</w:t>
            </w:r>
          </w:p>
        </w:tc>
        <w:tc>
          <w:tcPr/>
          <w:p>
            <w:pPr>
              <w:pStyle w:val="Compact"/>
            </w:pPr>
            <w:r>
              <w:t xml:space="preserve">+2.734</w:t>
            </w:r>
          </w:p>
        </w:tc>
      </w:tr>
      <w:tr>
        <w:tc>
          <w:tcPr/>
          <w:p>
            <w:pPr>
              <w:pStyle w:val="Compact"/>
            </w:pPr>
            <w:r>
              <w:rPr>
                <w:rFonts w:hint="eastAsia"/>
              </w:rPr>
              <w:t xml:space="preserve">FY2016〜19：日内TB4h</w:t>
            </w:r>
          </w:p>
        </w:tc>
        <w:tc>
          <w:tcPr/>
          <w:p>
            <w:pPr>
              <w:pStyle w:val="Compact"/>
            </w:pPr>
            <w:r>
              <w:t xml:space="preserve">+1.564</w:t>
            </w:r>
          </w:p>
        </w:tc>
        <w:tc>
          <w:tcPr/>
          <w:p>
            <w:pPr>
              <w:pStyle w:val="Compact"/>
            </w:pPr>
            <w:r>
              <w:t xml:space="preserve">−14.646***</w:t>
            </w:r>
          </w:p>
        </w:tc>
        <w:tc>
          <w:tcPr/>
          <w:p>
            <w:pPr>
              <w:pStyle w:val="Compact"/>
            </w:pPr>
            <w:r>
              <w:t xml:space="preserve">−7.936</w:t>
            </w:r>
          </w:p>
        </w:tc>
        <w:tc>
          <w:tcPr/>
          <w:p>
            <w:pPr>
              <w:pStyle w:val="Compact"/>
            </w:pPr>
            <w:r>
              <w:t xml:space="preserve">−1.638</w:t>
            </w:r>
          </w:p>
        </w:tc>
      </w:tr>
      <w:tr>
        <w:tc>
          <w:tcPr/>
          <w:p>
            <w:pPr>
              <w:pStyle w:val="Compact"/>
            </w:pPr>
            <w:r>
              <w:rPr>
                <w:rFonts w:hint="eastAsia"/>
              </w:rPr>
              <w:t xml:space="preserve">FY2023〜25：日間IQR</w:t>
            </w:r>
          </w:p>
        </w:tc>
        <w:tc>
          <w:tcPr/>
          <w:p>
            <w:pPr>
              <w:pStyle w:val="Compact"/>
            </w:pPr>
            <w:r>
              <w:t xml:space="preserve">−3.166***</w:t>
            </w:r>
          </w:p>
        </w:tc>
        <w:tc>
          <w:tcPr/>
          <w:p>
            <w:pPr>
              <w:pStyle w:val="Compact"/>
            </w:pPr>
            <w:r>
              <w:t xml:space="preserve">−0.994</w:t>
            </w:r>
          </w:p>
        </w:tc>
        <w:tc>
          <w:tcPr/>
          <w:p>
            <w:pPr>
              <w:pStyle w:val="Compact"/>
            </w:pPr>
            <w:r>
              <w:t xml:space="preserve">+2.822</w:t>
            </w:r>
          </w:p>
        </w:tc>
        <w:tc>
          <w:tcPr/>
          <w:p>
            <w:pPr>
              <w:pStyle w:val="Compact"/>
            </w:pPr>
            <w:r>
              <w:t xml:space="preserve">−3.870*</w:t>
            </w:r>
          </w:p>
        </w:tc>
      </w:tr>
      <w:tr>
        <w:tc>
          <w:tcPr/>
          <w:p>
            <w:pPr>
              <w:pStyle w:val="Compact"/>
            </w:pPr>
            <w:r>
              <w:rPr>
                <w:rFonts w:hint="eastAsia"/>
              </w:rPr>
              <w:t xml:space="preserve">FY2023〜25：日内TB4h</w:t>
            </w:r>
          </w:p>
        </w:tc>
        <w:tc>
          <w:tcPr/>
          <w:p>
            <w:pPr>
              <w:pStyle w:val="Compact"/>
            </w:pPr>
            <w:r>
              <w:t xml:space="preserve">−1.477</w:t>
            </w:r>
          </w:p>
        </w:tc>
        <w:tc>
          <w:tcPr/>
          <w:p>
            <w:pPr>
              <w:pStyle w:val="Compact"/>
            </w:pPr>
            <w:r>
              <w:t xml:space="preserve">+5.025***</w:t>
            </w:r>
          </w:p>
        </w:tc>
        <w:tc>
          <w:tcPr/>
          <w:p>
            <w:pPr>
              <w:pStyle w:val="Compact"/>
            </w:pPr>
            <w:r>
              <w:t xml:space="preserve">+3.481*</w:t>
            </w:r>
          </w:p>
        </w:tc>
        <w:tc>
          <w:tcPr/>
          <w:p>
            <w:pPr>
              <w:pStyle w:val="Compact"/>
            </w:pPr>
            <w:r>
              <w:t xml:space="preserve">−2.133</w:t>
            </w:r>
          </w:p>
        </w:tc>
      </w:tr>
    </w:tbl>
    <w:p>
      <w:pPr>
        <w:pStyle w:val="BodyText"/>
      </w:pPr>
      <w:r>
        <w:rPr>
          <w:rFonts w:hint="eastAsia"/>
        </w:rPr>
        <w:t xml:space="preserve">表6.7</w:t>
      </w:r>
      <w:r>
        <w:t xml:space="preserve"> </w:t>
      </w:r>
      <w:r>
        <w:rPr>
          <w:rFonts w:hint="eastAsia"/>
        </w:rPr>
        <w:t xml:space="preserve">風力の日間変動性と日内スプレッドへの効果（北海道、円/kWh</w:t>
      </w:r>
      <w:r>
        <w:t xml:space="preserve"> per </w:t>
      </w:r>
      <w:r>
        <w:rPr>
          <w:rFonts w:hint="eastAsia"/>
        </w:rPr>
        <w:t xml:space="preserve">GW）</w:t>
      </w:r>
    </w:p>
    <w:bookmarkEnd w:id="93"/>
    <w:bookmarkStart w:id="94" w:name="燃料危機期を除外した推定"/>
    <w:p>
      <w:pPr>
        <w:pStyle w:val="Heading3"/>
      </w:pPr>
      <w:r>
        <w:t xml:space="preserve">6.5.4 </w:t>
      </w:r>
      <w:r>
        <w:rPr>
          <w:rFonts w:hint="eastAsia"/>
        </w:rPr>
        <w:t xml:space="preserve">燃料危機期を除外した推定</w:t>
      </w:r>
    </w:p>
    <w:p>
      <w:pPr>
        <w:pStyle w:val="FirstParagraph"/>
      </w:pPr>
      <w:r>
        <w:rPr>
          <w:rFonts w:hint="eastAsia"/>
        </w:rPr>
        <w:t xml:space="preserve">FY2021〜22の燃料価格高騰期は主分析では年度固定効果で吸収しているが、価格水準の急変が季節×電源種の係数を歪める可能性を確認するため、両年度を除外した推定（北海道2,902日、九州2,922日）を表6.8に示す。北海道では、太陽光が不需要期にTB4hスプレッドを拡大させる係数は+0.235から+0.317へむしろ大きくなり、風力はTB4hに対して夏−0.185（10%有意）、冬−0.389（1%有意）、不需要期−0.018（非有意）で、いかなる季節でも日内形状を拡大させないという結論は変わらない。水準への効果は太陽光・風力とも1%水準で有意な負のまま、絶対値が2〜4割小さくなる。これは燃料危機期に価格水準が高く、同じ1GWhの再エネが円建てで大きな価格低下を生んでいたためであり、係数を燃料価格で基準化すれば整合する。九州では太陽光の冬・不需要期の拡大効果が維持され、風力の不需要期の正の係数は+0.175（10%有意）に弱まる。なお6.5.1〜6.5.3のFuke</w:t>
      </w:r>
      <w:r>
        <w:t xml:space="preserve"> and </w:t>
      </w:r>
      <w:r>
        <w:rPr>
          <w:rFonts w:hint="eastAsia"/>
        </w:rPr>
        <w:t xml:space="preserve">Ohashi型の再現は推定期間がFY2016〜19とFY2023〜25であり、燃料危機期をもともと含まない。</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被説明変数</w:t>
            </w:r>
          </w:p>
        </w:tc>
        <w:tc>
          <w:tcPr/>
          <w:p>
            <w:pPr>
              <w:pStyle w:val="Compact"/>
            </w:pPr>
            <w:r>
              <w:rPr>
                <w:rFonts w:hint="eastAsia"/>
              </w:rPr>
              <w:t xml:space="preserve">係数</w:t>
            </w:r>
          </w:p>
        </w:tc>
        <w:tc>
          <w:tcPr/>
          <w:p>
            <w:pPr>
              <w:pStyle w:val="Compact"/>
            </w:pPr>
            <w:r>
              <w:rPr>
                <w:rFonts w:hint="eastAsia"/>
              </w:rPr>
              <w:t xml:space="preserve">北海道</w:t>
            </w:r>
            <w:r>
              <w:t xml:space="preserve"> </w:t>
            </w:r>
            <w:r>
              <w:rPr>
                <w:rFonts w:hint="eastAsia"/>
              </w:rPr>
              <w:t xml:space="preserve">主分析</w:t>
            </w:r>
          </w:p>
        </w:tc>
        <w:tc>
          <w:tcPr/>
          <w:p>
            <w:pPr>
              <w:pStyle w:val="Compact"/>
            </w:pPr>
            <w:r>
              <w:rPr>
                <w:rFonts w:hint="eastAsia"/>
              </w:rPr>
              <w:t xml:space="preserve">北海道</w:t>
            </w:r>
            <w:r>
              <w:t xml:space="preserve"> </w:t>
            </w:r>
            <w:r>
              <w:rPr>
                <w:rFonts w:hint="eastAsia"/>
              </w:rPr>
              <w:t xml:space="preserve">除外</w:t>
            </w:r>
          </w:p>
        </w:tc>
        <w:tc>
          <w:tcPr/>
          <w:p>
            <w:pPr>
              <w:pStyle w:val="Compact"/>
            </w:pPr>
            <w:r>
              <w:rPr>
                <w:rFonts w:hint="eastAsia"/>
              </w:rPr>
              <w:t xml:space="preserve">九州</w:t>
            </w:r>
            <w:r>
              <w:t xml:space="preserve"> </w:t>
            </w:r>
            <w:r>
              <w:rPr>
                <w:rFonts w:hint="eastAsia"/>
              </w:rPr>
              <w:t xml:space="preserve">主分析</w:t>
            </w:r>
          </w:p>
        </w:tc>
        <w:tc>
          <w:tcPr/>
          <w:p>
            <w:pPr>
              <w:pStyle w:val="Compact"/>
            </w:pPr>
            <w:r>
              <w:rPr>
                <w:rFonts w:hint="eastAsia"/>
              </w:rPr>
              <w:t xml:space="preserve">九州</w:t>
            </w:r>
            <w:r>
              <w:t xml:space="preserve"> </w:t>
            </w:r>
            <w:r>
              <w:rPr>
                <w:rFonts w:hint="eastAsia"/>
              </w:rPr>
              <w:t xml:space="preserve">除外</w:t>
            </w:r>
          </w:p>
        </w:tc>
      </w:tr>
      <w:tr>
        <w:tc>
          <w:tcPr/>
          <w:p>
            <w:pPr>
              <w:pStyle w:val="Compact"/>
            </w:pPr>
            <w:r>
              <w:rPr>
                <w:rFonts w:hint="eastAsia"/>
              </w:rPr>
              <w:t xml:space="preserve">水準</w:t>
            </w:r>
          </w:p>
        </w:tc>
        <w:tc>
          <w:tcPr/>
          <w:p>
            <w:pPr>
              <w:pStyle w:val="Compact"/>
            </w:pPr>
            <w:r>
              <w:rPr>
                <w:rFonts w:hint="eastAsia"/>
              </w:rPr>
              <w:t xml:space="preserve">太陽光・夏</w:t>
            </w:r>
          </w:p>
        </w:tc>
        <w:tc>
          <w:tcPr/>
          <w:p>
            <w:pPr>
              <w:pStyle w:val="Compact"/>
            </w:pPr>
            <w:r>
              <w:t xml:space="preserve">−0.460***</w:t>
            </w:r>
          </w:p>
        </w:tc>
        <w:tc>
          <w:tcPr/>
          <w:p>
            <w:pPr>
              <w:pStyle w:val="Compact"/>
            </w:pPr>
            <w:r>
              <w:t xml:space="preserve">−0.319***</w:t>
            </w:r>
          </w:p>
        </w:tc>
        <w:tc>
          <w:tcPr/>
          <w:p>
            <w:pPr>
              <w:pStyle w:val="Compact"/>
            </w:pPr>
            <w:r>
              <w:t xml:space="preserve">−0.064***</w:t>
            </w:r>
          </w:p>
        </w:tc>
        <w:tc>
          <w:tcPr/>
          <w:p>
            <w:pPr>
              <w:pStyle w:val="Compact"/>
            </w:pPr>
            <w:r>
              <w:t xml:space="preserve">−0.038***</w:t>
            </w:r>
          </w:p>
        </w:tc>
      </w:tr>
      <w:tr>
        <w:tc>
          <w:tcPr/>
          <w:p>
            <w:pPr>
              <w:pStyle w:val="Compact"/>
            </w:pPr>
          </w:p>
        </w:tc>
        <w:tc>
          <w:tcPr/>
          <w:p>
            <w:pPr>
              <w:pStyle w:val="Compact"/>
            </w:pPr>
            <w:r>
              <w:rPr>
                <w:rFonts w:hint="eastAsia"/>
              </w:rPr>
              <w:t xml:space="preserve">太陽光・冬</w:t>
            </w:r>
          </w:p>
        </w:tc>
        <w:tc>
          <w:tcPr/>
          <w:p>
            <w:pPr>
              <w:pStyle w:val="Compact"/>
            </w:pPr>
            <w:r>
              <w:t xml:space="preserve">−0.756***</w:t>
            </w:r>
          </w:p>
        </w:tc>
        <w:tc>
          <w:tcPr/>
          <w:p>
            <w:pPr>
              <w:pStyle w:val="Compact"/>
            </w:pPr>
            <w:r>
              <w:t xml:space="preserve">−0.640***</w:t>
            </w:r>
          </w:p>
        </w:tc>
        <w:tc>
          <w:tcPr/>
          <w:p>
            <w:pPr>
              <w:pStyle w:val="Compact"/>
            </w:pPr>
            <w:r>
              <w:t xml:space="preserve">−0.061***</w:t>
            </w:r>
          </w:p>
        </w:tc>
        <w:tc>
          <w:tcPr/>
          <w:p>
            <w:pPr>
              <w:pStyle w:val="Compact"/>
            </w:pPr>
            <w:r>
              <w:t xml:space="preserve">−0.056**</w:t>
            </w:r>
          </w:p>
        </w:tc>
      </w:tr>
      <w:tr>
        <w:tc>
          <w:tcPr/>
          <w:p>
            <w:pPr>
              <w:pStyle w:val="Compact"/>
            </w:pPr>
          </w:p>
        </w:tc>
        <w:tc>
          <w:tcPr/>
          <w:p>
            <w:pPr>
              <w:pStyle w:val="Compact"/>
            </w:pPr>
            <w:r>
              <w:rPr>
                <w:rFonts w:hint="eastAsia"/>
              </w:rPr>
              <w:t xml:space="preserve">太陽光・不需要期</w:t>
            </w:r>
          </w:p>
        </w:tc>
        <w:tc>
          <w:tcPr/>
          <w:p>
            <w:pPr>
              <w:pStyle w:val="Compact"/>
            </w:pPr>
            <w:r>
              <w:t xml:space="preserve">−0.347***</w:t>
            </w:r>
          </w:p>
        </w:tc>
        <w:tc>
          <w:tcPr/>
          <w:p>
            <w:pPr>
              <w:pStyle w:val="Compact"/>
            </w:pPr>
            <w:r>
              <w:t xml:space="preserve">−0.193***</w:t>
            </w:r>
          </w:p>
        </w:tc>
        <w:tc>
          <w:tcPr/>
          <w:p>
            <w:pPr>
              <w:pStyle w:val="Compact"/>
            </w:pPr>
            <w:r>
              <w:t xml:space="preserve">−0.055***</w:t>
            </w:r>
          </w:p>
        </w:tc>
        <w:tc>
          <w:tcPr/>
          <w:p>
            <w:pPr>
              <w:pStyle w:val="Compact"/>
            </w:pPr>
            <w:r>
              <w:t xml:space="preserve">−0.047***</w:t>
            </w:r>
          </w:p>
        </w:tc>
      </w:tr>
      <w:tr>
        <w:tc>
          <w:tcPr/>
          <w:p>
            <w:pPr>
              <w:pStyle w:val="Compact"/>
            </w:pPr>
          </w:p>
        </w:tc>
        <w:tc>
          <w:tcPr/>
          <w:p>
            <w:pPr>
              <w:pStyle w:val="Compact"/>
            </w:pPr>
            <w:r>
              <w:rPr>
                <w:rFonts w:hint="eastAsia"/>
              </w:rPr>
              <w:t xml:space="preserve">風力・夏</w:t>
            </w:r>
          </w:p>
        </w:tc>
        <w:tc>
          <w:tcPr/>
          <w:p>
            <w:pPr>
              <w:pStyle w:val="Compact"/>
            </w:pPr>
            <w:r>
              <w:t xml:space="preserve">−0.282***</w:t>
            </w:r>
          </w:p>
        </w:tc>
        <w:tc>
          <w:tcPr/>
          <w:p>
            <w:pPr>
              <w:pStyle w:val="Compact"/>
            </w:pPr>
            <w:r>
              <w:t xml:space="preserve">−0.219***</w:t>
            </w:r>
          </w:p>
        </w:tc>
        <w:tc>
          <w:tcPr/>
          <w:p>
            <w:pPr>
              <w:pStyle w:val="Compact"/>
            </w:pPr>
            <w:r>
              <w:t xml:space="preserve">−0.041</w:t>
            </w:r>
          </w:p>
        </w:tc>
        <w:tc>
          <w:tcPr/>
          <w:p>
            <w:pPr>
              <w:pStyle w:val="Compact"/>
            </w:pPr>
            <w:r>
              <w:t xml:space="preserve">0.148</w:t>
            </w:r>
          </w:p>
        </w:tc>
      </w:tr>
      <w:tr>
        <w:tc>
          <w:tcPr/>
          <w:p>
            <w:pPr>
              <w:pStyle w:val="Compact"/>
            </w:pPr>
          </w:p>
        </w:tc>
        <w:tc>
          <w:tcPr/>
          <w:p>
            <w:pPr>
              <w:pStyle w:val="Compact"/>
            </w:pPr>
            <w:r>
              <w:rPr>
                <w:rFonts w:hint="eastAsia"/>
              </w:rPr>
              <w:t xml:space="preserve">風力・冬</w:t>
            </w:r>
          </w:p>
        </w:tc>
        <w:tc>
          <w:tcPr/>
          <w:p>
            <w:pPr>
              <w:pStyle w:val="Compact"/>
            </w:pPr>
            <w:r>
              <w:t xml:space="preserve">−0.354***</w:t>
            </w:r>
          </w:p>
        </w:tc>
        <w:tc>
          <w:tcPr/>
          <w:p>
            <w:pPr>
              <w:pStyle w:val="Compact"/>
            </w:pPr>
            <w:r>
              <w:t xml:space="preserve">−0.302***</w:t>
            </w:r>
          </w:p>
        </w:tc>
        <w:tc>
          <w:tcPr/>
          <w:p>
            <w:pPr>
              <w:pStyle w:val="Compact"/>
            </w:pPr>
            <w:r>
              <w:t xml:space="preserve">−0.273</w:t>
            </w:r>
          </w:p>
        </w:tc>
        <w:tc>
          <w:tcPr/>
          <w:p>
            <w:pPr>
              <w:pStyle w:val="Compact"/>
            </w:pPr>
            <w:r>
              <w:t xml:space="preserve">−0.325</w:t>
            </w:r>
          </w:p>
        </w:tc>
      </w:tr>
      <w:tr>
        <w:tc>
          <w:tcPr/>
          <w:p>
            <w:pPr>
              <w:pStyle w:val="Compact"/>
            </w:pPr>
          </w:p>
        </w:tc>
        <w:tc>
          <w:tcPr/>
          <w:p>
            <w:pPr>
              <w:pStyle w:val="Compact"/>
            </w:pPr>
            <w:r>
              <w:rPr>
                <w:rFonts w:hint="eastAsia"/>
              </w:rPr>
              <w:t xml:space="preserve">風力・不需要期</w:t>
            </w:r>
          </w:p>
        </w:tc>
        <w:tc>
          <w:tcPr/>
          <w:p>
            <w:pPr>
              <w:pStyle w:val="Compact"/>
            </w:pPr>
            <w:r>
              <w:t xml:space="preserve">−0.358***</w:t>
            </w:r>
          </w:p>
        </w:tc>
        <w:tc>
          <w:tcPr/>
          <w:p>
            <w:pPr>
              <w:pStyle w:val="Compact"/>
            </w:pPr>
            <w:r>
              <w:t xml:space="preserve">−0.295***</w:t>
            </w:r>
          </w:p>
        </w:tc>
        <w:tc>
          <w:tcPr/>
          <w:p>
            <w:pPr>
              <w:pStyle w:val="Compact"/>
            </w:pPr>
            <w:r>
              <w:t xml:space="preserve">0.069</w:t>
            </w:r>
          </w:p>
        </w:tc>
        <w:tc>
          <w:tcPr/>
          <w:p>
            <w:pPr>
              <w:pStyle w:val="Compact"/>
            </w:pPr>
            <w:r>
              <w:t xml:space="preserve">0.011</w:t>
            </w:r>
          </w:p>
        </w:tc>
      </w:tr>
      <w:tr>
        <w:tc>
          <w:tcPr/>
          <w:p>
            <w:pPr>
              <w:pStyle w:val="Compact"/>
            </w:pPr>
            <w:r>
              <w:t xml:space="preserve">TB4h</w:t>
            </w:r>
          </w:p>
        </w:tc>
        <w:tc>
          <w:tcPr/>
          <w:p>
            <w:pPr>
              <w:pStyle w:val="Compact"/>
            </w:pPr>
            <w:r>
              <w:rPr>
                <w:rFonts w:hint="eastAsia"/>
              </w:rPr>
              <w:t xml:space="preserve">太陽光・夏</w:t>
            </w:r>
          </w:p>
        </w:tc>
        <w:tc>
          <w:tcPr/>
          <w:p>
            <w:pPr>
              <w:pStyle w:val="Compact"/>
            </w:pPr>
            <w:r>
              <w:t xml:space="preserve">−0.096</w:t>
            </w:r>
          </w:p>
        </w:tc>
        <w:tc>
          <w:tcPr/>
          <w:p>
            <w:pPr>
              <w:pStyle w:val="Compact"/>
            </w:pPr>
            <w:r>
              <w:t xml:space="preserve">0.007</w:t>
            </w:r>
          </w:p>
        </w:tc>
        <w:tc>
          <w:tcPr/>
          <w:p>
            <w:pPr>
              <w:pStyle w:val="Compact"/>
            </w:pPr>
            <w:r>
              <w:t xml:space="preserve">0.016</w:t>
            </w:r>
          </w:p>
        </w:tc>
        <w:tc>
          <w:tcPr/>
          <w:p>
            <w:pPr>
              <w:pStyle w:val="Compact"/>
            </w:pPr>
            <w:r>
              <w:t xml:space="preserve">−0.001</w:t>
            </w:r>
          </w:p>
        </w:tc>
      </w:tr>
      <w:tr>
        <w:tc>
          <w:tcPr/>
          <w:p>
            <w:pPr>
              <w:pStyle w:val="Compact"/>
            </w:pPr>
          </w:p>
        </w:tc>
        <w:tc>
          <w:tcPr/>
          <w:p>
            <w:pPr>
              <w:pStyle w:val="Compact"/>
            </w:pPr>
            <w:r>
              <w:rPr>
                <w:rFonts w:hint="eastAsia"/>
              </w:rPr>
              <w:t xml:space="preserve">太陽光・冬</w:t>
            </w:r>
          </w:p>
        </w:tc>
        <w:tc>
          <w:tcPr/>
          <w:p>
            <w:pPr>
              <w:pStyle w:val="Compact"/>
            </w:pPr>
            <w:r>
              <w:t xml:space="preserve">−0.803***</w:t>
            </w:r>
          </w:p>
        </w:tc>
        <w:tc>
          <w:tcPr/>
          <w:p>
            <w:pPr>
              <w:pStyle w:val="Compact"/>
            </w:pPr>
            <w:r>
              <w:t xml:space="preserve">−0.562*</w:t>
            </w:r>
          </w:p>
        </w:tc>
        <w:tc>
          <w:tcPr/>
          <w:p>
            <w:pPr>
              <w:pStyle w:val="Compact"/>
            </w:pPr>
            <w:r>
              <w:t xml:space="preserve">0.123***</w:t>
            </w:r>
          </w:p>
        </w:tc>
        <w:tc>
          <w:tcPr/>
          <w:p>
            <w:pPr>
              <w:pStyle w:val="Compact"/>
            </w:pPr>
            <w:r>
              <w:t xml:space="preserve">0.088**</w:t>
            </w:r>
          </w:p>
        </w:tc>
      </w:tr>
      <w:tr>
        <w:tc>
          <w:tcPr/>
          <w:p>
            <w:pPr>
              <w:pStyle w:val="Compact"/>
            </w:pPr>
          </w:p>
        </w:tc>
        <w:tc>
          <w:tcPr/>
          <w:p>
            <w:pPr>
              <w:pStyle w:val="Compact"/>
            </w:pPr>
            <w:r>
              <w:rPr>
                <w:rFonts w:hint="eastAsia"/>
              </w:rPr>
              <w:t xml:space="preserve">太陽光・不需要期</w:t>
            </w:r>
          </w:p>
        </w:tc>
        <w:tc>
          <w:tcPr/>
          <w:p>
            <w:pPr>
              <w:pStyle w:val="Compact"/>
            </w:pPr>
            <w:r>
              <w:t xml:space="preserve">0.235***</w:t>
            </w:r>
          </w:p>
        </w:tc>
        <w:tc>
          <w:tcPr/>
          <w:p>
            <w:pPr>
              <w:pStyle w:val="Compact"/>
            </w:pPr>
            <w:r>
              <w:t xml:space="preserve">0.317***</w:t>
            </w:r>
          </w:p>
        </w:tc>
        <w:tc>
          <w:tcPr/>
          <w:p>
            <w:pPr>
              <w:pStyle w:val="Compact"/>
            </w:pPr>
            <w:r>
              <w:t xml:space="preserve">0.104***</w:t>
            </w:r>
          </w:p>
        </w:tc>
        <w:tc>
          <w:tcPr/>
          <w:p>
            <w:pPr>
              <w:pStyle w:val="Compact"/>
            </w:pPr>
            <w:r>
              <w:t xml:space="preserve">0.086***</w:t>
            </w:r>
          </w:p>
        </w:tc>
      </w:tr>
      <w:tr>
        <w:tc>
          <w:tcPr/>
          <w:p>
            <w:pPr>
              <w:pStyle w:val="Compact"/>
            </w:pPr>
          </w:p>
        </w:tc>
        <w:tc>
          <w:tcPr/>
          <w:p>
            <w:pPr>
              <w:pStyle w:val="Compact"/>
            </w:pPr>
            <w:r>
              <w:rPr>
                <w:rFonts w:hint="eastAsia"/>
              </w:rPr>
              <w:t xml:space="preserve">風力・夏</w:t>
            </w:r>
          </w:p>
        </w:tc>
        <w:tc>
          <w:tcPr/>
          <w:p>
            <w:pPr>
              <w:pStyle w:val="Compact"/>
            </w:pPr>
            <w:r>
              <w:t xml:space="preserve">−0.348***</w:t>
            </w:r>
          </w:p>
        </w:tc>
        <w:tc>
          <w:tcPr/>
          <w:p>
            <w:pPr>
              <w:pStyle w:val="Compact"/>
            </w:pPr>
            <w:r>
              <w:t xml:space="preserve">−0.185*</w:t>
            </w:r>
          </w:p>
        </w:tc>
        <w:tc>
          <w:tcPr/>
          <w:p>
            <w:pPr>
              <w:pStyle w:val="Compact"/>
            </w:pPr>
            <w:r>
              <w:t xml:space="preserve">−0.248</w:t>
            </w:r>
          </w:p>
        </w:tc>
        <w:tc>
          <w:tcPr/>
          <w:p>
            <w:pPr>
              <w:pStyle w:val="Compact"/>
            </w:pPr>
            <w:r>
              <w:t xml:space="preserve">−0.268</w:t>
            </w:r>
          </w:p>
        </w:tc>
      </w:tr>
      <w:tr>
        <w:tc>
          <w:tcPr/>
          <w:p>
            <w:pPr>
              <w:pStyle w:val="Compact"/>
            </w:pPr>
          </w:p>
        </w:tc>
        <w:tc>
          <w:tcPr/>
          <w:p>
            <w:pPr>
              <w:pStyle w:val="Compact"/>
            </w:pPr>
            <w:r>
              <w:rPr>
                <w:rFonts w:hint="eastAsia"/>
              </w:rPr>
              <w:t xml:space="preserve">風力・冬</w:t>
            </w:r>
          </w:p>
        </w:tc>
        <w:tc>
          <w:tcPr/>
          <w:p>
            <w:pPr>
              <w:pStyle w:val="Compact"/>
            </w:pPr>
            <w:r>
              <w:t xml:space="preserve">−0.364***</w:t>
            </w:r>
          </w:p>
        </w:tc>
        <w:tc>
          <w:tcPr/>
          <w:p>
            <w:pPr>
              <w:pStyle w:val="Compact"/>
            </w:pPr>
            <w:r>
              <w:t xml:space="preserve">−0.389***</w:t>
            </w:r>
          </w:p>
        </w:tc>
        <w:tc>
          <w:tcPr/>
          <w:p>
            <w:pPr>
              <w:pStyle w:val="Compact"/>
            </w:pPr>
            <w:r>
              <w:t xml:space="preserve">−0.351</w:t>
            </w:r>
          </w:p>
        </w:tc>
        <w:tc>
          <w:tcPr/>
          <w:p>
            <w:pPr>
              <w:pStyle w:val="Compact"/>
            </w:pPr>
            <w:r>
              <w:t xml:space="preserve">−0.618*</w:t>
            </w:r>
          </w:p>
        </w:tc>
      </w:tr>
      <w:tr>
        <w:tc>
          <w:tcPr/>
          <w:p>
            <w:pPr>
              <w:pStyle w:val="Compact"/>
            </w:pPr>
          </w:p>
        </w:tc>
        <w:tc>
          <w:tcPr/>
          <w:p>
            <w:pPr>
              <w:pStyle w:val="Compact"/>
            </w:pPr>
            <w:r>
              <w:rPr>
                <w:rFonts w:hint="eastAsia"/>
              </w:rPr>
              <w:t xml:space="preserve">風力・不需要期</w:t>
            </w:r>
          </w:p>
        </w:tc>
        <w:tc>
          <w:tcPr/>
          <w:p>
            <w:pPr>
              <w:pStyle w:val="Compact"/>
            </w:pPr>
            <w:r>
              <w:t xml:space="preserve">−0.069</w:t>
            </w:r>
          </w:p>
        </w:tc>
        <w:tc>
          <w:tcPr/>
          <w:p>
            <w:pPr>
              <w:pStyle w:val="Compact"/>
            </w:pPr>
            <w:r>
              <w:t xml:space="preserve">−0.018</w:t>
            </w:r>
          </w:p>
        </w:tc>
        <w:tc>
          <w:tcPr/>
          <w:p>
            <w:pPr>
              <w:pStyle w:val="Compact"/>
            </w:pPr>
            <w:r>
              <w:t xml:space="preserve">0.275**</w:t>
            </w:r>
          </w:p>
        </w:tc>
        <w:tc>
          <w:tcPr/>
          <w:p>
            <w:pPr>
              <w:pStyle w:val="Compact"/>
            </w:pPr>
            <w:r>
              <w:t xml:space="preserve">0.175*</w:t>
            </w:r>
          </w:p>
        </w:tc>
      </w:tr>
    </w:tbl>
    <w:p>
      <w:pPr>
        <w:pStyle w:val="BodyText"/>
      </w:pPr>
      <w:r>
        <w:rPr>
          <w:rFonts w:hint="eastAsia"/>
        </w:rPr>
        <w:t xml:space="preserve">表6.8</w:t>
      </w:r>
      <w:r>
        <w:t xml:space="preserve"> </w:t>
      </w:r>
      <w:r>
        <w:rPr>
          <w:rFonts w:hint="eastAsia"/>
        </w:rPr>
        <w:t xml:space="preserve">燃料危機期（FY2021〜22）を除外した日次回帰（円/kWh</w:t>
      </w:r>
      <w:r>
        <w:t xml:space="preserve"> per </w:t>
      </w:r>
      <w:r>
        <w:rPr>
          <w:rFonts w:hint="eastAsia"/>
        </w:rPr>
        <w:t xml:space="preserve">GWh/日、仕様は表6.2と同じ。***p&lt;0.01、**p&lt;0.05、*p&lt;0.1）</w:t>
      </w:r>
    </w:p>
    <w:bookmarkEnd w:id="94"/>
    <w:bookmarkStart w:id="95" w:name="含意"/>
    <w:p>
      <w:pPr>
        <w:pStyle w:val="Heading3"/>
      </w:pPr>
      <w:r>
        <w:t xml:space="preserve">6.5.5 </w:t>
      </w:r>
      <w:r>
        <w:rPr>
          <w:rFonts w:hint="eastAsia"/>
        </w:rPr>
        <w:t xml:space="preserve">含意</w:t>
      </w:r>
    </w:p>
    <w:p>
      <w:pPr>
        <w:pStyle w:val="FirstParagraph"/>
      </w:pPr>
      <w:r>
        <w:rPr>
          <w:rFonts w:hint="eastAsia"/>
        </w:rPr>
        <w:t xml:space="preserve">本研究の3分解（水準・日内形状・日間）でいえば、Fuke</w:t>
      </w:r>
      <w:r>
        <w:t xml:space="preserve"> and Ohashi </w:t>
      </w:r>
      <w:r>
        <w:rPr>
          <w:rFonts w:hint="eastAsia"/>
        </w:rPr>
        <w:t xml:space="preserve">の指標は日間成分、TB4hは日内形状に対応する。「再エネは価格ボラティリティを高めるか」という問いは、どの時間スケールの変動性かを指定しなければ答えが定まらない。太陽光は日間を安定させ日内を広げる。風力は日間を安定させ、日内は床に届くまで動かさない。蓄電池の裁定原資は日内形状で決まるため、第7章以降ではTB4hを主指標とする。5.2.3の年度固定効果付き回帰とF&amp;O仕様（ラグ価格・固定効果なし）は季節区分と単位が異なるため係数の水準は直接比較できないが、太陽光の日内拡大と風力の非拡大という符号の結論は両仕様で共通である。</w:t>
      </w:r>
    </w:p>
    <w:bookmarkEnd w:id="95"/>
    <w:bookmarkEnd w:id="96"/>
    <w:bookmarkStart w:id="97" w:name="小括"/>
    <w:p>
      <w:pPr>
        <w:pStyle w:val="Heading2"/>
      </w:pPr>
      <w:r>
        <w:t xml:space="preserve">6.6 </w:t>
      </w:r>
      <w:r>
        <w:rPr>
          <w:rFonts w:hint="eastAsia"/>
        </w:rPr>
        <w:t xml:space="preserve">小括</w:t>
      </w:r>
    </w:p>
    <w:p>
      <w:pPr>
        <w:pStyle w:val="FirstParagraph"/>
      </w:pPr>
      <w:r>
        <w:rPr>
          <w:rFonts w:hint="eastAsia"/>
        </w:rPr>
        <w:t xml:space="preserve">通説「再エネの増加は価格ボラティリティを高める」は、電源種と時間スケールで分解すると次のように判定される。先行研究の指標（日間IQR）を再現したうえで同一サンプルで日内指標に替えると符号が変わることから（6.5）、時間スケールの指定なしにこの通説は判定できない。太陽光は水準を下げ、不需要期を中心に日内形状（スプレッド）を拡大させる——ダックカーブの形成であり、通説は条件付きで成立する。風力は水準を下げるが日内形状を拡大させず、風力の変動は日内ではなく数日から週の帯域に分布する——通説は風力について棄却される。ただし、風力が日内形状を変えない性質は北海道の市場・系統構造（単一価格ゾーンと分散立地）の下での記述であり、普遍法則ではない（6.4）。Rintamäki</w:t>
      </w:r>
      <w:r>
        <w:t xml:space="preserve"> et al. (2017) </w:t>
      </w:r>
      <w:r>
        <w:rPr>
          <w:rFonts w:hint="eastAsia"/>
        </w:rPr>
        <w:t xml:space="preserve">が同じ風力についてデンマークで日内変動性の低下、ドイツで上昇という符号の逆転を示したことがその証左であり、北海道はデンマーク型に属する。また、風力が日内形状を変えない性質は床（0.01円）に到達する前の局面の記述であり、導入がさらに進んで床に達すると下側だけが切り取られてスプレッドが開く（第8章）。</w:t>
      </w:r>
    </w:p>
    <w:bookmarkEnd w:id="97"/>
    <w:bookmarkEnd w:id="98"/>
    <w:bookmarkStart w:id="107" w:name="第7章-実証結果ii蓄電池のスポット価値"/>
    <w:p>
      <w:pPr>
        <w:pStyle w:val="Heading1"/>
      </w:pPr>
      <w:r>
        <w:rPr>
          <w:rFonts w:hint="eastAsia"/>
        </w:rPr>
        <w:t xml:space="preserve">第7章</w:t>
      </w:r>
      <w:r>
        <w:t xml:space="preserve"> </w:t>
      </w:r>
      <w:r>
        <w:rPr>
          <w:rFonts w:hint="eastAsia"/>
        </w:rPr>
        <w:t xml:space="preserve">実証結果II：蓄電池のスポット価値</w:t>
      </w:r>
    </w:p>
    <w:bookmarkStart w:id="102" w:name="pf価値の実測床は九州の半分価値は九州並み"/>
    <w:p>
      <w:pPr>
        <w:pStyle w:val="Heading2"/>
      </w:pPr>
      <w:r>
        <w:t xml:space="preserve">7.1 </w:t>
      </w:r>
      <w:r>
        <w:rPr>
          <w:rFonts w:hint="eastAsia"/>
        </w:rPr>
        <w:t xml:space="preserve">PF価値の実測：床は九州の半分、価値は九州並み</w:t>
      </w:r>
    </w:p>
    <w:p>
      <w:pPr>
        <w:pStyle w:val="FirstParagraph"/>
      </w:pPr>
      <w:r>
        <w:rPr>
          <w:rFonts w:hint="eastAsia"/>
        </w:rPr>
        <w:t xml:space="preserve">北海道の床コマ（0.01円/kWh）は年473コマ（FY2024〜25平均、30分単位）で、九州の約半分である。ダックカーブは形成途上で、昼の窪みは九州より浅い。それにもかかわらず、完全予見4時間蓄電池の年間裁定価値（PF価値）はFY2023〜25で0.96〜1.15万円/kW-年と、九州と同水準である（表7.1）。九州では太陽光が作る昼の床（安値側）が価値の源泉であるのに対し、北海道では夕方のスパイク（高値側）が源泉であり、価値の源泉が交代している。第6章で示したとおり、風力は夕方のスパイクをほとんど削らないため、北海道の放電側の原資は風力の増加に対して当面頑健であ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年度</w:t>
            </w:r>
          </w:p>
        </w:tc>
        <w:tc>
          <w:tcPr/>
          <w:p>
            <w:pPr>
              <w:pStyle w:val="Compact"/>
            </w:pPr>
            <w:r>
              <w:rPr>
                <w:rFonts w:hint="eastAsia"/>
              </w:rPr>
              <w:t xml:space="preserve">北海道</w:t>
            </w:r>
            <w:r>
              <w:t xml:space="preserve"> </w:t>
            </w:r>
            <w:r>
              <w:rPr>
                <w:rFonts w:hint="eastAsia"/>
              </w:rPr>
              <w:t xml:space="preserve">PF価値</w:t>
            </w:r>
          </w:p>
        </w:tc>
        <w:tc>
          <w:tcPr/>
          <w:p>
            <w:pPr>
              <w:pStyle w:val="Compact"/>
            </w:pPr>
            <w:r>
              <w:rPr>
                <w:rFonts w:hint="eastAsia"/>
              </w:rPr>
              <w:t xml:space="preserve">九州</w:t>
            </w:r>
            <w:r>
              <w:t xml:space="preserve"> </w:t>
            </w:r>
            <w:r>
              <w:rPr>
                <w:rFonts w:hint="eastAsia"/>
              </w:rPr>
              <w:t xml:space="preserve">PF価値</w:t>
            </w:r>
          </w:p>
        </w:tc>
        <w:tc>
          <w:tcPr/>
          <w:p>
            <w:pPr>
              <w:pStyle w:val="Compact"/>
            </w:pPr>
            <w:r>
              <w:rPr>
                <w:rFonts w:hint="eastAsia"/>
              </w:rPr>
              <w:t xml:space="preserve">北海道</w:t>
            </w:r>
            <w:r>
              <w:t xml:space="preserve"> </w:t>
            </w:r>
            <w:r>
              <w:rPr>
                <w:rFonts w:hint="eastAsia"/>
              </w:rPr>
              <w:t xml:space="preserve">床コマ</w:t>
            </w:r>
          </w:p>
        </w:tc>
        <w:tc>
          <w:tcPr/>
          <w:p>
            <w:pPr>
              <w:pStyle w:val="Compact"/>
            </w:pPr>
            <w:r>
              <w:rPr>
                <w:rFonts w:hint="eastAsia"/>
              </w:rPr>
              <w:t xml:space="preserve">九州</w:t>
            </w:r>
            <w:r>
              <w:t xml:space="preserve"> </w:t>
            </w:r>
            <w:r>
              <w:rPr>
                <w:rFonts w:hint="eastAsia"/>
              </w:rPr>
              <w:t xml:space="preserve">床コマ</w:t>
            </w:r>
          </w:p>
        </w:tc>
      </w:tr>
      <w:tr>
        <w:tc>
          <w:tcPr/>
          <w:p>
            <w:pPr>
              <w:pStyle w:val="Compact"/>
            </w:pPr>
            <w:r>
              <w:t xml:space="preserve">FY2023</w:t>
            </w:r>
          </w:p>
        </w:tc>
        <w:tc>
          <w:tcPr/>
          <w:p>
            <w:pPr>
              <w:pStyle w:val="Compact"/>
            </w:pPr>
            <w:r>
              <w:t xml:space="preserve">9,873</w:t>
            </w:r>
          </w:p>
        </w:tc>
        <w:tc>
          <w:tcPr/>
          <w:p>
            <w:pPr>
              <w:pStyle w:val="Compact"/>
            </w:pPr>
            <w:r>
              <w:t xml:space="preserve">12,521</w:t>
            </w:r>
          </w:p>
        </w:tc>
        <w:tc>
          <w:tcPr/>
          <w:p>
            <w:pPr>
              <w:pStyle w:val="Compact"/>
            </w:pPr>
            <w:r>
              <w:t xml:space="preserve">621</w:t>
            </w:r>
          </w:p>
        </w:tc>
        <w:tc>
          <w:tcPr/>
          <w:p>
            <w:pPr>
              <w:pStyle w:val="Compact"/>
            </w:pPr>
            <w:r>
              <w:t xml:space="preserve">2,178</w:t>
            </w:r>
          </w:p>
        </w:tc>
      </w:tr>
      <w:tr>
        <w:tc>
          <w:tcPr/>
          <w:p>
            <w:pPr>
              <w:pStyle w:val="Compact"/>
            </w:pPr>
            <w:r>
              <w:t xml:space="preserve">FY2024</w:t>
            </w:r>
          </w:p>
        </w:tc>
        <w:tc>
          <w:tcPr/>
          <w:p>
            <w:pPr>
              <w:pStyle w:val="Compact"/>
            </w:pPr>
            <w:r>
              <w:t xml:space="preserve">9,586</w:t>
            </w:r>
          </w:p>
        </w:tc>
        <w:tc>
          <w:tcPr/>
          <w:p>
            <w:pPr>
              <w:pStyle w:val="Compact"/>
            </w:pPr>
            <w:r>
              <w:t xml:space="preserve">12,401</w:t>
            </w:r>
          </w:p>
        </w:tc>
        <w:tc>
          <w:tcPr/>
          <w:p>
            <w:pPr>
              <w:pStyle w:val="Compact"/>
            </w:pPr>
            <w:r>
              <w:t xml:space="preserve">348</w:t>
            </w:r>
          </w:p>
        </w:tc>
        <w:tc>
          <w:tcPr/>
          <w:p>
            <w:pPr>
              <w:pStyle w:val="Compact"/>
            </w:pPr>
            <w:r>
              <w:t xml:space="preserve">1,167</w:t>
            </w:r>
          </w:p>
        </w:tc>
      </w:tr>
      <w:tr>
        <w:tc>
          <w:tcPr/>
          <w:p>
            <w:pPr>
              <w:pStyle w:val="Compact"/>
            </w:pPr>
            <w:r>
              <w:t xml:space="preserve">FY2025</w:t>
            </w:r>
          </w:p>
        </w:tc>
        <w:tc>
          <w:tcPr/>
          <w:p>
            <w:pPr>
              <w:pStyle w:val="Compact"/>
            </w:pPr>
            <w:r>
              <w:t xml:space="preserve">11,493</w:t>
            </w:r>
          </w:p>
        </w:tc>
        <w:tc>
          <w:tcPr/>
          <w:p>
            <w:pPr>
              <w:pStyle w:val="Compact"/>
            </w:pPr>
            <w:r>
              <w:t xml:space="preserve">10,366</w:t>
            </w:r>
          </w:p>
        </w:tc>
        <w:tc>
          <w:tcPr/>
          <w:p>
            <w:pPr>
              <w:pStyle w:val="Compact"/>
            </w:pPr>
            <w:r>
              <w:t xml:space="preserve">473</w:t>
            </w:r>
          </w:p>
        </w:tc>
        <w:tc>
          <w:tcPr/>
          <w:p>
            <w:pPr>
              <w:pStyle w:val="Compact"/>
            </w:pPr>
            <w:r>
              <w:t xml:space="preserve">983</w:t>
            </w:r>
          </w:p>
        </w:tc>
      </w:tr>
    </w:tbl>
    <w:p>
      <w:pPr>
        <w:pStyle w:val="BodyText"/>
      </w:pPr>
      <w:r>
        <w:rPr>
          <w:rFonts w:hint="eastAsia"/>
        </w:rPr>
        <w:t xml:space="preserve">表7.1</w:t>
      </w:r>
      <w:r>
        <w:t xml:space="preserve"> </w:t>
      </w:r>
      <w:r>
        <w:rPr>
          <w:rFonts w:hint="eastAsia"/>
        </w:rPr>
        <w:t xml:space="preserve">完全予見4時間蓄電池の年間裁定価値（円/kW-年、往復効率0.85）と床コマ数（0.01円/kWh、30分単位・年）</w:t>
      </w:r>
    </w:p>
    <w:p>
      <w:pPr>
        <w:pStyle w:val="BodyText"/>
      </w:pPr>
      <w:r>
        <w:rPr>
          <w:rFonts w:hint="eastAsia"/>
        </w:rPr>
        <w:t xml:space="preserve">FY2016〜25の時系列（図7.1）では、PF価値はFY2016〜19に0.6〜1.1万円/kW-年、燃料危機のFY2022に2.5万円へ急騰し、FY2023〜25に0.96〜1.15万円へ正常化した。</w:t>
      </w:r>
    </w:p>
    <w:p>
      <w:pPr>
        <w:pStyle w:val="CaptionedFigure"/>
      </w:pPr>
      <w:r>
        <w:drawing>
          <wp:inline>
            <wp:extent cx="5334000" cy="2869253"/>
            <wp:effectExtent b="0" l="0" r="0" t="0"/>
            <wp:docPr descr="図7.1 年間裁定粗利の時系列（完全予見と実行可能戦略）" title="" id="100" name="Picture"/>
            <a:graphic>
              <a:graphicData uri="http://schemas.openxmlformats.org/drawingml/2006/picture">
                <pic:pic>
                  <pic:nvPicPr>
                    <pic:cNvPr descr="/home/user/work/thesis/figures/hokkaido/annual_backtest_series.png" id="101" name="Picture"/>
                    <pic:cNvPicPr>
                      <a:picLocks noChangeArrowheads="1" noChangeAspect="1"/>
                    </pic:cNvPicPr>
                  </pic:nvPicPr>
                  <pic:blipFill>
                    <a:blip r:embed="rId99"/>
                    <a:stretch>
                      <a:fillRect/>
                    </a:stretch>
                  </pic:blipFill>
                  <pic:spPr bwMode="auto">
                    <a:xfrm>
                      <a:off x="0" y="0"/>
                      <a:ext cx="5334000" cy="2869253"/>
                    </a:xfrm>
                    <a:prstGeom prst="rect">
                      <a:avLst/>
                    </a:prstGeom>
                    <a:noFill/>
                    <a:ln w="9525">
                      <a:noFill/>
                      <a:headEnd/>
                      <a:tailEnd/>
                    </a:ln>
                  </pic:spPr>
                </pic:pic>
              </a:graphicData>
            </a:graphic>
          </wp:inline>
        </w:drawing>
      </w:r>
    </w:p>
    <w:p>
      <w:pPr>
        <w:pStyle w:val="ImageCaption"/>
      </w:pPr>
      <w:r>
        <w:rPr>
          <w:rFonts w:hint="eastAsia"/>
        </w:rPr>
        <w:t xml:space="preserve">図7.1</w:t>
      </w:r>
      <w:r>
        <w:t xml:space="preserve"> </w:t>
      </w:r>
      <w:r>
        <w:rPr>
          <w:rFonts w:hint="eastAsia"/>
        </w:rPr>
        <w:t xml:space="preserve">年間裁定粗利の時系列（完全予見と実行可能戦略）</w:t>
      </w:r>
    </w:p>
    <w:bookmarkEnd w:id="102"/>
    <w:bookmarkStart w:id="103" w:name="実行可能戦略とcapture率"/>
    <w:p>
      <w:pPr>
        <w:pStyle w:val="Heading2"/>
      </w:pPr>
      <w:r>
        <w:t xml:space="preserve">7.2 </w:t>
      </w:r>
      <w:r>
        <w:rPr>
          <w:rFonts w:hint="eastAsia"/>
        </w:rPr>
        <w:t xml:space="preserve">実行可能戦略とcapture率</w:t>
      </w:r>
    </w:p>
    <w:p>
      <w:pPr>
        <w:pStyle w:val="FirstParagraph"/>
      </w:pPr>
      <w:r>
        <w:rPr>
          <w:rFonts w:hint="eastAsia"/>
        </w:rPr>
        <w:t xml:space="preserve">表7.2は実行可能戦略のPF比（capture率、FY2023〜25）である。前日の実現価格ランクを使う戦略（a）は68.0〜69.3%にとどまり、九州の同戦略（77〜80%）より約10ポイント低い。同じ曜日区分の直近日を使う補正（a2）は+1ポイントにすぎない。残余需要の予測ランク（b）は77.3〜80.8%、過去28日・同曜日区分の平均価格ランク（c、気候値）は80.6〜82.6%で最善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戦略</w:t>
            </w:r>
          </w:p>
        </w:tc>
        <w:tc>
          <w:tcPr/>
          <w:p>
            <w:pPr>
              <w:pStyle w:val="Compact"/>
            </w:pPr>
            <w:r>
              <w:rPr>
                <w:rFonts w:hint="eastAsia"/>
              </w:rPr>
              <w:t xml:space="preserve">北海道</w:t>
            </w:r>
            <w:r>
              <w:t xml:space="preserve"> </w:t>
            </w:r>
            <w:r>
              <w:rPr>
                <w:rFonts w:hint="eastAsia"/>
              </w:rPr>
              <w:t xml:space="preserve">capture率（FY2023〜25）</w:t>
            </w:r>
          </w:p>
        </w:tc>
        <w:tc>
          <w:tcPr/>
          <w:p>
            <w:pPr>
              <w:pStyle w:val="Compact"/>
            </w:pPr>
            <w:r>
              <w:rPr>
                <w:rFonts w:hint="eastAsia"/>
              </w:rPr>
              <w:t xml:space="preserve">九州（参考）</w:t>
            </w:r>
          </w:p>
        </w:tc>
      </w:tr>
      <w:tr>
        <w:tc>
          <w:tcPr/>
          <w:p>
            <w:pPr>
              <w:pStyle w:val="Compact"/>
            </w:pPr>
            <w:r>
              <w:t xml:space="preserve">a. </w:t>
            </w:r>
            <w:r>
              <w:rPr>
                <w:rFonts w:hint="eastAsia"/>
              </w:rPr>
              <w:t xml:space="preserve">前日の実現価格ランク</w:t>
            </w:r>
          </w:p>
        </w:tc>
        <w:tc>
          <w:tcPr/>
          <w:p>
            <w:pPr>
              <w:pStyle w:val="Compact"/>
            </w:pPr>
            <w:r>
              <w:t xml:space="preserve">68.0〜69.3%</w:t>
            </w:r>
          </w:p>
        </w:tc>
        <w:tc>
          <w:tcPr/>
          <w:p>
            <w:pPr>
              <w:pStyle w:val="Compact"/>
            </w:pPr>
            <w:r>
              <w:t xml:space="preserve">77〜80%</w:t>
            </w:r>
          </w:p>
        </w:tc>
      </w:tr>
      <w:tr>
        <w:tc>
          <w:tcPr/>
          <w:p>
            <w:pPr>
              <w:pStyle w:val="Compact"/>
            </w:pPr>
            <w:r>
              <w:t xml:space="preserve">a2. </w:t>
            </w:r>
            <w:r>
              <w:rPr>
                <w:rFonts w:hint="eastAsia"/>
              </w:rPr>
              <w:t xml:space="preserve">同じ曜日区分の直近日のランク</w:t>
            </w:r>
          </w:p>
        </w:tc>
        <w:tc>
          <w:tcPr/>
          <w:p>
            <w:pPr>
              <w:pStyle w:val="Compact"/>
            </w:pPr>
            <w:r>
              <w:t xml:space="preserve">aの+1ポイント</w:t>
            </w:r>
          </w:p>
        </w:tc>
        <w:tc>
          <w:tcPr/>
          <w:p>
            <w:pPr>
              <w:pStyle w:val="Compact"/>
            </w:pPr>
            <w:r>
              <w:t xml:space="preserve">—</w:t>
            </w:r>
          </w:p>
        </w:tc>
      </w:tr>
      <w:tr>
        <w:tc>
          <w:tcPr/>
          <w:p>
            <w:pPr>
              <w:pStyle w:val="Compact"/>
            </w:pPr>
            <w:r>
              <w:t xml:space="preserve">b. </w:t>
            </w:r>
            <w:r>
              <w:rPr>
                <w:rFonts w:hint="eastAsia"/>
              </w:rPr>
              <w:t xml:space="preserve">残余需要の予測ランク</w:t>
            </w:r>
          </w:p>
        </w:tc>
        <w:tc>
          <w:tcPr/>
          <w:p>
            <w:pPr>
              <w:pStyle w:val="Compact"/>
            </w:pPr>
            <w:r>
              <w:t xml:space="preserve">77.3〜80.8%</w:t>
            </w:r>
          </w:p>
        </w:tc>
        <w:tc>
          <w:tcPr/>
          <w:p>
            <w:pPr>
              <w:pStyle w:val="Compact"/>
            </w:pPr>
            <w:r>
              <w:t xml:space="preserve">—</w:t>
            </w:r>
          </w:p>
        </w:tc>
      </w:tr>
      <w:tr>
        <w:tc>
          <w:tcPr/>
          <w:p>
            <w:pPr>
              <w:pStyle w:val="Compact"/>
            </w:pPr>
            <w:r>
              <w:t xml:space="preserve">c. </w:t>
            </w:r>
            <w:r>
              <w:rPr>
                <w:rFonts w:hint="eastAsia"/>
              </w:rPr>
              <w:t xml:space="preserve">過去28日・同曜日区分の平均価格ランク（気候値）</w:t>
            </w:r>
          </w:p>
        </w:tc>
        <w:tc>
          <w:tcPr/>
          <w:p>
            <w:pPr>
              <w:pStyle w:val="Compact"/>
            </w:pPr>
            <w:r>
              <w:t xml:space="preserve">80.6〜82.6%</w:t>
            </w:r>
          </w:p>
        </w:tc>
        <w:tc>
          <w:tcPr/>
          <w:p>
            <w:pPr>
              <w:pStyle w:val="Compact"/>
            </w:pPr>
            <w:r>
              <w:t xml:space="preserve">—</w:t>
            </w:r>
          </w:p>
        </w:tc>
      </w:tr>
      <w:tr>
        <w:tc>
          <w:tcPr/>
          <w:p>
            <w:pPr>
              <w:pStyle w:val="Compact"/>
            </w:pPr>
            <w:r>
              <w:rPr>
                <w:rFonts w:hint="eastAsia"/>
              </w:rPr>
              <w:t xml:space="preserve">参考:</w:t>
            </w:r>
            <w:r>
              <w:t xml:space="preserve"> </w:t>
            </w:r>
            <w:r>
              <w:rPr>
                <w:rFonts w:hint="eastAsia"/>
              </w:rPr>
              <w:t xml:space="preserve">DP（SoC制約下の厳密最適）との年間価値の差</w:t>
            </w:r>
          </w:p>
        </w:tc>
        <w:tc>
          <w:tcPr/>
          <w:p>
            <w:pPr>
              <w:pStyle w:val="Compact"/>
            </w:pPr>
            <w:r>
              <w:t xml:space="preserve">−0.3〜−1.7%</w:t>
            </w:r>
          </w:p>
        </w:tc>
        <w:tc>
          <w:tcPr/>
          <w:p>
            <w:pPr>
              <w:pStyle w:val="Compact"/>
            </w:pPr>
            <w:r>
              <w:t xml:space="preserve">—</w:t>
            </w:r>
          </w:p>
        </w:tc>
      </w:tr>
    </w:tbl>
    <w:p>
      <w:pPr>
        <w:pStyle w:val="BodyText"/>
      </w:pPr>
      <w:r>
        <w:rPr>
          <w:rFonts w:hint="eastAsia"/>
        </w:rPr>
        <w:t xml:space="preserve">表7.2</w:t>
      </w:r>
      <w:r>
        <w:t xml:space="preserve"> </w:t>
      </w:r>
      <w:r>
        <w:rPr>
          <w:rFonts w:hint="eastAsia"/>
        </w:rPr>
        <w:t xml:space="preserve">実行可能戦略のcapture率（完全予見PF＝100%、4時間・往復効率0.85・60分粒度）</w:t>
      </w:r>
    </w:p>
    <w:p>
      <w:pPr>
        <w:pStyle w:val="BodyText"/>
      </w:pPr>
      <w:r>
        <w:rPr>
          <w:rFonts w:hint="eastAsia"/>
        </w:rPr>
        <w:t xml:space="preserve">この結果は、北海道の日次価格形状が「安定した骨格（需要の朝夕ピーク・夜の谷・季節の日射）＋日々の無相関なノイズ（主に風力）」からなることを示す。戦略aは昨日のノイズを追いかけて自滅し、平均化はノイズを相殺して骨格だけを残す。日々の自己相関が低い過程では気候値が持続性予測に勝つという古典的な結果である。戦略bに風力の持続性シグナルを加えても改善しないことは、風力ノイズが翌日に持ち越されないこととの整合である。戦略cが戦略bを上回ることは、価格の平均が揚水運用・連系線・風力の季節的日内パターンまで織り込むためである。</w:t>
      </w:r>
    </w:p>
    <w:p>
      <w:pPr>
        <w:pStyle w:val="BodyText"/>
      </w:pPr>
      <w:r>
        <w:rPr>
          <w:rFonts w:hint="eastAsia"/>
        </w:rPr>
        <w:t xml:space="preserve">FY2016〜25の時系列（図7.1）では、戦略bはFY2016〜18にcapture率10〜24%とほぼ機能せず、FY2022〜23に戦略aを逆転した。九州で観察した「価格形状の支配要因が再エネに移ったことの検出器」としての戦略bの逆転が、北海道でも遅れて作動し始めている。戦略cは全年度で81〜84%と安定している。</w:t>
      </w:r>
    </w:p>
    <w:p>
      <w:pPr>
        <w:pStyle w:val="BodyText"/>
      </w:pPr>
      <w:r>
        <w:rPr>
          <w:rFonts w:hint="eastAsia"/>
        </w:rPr>
        <w:t xml:space="preserve">DP（SoC制約下の厳密最適）との比較では、空SoC起点で充放電順序が実行不能な日が約25%あるが、年間価値の差は−0.3〜−1.7%にとどまり、ランク法は頑健である。均衡分析では気候値ベースのcapture率0.81をヘアカットとして用いる。この水準はButters</w:t>
      </w:r>
      <w:r>
        <w:t xml:space="preserve"> et al. (2025) </w:t>
      </w:r>
      <w:r>
        <w:rPr>
          <w:rFonts w:hint="eastAsia"/>
        </w:rPr>
        <w:t xml:space="preserve">が報告する「価格不確実性下の価値は完全予見の約7割」と整合し、風力地域はその下限側にある。Sioshansi</w:t>
      </w:r>
      <w:r>
        <w:t xml:space="preserve"> et al. (2009) </w:t>
      </w:r>
      <w:r>
        <w:rPr>
          <w:rFonts w:hint="eastAsia"/>
        </w:rPr>
        <w:t xml:space="preserve">はPJMで直前2週間の価格に基づく運用が完全予見の85%以上を捕捉すると報告しており、本研究の気候値戦略はその日本版である。Lamp</w:t>
      </w:r>
      <w:r>
        <w:t xml:space="preserve"> and Samano (2022) </w:t>
      </w:r>
      <w:r>
        <w:rPr>
          <w:rFonts w:hint="eastAsia"/>
        </w:rPr>
        <w:t xml:space="preserve">がCAISOの実運用について示した「最適裁定より鈍い応答」も同じ観察であり、capture率が1を下回ることは市場を問わない。</w:t>
      </w:r>
    </w:p>
    <w:bookmarkEnd w:id="103"/>
    <w:bookmarkStart w:id="104" w:name="風力の日次水準と裁定指標"/>
    <w:p>
      <w:pPr>
        <w:pStyle w:val="Heading2"/>
      </w:pPr>
      <w:r>
        <w:t xml:space="preserve">7.3 </w:t>
      </w:r>
      <w:r>
        <w:rPr>
          <w:rFonts w:hint="eastAsia"/>
        </w:rPr>
        <w:t xml:space="preserve">風力の日次水準と裁定指標</w:t>
      </w:r>
    </w:p>
    <w:p>
      <w:pPr>
        <w:pStyle w:val="FirstParagraph"/>
      </w:pPr>
      <w:r>
        <w:rPr>
          <w:rFonts w:hint="eastAsia"/>
        </w:rPr>
        <w:t xml:space="preserve">表7.3は各季節で日次風力発電量の三分位に日を分け、裁定指標の平均を示す。風力の多い日はTB4hスプレッドがやや縮み（冬7.24→5.92円）、PF粗利は冬に−19%（19.0→15.3円/kW-日）である。床時間は需要期ではほぼゼロのままで、不需要期でも1時間強にとどまり、風力は現時点で「タダの電気」を作れていない。一方、安値分断の時間は1.3〜2.7倍（冬で最大）に増える。現行の風力水準では、風力の多い日は蓄電池価値をやや下げる——平行シフトと輸出飽和による全体安の帰結であり、床に届く前の局面の姿であ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季節</w:t>
            </w:r>
          </w:p>
        </w:tc>
        <w:tc>
          <w:tcPr/>
          <w:p>
            <w:pPr>
              <w:pStyle w:val="Compact"/>
            </w:pPr>
            <w:r>
              <w:rPr>
                <w:rFonts w:hint="eastAsia"/>
              </w:rPr>
              <w:t xml:space="preserve">風力三分位</w:t>
            </w:r>
          </w:p>
        </w:tc>
        <w:tc>
          <w:tcPr/>
          <w:p>
            <w:pPr>
              <w:pStyle w:val="Compact"/>
            </w:pPr>
            <w:r>
              <w:rPr>
                <w:rFonts w:hint="eastAsia"/>
              </w:rPr>
              <w:t xml:space="preserve">TB4h（円/kWh）</w:t>
            </w:r>
          </w:p>
        </w:tc>
        <w:tc>
          <w:tcPr/>
          <w:p>
            <w:pPr>
              <w:pStyle w:val="Compact"/>
            </w:pPr>
            <w:r>
              <w:rPr>
                <w:rFonts w:hint="eastAsia"/>
              </w:rPr>
              <w:t xml:space="preserve">PF粗利（円/kW-日）</w:t>
            </w:r>
          </w:p>
        </w:tc>
        <w:tc>
          <w:tcPr/>
          <w:p>
            <w:pPr>
              <w:pStyle w:val="Compact"/>
            </w:pPr>
            <w:r>
              <w:rPr>
                <w:rFonts w:hint="eastAsia"/>
              </w:rPr>
              <w:t xml:space="preserve">床時間（h/日）</w:t>
            </w:r>
          </w:p>
        </w:tc>
        <w:tc>
          <w:tcPr/>
          <w:p>
            <w:pPr>
              <w:pStyle w:val="Compact"/>
            </w:pPr>
            <w:r>
              <w:rPr>
                <w:rFonts w:hint="eastAsia"/>
              </w:rPr>
              <w:t xml:space="preserve">安値分断（h/日）</w:t>
            </w:r>
          </w:p>
        </w:tc>
      </w:tr>
      <w:tr>
        <w:tc>
          <w:tcPr/>
          <w:p>
            <w:pPr>
              <w:pStyle w:val="Compact"/>
            </w:pPr>
            <w:r>
              <w:rPr>
                <w:rFonts w:hint="eastAsia"/>
              </w:rPr>
              <w:t xml:space="preserve">夏</w:t>
            </w:r>
          </w:p>
        </w:tc>
        <w:tc>
          <w:tcPr/>
          <w:p>
            <w:pPr>
              <w:pStyle w:val="Compact"/>
            </w:pPr>
            <w:r>
              <w:rPr>
                <w:rFonts w:hint="eastAsia"/>
              </w:rPr>
              <w:t xml:space="preserve">小</w:t>
            </w:r>
          </w:p>
        </w:tc>
        <w:tc>
          <w:tcPr/>
          <w:p>
            <w:pPr>
              <w:pStyle w:val="Compact"/>
            </w:pPr>
            <w:r>
              <w:t xml:space="preserve">10.72</w:t>
            </w:r>
          </w:p>
        </w:tc>
        <w:tc>
          <w:tcPr/>
          <w:p>
            <w:pPr>
              <w:pStyle w:val="Compact"/>
            </w:pPr>
            <w:r>
              <w:t xml:space="preserve">31.2</w:t>
            </w:r>
          </w:p>
        </w:tc>
        <w:tc>
          <w:tcPr/>
          <w:p>
            <w:pPr>
              <w:pStyle w:val="Compact"/>
            </w:pPr>
            <w:r>
              <w:t xml:space="preserve">0.13</w:t>
            </w:r>
          </w:p>
        </w:tc>
        <w:tc>
          <w:tcPr/>
          <w:p>
            <w:pPr>
              <w:pStyle w:val="Compact"/>
            </w:pPr>
            <w:r>
              <w:t xml:space="preserve">8.1</w:t>
            </w:r>
          </w:p>
        </w:tc>
      </w:tr>
      <w:tr>
        <w:tc>
          <w:tcPr/>
          <w:p>
            <w:pPr>
              <w:pStyle w:val="Compact"/>
            </w:pPr>
          </w:p>
        </w:tc>
        <w:tc>
          <w:tcPr/>
          <w:p>
            <w:pPr>
              <w:pStyle w:val="Compact"/>
            </w:pPr>
            <w:r>
              <w:rPr>
                <w:rFonts w:hint="eastAsia"/>
              </w:rPr>
              <w:t xml:space="preserve">大</w:t>
            </w:r>
          </w:p>
        </w:tc>
        <w:tc>
          <w:tcPr/>
          <w:p>
            <w:pPr>
              <w:pStyle w:val="Compact"/>
            </w:pPr>
            <w:r>
              <w:t xml:space="preserve">10.38</w:t>
            </w:r>
          </w:p>
        </w:tc>
        <w:tc>
          <w:tcPr/>
          <w:p>
            <w:pPr>
              <w:pStyle w:val="Compact"/>
            </w:pPr>
            <w:r>
              <w:t xml:space="preserve">30.7</w:t>
            </w:r>
          </w:p>
        </w:tc>
        <w:tc>
          <w:tcPr/>
          <w:p>
            <w:pPr>
              <w:pStyle w:val="Compact"/>
            </w:pPr>
            <w:r>
              <w:t xml:space="preserve">0.06</w:t>
            </w:r>
          </w:p>
        </w:tc>
        <w:tc>
          <w:tcPr/>
          <w:p>
            <w:pPr>
              <w:pStyle w:val="Compact"/>
            </w:pPr>
            <w:r>
              <w:t xml:space="preserve">11.3</w:t>
            </w:r>
          </w:p>
        </w:tc>
      </w:tr>
      <w:tr>
        <w:tc>
          <w:tcPr/>
          <w:p>
            <w:pPr>
              <w:pStyle w:val="Compact"/>
            </w:pPr>
            <w:r>
              <w:rPr>
                <w:rFonts w:hint="eastAsia"/>
              </w:rPr>
              <w:t xml:space="preserve">冬</w:t>
            </w:r>
          </w:p>
        </w:tc>
        <w:tc>
          <w:tcPr/>
          <w:p>
            <w:pPr>
              <w:pStyle w:val="Compact"/>
            </w:pPr>
            <w:r>
              <w:rPr>
                <w:rFonts w:hint="eastAsia"/>
              </w:rPr>
              <w:t xml:space="preserve">小</w:t>
            </w:r>
          </w:p>
        </w:tc>
        <w:tc>
          <w:tcPr/>
          <w:p>
            <w:pPr>
              <w:pStyle w:val="Compact"/>
            </w:pPr>
            <w:r>
              <w:t xml:space="preserve">7.24</w:t>
            </w:r>
          </w:p>
        </w:tc>
        <w:tc>
          <w:tcPr/>
          <w:p>
            <w:pPr>
              <w:pStyle w:val="Compact"/>
            </w:pPr>
            <w:r>
              <w:t xml:space="preserve">19.0</w:t>
            </w:r>
          </w:p>
        </w:tc>
        <w:tc>
          <w:tcPr/>
          <w:p>
            <w:pPr>
              <w:pStyle w:val="Compact"/>
            </w:pPr>
            <w:r>
              <w:t xml:space="preserve">0.02</w:t>
            </w:r>
          </w:p>
        </w:tc>
        <w:tc>
          <w:tcPr/>
          <w:p>
            <w:pPr>
              <w:pStyle w:val="Compact"/>
            </w:pPr>
            <w:r>
              <w:t xml:space="preserve">3.1</w:t>
            </w:r>
          </w:p>
        </w:tc>
      </w:tr>
      <w:tr>
        <w:tc>
          <w:tcPr/>
          <w:p>
            <w:pPr>
              <w:pStyle w:val="Compact"/>
            </w:pPr>
          </w:p>
        </w:tc>
        <w:tc>
          <w:tcPr/>
          <w:p>
            <w:pPr>
              <w:pStyle w:val="Compact"/>
            </w:pPr>
            <w:r>
              <w:rPr>
                <w:rFonts w:hint="eastAsia"/>
              </w:rPr>
              <w:t xml:space="preserve">大</w:t>
            </w:r>
          </w:p>
        </w:tc>
        <w:tc>
          <w:tcPr/>
          <w:p>
            <w:pPr>
              <w:pStyle w:val="Compact"/>
            </w:pPr>
            <w:r>
              <w:t xml:space="preserve">5.92</w:t>
            </w:r>
          </w:p>
        </w:tc>
        <w:tc>
          <w:tcPr/>
          <w:p>
            <w:pPr>
              <w:pStyle w:val="Compact"/>
            </w:pPr>
            <w:r>
              <w:t xml:space="preserve">15.3</w:t>
            </w:r>
          </w:p>
        </w:tc>
        <w:tc>
          <w:tcPr/>
          <w:p>
            <w:pPr>
              <w:pStyle w:val="Compact"/>
            </w:pPr>
            <w:r>
              <w:t xml:space="preserve">0.04</w:t>
            </w:r>
          </w:p>
        </w:tc>
        <w:tc>
          <w:tcPr/>
          <w:p>
            <w:pPr>
              <w:pStyle w:val="Compact"/>
            </w:pPr>
            <w:r>
              <w:t xml:space="preserve">8.3</w:t>
            </w:r>
          </w:p>
        </w:tc>
      </w:tr>
      <w:tr>
        <w:tc>
          <w:tcPr/>
          <w:p>
            <w:pPr>
              <w:pStyle w:val="Compact"/>
            </w:pPr>
            <w:r>
              <w:rPr>
                <w:rFonts w:hint="eastAsia"/>
              </w:rPr>
              <w:t xml:space="preserve">不需要期</w:t>
            </w:r>
          </w:p>
        </w:tc>
        <w:tc>
          <w:tcPr/>
          <w:p>
            <w:pPr>
              <w:pStyle w:val="Compact"/>
            </w:pPr>
            <w:r>
              <w:rPr>
                <w:rFonts w:hint="eastAsia"/>
              </w:rPr>
              <w:t xml:space="preserve">小</w:t>
            </w:r>
          </w:p>
        </w:tc>
        <w:tc>
          <w:tcPr/>
          <w:p>
            <w:pPr>
              <w:pStyle w:val="Compact"/>
            </w:pPr>
            <w:r>
              <w:t xml:space="preserve">10.61</w:t>
            </w:r>
          </w:p>
        </w:tc>
        <w:tc>
          <w:tcPr/>
          <w:p>
            <w:pPr>
              <w:pStyle w:val="Compact"/>
            </w:pPr>
            <w:r>
              <w:t xml:space="preserve">32.1</w:t>
            </w:r>
          </w:p>
        </w:tc>
        <w:tc>
          <w:tcPr/>
          <w:p>
            <w:pPr>
              <w:pStyle w:val="Compact"/>
            </w:pPr>
            <w:r>
              <w:t xml:space="preserve">0.62</w:t>
            </w:r>
          </w:p>
        </w:tc>
        <w:tc>
          <w:tcPr/>
          <w:p>
            <w:pPr>
              <w:pStyle w:val="Compact"/>
            </w:pPr>
            <w:r>
              <w:t xml:space="preserve">4.8</w:t>
            </w:r>
          </w:p>
        </w:tc>
      </w:tr>
      <w:tr>
        <w:tc>
          <w:tcPr/>
          <w:p>
            <w:pPr>
              <w:pStyle w:val="Compact"/>
            </w:pPr>
          </w:p>
        </w:tc>
        <w:tc>
          <w:tcPr/>
          <w:p>
            <w:pPr>
              <w:pStyle w:val="Compact"/>
            </w:pPr>
            <w:r>
              <w:rPr>
                <w:rFonts w:hint="eastAsia"/>
              </w:rPr>
              <w:t xml:space="preserve">大</w:t>
            </w:r>
          </w:p>
        </w:tc>
        <w:tc>
          <w:tcPr/>
          <w:p>
            <w:pPr>
              <w:pStyle w:val="Compact"/>
            </w:pPr>
            <w:r>
              <w:t xml:space="preserve">10.19</w:t>
            </w:r>
          </w:p>
        </w:tc>
        <w:tc>
          <w:tcPr/>
          <w:p>
            <w:pPr>
              <w:pStyle w:val="Compact"/>
            </w:pPr>
            <w:r>
              <w:t xml:space="preserve">31.6</w:t>
            </w:r>
          </w:p>
        </w:tc>
        <w:tc>
          <w:tcPr/>
          <w:p>
            <w:pPr>
              <w:pStyle w:val="Compact"/>
            </w:pPr>
            <w:r>
              <w:t xml:space="preserve">1.19</w:t>
            </w:r>
          </w:p>
        </w:tc>
        <w:tc>
          <w:tcPr/>
          <w:p>
            <w:pPr>
              <w:pStyle w:val="Compact"/>
            </w:pPr>
            <w:r>
              <w:t xml:space="preserve">9.2</w:t>
            </w:r>
          </w:p>
        </w:tc>
      </w:tr>
    </w:tbl>
    <w:p>
      <w:pPr>
        <w:pStyle w:val="BodyText"/>
      </w:pPr>
      <w:r>
        <w:rPr>
          <w:rFonts w:hint="eastAsia"/>
        </w:rPr>
        <w:t xml:space="preserve">表7.3</w:t>
      </w:r>
      <w:r>
        <w:t xml:space="preserve"> </w:t>
      </w:r>
      <w:r>
        <w:rPr>
          <w:rFonts w:hint="eastAsia"/>
        </w:rPr>
        <w:t xml:space="preserve">風力三分位×裁定指標（FY2023〜25、日次平均）</w:t>
      </w:r>
    </w:p>
    <w:bookmarkEnd w:id="104"/>
    <w:bookmarkStart w:id="105" w:name="duration曲線-1"/>
    <w:p>
      <w:pPr>
        <w:pStyle w:val="Heading2"/>
      </w:pPr>
      <w:r>
        <w:t xml:space="preserve">7.4 </w:t>
      </w:r>
      <w:r>
        <w:rPr>
          <w:rFonts w:hint="eastAsia"/>
        </w:rPr>
        <w:t xml:space="preserve">duration曲線</w:t>
      </w:r>
    </w:p>
    <w:p>
      <w:pPr>
        <w:pStyle w:val="FirstParagraph"/>
      </w:pPr>
      <w:r>
        <w:rPr>
          <w:rFonts w:hint="eastAsia"/>
        </w:rPr>
        <w:t xml:space="preserve">FY2023〜25の実績価格によるPF価値は2時間6,026円、4時間10,317円、6時間13,062円、8時間14,354円/kW-年で、4時間比で0.58・1.00・1.27・1.39である。4時間から6時間でスポット価値は+27%、6時間から8時間で+9%と限界価値は逓減する。durationに対する限界価値の逓減は</w:t>
      </w:r>
      <w:r>
        <w:t xml:space="preserve"> Sioshansi et al. (2009) </w:t>
      </w:r>
      <w:r>
        <w:rPr>
          <w:rFonts w:hint="eastAsia"/>
        </w:rPr>
        <w:t xml:space="preserve">がPJMで示した形（膝は約8時間）と同じであり、Mercier</w:t>
      </w:r>
      <w:r>
        <w:t xml:space="preserve"> et al. (2023) </w:t>
      </w:r>
      <w:r>
        <w:rPr>
          <w:rFonts w:hint="eastAsia"/>
        </w:rPr>
        <w:t xml:space="preserve">は欧州の全入札ゾーンで限界価値が4〜6時間を超えると非常に小さくなると報告している。一方、容量市場の調整係数は4時間83.6%、6時間93.2%、8時間98.3%（2029年度向け北海道）で、4時間から6時間の+9.6ポイントは約定価格14,972円/kWなら約1,440円/kW-年に相当する。風力の変動が長周期に分布する市場では、より長いdurationの価値が両市場で残る。最適durationはスポットと容量市場の合算で決まり、4時間固定は保守的な仮定である。</w:t>
      </w:r>
    </w:p>
    <w:bookmarkEnd w:id="105"/>
    <w:bookmarkStart w:id="106" w:name="小括-1"/>
    <w:p>
      <w:pPr>
        <w:pStyle w:val="Heading2"/>
      </w:pPr>
      <w:r>
        <w:t xml:space="preserve">7.5 </w:t>
      </w:r>
      <w:r>
        <w:rPr>
          <w:rFonts w:hint="eastAsia"/>
        </w:rPr>
        <w:t xml:space="preserve">小括</w:t>
      </w:r>
    </w:p>
    <w:p>
      <w:pPr>
        <w:pStyle w:val="FirstParagraph"/>
      </w:pPr>
      <w:r>
        <w:rPr>
          <w:rFonts w:hint="eastAsia"/>
        </w:rPr>
        <w:t xml:space="preserve">風力主導市場における蓄電池のスポット価値は、夕方のスパイクと床の形成に依存する。前者は風力の増加に対して頑健であり、後者は現時点では未形成である。したがって風力の導入そのものは蓄電池のスポット価値をほとんど動かさない。価値を大きく動かすのは、床の形成（泊の再稼働、風力のさらなる増加）と、蓄電池自身の競合（第8章）である。</w:t>
      </w:r>
    </w:p>
    <w:bookmarkEnd w:id="106"/>
    <w:bookmarkEnd w:id="107"/>
    <w:bookmarkStart w:id="126" w:name="第8章-均衡分析の結果"/>
    <w:p>
      <w:pPr>
        <w:pStyle w:val="Heading1"/>
      </w:pPr>
      <w:r>
        <w:rPr>
          <w:rFonts w:hint="eastAsia"/>
        </w:rPr>
        <w:t xml:space="preserve">第8章</w:t>
      </w:r>
      <w:r>
        <w:t xml:space="preserve"> </w:t>
      </w:r>
      <w:r>
        <w:rPr>
          <w:rFonts w:hint="eastAsia"/>
        </w:rPr>
        <w:t xml:space="preserve">均衡分析の結果</w:t>
      </w:r>
    </w:p>
    <w:bookmarkStart w:id="108" w:name="価格過程モデルの再現性"/>
    <w:p>
      <w:pPr>
        <w:pStyle w:val="Heading2"/>
      </w:pPr>
      <w:r>
        <w:t xml:space="preserve">8.1 </w:t>
      </w:r>
      <w:r>
        <w:rPr>
          <w:rFonts w:hint="eastAsia"/>
        </w:rPr>
        <w:t xml:space="preserve">価格過程モデルの再現性</w:t>
      </w:r>
    </w:p>
    <w:p>
      <w:pPr>
        <w:pStyle w:val="FirstParagraph"/>
      </w:pPr>
      <w:r>
        <w:rPr>
          <w:rFonts w:hint="eastAsia"/>
        </w:rPr>
        <w:t xml:space="preserve">FY2023〜25で推定した価格過程（第5章5.4.1）のin-sample再現を表8.1に示す。TB4h中央値は実績8.3〜9.6円/kWhに対し分断混合仕様で8.0〜8.3円とほぼ再現されるが、分布の裾が圧縮されるためPF価値は実績9,600〜11,500円/kW-年に対し8,400〜8,700円と9〜24%過小である。床時間も実績の5〜6割にとどまる。時刻別プレミアム</w:t>
      </w:r>
      <w:r>
        <w:t xml:space="preserve"> </w:t>
      </w:r>
      <m:oMath>
        <m:r>
          <m:t>μ</m:t>
        </m:r>
      </m:oMath>
      <w:r>
        <w:t xml:space="preserve"> </w:t>
      </w:r>
      <w:r>
        <w:rPr>
          <w:rFonts w:hint="eastAsia"/>
        </w:rPr>
        <w:t xml:space="preserve">を入れない場合はPF価値を約35%過小評価するため、夕方のランプ・希少性プレミアムは純需要だけでは説明できない一次的な要素である。レジーム構成は安値分断29%・連系7%・高値分断64%で、第6章の分断構造と整合す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指標</w:t>
            </w:r>
          </w:p>
        </w:tc>
        <w:tc>
          <w:tcPr/>
          <w:p>
            <w:pPr>
              <w:pStyle w:val="Compact"/>
            </w:pPr>
            <w:r>
              <w:rPr>
                <w:rFonts w:hint="eastAsia"/>
              </w:rPr>
              <w:t xml:space="preserve">実績</w:t>
            </w:r>
          </w:p>
        </w:tc>
        <w:tc>
          <w:tcPr/>
          <w:p>
            <w:pPr>
              <w:pStyle w:val="Compact"/>
            </w:pPr>
            <w:r>
              <w:rPr>
                <w:rFonts w:hint="eastAsia"/>
              </w:rPr>
              <w:t xml:space="preserve">単一曲線仕様</w:t>
            </w:r>
          </w:p>
        </w:tc>
        <w:tc>
          <w:tcPr/>
          <w:p>
            <w:pPr>
              <w:pStyle w:val="Compact"/>
            </w:pPr>
            <w:r>
              <w:rPr>
                <w:rFonts w:hint="eastAsia"/>
              </w:rPr>
              <w:t xml:space="preserve">分断混合仕様</w:t>
            </w:r>
          </w:p>
        </w:tc>
      </w:tr>
      <w:tr>
        <w:tc>
          <w:tcPr/>
          <w:p>
            <w:pPr>
              <w:pStyle w:val="Compact"/>
            </w:pPr>
            <w:r>
              <w:rPr>
                <w:rFonts w:hint="eastAsia"/>
              </w:rPr>
              <w:t xml:space="preserve">床時間（h/年）</w:t>
            </w:r>
          </w:p>
        </w:tc>
        <w:tc>
          <w:tcPr/>
          <w:p>
            <w:pPr>
              <w:pStyle w:val="Compact"/>
            </w:pPr>
            <w:r>
              <w:t xml:space="preserve">138〜265</w:t>
            </w:r>
          </w:p>
        </w:tc>
        <w:tc>
          <w:tcPr/>
          <w:p>
            <w:pPr>
              <w:pStyle w:val="Compact"/>
            </w:pPr>
            <w:r>
              <w:t xml:space="preserve">63〜167</w:t>
            </w:r>
          </w:p>
        </w:tc>
        <w:tc>
          <w:tcPr/>
          <w:p>
            <w:pPr>
              <w:pStyle w:val="Compact"/>
            </w:pPr>
            <w:r>
              <w:t xml:space="preserve">88〜159</w:t>
            </w:r>
          </w:p>
        </w:tc>
      </w:tr>
      <w:tr>
        <w:tc>
          <w:tcPr/>
          <w:p>
            <w:pPr>
              <w:pStyle w:val="Compact"/>
            </w:pPr>
            <w:r>
              <w:rPr>
                <w:rFonts w:hint="eastAsia"/>
              </w:rPr>
              <w:t xml:space="preserve">TB4h中央値（円/kWh）</w:t>
            </w:r>
          </w:p>
        </w:tc>
        <w:tc>
          <w:tcPr/>
          <w:p>
            <w:pPr>
              <w:pStyle w:val="Compact"/>
            </w:pPr>
            <w:r>
              <w:t xml:space="preserve">8.3〜9.6</w:t>
            </w:r>
          </w:p>
        </w:tc>
        <w:tc>
          <w:tcPr/>
          <w:p>
            <w:pPr>
              <w:pStyle w:val="Compact"/>
            </w:pPr>
            <w:r>
              <w:t xml:space="preserve">7.6〜8.3</w:t>
            </w:r>
          </w:p>
        </w:tc>
        <w:tc>
          <w:tcPr/>
          <w:p>
            <w:pPr>
              <w:pStyle w:val="Compact"/>
            </w:pPr>
            <w:r>
              <w:t xml:space="preserve">8.0〜8.3</w:t>
            </w:r>
          </w:p>
        </w:tc>
      </w:tr>
      <w:tr>
        <w:tc>
          <w:tcPr/>
          <w:p>
            <w:pPr>
              <w:pStyle w:val="Compact"/>
            </w:pPr>
            <w:r>
              <w:rPr>
                <w:rFonts w:hint="eastAsia"/>
              </w:rPr>
              <w:t xml:space="preserve">p05／p95（円/kWh）</w:t>
            </w:r>
          </w:p>
        </w:tc>
        <w:tc>
          <w:tcPr/>
          <w:p>
            <w:pPr>
              <w:pStyle w:val="Compact"/>
            </w:pPr>
            <w:r>
              <w:rPr>
                <w:rFonts w:hint="eastAsia"/>
              </w:rPr>
              <w:t xml:space="preserve">1.0〜6.0／18.1〜19.6</w:t>
            </w:r>
          </w:p>
        </w:tc>
        <w:tc>
          <w:tcPr/>
          <w:p>
            <w:pPr>
              <w:pStyle w:val="Compact"/>
            </w:pPr>
            <w:r>
              <w:rPr>
                <w:rFonts w:hint="eastAsia"/>
              </w:rPr>
              <w:t xml:space="preserve">5.2〜6.3／17.7〜18.0</w:t>
            </w:r>
          </w:p>
        </w:tc>
        <w:tc>
          <w:tcPr/>
          <w:p>
            <w:pPr>
              <w:pStyle w:val="Compact"/>
            </w:pPr>
            <w:r>
              <w:rPr>
                <w:rFonts w:hint="eastAsia"/>
              </w:rPr>
              <w:t xml:space="preserve">6.1〜6.5／17.7〜18.0</w:t>
            </w:r>
          </w:p>
        </w:tc>
      </w:tr>
      <w:tr>
        <w:tc>
          <w:tcPr/>
          <w:p>
            <w:pPr>
              <w:pStyle w:val="Compact"/>
            </w:pPr>
            <w:r>
              <w:rPr>
                <w:rFonts w:hint="eastAsia"/>
              </w:rPr>
              <w:t xml:space="preserve">PF価値（円/kW-年）</w:t>
            </w:r>
          </w:p>
        </w:tc>
        <w:tc>
          <w:tcPr/>
          <w:p>
            <w:pPr>
              <w:pStyle w:val="Compact"/>
            </w:pPr>
            <w:r>
              <w:t xml:space="preserve">9,586〜11,493</w:t>
            </w:r>
          </w:p>
        </w:tc>
        <w:tc>
          <w:tcPr/>
          <w:p>
            <w:pPr>
              <w:pStyle w:val="Compact"/>
            </w:pPr>
            <w:r>
              <w:t xml:space="preserve">7,966〜8,499</w:t>
            </w:r>
          </w:p>
        </w:tc>
        <w:tc>
          <w:tcPr/>
          <w:p>
            <w:pPr>
              <w:pStyle w:val="Compact"/>
            </w:pPr>
            <w:r>
              <w:t xml:space="preserve">8,379〜8,721</w:t>
            </w:r>
          </w:p>
        </w:tc>
      </w:tr>
      <w:tr>
        <w:tc>
          <w:tcPr/>
          <w:p>
            <w:pPr>
              <w:pStyle w:val="Compact"/>
            </w:pPr>
            <w:r>
              <w:rPr>
                <w:rFonts w:hint="eastAsia"/>
              </w:rPr>
              <w:t xml:space="preserve">時間値の相関</w:t>
            </w:r>
          </w:p>
        </w:tc>
        <w:tc>
          <w:tcPr/>
          <w:p>
            <w:pPr>
              <w:pStyle w:val="Compact"/>
            </w:pPr>
            <w:r>
              <w:t xml:space="preserve">—</w:t>
            </w:r>
          </w:p>
        </w:tc>
        <w:tc>
          <w:tcPr/>
          <w:p>
            <w:pPr>
              <w:pStyle w:val="Compact"/>
            </w:pPr>
            <w:r>
              <w:t xml:space="preserve">0.717</w:t>
            </w:r>
          </w:p>
        </w:tc>
        <w:tc>
          <w:tcPr/>
          <w:p>
            <w:pPr>
              <w:pStyle w:val="Compact"/>
            </w:pPr>
            <w:r>
              <w:t xml:space="preserve">0.691</w:t>
            </w:r>
          </w:p>
        </w:tc>
      </w:tr>
    </w:tbl>
    <w:p>
      <w:pPr>
        <w:pStyle w:val="BodyText"/>
      </w:pPr>
      <w:r>
        <w:rPr>
          <w:rFonts w:hint="eastAsia"/>
        </w:rPr>
        <w:t xml:space="preserve">表8.1</w:t>
      </w:r>
      <w:r>
        <w:t xml:space="preserve"> </w:t>
      </w:r>
      <w:r>
        <w:rPr>
          <w:rFonts w:hint="eastAsia"/>
        </w:rPr>
        <w:t xml:space="preserve">基本仕様の価格過程のin-sample再現（FY2023〜25、年度レンジ）</w:t>
      </w:r>
    </w:p>
    <w:p>
      <w:pPr>
        <w:pStyle w:val="BodyText"/>
      </w:pPr>
      <w:r>
        <w:rPr>
          <w:rFonts w:hint="eastAsia"/>
        </w:rPr>
        <w:t xml:space="preserve">out-of-sample（FY2026年4〜6月）では、FY2023〜25で推定した定常な</w:t>
      </w:r>
      <w:r>
        <w:t xml:space="preserve"> </w:t>
      </w:r>
      <m:oMath>
        <m:r>
          <m:t>g</m:t>
        </m:r>
      </m:oMath>
      <w:r>
        <w:rPr>
          <w:rFonts w:hint="eastAsia"/>
        </w:rPr>
        <w:t xml:space="preserve">（基本仕様）は実績のTB4h中央値18.7円・p95</w:t>
      </w:r>
      <w:r>
        <w:t xml:space="preserve"> </w:t>
      </w:r>
      <w:r>
        <w:rPr>
          <w:rFonts w:hint="eastAsia"/>
        </w:rPr>
        <w:t xml:space="preserve">26.1円に対し、分断混合仕様で10.7円・15.9円、単一曲線仕様で9.2円・14.5円と大きく過小である。FY2026春はシステムプライスも同じ幅で上昇しており（同じ純需要水準で約1.6〜1.75倍）、上側の水準シフトは北海道固有ではなく全国的な燃料・供給構造の変化である。床側の拡大は出力制御の急増（4〜6月の平均抑制量が前年の3.7MWhから29.9MWhへ）による純需要の低下で説明され、</w:t>
      </w:r>
      <m:oMath>
        <m:r>
          <m:t>g</m:t>
        </m:r>
      </m:oMath>
      <w:r>
        <w:t xml:space="preserve"> </w:t>
      </w:r>
      <w:r>
        <w:rPr>
          <w:rFonts w:hint="eastAsia"/>
        </w:rPr>
        <w:t xml:space="preserve">の形状で捉えられる。</w:t>
      </w:r>
    </w:p>
    <w:p>
      <w:pPr>
        <w:pStyle w:val="BodyText"/>
      </w:pPr>
      <w:r>
        <w:rPr>
          <w:rFonts w:hint="eastAsia"/>
        </w:rPr>
        <w:t xml:space="preserve">5.4.1の拡張仕様で推定した年度別水準係数は、FY2023〜25の0.94・1.07・1.00に対してFY2026上期が1.57、燃料危機のFY2022が1.72であり、月次では2026年3月の1.03から4月の1.53へ段差が立つ（表8.2）。形状を固定して</w:t>
      </w:r>
      <w:r>
        <w:t xml:space="preserve"> </w:t>
      </w:r>
      <m:oMath>
        <m:sSub>
          <m:e>
            <m:r>
              <m:t>θ</m:t>
            </m:r>
          </m:e>
          <m:sub>
            <m:r>
              <m:t>2026</m:t>
            </m:r>
          </m:sub>
        </m:sSub>
      </m:oMath>
      <w:r>
        <w:t xml:space="preserve"> </w:t>
      </w:r>
      <w:r>
        <w:rPr>
          <w:rFonts w:hint="eastAsia"/>
        </w:rPr>
        <w:t xml:space="preserve">の1パラメータだけを与えた拡張仕様は、FY2026上期のTB4h中央値を14.3円、p95を22.7円、PF価値を実績の78%（3か月で実績5,425円に対し4,241円/kW）まで再現する。残る乖離は床時間（実績216時間に対し152時間）とスパイクの裾圧縮によるもので、FY2023〜25のin-sampleでも同程度（実績PF/モデルPF＝1.25）に存在する定常的な過小評価である。FY2022は連系線増強前の分断構造でスパイクの裾がさらに厚く（p95</w:t>
      </w:r>
      <w:r>
        <w:t xml:space="preserve"> </w:t>
      </w:r>
      <w:r>
        <w:rPr>
          <w:rFonts w:hint="eastAsia"/>
        </w:rPr>
        <w:t xml:space="preserve">42円）、水準係数だけでは56%しか再現できない。以下では</w:t>
      </w:r>
      <w:r>
        <w:t xml:space="preserve"> </w:t>
      </w:r>
      <m:oMath>
        <m:r>
          <m:t>θ</m:t>
        </m:r>
      </m:oMath>
      <w:r>
        <w:t xml:space="preserve"> </w:t>
      </w:r>
      <w:r>
        <w:rPr>
          <w:rFonts w:hint="eastAsia"/>
        </w:rPr>
        <w:t xml:space="preserve">を価格水準のシナリオ変数として扱い、裾圧縮は実績/モデル比1.25を乗じた上限ケースで併記する。</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rPr>
                <w:rFonts w:hint="eastAsia"/>
              </w:rPr>
              <w:t xml:space="preserve">年度</w:t>
            </w:r>
          </w:p>
        </w:tc>
        <w:tc>
          <w:tcPr/>
          <w:p>
            <w:pPr>
              <w:pStyle w:val="Compact"/>
            </w:pPr>
            <m:oMath>
              <m:sSub>
                <m:e>
                  <m:r>
                    <m:t>θ</m:t>
                  </m:r>
                </m:e>
                <m:sub>
                  <m:r>
                    <m:t>F</m:t>
                  </m:r>
                  <m:r>
                    <m:t>Y</m:t>
                  </m:r>
                </m:sub>
              </m:sSub>
            </m:oMath>
          </w:p>
        </w:tc>
        <w:tc>
          <w:tcPr/>
          <w:p>
            <w:pPr>
              <w:pStyle w:val="Compact"/>
            </w:pPr>
            <w:r>
              <w:rPr>
                <w:rFonts w:hint="eastAsia"/>
              </w:rPr>
              <w:t xml:space="preserve">TB4h中央値</w:t>
            </w:r>
            <w:r>
              <w:t xml:space="preserve"> </w:t>
            </w:r>
            <w:r>
              <w:rPr>
                <w:rFonts w:hint="eastAsia"/>
              </w:rPr>
              <w:t xml:space="preserve">実績</w:t>
            </w:r>
          </w:p>
        </w:tc>
        <w:tc>
          <w:tcPr/>
          <w:p>
            <w:pPr>
              <w:pStyle w:val="Compact"/>
            </w:pPr>
            <w:r>
              <w:rPr>
                <w:rFonts w:hint="eastAsia"/>
              </w:rPr>
              <w:t xml:space="preserve">水準固定（θ=1）</w:t>
            </w:r>
          </w:p>
        </w:tc>
        <w:tc>
          <w:tcPr/>
          <w:p>
            <w:pPr>
              <w:pStyle w:val="Compact"/>
            </w:pPr>
            <w:r>
              <w:rPr>
                <w:rFonts w:hint="eastAsia"/>
              </w:rPr>
              <w:t xml:space="preserve">水準係数付き</w:t>
            </w:r>
          </w:p>
        </w:tc>
        <w:tc>
          <w:tcPr/>
          <w:p>
            <w:pPr>
              <w:pStyle w:val="Compact"/>
            </w:pPr>
            <w:r>
              <w:t xml:space="preserve">p95 </w:t>
            </w:r>
            <w:r>
              <w:rPr>
                <w:rFonts w:hint="eastAsia"/>
              </w:rPr>
              <w:t xml:space="preserve">実績</w:t>
            </w:r>
          </w:p>
        </w:tc>
        <w:tc>
          <w:tcPr/>
          <w:p>
            <w:pPr>
              <w:pStyle w:val="Compact"/>
            </w:pPr>
            <w:r>
              <w:rPr>
                <w:rFonts w:hint="eastAsia"/>
              </w:rPr>
              <w:t xml:space="preserve">水準固定</w:t>
            </w:r>
          </w:p>
        </w:tc>
        <w:tc>
          <w:tcPr/>
          <w:p>
            <w:pPr>
              <w:pStyle w:val="Compact"/>
            </w:pPr>
            <w:r>
              <w:rPr>
                <w:rFonts w:hint="eastAsia"/>
              </w:rPr>
              <w:t xml:space="preserve">水準係数付き</w:t>
            </w:r>
          </w:p>
        </w:tc>
        <w:tc>
          <w:tcPr/>
          <w:p>
            <w:pPr>
              <w:pStyle w:val="Compact"/>
            </w:pPr>
            <w:r>
              <w:rPr>
                <w:rFonts w:hint="eastAsia"/>
              </w:rPr>
              <w:t xml:space="preserve">PF価値</w:t>
            </w:r>
            <w:r>
              <w:t xml:space="preserve"> </w:t>
            </w:r>
            <w:r>
              <w:rPr>
                <w:rFonts w:hint="eastAsia"/>
              </w:rPr>
              <w:t xml:space="preserve">実績</w:t>
            </w:r>
          </w:p>
        </w:tc>
        <w:tc>
          <w:tcPr/>
          <w:p>
            <w:pPr>
              <w:pStyle w:val="Compact"/>
            </w:pPr>
            <w:r>
              <w:rPr>
                <w:rFonts w:hint="eastAsia"/>
              </w:rPr>
              <w:t xml:space="preserve">水準固定</w:t>
            </w:r>
          </w:p>
        </w:tc>
        <w:tc>
          <w:tcPr/>
          <w:p>
            <w:pPr>
              <w:pStyle w:val="Compact"/>
            </w:pPr>
            <w:r>
              <w:rPr>
                <w:rFonts w:hint="eastAsia"/>
              </w:rPr>
              <w:t xml:space="preserve">水準係数付き</w:t>
            </w:r>
          </w:p>
        </w:tc>
      </w:tr>
      <w:tr>
        <w:tc>
          <w:tcPr/>
          <w:p>
            <w:pPr>
              <w:pStyle w:val="Compact"/>
            </w:pPr>
            <w:r>
              <w:t xml:space="preserve">FY2022</w:t>
            </w:r>
          </w:p>
        </w:tc>
        <w:tc>
          <w:tcPr/>
          <w:p>
            <w:pPr>
              <w:pStyle w:val="Compact"/>
            </w:pPr>
            <w:r>
              <w:t xml:space="preserve">1.72</w:t>
            </w:r>
          </w:p>
        </w:tc>
        <w:tc>
          <w:tcPr/>
          <w:p>
            <w:pPr>
              <w:pStyle w:val="Compact"/>
            </w:pPr>
            <w:r>
              <w:t xml:space="preserve">19.3</w:t>
            </w:r>
          </w:p>
        </w:tc>
        <w:tc>
          <w:tcPr/>
          <w:p>
            <w:pPr>
              <w:pStyle w:val="Compact"/>
            </w:pPr>
            <w:r>
              <w:t xml:space="preserve">7.8</w:t>
            </w:r>
          </w:p>
        </w:tc>
        <w:tc>
          <w:tcPr/>
          <w:p>
            <w:pPr>
              <w:pStyle w:val="Compact"/>
            </w:pPr>
            <w:r>
              <w:t xml:space="preserve">13.4</w:t>
            </w:r>
          </w:p>
        </w:tc>
        <w:tc>
          <w:tcPr/>
          <w:p>
            <w:pPr>
              <w:pStyle w:val="Compact"/>
            </w:pPr>
            <w:r>
              <w:t xml:space="preserve">42.2</w:t>
            </w:r>
          </w:p>
        </w:tc>
        <w:tc>
          <w:tcPr/>
          <w:p>
            <w:pPr>
              <w:pStyle w:val="Compact"/>
            </w:pPr>
            <w:r>
              <w:t xml:space="preserve">18.7</w:t>
            </w:r>
          </w:p>
        </w:tc>
        <w:tc>
          <w:tcPr/>
          <w:p>
            <w:pPr>
              <w:pStyle w:val="Compact"/>
            </w:pPr>
            <w:r>
              <w:t xml:space="preserve">32.1</w:t>
            </w:r>
          </w:p>
        </w:tc>
        <w:tc>
          <w:tcPr/>
          <w:p>
            <w:pPr>
              <w:pStyle w:val="Compact"/>
            </w:pPr>
            <w:r>
              <w:t xml:space="preserve">25,160</w:t>
            </w:r>
          </w:p>
        </w:tc>
        <w:tc>
          <w:tcPr/>
          <w:p>
            <w:pPr>
              <w:pStyle w:val="Compact"/>
            </w:pPr>
            <w:r>
              <w:t xml:space="preserve">8,262</w:t>
            </w:r>
          </w:p>
        </w:tc>
        <w:tc>
          <w:tcPr/>
          <w:p>
            <w:pPr>
              <w:pStyle w:val="Compact"/>
            </w:pPr>
            <w:r>
              <w:t xml:space="preserve">14,173</w:t>
            </w:r>
          </w:p>
        </w:tc>
      </w:tr>
      <w:tr>
        <w:tc>
          <w:tcPr/>
          <w:p>
            <w:pPr>
              <w:pStyle w:val="Compact"/>
            </w:pPr>
            <w:r>
              <w:t xml:space="preserve">FY2023</w:t>
            </w:r>
          </w:p>
        </w:tc>
        <w:tc>
          <w:tcPr/>
          <w:p>
            <w:pPr>
              <w:pStyle w:val="Compact"/>
            </w:pPr>
            <w:r>
              <w:t xml:space="preserve">0.94</w:t>
            </w:r>
          </w:p>
        </w:tc>
        <w:tc>
          <w:tcPr/>
          <w:p>
            <w:pPr>
              <w:pStyle w:val="Compact"/>
            </w:pPr>
            <w:r>
              <w:t xml:space="preserve">8.3</w:t>
            </w:r>
          </w:p>
        </w:tc>
        <w:tc>
          <w:tcPr/>
          <w:p>
            <w:pPr>
              <w:pStyle w:val="Compact"/>
            </w:pPr>
            <w:r>
              <w:t xml:space="preserve">7.8</w:t>
            </w:r>
          </w:p>
        </w:tc>
        <w:tc>
          <w:tcPr/>
          <w:p>
            <w:pPr>
              <w:pStyle w:val="Compact"/>
            </w:pPr>
            <w:r>
              <w:t xml:space="preserve">7.3</w:t>
            </w:r>
          </w:p>
        </w:tc>
        <w:tc>
          <w:tcPr/>
          <w:p>
            <w:pPr>
              <w:pStyle w:val="Compact"/>
            </w:pPr>
            <w:r>
              <w:t xml:space="preserve">18.1</w:t>
            </w:r>
          </w:p>
        </w:tc>
        <w:tc>
          <w:tcPr/>
          <w:p>
            <w:pPr>
              <w:pStyle w:val="Compact"/>
            </w:pPr>
            <w:r>
              <w:t xml:space="preserve">18.2</w:t>
            </w:r>
          </w:p>
        </w:tc>
        <w:tc>
          <w:tcPr/>
          <w:p>
            <w:pPr>
              <w:pStyle w:val="Compact"/>
            </w:pPr>
            <w:r>
              <w:t xml:space="preserve">17.1</w:t>
            </w:r>
          </w:p>
        </w:tc>
        <w:tc>
          <w:tcPr/>
          <w:p>
            <w:pPr>
              <w:pStyle w:val="Compact"/>
            </w:pPr>
            <w:r>
              <w:t xml:space="preserve">9,873</w:t>
            </w:r>
          </w:p>
        </w:tc>
        <w:tc>
          <w:tcPr/>
          <w:p>
            <w:pPr>
              <w:pStyle w:val="Compact"/>
            </w:pPr>
            <w:r>
              <w:t xml:space="preserve">7,989</w:t>
            </w:r>
          </w:p>
        </w:tc>
        <w:tc>
          <w:tcPr/>
          <w:p>
            <w:pPr>
              <w:pStyle w:val="Compact"/>
            </w:pPr>
            <w:r>
              <w:t xml:space="preserve">7,495</w:t>
            </w:r>
          </w:p>
        </w:tc>
      </w:tr>
      <w:tr>
        <w:tc>
          <w:tcPr/>
          <w:p>
            <w:pPr>
              <w:pStyle w:val="Compact"/>
            </w:pPr>
            <w:r>
              <w:t xml:space="preserve">FY2024</w:t>
            </w:r>
          </w:p>
        </w:tc>
        <w:tc>
          <w:tcPr/>
          <w:p>
            <w:pPr>
              <w:pStyle w:val="Compact"/>
            </w:pPr>
            <w:r>
              <w:t xml:space="preserve">1.07</w:t>
            </w:r>
          </w:p>
        </w:tc>
        <w:tc>
          <w:tcPr/>
          <w:p>
            <w:pPr>
              <w:pStyle w:val="Compact"/>
            </w:pPr>
            <w:r>
              <w:t xml:space="preserve">8.7</w:t>
            </w:r>
          </w:p>
        </w:tc>
        <w:tc>
          <w:tcPr/>
          <w:p>
            <w:pPr>
              <w:pStyle w:val="Compact"/>
            </w:pPr>
            <w:r>
              <w:t xml:space="preserve">7.8</w:t>
            </w:r>
          </w:p>
        </w:tc>
        <w:tc>
          <w:tcPr/>
          <w:p>
            <w:pPr>
              <w:pStyle w:val="Compact"/>
            </w:pPr>
            <w:r>
              <w:t xml:space="preserve">8.3</w:t>
            </w:r>
          </w:p>
        </w:tc>
        <w:tc>
          <w:tcPr/>
          <w:p>
            <w:pPr>
              <w:pStyle w:val="Compact"/>
            </w:pPr>
            <w:r>
              <w:t xml:space="preserve">19.6</w:t>
            </w:r>
          </w:p>
        </w:tc>
        <w:tc>
          <w:tcPr/>
          <w:p>
            <w:pPr>
              <w:pStyle w:val="Compact"/>
            </w:pPr>
            <w:r>
              <w:t xml:space="preserve">17.9</w:t>
            </w:r>
          </w:p>
        </w:tc>
        <w:tc>
          <w:tcPr/>
          <w:p>
            <w:pPr>
              <w:pStyle w:val="Compact"/>
            </w:pPr>
            <w:r>
              <w:t xml:space="preserve">19.0</w:t>
            </w:r>
          </w:p>
        </w:tc>
        <w:tc>
          <w:tcPr/>
          <w:p>
            <w:pPr>
              <w:pStyle w:val="Compact"/>
            </w:pPr>
            <w:r>
              <w:t xml:space="preserve">9,586</w:t>
            </w:r>
          </w:p>
        </w:tc>
        <w:tc>
          <w:tcPr/>
          <w:p>
            <w:pPr>
              <w:pStyle w:val="Compact"/>
            </w:pPr>
            <w:r>
              <w:t xml:space="preserve">8,319</w:t>
            </w:r>
          </w:p>
        </w:tc>
        <w:tc>
          <w:tcPr/>
          <w:p>
            <w:pPr>
              <w:pStyle w:val="Compact"/>
            </w:pPr>
            <w:r>
              <w:t xml:space="preserve">8,860</w:t>
            </w:r>
          </w:p>
        </w:tc>
      </w:tr>
      <w:tr>
        <w:tc>
          <w:tcPr/>
          <w:p>
            <w:pPr>
              <w:pStyle w:val="Compact"/>
            </w:pPr>
            <w:r>
              <w:t xml:space="preserve">FY2025</w:t>
            </w:r>
          </w:p>
        </w:tc>
        <w:tc>
          <w:tcPr/>
          <w:p>
            <w:pPr>
              <w:pStyle w:val="Compact"/>
            </w:pPr>
            <w:r>
              <w:t xml:space="preserve">1.00</w:t>
            </w:r>
          </w:p>
        </w:tc>
        <w:tc>
          <w:tcPr/>
          <w:p>
            <w:pPr>
              <w:pStyle w:val="Compact"/>
            </w:pPr>
            <w:r>
              <w:t xml:space="preserve">9.6</w:t>
            </w:r>
          </w:p>
        </w:tc>
        <w:tc>
          <w:tcPr/>
          <w:p>
            <w:pPr>
              <w:pStyle w:val="Compact"/>
            </w:pPr>
            <w:r>
              <w:t xml:space="preserve">8.3</w:t>
            </w:r>
          </w:p>
        </w:tc>
        <w:tc>
          <w:tcPr/>
          <w:p>
            <w:pPr>
              <w:pStyle w:val="Compact"/>
            </w:pPr>
            <w:r>
              <w:t xml:space="preserve">8.3</w:t>
            </w:r>
          </w:p>
        </w:tc>
        <w:tc>
          <w:tcPr/>
          <w:p>
            <w:pPr>
              <w:pStyle w:val="Compact"/>
            </w:pPr>
            <w:r>
              <w:t xml:space="preserve">19.6</w:t>
            </w:r>
          </w:p>
        </w:tc>
        <w:tc>
          <w:tcPr/>
          <w:p>
            <w:pPr>
              <w:pStyle w:val="Compact"/>
            </w:pPr>
            <w:r>
              <w:t xml:space="preserve">18.2</w:t>
            </w:r>
          </w:p>
        </w:tc>
        <w:tc>
          <w:tcPr/>
          <w:p>
            <w:pPr>
              <w:pStyle w:val="Compact"/>
            </w:pPr>
            <w:r>
              <w:t xml:space="preserve">18.1</w:t>
            </w:r>
          </w:p>
        </w:tc>
        <w:tc>
          <w:tcPr/>
          <w:p>
            <w:pPr>
              <w:pStyle w:val="Compact"/>
            </w:pPr>
            <w:r>
              <w:t xml:space="preserve">11,493</w:t>
            </w:r>
          </w:p>
        </w:tc>
        <w:tc>
          <w:tcPr/>
          <w:p>
            <w:pPr>
              <w:pStyle w:val="Compact"/>
            </w:pPr>
            <w:r>
              <w:t xml:space="preserve">8,489</w:t>
            </w:r>
          </w:p>
        </w:tc>
        <w:tc>
          <w:tcPr/>
          <w:p>
            <w:pPr>
              <w:pStyle w:val="Compact"/>
            </w:pPr>
            <w:r>
              <w:t xml:space="preserve">8,463</w:t>
            </w:r>
          </w:p>
        </w:tc>
      </w:tr>
      <w:tr>
        <w:tc>
          <w:tcPr/>
          <w:p>
            <w:pPr>
              <w:pStyle w:val="Compact"/>
            </w:pPr>
            <w:r>
              <w:rPr>
                <w:rFonts w:hint="eastAsia"/>
              </w:rPr>
              <w:t xml:space="preserve">FY2026（4〜6月）</w:t>
            </w:r>
          </w:p>
        </w:tc>
        <w:tc>
          <w:tcPr/>
          <w:p>
            <w:pPr>
              <w:pStyle w:val="Compact"/>
            </w:pPr>
            <w:r>
              <w:t xml:space="preserve">1.57</w:t>
            </w:r>
          </w:p>
        </w:tc>
        <w:tc>
          <w:tcPr/>
          <w:p>
            <w:pPr>
              <w:pStyle w:val="Compact"/>
            </w:pPr>
            <w:r>
              <w:t xml:space="preserve">18.7</w:t>
            </w:r>
          </w:p>
        </w:tc>
        <w:tc>
          <w:tcPr/>
          <w:p>
            <w:pPr>
              <w:pStyle w:val="Compact"/>
            </w:pPr>
            <w:r>
              <w:t xml:space="preserve">9.2</w:t>
            </w:r>
          </w:p>
        </w:tc>
        <w:tc>
          <w:tcPr/>
          <w:p>
            <w:pPr>
              <w:pStyle w:val="Compact"/>
            </w:pPr>
            <w:r>
              <w:t xml:space="preserve">14.3</w:t>
            </w:r>
          </w:p>
        </w:tc>
        <w:tc>
          <w:tcPr/>
          <w:p>
            <w:pPr>
              <w:pStyle w:val="Compact"/>
            </w:pPr>
            <w:r>
              <w:t xml:space="preserve">26.1</w:t>
            </w:r>
          </w:p>
        </w:tc>
        <w:tc>
          <w:tcPr/>
          <w:p>
            <w:pPr>
              <w:pStyle w:val="Compact"/>
            </w:pPr>
            <w:r>
              <w:t xml:space="preserve">14.5</w:t>
            </w:r>
          </w:p>
        </w:tc>
        <w:tc>
          <w:tcPr/>
          <w:p>
            <w:pPr>
              <w:pStyle w:val="Compact"/>
            </w:pPr>
            <w:r>
              <w:t xml:space="preserve">22.7</w:t>
            </w:r>
          </w:p>
        </w:tc>
        <w:tc>
          <w:tcPr/>
          <w:p>
            <w:pPr>
              <w:pStyle w:val="Compact"/>
            </w:pPr>
            <w:r>
              <w:t xml:space="preserve">5,425</w:t>
            </w:r>
          </w:p>
        </w:tc>
        <w:tc>
          <w:tcPr/>
          <w:p>
            <w:pPr>
              <w:pStyle w:val="Compact"/>
            </w:pPr>
            <w:r>
              <w:t xml:space="preserve">2,707</w:t>
            </w:r>
          </w:p>
        </w:tc>
        <w:tc>
          <w:tcPr/>
          <w:p>
            <w:pPr>
              <w:pStyle w:val="Compact"/>
            </w:pPr>
            <w:r>
              <w:t xml:space="preserve">4,241</w:t>
            </w:r>
          </w:p>
        </w:tc>
      </w:tr>
    </w:tbl>
    <w:p>
      <w:pPr>
        <w:pStyle w:val="BodyText"/>
      </w:pPr>
      <w:r>
        <w:rPr>
          <w:rFonts w:hint="eastAsia"/>
        </w:rPr>
        <w:t xml:space="preserve">表8.2</w:t>
      </w:r>
      <w:r>
        <w:t xml:space="preserve"> </w:t>
      </w:r>
      <w:r>
        <w:rPr>
          <w:rFonts w:hint="eastAsia"/>
        </w:rPr>
        <w:t xml:space="preserve">水準係数付き価格過程の年度別水準係数と再現性（単一曲線仕様、TB4h・p95は円/kWh、PF価値は円/kW-年。FY2026は4〜6月の3か月分。形状はFY2023〜25で推定し、FY2022・FY2026は水準1パラメータのみのout-of-sample）</w:t>
      </w:r>
    </w:p>
    <w:bookmarkEnd w:id="108"/>
    <w:bookmarkStart w:id="112" w:name="構造イベントの部分均衡効果"/>
    <w:p>
      <w:pPr>
        <w:pStyle w:val="Heading2"/>
      </w:pPr>
      <w:r>
        <w:t xml:space="preserve">8.2 </w:t>
      </w:r>
      <w:r>
        <w:rPr>
          <w:rFonts w:hint="eastAsia"/>
        </w:rPr>
        <w:t xml:space="preserve">構造イベントの部分均衡効果</w:t>
      </w:r>
    </w:p>
    <w:p>
      <w:pPr>
        <w:pStyle w:val="FirstParagraph"/>
      </w:pPr>
      <w:r>
        <w:rPr>
          <w:rFonts w:hint="eastAsia"/>
        </w:rPr>
        <w:t xml:space="preserve">FY2023〜25の気象・需要パス上で、価格過程に構造イベントを加えた結果を表8.3に示す（分断混合仕様、共通乱数）。風力導入量+50万kW（現行121万kWの+41%）はPF価値を+60〜240円/kW-年（年度平均+138円）とわずかに増やす。泊3号機の再稼働（91.2万kW×稼働率90%）は床時間を5〜7倍に増やし、PF価値を+1,184円/kW-年増やす——夜間の余剰が床に張り付き充電コストがほぼゼロになる効果が、ピーク価格の低下（p95</w:t>
      </w:r>
      <w:r>
        <w:t xml:space="preserve"> </w:t>
      </w:r>
      <w:r>
        <w:rPr>
          <w:rFonts w:hint="eastAsia"/>
        </w:rPr>
        <w:t xml:space="preserve">17.9→13.4円）を上回る。データセンター等のフラット需要+80万kWはPF価値を−797円/kW-年減らす。泊とフラット需要の両方を加えると−11円/kW-年で、ほぼ完全に相殺する。同規模・同時期・逆方向の2つの構造イベントの正味の符号は、泊の稼働率とデータセンター需要の実現率の綱引きで決ま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シナリオ</w:t>
            </w:r>
          </w:p>
        </w:tc>
        <w:tc>
          <w:tcPr/>
          <w:p>
            <w:pPr>
              <w:pStyle w:val="Compact"/>
            </w:pPr>
            <w:r>
              <w:rPr>
                <w:rFonts w:hint="eastAsia"/>
              </w:rPr>
              <w:t xml:space="preserve">床時間（h/年）</w:t>
            </w:r>
          </w:p>
        </w:tc>
        <w:tc>
          <w:tcPr/>
          <w:p>
            <w:pPr>
              <w:pStyle w:val="Compact"/>
            </w:pPr>
            <w:r>
              <w:rPr>
                <w:rFonts w:hint="eastAsia"/>
              </w:rPr>
              <w:t xml:space="preserve">TB4h中央値</w:t>
            </w:r>
          </w:p>
        </w:tc>
        <w:tc>
          <w:tcPr/>
          <w:p>
            <w:pPr>
              <w:pStyle w:val="Compact"/>
            </w:pPr>
            <w:r>
              <w:t xml:space="preserve">p95</w:t>
            </w:r>
          </w:p>
        </w:tc>
        <w:tc>
          <w:tcPr/>
          <w:p>
            <w:pPr>
              <w:pStyle w:val="Compact"/>
            </w:pPr>
            <w:r>
              <w:rPr>
                <w:rFonts w:hint="eastAsia"/>
              </w:rPr>
              <w:t xml:space="preserve">PF価値</w:t>
            </w:r>
          </w:p>
        </w:tc>
        <w:tc>
          <w:tcPr/>
          <w:p>
            <w:pPr>
              <w:pStyle w:val="Compact"/>
            </w:pPr>
            <w:r>
              <w:t xml:space="preserve">ΔPF</w:t>
            </w:r>
          </w:p>
        </w:tc>
      </w:tr>
      <w:tr>
        <w:tc>
          <w:tcPr/>
          <w:p>
            <w:pPr>
              <w:pStyle w:val="Compact"/>
            </w:pPr>
            <w:r>
              <w:rPr>
                <w:rFonts w:hint="eastAsia"/>
              </w:rPr>
              <w:t xml:space="preserve">ベース（分断混合仕様の再現）</w:t>
            </w:r>
          </w:p>
        </w:tc>
        <w:tc>
          <w:tcPr/>
          <w:p>
            <w:pPr>
              <w:pStyle w:val="Compact"/>
            </w:pPr>
            <w:r>
              <w:t xml:space="preserve">88〜159</w:t>
            </w:r>
          </w:p>
        </w:tc>
        <w:tc>
          <w:tcPr/>
          <w:p>
            <w:pPr>
              <w:pStyle w:val="Compact"/>
            </w:pPr>
            <w:r>
              <w:t xml:space="preserve">8.0〜8.3</w:t>
            </w:r>
          </w:p>
        </w:tc>
        <w:tc>
          <w:tcPr/>
          <w:p>
            <w:pPr>
              <w:pStyle w:val="Compact"/>
            </w:pPr>
            <w:r>
              <w:t xml:space="preserve">17.7〜18.0</w:t>
            </w:r>
          </w:p>
        </w:tc>
        <w:tc>
          <w:tcPr/>
          <w:p>
            <w:pPr>
              <w:pStyle w:val="Compact"/>
            </w:pPr>
            <w:r>
              <w:t xml:space="preserve">8,379〜8,721</w:t>
            </w:r>
          </w:p>
        </w:tc>
        <w:tc>
          <w:tcPr/>
          <w:p>
            <w:pPr>
              <w:pStyle w:val="Compact"/>
            </w:pPr>
            <w:r>
              <w:t xml:space="preserve">—</w:t>
            </w:r>
          </w:p>
        </w:tc>
      </w:tr>
      <w:tr>
        <w:tc>
          <w:tcPr/>
          <w:p>
            <w:pPr>
              <w:pStyle w:val="Compact"/>
            </w:pPr>
            <w:r>
              <w:rPr>
                <w:rFonts w:hint="eastAsia"/>
              </w:rPr>
              <w:t xml:space="preserve">①風力+50万kW</w:t>
            </w:r>
          </w:p>
        </w:tc>
        <w:tc>
          <w:tcPr/>
          <w:p>
            <w:pPr>
              <w:pStyle w:val="Compact"/>
            </w:pPr>
            <w:r>
              <w:t xml:space="preserve">149〜218</w:t>
            </w:r>
          </w:p>
        </w:tc>
        <w:tc>
          <w:tcPr/>
          <w:p>
            <w:pPr>
              <w:pStyle w:val="Compact"/>
            </w:pPr>
            <w:r>
              <w:t xml:space="preserve">7.9〜8.1</w:t>
            </w:r>
          </w:p>
        </w:tc>
        <w:tc>
          <w:tcPr/>
          <w:p>
            <w:pPr>
              <w:pStyle w:val="Compact"/>
            </w:pPr>
            <w:r>
              <w:t xml:space="preserve">17.0〜17.3</w:t>
            </w:r>
          </w:p>
        </w:tc>
        <w:tc>
          <w:tcPr/>
          <w:p>
            <w:pPr>
              <w:pStyle w:val="Compact"/>
            </w:pPr>
            <w:r>
              <w:t xml:space="preserve">8,614〜8,840</w:t>
            </w:r>
          </w:p>
        </w:tc>
        <w:tc>
          <w:tcPr/>
          <w:p>
            <w:pPr>
              <w:pStyle w:val="Compact"/>
            </w:pPr>
            <w:r>
              <w:t xml:space="preserve">+60〜+235</w:t>
            </w:r>
          </w:p>
        </w:tc>
      </w:tr>
      <w:tr>
        <w:tc>
          <w:tcPr/>
          <w:p>
            <w:pPr>
              <w:pStyle w:val="Compact"/>
            </w:pPr>
            <w:r>
              <w:rPr>
                <w:rFonts w:hint="eastAsia"/>
              </w:rPr>
              <w:t xml:space="preserve">②泊3号再稼働（91.2万kW×90%）</w:t>
            </w:r>
          </w:p>
        </w:tc>
        <w:tc>
          <w:tcPr/>
          <w:p>
            <w:pPr>
              <w:pStyle w:val="Compact"/>
            </w:pPr>
            <w:r>
              <w:t xml:space="preserve">645〜779</w:t>
            </w:r>
          </w:p>
        </w:tc>
        <w:tc>
          <w:tcPr/>
          <w:p>
            <w:pPr>
              <w:pStyle w:val="Compact"/>
            </w:pPr>
            <w:r>
              <w:t xml:space="preserve">8.2〜9.0</w:t>
            </w:r>
          </w:p>
        </w:tc>
        <w:tc>
          <w:tcPr/>
          <w:p>
            <w:pPr>
              <w:pStyle w:val="Compact"/>
            </w:pPr>
            <w:r>
              <w:t xml:space="preserve">13.4〜13.8</w:t>
            </w:r>
          </w:p>
        </w:tc>
        <w:tc>
          <w:tcPr/>
          <w:p>
            <w:pPr>
              <w:pStyle w:val="Compact"/>
            </w:pPr>
            <w:r>
              <w:t xml:space="preserve">9,594〜10,106</w:t>
            </w:r>
          </w:p>
        </w:tc>
        <w:tc>
          <w:tcPr/>
          <w:p>
            <w:pPr>
              <w:pStyle w:val="Compact"/>
            </w:pPr>
            <w:r>
              <w:t xml:space="preserve">+953〜+1,385</w:t>
            </w:r>
          </w:p>
        </w:tc>
      </w:tr>
      <w:tr>
        <w:tc>
          <w:tcPr/>
          <w:p>
            <w:pPr>
              <w:pStyle w:val="Compact"/>
            </w:pPr>
            <w:r>
              <w:rPr>
                <w:rFonts w:hint="eastAsia"/>
              </w:rPr>
              <w:t xml:space="preserve">③①＋②</w:t>
            </w:r>
          </w:p>
        </w:tc>
        <w:tc>
          <w:tcPr/>
          <w:p>
            <w:pPr>
              <w:pStyle w:val="Compact"/>
            </w:pPr>
            <w:r>
              <w:t xml:space="preserve">862〜1,005</w:t>
            </w:r>
          </w:p>
        </w:tc>
        <w:tc>
          <w:tcPr/>
          <w:p>
            <w:pPr>
              <w:pStyle w:val="Compact"/>
            </w:pPr>
            <w:r>
              <w:t xml:space="preserve">8.9〜9.5</w:t>
            </w:r>
          </w:p>
        </w:tc>
        <w:tc>
          <w:tcPr/>
          <w:p>
            <w:pPr>
              <w:pStyle w:val="Compact"/>
            </w:pPr>
            <w:r>
              <w:t xml:space="preserve">13.0〜13.4</w:t>
            </w:r>
          </w:p>
        </w:tc>
        <w:tc>
          <w:tcPr/>
          <w:p>
            <w:pPr>
              <w:pStyle w:val="Compact"/>
            </w:pPr>
            <w:r>
              <w:t xml:space="preserve">10,050〜10,606</w:t>
            </w:r>
          </w:p>
        </w:tc>
        <w:tc>
          <w:tcPr/>
          <w:p>
            <w:pPr>
              <w:pStyle w:val="Compact"/>
            </w:pPr>
            <w:r>
              <w:t xml:space="preserve">+1,518〜+1,885</w:t>
            </w:r>
          </w:p>
        </w:tc>
      </w:tr>
      <w:tr>
        <w:tc>
          <w:tcPr/>
          <w:p>
            <w:pPr>
              <w:pStyle w:val="Compact"/>
            </w:pPr>
            <w:r>
              <w:rPr>
                <w:rFonts w:hint="eastAsia"/>
              </w:rPr>
              <w:t xml:space="preserve">④DC需要+80万kW（フラット）</w:t>
            </w:r>
          </w:p>
        </w:tc>
        <w:tc>
          <w:tcPr/>
          <w:p>
            <w:pPr>
              <w:pStyle w:val="Compact"/>
            </w:pPr>
            <w:r>
              <w:t xml:space="preserve">9〜47</w:t>
            </w:r>
          </w:p>
        </w:tc>
        <w:tc>
          <w:tcPr/>
          <w:p>
            <w:pPr>
              <w:pStyle w:val="Compact"/>
            </w:pPr>
            <w:r>
              <w:t xml:space="preserve">7.9〜8.3</w:t>
            </w:r>
          </w:p>
        </w:tc>
        <w:tc>
          <w:tcPr/>
          <w:p>
            <w:pPr>
              <w:pStyle w:val="Compact"/>
            </w:pPr>
            <w:r>
              <w:t xml:space="preserve">19.8</w:t>
            </w:r>
          </w:p>
        </w:tc>
        <w:tc>
          <w:tcPr/>
          <w:p>
            <w:pPr>
              <w:pStyle w:val="Compact"/>
            </w:pPr>
            <w:r>
              <w:t xml:space="preserve">7,674〜7,866</w:t>
            </w:r>
          </w:p>
        </w:tc>
        <w:tc>
          <w:tcPr/>
          <w:p>
            <w:pPr>
              <w:pStyle w:val="Compact"/>
            </w:pPr>
            <w:r>
              <w:t xml:space="preserve">−1,005〜−513</w:t>
            </w:r>
          </w:p>
        </w:tc>
      </w:tr>
      <w:tr>
        <w:tc>
          <w:tcPr/>
          <w:p>
            <w:pPr>
              <w:pStyle w:val="Compact"/>
            </w:pPr>
            <w:r>
              <w:rPr>
                <w:rFonts w:hint="eastAsia"/>
              </w:rPr>
              <w:t xml:space="preserve">⑤②＋④</w:t>
            </w:r>
          </w:p>
        </w:tc>
        <w:tc>
          <w:tcPr/>
          <w:p>
            <w:pPr>
              <w:pStyle w:val="Compact"/>
            </w:pPr>
            <w:r>
              <w:t xml:space="preserve">88〜165</w:t>
            </w:r>
          </w:p>
        </w:tc>
        <w:tc>
          <w:tcPr/>
          <w:p>
            <w:pPr>
              <w:pStyle w:val="Compact"/>
            </w:pPr>
            <w:r>
              <w:t xml:space="preserve">8.0〜8.2</w:t>
            </w:r>
          </w:p>
        </w:tc>
        <w:tc>
          <w:tcPr/>
          <w:p>
            <w:pPr>
              <w:pStyle w:val="Compact"/>
            </w:pPr>
            <w:r>
              <w:t xml:space="preserve">17.6〜17.9</w:t>
            </w:r>
          </w:p>
        </w:tc>
        <w:tc>
          <w:tcPr/>
          <w:p>
            <w:pPr>
              <w:pStyle w:val="Compact"/>
            </w:pPr>
            <w:r>
              <w:t xml:space="preserve">8,343〜8,715</w:t>
            </w:r>
          </w:p>
        </w:tc>
        <w:tc>
          <w:tcPr/>
          <w:p>
            <w:pPr>
              <w:pStyle w:val="Compact"/>
            </w:pPr>
            <w:r>
              <w:t xml:space="preserve">−36〜+8</w:t>
            </w:r>
          </w:p>
        </w:tc>
      </w:tr>
    </w:tbl>
    <w:p>
      <w:pPr>
        <w:pStyle w:val="BodyText"/>
      </w:pPr>
      <w:r>
        <w:rPr>
          <w:rFonts w:hint="eastAsia"/>
        </w:rPr>
        <w:t xml:space="preserve">表8.3</w:t>
      </w:r>
      <w:r>
        <w:t xml:space="preserve"> </w:t>
      </w:r>
      <w:r>
        <w:rPr>
          <w:rFonts w:hint="eastAsia"/>
        </w:rPr>
        <w:t xml:space="preserve">構造イベントの部分均衡効果（分断混合仕様・共通乱数、FY2023〜25パス、年度レンジ。TB4h・p95は円/kWh、PF価値・ΔPFは円/kW-年）</w:t>
      </w:r>
    </w:p>
    <w:p>
      <w:pPr>
        <w:pStyle w:val="BodyText"/>
      </w:pPr>
      <w:r>
        <w:rPr>
          <w:rFonts w:hint="eastAsia"/>
        </w:rPr>
        <w:t xml:space="preserve">風力導入量を0.5倍から3倍まで振ったスイープ（図8.1）では、PF価値は8,528円から10,554円/kW-年（泊なし）、9,271円から12,615円（泊あり）へ単調に増加し、床時間は117時間から807時間（泊ありでは2,247時間）へ立ち上がる。風力は水準を下げるだけだが、0.01円の床に当たると安い側だけが切り取られ（打ち切り）、夕方スパイクは無傷のため、スプレッドが拡大する。第7章の「風力の多い日は価値がやや下がる」という実測と矛盾しない——あれは床に届く前の姿であり、導入量が増えて床に届くと符号が反転する。ただし風力をいくら増やしても価値は減少に転じない。転換点を作るのは風力ではなく、蓄電池自身の競合である。</w:t>
      </w:r>
    </w:p>
    <w:p>
      <w:pPr>
        <w:pStyle w:val="CaptionedFigure"/>
      </w:pPr>
      <w:r>
        <w:drawing>
          <wp:inline>
            <wp:extent cx="5334000" cy="2265817"/>
            <wp:effectExtent b="0" l="0" r="0" t="0"/>
            <wp:docPr descr="図8.1 風力導入量スイープ" title="" id="110" name="Picture"/>
            <a:graphic>
              <a:graphicData uri="http://schemas.openxmlformats.org/drawingml/2006/picture">
                <pic:pic>
                  <pic:nvPicPr>
                    <pic:cNvPr descr="/home/user/work/thesis/figures/hokkaido/kwind_sweep.png" id="111" name="Picture"/>
                    <pic:cNvPicPr>
                      <a:picLocks noChangeArrowheads="1" noChangeAspect="1"/>
                    </pic:cNvPicPr>
                  </pic:nvPicPr>
                  <pic:blipFill>
                    <a:blip r:embed="rId109"/>
                    <a:stretch>
                      <a:fillRect/>
                    </a:stretch>
                  </pic:blipFill>
                  <pic:spPr bwMode="auto">
                    <a:xfrm>
                      <a:off x="0" y="0"/>
                      <a:ext cx="5334000" cy="2265817"/>
                    </a:xfrm>
                    <a:prstGeom prst="rect">
                      <a:avLst/>
                    </a:prstGeom>
                    <a:noFill/>
                    <a:ln w="9525">
                      <a:noFill/>
                      <a:headEnd/>
                      <a:tailEnd/>
                    </a:ln>
                  </pic:spPr>
                </pic:pic>
              </a:graphicData>
            </a:graphic>
          </wp:inline>
        </w:drawing>
      </w:r>
    </w:p>
    <w:p>
      <w:pPr>
        <w:pStyle w:val="ImageCaption"/>
      </w:pPr>
      <w:r>
        <w:rPr>
          <w:rFonts w:hint="eastAsia"/>
        </w:rPr>
        <w:t xml:space="preserve">図8.1</w:t>
      </w:r>
      <w:r>
        <w:t xml:space="preserve"> </w:t>
      </w:r>
      <w:r>
        <w:rPr>
          <w:rFonts w:hint="eastAsia"/>
        </w:rPr>
        <w:t xml:space="preserve">風力導入量スイープ</w:t>
      </w:r>
    </w:p>
    <w:bookmarkEnd w:id="112"/>
    <w:bookmarkStart w:id="116" w:name="πk曲線カニバリゼーションの速度"/>
    <w:p>
      <w:pPr>
        <w:pStyle w:val="Heading2"/>
      </w:pPr>
      <w:r>
        <w:t xml:space="preserve">8.3 </w:t>
      </w:r>
      <w:r>
        <w:rPr>
          <w:rFonts w:hint="eastAsia"/>
        </w:rPr>
        <w:t xml:space="preserve">π(K)曲線：カニバリゼーションの速度</w:t>
      </w:r>
    </w:p>
    <w:p>
      <w:pPr>
        <w:pStyle w:val="FirstParagraph"/>
      </w:pPr>
      <w:r>
        <w:rPr>
          <w:rFonts w:hint="eastAsia"/>
        </w:rPr>
        <w:t xml:space="preserve">蓄電池フリートを内生化した限界参入者の実現可能収益</w:t>
      </w:r>
      <w:r>
        <w:t xml:space="preserve"> </w:t>
      </w:r>
      <m:oMath>
        <m:r>
          <m:t>π</m:t>
        </m:r>
        <m:r>
          <m:t>(</m:t>
        </m:r>
        <m:r>
          <m:t>K</m:t>
        </m:r>
        <m:r>
          <m:t>)</m:t>
        </m:r>
      </m:oMath>
      <w:r>
        <w:t xml:space="preserve"> </w:t>
      </w:r>
      <w:r>
        <w:rPr>
          <w:rFonts w:hint="eastAsia"/>
        </w:rPr>
        <w:t xml:space="preserve">を表8.4と図8.2に示す（仕様A・増分貪欲ディスパッチ・capture率0.81・充電従量負担1.2円/kWh控除、FY2023〜25パス平均）。</w:t>
      </w:r>
    </w:p>
    <w:p>
      <w:pPr>
        <w:pStyle w:val="CaptionedFigure"/>
      </w:pPr>
      <w:r>
        <w:drawing>
          <wp:inline>
            <wp:extent cx="5334000" cy="2969918"/>
            <wp:effectExtent b="0" l="0" r="0" t="0"/>
            <wp:docPr descr="図8.2 π(K)曲線と参入条件（基本仕様）" title="" id="114" name="Picture"/>
            <a:graphic>
              <a:graphicData uri="http://schemas.openxmlformats.org/drawingml/2006/picture">
                <pic:pic>
                  <pic:nvPicPr>
                    <pic:cNvPr descr="/home/user/work/thesis/figures/hokkaido/pi_k_curve.png" id="115" name="Picture"/>
                    <pic:cNvPicPr>
                      <a:picLocks noChangeArrowheads="1" noChangeAspect="1"/>
                    </pic:cNvPicPr>
                  </pic:nvPicPr>
                  <pic:blipFill>
                    <a:blip r:embed="rId113"/>
                    <a:stretch>
                      <a:fillRect/>
                    </a:stretch>
                  </pic:blipFill>
                  <pic:spPr bwMode="auto">
                    <a:xfrm>
                      <a:off x="0" y="0"/>
                      <a:ext cx="5334000" cy="2969918"/>
                    </a:xfrm>
                    <a:prstGeom prst="rect">
                      <a:avLst/>
                    </a:prstGeom>
                    <a:noFill/>
                    <a:ln w="9525">
                      <a:noFill/>
                      <a:headEnd/>
                      <a:tailEnd/>
                    </a:ln>
                  </pic:spPr>
                </pic:pic>
              </a:graphicData>
            </a:graphic>
          </wp:inline>
        </w:drawing>
      </w:r>
    </w:p>
    <w:p>
      <w:pPr>
        <w:pStyle w:val="ImageCaption"/>
      </w:pPr>
      <w:r>
        <w:rPr>
          <w:rFonts w:hint="eastAsia"/>
        </w:rPr>
        <w:t xml:space="preserve">図8.2</w:t>
      </w:r>
      <w:r>
        <w:t xml:space="preserve"> </w:t>
      </w:r>
      <w:r>
        <w:rPr>
          <w:rFonts w:hint="eastAsia"/>
        </w:rPr>
        <w:t xml:space="preserve">π(K)曲線と参入条件（基本仕様）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K（万kW、4h）</w:t>
            </w:r>
          </w:p>
        </w:tc>
        <w:tc>
          <w:tcPr/>
          <w:p>
            <w:pPr>
              <w:pStyle w:val="Compact"/>
            </w:pPr>
            <w:r>
              <w:rPr>
                <w:rFonts w:hint="eastAsia"/>
              </w:rPr>
              <w:t xml:space="preserve">現状</w:t>
            </w:r>
          </w:p>
        </w:tc>
        <w:tc>
          <w:tcPr/>
          <w:p>
            <w:pPr>
              <w:pStyle w:val="Compact"/>
            </w:pPr>
            <w:r>
              <w:rPr>
                <w:rFonts w:hint="eastAsia"/>
              </w:rPr>
              <w:t xml:space="preserve">泊3号再稼働</w:t>
            </w:r>
          </w:p>
        </w:tc>
        <w:tc>
          <w:tcPr/>
          <w:p>
            <w:pPr>
              <w:pStyle w:val="Compact"/>
            </w:pPr>
            <w:r>
              <w:rPr>
                <w:rFonts w:hint="eastAsia"/>
              </w:rPr>
              <w:t xml:space="preserve">泊＋風力2倍</w:t>
            </w:r>
          </w:p>
        </w:tc>
      </w:tr>
      <w:tr>
        <w:tc>
          <w:tcPr/>
          <w:p>
            <w:pPr>
              <w:pStyle w:val="Compact"/>
            </w:pPr>
            <w:r>
              <w:t xml:space="preserve">0</w:t>
            </w:r>
          </w:p>
        </w:tc>
        <w:tc>
          <w:tcPr/>
          <w:p>
            <w:pPr>
              <w:pStyle w:val="Compact"/>
            </w:pPr>
            <w:r>
              <w:t xml:space="preserve">4,944</w:t>
            </w:r>
          </w:p>
        </w:tc>
        <w:tc>
          <w:tcPr/>
          <w:p>
            <w:pPr>
              <w:pStyle w:val="Compact"/>
            </w:pPr>
            <w:r>
              <w:t xml:space="preserve">5,480</w:t>
            </w:r>
          </w:p>
        </w:tc>
        <w:tc>
          <w:tcPr/>
          <w:p>
            <w:pPr>
              <w:pStyle w:val="Compact"/>
            </w:pPr>
            <w:r>
              <w:t xml:space="preserve">5,847</w:t>
            </w:r>
          </w:p>
        </w:tc>
      </w:tr>
      <w:tr>
        <w:tc>
          <w:tcPr/>
          <w:p>
            <w:pPr>
              <w:pStyle w:val="Compact"/>
            </w:pPr>
            <w:r>
              <w:t xml:space="preserve">10</w:t>
            </w:r>
          </w:p>
        </w:tc>
        <w:tc>
          <w:tcPr/>
          <w:p>
            <w:pPr>
              <w:pStyle w:val="Compact"/>
            </w:pPr>
            <w:r>
              <w:t xml:space="preserve">4,041</w:t>
            </w:r>
          </w:p>
        </w:tc>
        <w:tc>
          <w:tcPr/>
          <w:p>
            <w:pPr>
              <w:pStyle w:val="Compact"/>
            </w:pPr>
            <w:r>
              <w:t xml:space="preserve">4,589</w:t>
            </w:r>
          </w:p>
        </w:tc>
        <w:tc>
          <w:tcPr/>
          <w:p>
            <w:pPr>
              <w:pStyle w:val="Compact"/>
            </w:pPr>
            <w:r>
              <w:t xml:space="preserve">5,000</w:t>
            </w:r>
          </w:p>
        </w:tc>
      </w:tr>
      <w:tr>
        <w:tc>
          <w:tcPr/>
          <w:p>
            <w:pPr>
              <w:pStyle w:val="Compact"/>
            </w:pPr>
            <w:r>
              <w:t xml:space="preserve">25</w:t>
            </w:r>
          </w:p>
        </w:tc>
        <w:tc>
          <w:tcPr/>
          <w:p>
            <w:pPr>
              <w:pStyle w:val="Compact"/>
            </w:pPr>
            <w:r>
              <w:t xml:space="preserve">2,437</w:t>
            </w:r>
          </w:p>
        </w:tc>
        <w:tc>
          <w:tcPr/>
          <w:p>
            <w:pPr>
              <w:pStyle w:val="Compact"/>
            </w:pPr>
            <w:r>
              <w:t xml:space="preserve">3,047</w:t>
            </w:r>
          </w:p>
        </w:tc>
        <w:tc>
          <w:tcPr/>
          <w:p>
            <w:pPr>
              <w:pStyle w:val="Compact"/>
            </w:pPr>
            <w:r>
              <w:t xml:space="preserve">3,587</w:t>
            </w:r>
          </w:p>
        </w:tc>
      </w:tr>
      <w:tr>
        <w:tc>
          <w:tcPr/>
          <w:p>
            <w:pPr>
              <w:pStyle w:val="Compact"/>
            </w:pPr>
            <w:r>
              <w:t xml:space="preserve">50</w:t>
            </w:r>
          </w:p>
        </w:tc>
        <w:tc>
          <w:tcPr/>
          <w:p>
            <w:pPr>
              <w:pStyle w:val="Compact"/>
            </w:pPr>
            <w:r>
              <w:t xml:space="preserve">1,075</w:t>
            </w:r>
          </w:p>
        </w:tc>
        <w:tc>
          <w:tcPr/>
          <w:p>
            <w:pPr>
              <w:pStyle w:val="Compact"/>
            </w:pPr>
            <w:r>
              <w:t xml:space="preserve">1,801</w:t>
            </w:r>
          </w:p>
        </w:tc>
        <w:tc>
          <w:tcPr/>
          <w:p>
            <w:pPr>
              <w:pStyle w:val="Compact"/>
            </w:pPr>
            <w:r>
              <w:t xml:space="preserve">2,358</w:t>
            </w:r>
          </w:p>
        </w:tc>
      </w:tr>
      <w:tr>
        <w:tc>
          <w:tcPr/>
          <w:p>
            <w:pPr>
              <w:pStyle w:val="Compact"/>
            </w:pPr>
            <w:r>
              <w:t xml:space="preserve">100</w:t>
            </w:r>
          </w:p>
        </w:tc>
        <w:tc>
          <w:tcPr/>
          <w:p>
            <w:pPr>
              <w:pStyle w:val="Compact"/>
            </w:pPr>
            <w:r>
              <w:t xml:space="preserve">−953</w:t>
            </w:r>
          </w:p>
        </w:tc>
        <w:tc>
          <w:tcPr/>
          <w:p>
            <w:pPr>
              <w:pStyle w:val="Compact"/>
            </w:pPr>
            <w:r>
              <w:t xml:space="preserve">−339</w:t>
            </w:r>
          </w:p>
        </w:tc>
        <w:tc>
          <w:tcPr/>
          <w:p>
            <w:pPr>
              <w:pStyle w:val="Compact"/>
            </w:pPr>
            <w:r>
              <w:t xml:space="preserve">231</w:t>
            </w:r>
          </w:p>
        </w:tc>
      </w:tr>
      <w:tr>
        <w:tc>
          <w:tcPr/>
          <w:p>
            <w:pPr>
              <w:pStyle w:val="Compact"/>
            </w:pPr>
            <w:r>
              <w:t xml:space="preserve">150</w:t>
            </w:r>
          </w:p>
        </w:tc>
        <w:tc>
          <w:tcPr/>
          <w:p>
            <w:pPr>
              <w:pStyle w:val="Compact"/>
            </w:pPr>
            <w:r>
              <w:t xml:space="preserve">−1,596</w:t>
            </w:r>
          </w:p>
        </w:tc>
        <w:tc>
          <w:tcPr/>
          <w:p>
            <w:pPr>
              <w:pStyle w:val="Compact"/>
            </w:pPr>
            <w:r>
              <w:t xml:space="preserve">−1,265</w:t>
            </w:r>
          </w:p>
        </w:tc>
        <w:tc>
          <w:tcPr/>
          <w:p>
            <w:pPr>
              <w:pStyle w:val="Compact"/>
            </w:pPr>
            <w:r>
              <w:t xml:space="preserve">−705</w:t>
            </w:r>
          </w:p>
        </w:tc>
      </w:tr>
      <w:tr>
        <w:tc>
          <w:tcPr/>
          <w:p>
            <w:pPr>
              <w:pStyle w:val="Compact"/>
            </w:pPr>
            <w:r>
              <w:t xml:space="preserve">200〜300</w:t>
            </w:r>
          </w:p>
        </w:tc>
        <w:tc>
          <w:tcPr/>
          <w:p>
            <w:pPr>
              <w:pStyle w:val="Compact"/>
            </w:pPr>
            <w:r>
              <w:t xml:space="preserve">≈−1,700</w:t>
            </w:r>
          </w:p>
        </w:tc>
        <w:tc>
          <w:tcPr/>
          <w:p>
            <w:pPr>
              <w:pStyle w:val="Compact"/>
            </w:pPr>
            <w:r>
              <w:t xml:space="preserve">≈−1,500</w:t>
            </w:r>
          </w:p>
        </w:tc>
        <w:tc>
          <w:tcPr/>
          <w:p>
            <w:pPr>
              <w:pStyle w:val="Compact"/>
            </w:pPr>
            <w:r>
              <w:t xml:space="preserve">≈−1,100</w:t>
            </w:r>
          </w:p>
        </w:tc>
      </w:tr>
    </w:tbl>
    <w:p>
      <w:pPr>
        <w:pStyle w:val="BodyText"/>
      </w:pPr>
      <w:r>
        <w:rPr>
          <w:rFonts w:hint="eastAsia"/>
        </w:rPr>
        <w:t xml:space="preserve">表8.4</w:t>
      </w:r>
      <w:r>
        <w:t xml:space="preserve"> </w:t>
      </w:r>
      <w:r>
        <w:rPr>
          <w:rFonts w:hint="eastAsia"/>
        </w:rPr>
        <w:t xml:space="preserve">限界参入者の実現可能スポット収益</w:t>
      </w:r>
      <w:r>
        <w:t xml:space="preserve"> </w:t>
      </w:r>
      <w:r>
        <w:rPr>
          <w:rFonts w:hint="eastAsia"/>
        </w:rPr>
        <w:t xml:space="preserve">π(K)（円/kW-年）</w:t>
      </w:r>
    </w:p>
    <w:p>
      <w:pPr>
        <w:pStyle w:val="BodyText"/>
      </w:pPr>
      <w:r>
        <w:rPr>
          <w:rFonts w:hint="eastAsia"/>
        </w:rPr>
        <w:t xml:space="preserve">カニバリゼーションは速い。フリート容量50万kWで</w:t>
      </w:r>
      <w:r>
        <w:t xml:space="preserve"> </w:t>
      </w:r>
      <m:oMath>
        <m:r>
          <m:t>π</m:t>
        </m:r>
      </m:oMath>
      <w:r>
        <w:t xml:space="preserve"> </w:t>
      </w:r>
      <w:r>
        <w:rPr>
          <w:rFonts w:hint="eastAsia"/>
        </w:rPr>
        <w:t xml:space="preserve">は半減以下となり、約100万kWでスポット原資はほぼ枯渇する。泊の再稼働や風力の倍増は曲線を上方にシフトさせるが、飽和点は100〜120万kW程度しか動かない。この速度感はERCOTで観察された「2年で6分の1」と整合的である。貯蔵の自己共食いは</w:t>
      </w:r>
      <w:r>
        <w:t xml:space="preserve"> Sioshansi et al. (2009) </w:t>
      </w:r>
      <w:r>
        <w:rPr>
          <w:rFonts w:hint="eastAsia"/>
        </w:rPr>
        <w:t xml:space="preserve">が1GWの貯蔵で裁定価値が2割超減ることを示して以来の論点であり、Lamont</w:t>
      </w:r>
      <w:r>
        <w:t xml:space="preserve"> (2013) </w:t>
      </w:r>
      <w:r>
        <w:rPr>
          <w:rFonts w:hint="eastAsia"/>
        </w:rPr>
        <w:t xml:space="preserve">の限界価値曲線、Lamp</w:t>
      </w:r>
      <w:r>
        <w:t xml:space="preserve"> and Samano (2022) </w:t>
      </w:r>
      <w:r>
        <w:rPr>
          <w:rFonts w:hint="eastAsia"/>
        </w:rPr>
        <w:t xml:space="preserve">のスプレッド圧縮の実証、Karaduman</w:t>
      </w:r>
      <w:r>
        <w:t xml:space="preserve"> (2023) </w:t>
      </w:r>
      <w:r>
        <w:rPr>
          <w:rFonts w:hint="eastAsia"/>
        </w:rPr>
        <w:t xml:space="preserve">の価格インパクト（無視すると収益性2倍過大）と整合する。なお、1パスで充放電窓を固定する近似では、大容量で</w:t>
      </w:r>
      <w:r>
        <w:t xml:space="preserve"> </w:t>
      </w:r>
      <w:r>
        <w:rPr>
          <w:rFonts w:hint="eastAsia"/>
        </w:rPr>
        <w:t xml:space="preserve">フリートが安値時間を高値に反転させ</w:t>
      </w:r>
      <w:r>
        <w:t xml:space="preserve"> </w:t>
      </w:r>
      <m:oMath>
        <m:r>
          <m:t>π</m:t>
        </m:r>
        <m:r>
          <m:t>(</m:t>
        </m:r>
        <m:r>
          <m:t>K</m:t>
        </m:r>
        <m:r>
          <m:t>)</m:t>
        </m:r>
      </m:oMath>
      <w:r>
        <w:t xml:space="preserve"> </w:t>
      </w:r>
      <w:r>
        <w:rPr>
          <w:rFonts w:hint="eastAsia"/>
        </w:rPr>
        <w:t xml:space="preserve">が偽の上昇を示したため、増分化によって単調減衰を確保している。水準係数付き価格過程（</w:t>
      </w:r>
      <m:oMath>
        <m:r>
          <m:t>θ</m:t>
        </m:r>
      </m:oMath>
      <w:r>
        <w:rPr>
          <w:rFonts w:hint="eastAsia"/>
        </w:rPr>
        <w:t xml:space="preserve">=1）で再計算した現状の</w:t>
      </w:r>
      <w:r>
        <w:t xml:space="preserve"> </w:t>
      </w:r>
      <m:oMath>
        <m:r>
          <m:t>π</m:t>
        </m:r>
        <m:r>
          <m:t>(</m:t>
        </m:r>
        <m:r>
          <m:t>K</m:t>
        </m:r>
        <m:r>
          <m:t>)</m:t>
        </m:r>
      </m:oMath>
      <w:r>
        <w:t xml:space="preserve"> </w:t>
      </w:r>
      <w:r>
        <w:rPr>
          <w:rFonts w:hint="eastAsia"/>
        </w:rPr>
        <w:t xml:space="preserve">は表8.4と60円以内で一致する。</w:t>
      </w:r>
    </w:p>
    <w:bookmarkEnd w:id="116"/>
    <w:bookmarkStart w:id="120" w:name="均衡容量の判定マーチャントでは-k-0"/>
    <w:p>
      <w:pPr>
        <w:pStyle w:val="Heading2"/>
      </w:pPr>
      <w:r>
        <w:t xml:space="preserve">8.4 </w:t>
      </w:r>
      <w:r>
        <w:rPr>
          <w:rFonts w:hint="eastAsia"/>
        </w:rPr>
        <w:t xml:space="preserve">均衡容量の判定：マーチャントでは</w:t>
      </w:r>
      <w:r>
        <w:t xml:space="preserve"> K* = 0</w:t>
      </w:r>
    </w:p>
    <w:p>
      <w:pPr>
        <w:pStyle w:val="FirstParagraph"/>
      </w:pPr>
      <w:r>
        <w:rPr>
          <w:rFonts w:hint="eastAsia"/>
        </w:rPr>
        <w:t xml:space="preserve">参入に必要なスポット実現収益は</w:t>
      </w:r>
      <w:r>
        <w:t xml:space="preserve"> </w:t>
      </w:r>
      <m:oMath>
        <m:sSub>
          <m:e>
            <m:r>
              <m:t>c</m:t>
            </m:r>
          </m:e>
          <m:sub>
            <m:r>
              <m:t>r</m:t>
            </m:r>
            <m:r>
              <m:t>e</m:t>
            </m:r>
            <m:r>
              <m:t>q</m:t>
            </m:r>
          </m:sub>
        </m:sSub>
        <m:r>
          <m:t>−</m:t>
        </m:r>
        <m:r>
          <m:t>κ</m:t>
        </m:r>
        <m:sSub>
          <m:e>
            <m:r>
              <m:t>P</m:t>
            </m:r>
          </m:e>
          <m:sub>
            <m:r>
              <m:t>c</m:t>
            </m:r>
            <m:r>
              <m:t>a</m:t>
            </m:r>
            <m:r>
              <m:t>p</m:t>
            </m:r>
          </m:sub>
        </m:sSub>
      </m:oMath>
      <w:r>
        <w:t xml:space="preserve"> </w:t>
      </w:r>
      <w:r>
        <w:rPr>
          <w:rFonts w:hint="eastAsia"/>
        </w:rPr>
        <w:t xml:space="preserve">で、標準ケース（容量市場1.25万・</w:t>
      </w:r>
      <m:oMath>
        <m:sSub>
          <m:e>
            <m:r>
              <m:t>c</m:t>
            </m:r>
          </m:e>
          <m:sub>
            <m:r>
              <m:t>r</m:t>
            </m:r>
            <m:r>
              <m:t>e</m:t>
            </m:r>
            <m:r>
              <m:t>q</m:t>
            </m:r>
          </m:sub>
        </m:sSub>
      </m:oMath>
      <w:r>
        <w:t xml:space="preserve"> </w:t>
      </w:r>
      <w:r>
        <w:rPr>
          <w:rFonts w:hint="eastAsia"/>
        </w:rPr>
        <w:t xml:space="preserve">3.45万円/kW-年）で22,000円、楽観ケース（3.2万）で19,500円、保守ケース（容量0.83万・3.7万）で28,700円/kW-年である。</w:t>
      </w:r>
      <m:oMath>
        <m:r>
          <m:t>π</m:t>
        </m:r>
        <m:r>
          <m:t>(</m:t>
        </m:r>
        <m:r>
          <m:t>0</m:t>
        </m:r>
        <m:r>
          <m:t>)</m:t>
        </m:r>
      </m:oMath>
      <w:r>
        <w:t xml:space="preserve"> </w:t>
      </w:r>
      <w:r>
        <w:rPr>
          <w:rFonts w:hint="eastAsia"/>
        </w:rPr>
        <w:t xml:space="preserve">は4,944〜5,847円にすぎず、いずれのシナリオ・ケースでも参入必要水準に達しない。したがって現行の資本費と価格構造の下では、マーチャントの均衡容量は</w:t>
      </w:r>
      <w:r>
        <w:t xml:space="preserve"> </w:t>
      </w:r>
      <m:oMath>
        <m:sSup>
          <m:e>
            <m:r>
              <m:t>K</m:t>
            </m:r>
          </m:e>
          <m:sup>
            <m:r>
              <m:t>*</m:t>
            </m:r>
          </m:sup>
        </m:sSup>
        <m:r>
          <m:t>=</m:t>
        </m:r>
        <m:r>
          <m:t>0</m:t>
        </m:r>
      </m:oMath>
      <w:r>
        <w:t xml:space="preserve"> </w:t>
      </w:r>
      <w:r>
        <w:t xml:space="preserve">である。Schmalensee (2022) </w:t>
      </w:r>
      <w:r>
        <w:rPr>
          <w:rFonts w:hint="eastAsia"/>
        </w:rPr>
        <w:t xml:space="preserve">が示すように、価格上限が停電価値を下回らなければ競争的貯蔵の均衡はシステム費用最小化と一致するから、この結果は「現行の価格構造の下で追加の蓄電池はシステム費用を下げない」とも読める。ただし本研究の</w:t>
      </w:r>
      <w:r>
        <w:t xml:space="preserve"> </w:t>
      </w:r>
      <m:oMath>
        <m:r>
          <m:t>π</m:t>
        </m:r>
        <m:r>
          <m:t>(</m:t>
        </m:r>
        <m:r>
          <m:t>K</m:t>
        </m:r>
        <m:r>
          <m:t>)</m:t>
        </m:r>
      </m:oMath>
      <w:r>
        <w:t xml:space="preserve"> </w:t>
      </w:r>
      <w:r>
        <w:rPr>
          <w:rFonts w:hint="eastAsia"/>
        </w:rPr>
        <w:t xml:space="preserve">は歴史的価格に基づく部分均衡であり、火力の退出や連系線増強の内生的反応を含まない（11.5）。</w:t>
      </w:r>
    </w:p>
    <w:p>
      <w:pPr>
        <w:pStyle w:val="BodyText"/>
      </w:pPr>
      <w:r>
        <w:rPr>
          <w:rFonts w:hint="eastAsia"/>
        </w:rPr>
        <w:t xml:space="preserve">価格水準に対する感応度を表8.5と図8.4に示す（水準係数付き価格過程、FY2023〜25の気象・需要パス）。FY2026上期の水準（</w:t>
      </w:r>
      <m:oMath>
        <m:r>
          <m:t>θ</m:t>
        </m:r>
      </m:oMath>
      <w:r>
        <w:rPr>
          <w:rFonts w:hint="eastAsia"/>
        </w:rPr>
        <w:t xml:space="preserve">=1.57）では</w:t>
      </w:r>
      <w:r>
        <w:t xml:space="preserve"> </w:t>
      </w:r>
      <m:oMath>
        <m:r>
          <m:t>π</m:t>
        </m:r>
        <m:r>
          <m:t>(</m:t>
        </m:r>
        <m:r>
          <m:t>0</m:t>
        </m:r>
        <m:r>
          <m:t>)</m:t>
        </m:r>
      </m:oMath>
      <w:r>
        <w:t xml:space="preserve"> </w:t>
      </w:r>
      <w:r>
        <w:rPr>
          <w:rFonts w:hint="eastAsia"/>
        </w:rPr>
        <w:t xml:space="preserve">は8,738円、燃料危機のFY2022の水準（1.72）でも9,733円/kW-年で、裾の補正（×1.25）を加えても11,300〜12,600円にとどまり、いずれも楽観ケースの必要水準19,500円に達しない。泊3号機の再稼働を重ねても9,277円（裾の補正12,003円）である。</w:t>
      </w:r>
      <m:oMath>
        <m:r>
          <m:t>π</m:t>
        </m:r>
        <m:r>
          <m:t>(</m:t>
        </m:r>
        <m:r>
          <m:t>K</m:t>
        </m:r>
        <m:r>
          <m:t>)</m:t>
        </m:r>
      </m:oMath>
      <w:r>
        <w:t xml:space="preserve"> </w:t>
      </w:r>
      <w:r>
        <w:t xml:space="preserve">は</w:t>
      </w:r>
      <w:r>
        <w:t xml:space="preserve"> </w:t>
      </w:r>
      <m:oMath>
        <m:r>
          <m:t>θ</m:t>
        </m:r>
      </m:oMath>
      <w:r>
        <w:t xml:space="preserve"> </w:t>
      </w:r>
      <w:r>
        <w:rPr>
          <w:rFonts w:hint="eastAsia"/>
        </w:rPr>
        <w:t xml:space="preserve">にほぼ比例するため、K=0で参入が立つ損益分岐の水準係数</w:t>
      </w:r>
      <w:r>
        <w:t xml:space="preserve"> </w:t>
      </w:r>
      <m:oMath>
        <m:sSup>
          <m:e>
            <m:r>
              <m:t>θ</m:t>
            </m:r>
          </m:e>
          <m:sup>
            <m:r>
              <m:t>*</m:t>
            </m:r>
          </m:sup>
        </m:sSup>
      </m:oMath>
      <w:r>
        <w:t xml:space="preserve"> </w:t>
      </w:r>
      <w:r>
        <w:rPr>
          <w:rFonts w:hint="eastAsia"/>
        </w:rPr>
        <w:t xml:space="preserve">は標準3.55・楽観3.17・保守4.55（裾の補正後2.84・2.55・3.65）と閉じた形で求まる。すなわちFY2023〜25の約3〜4.5倍、FY2026上期の水準のさらに2〜2.9倍（裾の補正後1.6〜2.3倍）の価格水準が必要であり、</w:t>
      </w:r>
      <m:oMath>
        <m:sSup>
          <m:e>
            <m:r>
              <m:t>K</m:t>
            </m:r>
          </m:e>
          <m:sup>
            <m:r>
              <m:t>*</m:t>
            </m:r>
          </m:sup>
        </m:sSup>
        <m:r>
          <m:t>=</m:t>
        </m:r>
        <m:r>
          <m:t>0</m:t>
        </m:r>
      </m:oMath>
      <w:r>
        <w:t xml:space="preserve"> </w:t>
      </w:r>
      <w:r>
        <w:rPr>
          <w:rFonts w:hint="eastAsia"/>
        </w:rPr>
        <w:t xml:space="preserve">の判定は観察された範囲の価格水準の変動では覆らない。例外に近いのはFY2022の実績価格そのもので、連系線増強前の分断構造（p95</w:t>
      </w:r>
      <w:r>
        <w:t xml:space="preserve"> </w:t>
      </w:r>
      <w:r>
        <w:rPr>
          <w:rFonts w:hint="eastAsia"/>
        </w:rPr>
        <w:t xml:space="preserve">42円）を伴う実績PF価値25,160円/kW-年をそのまま用いれば実現可能収益は約18,600円と楽観ケースにほぼ届く。マーチャントの参入は、燃料危機の水準と当時の分断構造が同時に恒常化する場合にのみ開く。</w:t>
      </w:r>
    </w:p>
    <w:p>
      <w:pPr>
        <w:pStyle w:val="CaptionedFigure"/>
      </w:pPr>
      <w:r>
        <w:drawing>
          <wp:inline>
            <wp:extent cx="5334000" cy="3078574"/>
            <wp:effectExtent b="0" l="0" r="0" t="0"/>
            <wp:docPr descr="図8.4 π(K)の価格水準感応度（水準係数付き価格過程）" title="" id="118" name="Picture"/>
            <a:graphic>
              <a:graphicData uri="http://schemas.openxmlformats.org/drawingml/2006/picture">
                <pic:pic>
                  <pic:nvPicPr>
                    <pic:cNvPr descr="/home/user/work/thesis/figures/hokkaido/pi_k_curve_v2.png" id="119" name="Picture"/>
                    <pic:cNvPicPr>
                      <a:picLocks noChangeArrowheads="1" noChangeAspect="1"/>
                    </pic:cNvPicPr>
                  </pic:nvPicPr>
                  <pic:blipFill>
                    <a:blip r:embed="rId117"/>
                    <a:stretch>
                      <a:fillRect/>
                    </a:stretch>
                  </pic:blipFill>
                  <pic:spPr bwMode="auto">
                    <a:xfrm>
                      <a:off x="0" y="0"/>
                      <a:ext cx="5334000" cy="3078574"/>
                    </a:xfrm>
                    <a:prstGeom prst="rect">
                      <a:avLst/>
                    </a:prstGeom>
                    <a:noFill/>
                    <a:ln w="9525">
                      <a:noFill/>
                      <a:headEnd/>
                      <a:tailEnd/>
                    </a:ln>
                  </pic:spPr>
                </pic:pic>
              </a:graphicData>
            </a:graphic>
          </wp:inline>
        </w:drawing>
      </w:r>
    </w:p>
    <w:p>
      <w:pPr>
        <w:pStyle w:val="ImageCaption"/>
      </w:pPr>
      <w:r>
        <w:rPr>
          <w:rFonts w:hint="eastAsia"/>
        </w:rPr>
        <w:t xml:space="preserve">図8.4</w:t>
      </w:r>
      <w:r>
        <w:t xml:space="preserve"> </w:t>
      </w:r>
      <w:r>
        <w:rPr>
          <w:rFonts w:hint="eastAsia"/>
        </w:rPr>
        <w:t xml:space="preserve">π(K)の価格水準感応度（水準係数付き価格過程）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K（万kW、4h）</w:t>
            </w:r>
          </w:p>
        </w:tc>
        <w:tc>
          <w:tcPr/>
          <w:p>
            <w:pPr>
              <w:pStyle w:val="Compact"/>
            </w:pPr>
            <w:r>
              <w:rPr>
                <w:rFonts w:hint="eastAsia"/>
              </w:rPr>
              <w:t xml:space="preserve">現状（θ=1）</w:t>
            </w:r>
          </w:p>
        </w:tc>
        <w:tc>
          <w:tcPr/>
          <w:p>
            <w:pPr>
              <w:pStyle w:val="Compact"/>
            </w:pPr>
            <w:r>
              <w:rPr>
                <w:rFonts w:hint="eastAsia"/>
              </w:rPr>
              <w:t xml:space="preserve">FY2026上期水準（θ=1.57）</w:t>
            </w:r>
          </w:p>
        </w:tc>
        <w:tc>
          <w:tcPr/>
          <w:p>
            <w:pPr>
              <w:pStyle w:val="Compact"/>
            </w:pPr>
            <w:r>
              <w:rPr>
                <w:rFonts w:hint="eastAsia"/>
              </w:rPr>
              <w:t xml:space="preserve">FY2022水準（θ=1.72）</w:t>
            </w:r>
          </w:p>
        </w:tc>
        <w:tc>
          <w:tcPr/>
          <w:p>
            <w:pPr>
              <w:pStyle w:val="Compact"/>
            </w:pPr>
            <w:r>
              <w:rPr>
                <w:rFonts w:hint="eastAsia"/>
              </w:rPr>
              <w:t xml:space="preserve">FY2026上期水準＋泊3号</w:t>
            </w:r>
          </w:p>
        </w:tc>
      </w:tr>
      <w:tr>
        <w:tc>
          <w:tcPr/>
          <w:p>
            <w:pPr>
              <w:pStyle w:val="Compact"/>
            </w:pPr>
            <w:r>
              <w:t xml:space="preserve">0</w:t>
            </w:r>
          </w:p>
        </w:tc>
        <w:tc>
          <w:tcPr/>
          <w:p>
            <w:pPr>
              <w:pStyle w:val="Compact"/>
            </w:pPr>
            <w:r>
              <w:rPr>
                <w:rFonts w:hint="eastAsia"/>
              </w:rPr>
              <w:t xml:space="preserve">4,943（6,598）</w:t>
            </w:r>
          </w:p>
        </w:tc>
        <w:tc>
          <w:tcPr/>
          <w:p>
            <w:pPr>
              <w:pStyle w:val="Compact"/>
            </w:pPr>
            <w:r>
              <w:rPr>
                <w:rFonts w:hint="eastAsia"/>
              </w:rPr>
              <w:t xml:space="preserve">8,738（11,331）</w:t>
            </w:r>
          </w:p>
        </w:tc>
        <w:tc>
          <w:tcPr/>
          <w:p>
            <w:pPr>
              <w:pStyle w:val="Compact"/>
            </w:pPr>
            <w:r>
              <w:rPr>
                <w:rFonts w:hint="eastAsia"/>
              </w:rPr>
              <w:t xml:space="preserve">9,733（12,572）</w:t>
            </w:r>
          </w:p>
        </w:tc>
        <w:tc>
          <w:tcPr/>
          <w:p>
            <w:pPr>
              <w:pStyle w:val="Compact"/>
            </w:pPr>
            <w:r>
              <w:rPr>
                <w:rFonts w:hint="eastAsia"/>
              </w:rPr>
              <w:t xml:space="preserve">9,277（12,003）</w:t>
            </w:r>
          </w:p>
        </w:tc>
      </w:tr>
      <w:tr>
        <w:tc>
          <w:tcPr/>
          <w:p>
            <w:pPr>
              <w:pStyle w:val="Compact"/>
            </w:pPr>
            <w:r>
              <w:t xml:space="preserve">25</w:t>
            </w:r>
          </w:p>
        </w:tc>
        <w:tc>
          <w:tcPr/>
          <w:p>
            <w:pPr>
              <w:pStyle w:val="Compact"/>
            </w:pPr>
            <w:r>
              <w:rPr>
                <w:rFonts w:hint="eastAsia"/>
              </w:rPr>
              <w:t xml:space="preserve">2,389（3,413）</w:t>
            </w:r>
          </w:p>
        </w:tc>
        <w:tc>
          <w:tcPr/>
          <w:p>
            <w:pPr>
              <w:pStyle w:val="Compact"/>
            </w:pPr>
            <w:r>
              <w:rPr>
                <w:rFonts w:hint="eastAsia"/>
              </w:rPr>
              <w:t xml:space="preserve">4,737（6,341）</w:t>
            </w:r>
          </w:p>
        </w:tc>
        <w:tc>
          <w:tcPr/>
          <w:p>
            <w:pPr>
              <w:pStyle w:val="Compact"/>
            </w:pPr>
            <w:r>
              <w:rPr>
                <w:rFonts w:hint="eastAsia"/>
              </w:rPr>
              <w:t xml:space="preserve">5,353（7,108）</w:t>
            </w:r>
          </w:p>
        </w:tc>
        <w:tc>
          <w:tcPr/>
          <w:p>
            <w:pPr>
              <w:pStyle w:val="Compact"/>
            </w:pPr>
            <w:r>
              <w:rPr>
                <w:rFonts w:hint="eastAsia"/>
              </w:rPr>
              <w:t xml:space="preserve">5,480（7,267）</w:t>
            </w:r>
          </w:p>
        </w:tc>
      </w:tr>
      <w:tr>
        <w:tc>
          <w:tcPr/>
          <w:p>
            <w:pPr>
              <w:pStyle w:val="Compact"/>
            </w:pPr>
            <w:r>
              <w:t xml:space="preserve">50</w:t>
            </w:r>
          </w:p>
        </w:tc>
        <w:tc>
          <w:tcPr/>
          <w:p>
            <w:pPr>
              <w:pStyle w:val="Compact"/>
            </w:pPr>
            <w:r>
              <w:rPr>
                <w:rFonts w:hint="eastAsia"/>
              </w:rPr>
              <w:t xml:space="preserve">1,015（1,699）</w:t>
            </w:r>
          </w:p>
        </w:tc>
        <w:tc>
          <w:tcPr/>
          <w:p>
            <w:pPr>
              <w:pStyle w:val="Compact"/>
            </w:pPr>
            <w:r>
              <w:rPr>
                <w:rFonts w:hint="eastAsia"/>
              </w:rPr>
              <w:t xml:space="preserve">2,584（3,655）</w:t>
            </w:r>
          </w:p>
        </w:tc>
        <w:tc>
          <w:tcPr/>
          <w:p>
            <w:pPr>
              <w:pStyle w:val="Compact"/>
            </w:pPr>
            <w:r>
              <w:rPr>
                <w:rFonts w:hint="eastAsia"/>
              </w:rPr>
              <w:t xml:space="preserve">2,995（4,168）</w:t>
            </w:r>
          </w:p>
        </w:tc>
        <w:tc>
          <w:tcPr/>
          <w:p>
            <w:pPr>
              <w:pStyle w:val="Compact"/>
            </w:pPr>
            <w:r>
              <w:rPr>
                <w:rFonts w:hint="eastAsia"/>
              </w:rPr>
              <w:t xml:space="preserve">3,550（4,860）</w:t>
            </w:r>
          </w:p>
        </w:tc>
      </w:tr>
      <w:tr>
        <w:tc>
          <w:tcPr/>
          <w:p>
            <w:pPr>
              <w:pStyle w:val="Compact"/>
            </w:pPr>
            <w:r>
              <w:t xml:space="preserve">100</w:t>
            </w:r>
          </w:p>
        </w:tc>
        <w:tc>
          <w:tcPr/>
          <w:p>
            <w:pPr>
              <w:pStyle w:val="Compact"/>
            </w:pPr>
            <w:r>
              <w:rPr>
                <w:rFonts w:hint="eastAsia"/>
              </w:rPr>
              <w:t xml:space="preserve">−974（−781）</w:t>
            </w:r>
          </w:p>
        </w:tc>
        <w:tc>
          <w:tcPr/>
          <w:p>
            <w:pPr>
              <w:pStyle w:val="Compact"/>
            </w:pPr>
            <w:r>
              <w:rPr>
                <w:rFonts w:hint="eastAsia"/>
              </w:rPr>
              <w:t xml:space="preserve">−532（−231）</w:t>
            </w:r>
          </w:p>
        </w:tc>
        <w:tc>
          <w:tcPr/>
          <w:p>
            <w:pPr>
              <w:pStyle w:val="Compact"/>
            </w:pPr>
            <w:r>
              <w:rPr>
                <w:rFonts w:hint="eastAsia"/>
              </w:rPr>
              <w:t xml:space="preserve">−416（−86）</w:t>
            </w:r>
          </w:p>
        </w:tc>
        <w:tc>
          <w:tcPr/>
          <w:p>
            <w:pPr>
              <w:pStyle w:val="Compact"/>
            </w:pPr>
            <w:r>
              <w:rPr>
                <w:rFonts w:hint="eastAsia"/>
              </w:rPr>
              <w:t xml:space="preserve">345（863）</w:t>
            </w:r>
          </w:p>
        </w:tc>
      </w:tr>
      <w:tr>
        <w:tc>
          <w:tcPr/>
          <w:p>
            <w:pPr>
              <w:pStyle w:val="Compact"/>
            </w:pPr>
            <w:r>
              <w:t xml:space="preserve">150</w:t>
            </w:r>
          </w:p>
        </w:tc>
        <w:tc>
          <w:tcPr/>
          <w:p>
            <w:pPr>
              <w:pStyle w:val="Compact"/>
            </w:pPr>
            <w:r>
              <w:rPr>
                <w:rFonts w:hint="eastAsia"/>
              </w:rPr>
              <w:t xml:space="preserve">−1,592（−1,552）</w:t>
            </w:r>
          </w:p>
        </w:tc>
        <w:tc>
          <w:tcPr/>
          <w:p>
            <w:pPr>
              <w:pStyle w:val="Compact"/>
            </w:pPr>
            <w:r>
              <w:rPr>
                <w:rFonts w:hint="eastAsia"/>
              </w:rPr>
              <w:t xml:space="preserve">−1,501（−1,439）</w:t>
            </w:r>
          </w:p>
        </w:tc>
        <w:tc>
          <w:tcPr/>
          <w:p>
            <w:pPr>
              <w:pStyle w:val="Compact"/>
            </w:pPr>
            <w:r>
              <w:rPr>
                <w:rFonts w:hint="eastAsia"/>
              </w:rPr>
              <w:t xml:space="preserve">−1,477（−1,409）</w:t>
            </w:r>
          </w:p>
        </w:tc>
        <w:tc>
          <w:tcPr/>
          <w:p>
            <w:pPr>
              <w:pStyle w:val="Compact"/>
            </w:pPr>
            <w:r>
              <w:rPr>
                <w:rFonts w:hint="eastAsia"/>
              </w:rPr>
              <w:t xml:space="preserve">−1,020（−839）</w:t>
            </w:r>
          </w:p>
        </w:tc>
      </w:tr>
    </w:tbl>
    <w:p>
      <w:pPr>
        <w:pStyle w:val="BodyText"/>
      </w:pPr>
      <w:r>
        <w:rPr>
          <w:rFonts w:hint="eastAsia"/>
        </w:rPr>
        <w:t xml:space="preserve">表8.5</w:t>
      </w:r>
      <w:r>
        <w:t xml:space="preserve"> </w:t>
      </w:r>
      <w:r>
        <w:rPr>
          <w:rFonts w:hint="eastAsia"/>
        </w:rPr>
        <w:t xml:space="preserve">価格水準シナリオ別の限界参入者の実現可能スポット収益</w:t>
      </w:r>
      <w:r>
        <w:t xml:space="preserve"> </w:t>
      </w:r>
      <w:r>
        <w:rPr>
          <w:rFonts w:hint="eastAsia"/>
        </w:rPr>
        <w:t xml:space="preserve">π(K)（円/kW-年、括弧内は裾の補正×1.25。水準係数付き価格過程・FY2023〜25パス・capture率0.81・充電従量負担控除）</w:t>
      </w:r>
    </w:p>
    <w:p>
      <w:pPr>
        <w:pStyle w:val="BodyText"/>
      </w:pPr>
      <w:r>
        <w:rPr>
          <w:rFonts w:hint="eastAsia"/>
        </w:rPr>
        <w:t xml:space="preserve">K=0で参入が立つ年間固定費（損益分岐AFC）は約1.05〜1.14万円/kW-年で、資本費に換算すると約1.5万円/kWh（現行実勢6.8万円/kWhの2割強）である。蓄電池産業戦略の長期目標（揚水並み2.3万円/kWh）まで資本費が下がっても、現行の価格構造と容量市場価格の下ではマーチャント参入は開かない。</w:t>
      </w:r>
    </w:p>
    <w:p>
      <w:pPr>
        <w:pStyle w:val="BodyText"/>
      </w:pPr>
      <w:r>
        <w:rPr>
          <w:rFonts w:hint="eastAsia"/>
        </w:rPr>
        <w:t xml:space="preserve">託送等固定費と充電従量負担の扱いは損益分岐に一次的である。Mercier</w:t>
      </w:r>
      <w:r>
        <w:t xml:space="preserve"> et al. (2023) </w:t>
      </w:r>
      <w:r>
        <w:rPr>
          <w:rFonts w:hint="eastAsia"/>
        </w:rPr>
        <w:t xml:space="preserve">は欧州の日前市場で系統利用料が裁定価値を20〜50%削り参加を大きく減らすことを示しており、北海道の0.69万円/kW-年の固定費と1.2円/kWhの従量負担も同じ役割を果たす。</w:t>
      </w:r>
    </w:p>
    <w:p>
      <w:pPr>
        <w:pStyle w:val="BodyText"/>
      </w:pPr>
      <w:r>
        <w:t xml:space="preserve">Butters et al. (2025) </w:t>
      </w:r>
      <w:r>
        <w:rPr>
          <w:rFonts w:hint="eastAsia"/>
        </w:rPr>
        <w:t xml:space="preserve">はCAISOで「補助なしでは2030年まで導入がほとんど進まないが、資本費30%低下で大きく進む」と報告した。北海道の結果はより厳しく、参入には資本費の約8割の低下、あるいは価格水準の3倍超への上昇（表8.5）が必要である。裾圧縮の補正を加えてもこの閾値は2.5倍を下回らない。</w:t>
      </w:r>
    </w:p>
    <w:bookmarkEnd w:id="120"/>
    <w:bookmarkStart w:id="124" w:name="次元の感応度面とシナリオ"/>
    <w:p>
      <w:pPr>
        <w:pStyle w:val="Heading2"/>
      </w:pPr>
      <w:r>
        <w:t xml:space="preserve">8.5 </w:t>
      </w:r>
      <w:r>
        <w:rPr>
          <w:rFonts w:hint="eastAsia"/>
        </w:rPr>
        <w:t xml:space="preserve">2次元の感応度面とシナリオ</w:t>
      </w:r>
    </w:p>
    <w:p>
      <w:pPr>
        <w:pStyle w:val="FirstParagraph"/>
      </w:pPr>
      <w:r>
        <w:rPr>
          <w:rFonts w:hint="eastAsia"/>
          <w:b/>
          <w:bCs/>
        </w:rPr>
        <w:t xml:space="preserve">風力導入量と蓄電池容量の2次元面</w:t>
      </w:r>
      <w:r>
        <w:rPr>
          <w:rFonts w:hint="eastAsia"/>
        </w:rPr>
        <w:t xml:space="preserve">。表8.6は水準係数付き価格過程（</w:t>
      </w:r>
      <m:oMath>
        <m:r>
          <m:t>θ</m:t>
        </m:r>
      </m:oMath>
      <w:r>
        <w:rPr>
          <w:rFonts w:hint="eastAsia"/>
        </w:rPr>
        <w:t xml:space="preserve">=1）の上で風力導入量を現行（121万kW）の0.5〜3倍に振り、各水準で</w:t>
      </w:r>
      <w:r>
        <w:t xml:space="preserve"> </w:t>
      </w:r>
      <m:oMath>
        <m:r>
          <m:t>π</m:t>
        </m:r>
        <m:r>
          <m:t>(</m:t>
        </m:r>
        <m:r>
          <m:t>K</m:t>
        </m:r>
        <m:r>
          <m:t>)</m:t>
        </m:r>
      </m:oMath>
      <w:r>
        <w:t xml:space="preserve"> </w:t>
      </w:r>
      <w:r>
        <w:rPr>
          <w:rFonts w:hint="eastAsia"/>
        </w:rPr>
        <w:t xml:space="preserve">を再計算した2次元の感応度面である（図8.3）。風力を3倍（363万kW）にしても</w:t>
      </w:r>
      <w:r>
        <w:t xml:space="preserve"> </w:t>
      </w:r>
      <m:oMath>
        <m:r>
          <m:t>π</m:t>
        </m:r>
        <m:r>
          <m:t>(</m:t>
        </m:r>
        <m:r>
          <m:t>0</m:t>
        </m:r>
        <m:r>
          <m:t>)</m:t>
        </m:r>
      </m:oMath>
      <w:r>
        <w:t xml:space="preserve"> </w:t>
      </w:r>
      <w:r>
        <w:rPr>
          <w:rFonts w:hint="eastAsia"/>
        </w:rPr>
        <w:t xml:space="preserve">は4,943円から6,055円/kW-年に上がるにすぎず、泊3号機の再稼働を重ねても6,000円前後で頭打ちになる。8.2で見たとおり風力の増加は床を通じてスプレッドを広げるが、その効果はフリート50万kW分のカニバリゼーション（約4,000円）より小さい。面上のどの点でもマーチャントの参入必要水準（19,500〜28,700円）には届かず、</w:t>
      </w:r>
      <m:oMath>
        <m:sSup>
          <m:e>
            <m:r>
              <m:t>K</m:t>
            </m:r>
          </m:e>
          <m:sup>
            <m:r>
              <m:t>*</m:t>
            </m:r>
          </m:sup>
        </m:sSup>
        <m:r>
          <m:t>=</m:t>
        </m:r>
        <m:r>
          <m:t>0</m:t>
        </m:r>
      </m:oMath>
      <w:r>
        <w:t xml:space="preserve"> </w:t>
      </w:r>
      <w:r>
        <w:rPr>
          <w:rFonts w:hint="eastAsia"/>
        </w:rPr>
        <w:t xml:space="preserve">は風力導入量に対しても頑健である。</w:t>
      </w:r>
    </w:p>
    <w:p>
      <w:pPr>
        <w:pStyle w:val="CaptionedFigure"/>
      </w:pPr>
      <w:r>
        <w:drawing>
          <wp:inline>
            <wp:extent cx="5334000" cy="3078574"/>
            <wp:effectExtent b="0" l="0" r="0" t="0"/>
            <wp:docPr descr="図8.3 π(K; K_wind) の2次元の感応度面" title="" id="122" name="Picture"/>
            <a:graphic>
              <a:graphicData uri="http://schemas.openxmlformats.org/drawingml/2006/picture">
                <pic:pic>
                  <pic:nvPicPr>
                    <pic:cNvPr descr="/home/user/work/thesis/figures/hokkaido/equilibrium_surface.png" id="123" name="Picture"/>
                    <pic:cNvPicPr>
                      <a:picLocks noChangeArrowheads="1" noChangeAspect="1"/>
                    </pic:cNvPicPr>
                  </pic:nvPicPr>
                  <pic:blipFill>
                    <a:blip r:embed="rId121"/>
                    <a:stretch>
                      <a:fillRect/>
                    </a:stretch>
                  </pic:blipFill>
                  <pic:spPr bwMode="auto">
                    <a:xfrm>
                      <a:off x="0" y="0"/>
                      <a:ext cx="5334000" cy="3078574"/>
                    </a:xfrm>
                    <a:prstGeom prst="rect">
                      <a:avLst/>
                    </a:prstGeom>
                    <a:noFill/>
                    <a:ln w="9525">
                      <a:noFill/>
                      <a:headEnd/>
                      <a:tailEnd/>
                    </a:ln>
                  </pic:spPr>
                </pic:pic>
              </a:graphicData>
            </a:graphic>
          </wp:inline>
        </w:drawing>
      </w:r>
    </w:p>
    <w:p>
      <w:pPr>
        <w:pStyle w:val="ImageCaption"/>
      </w:pPr>
      <w:r>
        <w:rPr>
          <w:rFonts w:hint="eastAsia"/>
        </w:rPr>
        <w:t xml:space="preserve">図8.3</w:t>
      </w:r>
      <w:r>
        <w:t xml:space="preserve"> π(K; K_wind) </w:t>
      </w:r>
      <w:r>
        <w:rPr>
          <w:rFonts w:hint="eastAsia"/>
        </w:rPr>
        <w:t xml:space="preserve">の2次元の感応度面</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K（万kW、4h）</w:t>
            </w:r>
          </w:p>
        </w:tc>
        <w:tc>
          <w:tcPr/>
          <w:p>
            <w:pPr>
              <w:pStyle w:val="Compact"/>
            </w:pPr>
            <w:r>
              <w:rPr>
                <w:rFonts w:hint="eastAsia"/>
              </w:rPr>
              <w:t xml:space="preserve">風力×0.5（61万kW）</w:t>
            </w:r>
          </w:p>
        </w:tc>
        <w:tc>
          <w:tcPr/>
          <w:p>
            <w:pPr>
              <w:pStyle w:val="Compact"/>
            </w:pPr>
            <w:r>
              <w:rPr>
                <w:rFonts w:hint="eastAsia"/>
              </w:rPr>
              <w:t xml:space="preserve">×1（121万kW）</w:t>
            </w:r>
          </w:p>
        </w:tc>
        <w:tc>
          <w:tcPr/>
          <w:p>
            <w:pPr>
              <w:pStyle w:val="Compact"/>
            </w:pPr>
            <w:r>
              <w:rPr>
                <w:rFonts w:hint="eastAsia"/>
              </w:rPr>
              <w:t xml:space="preserve">×1.5（182万kW）</w:t>
            </w:r>
          </w:p>
        </w:tc>
        <w:tc>
          <w:tcPr/>
          <w:p>
            <w:pPr>
              <w:pStyle w:val="Compact"/>
            </w:pPr>
            <w:r>
              <w:rPr>
                <w:rFonts w:hint="eastAsia"/>
              </w:rPr>
              <w:t xml:space="preserve">×2（242万kW）</w:t>
            </w:r>
          </w:p>
        </w:tc>
        <w:tc>
          <w:tcPr/>
          <w:p>
            <w:pPr>
              <w:pStyle w:val="Compact"/>
            </w:pPr>
            <w:r>
              <w:rPr>
                <w:rFonts w:hint="eastAsia"/>
              </w:rPr>
              <w:t xml:space="preserve">×3（363万kW）</w:t>
            </w:r>
          </w:p>
        </w:tc>
      </w:tr>
      <w:tr>
        <w:tc>
          <w:tcPr/>
          <w:p>
            <w:pPr>
              <w:pStyle w:val="Compact"/>
            </w:pPr>
            <w:r>
              <w:t xml:space="preserve">0</w:t>
            </w:r>
          </w:p>
        </w:tc>
        <w:tc>
          <w:tcPr/>
          <w:p>
            <w:pPr>
              <w:pStyle w:val="Compact"/>
            </w:pPr>
            <w:r>
              <w:t xml:space="preserve">4,815 / 5,091</w:t>
            </w:r>
          </w:p>
        </w:tc>
        <w:tc>
          <w:tcPr/>
          <w:p>
            <w:pPr>
              <w:pStyle w:val="Compact"/>
            </w:pPr>
            <w:r>
              <w:t xml:space="preserve">4,943 / 5,287</w:t>
            </w:r>
          </w:p>
        </w:tc>
        <w:tc>
          <w:tcPr/>
          <w:p>
            <w:pPr>
              <w:pStyle w:val="Compact"/>
            </w:pPr>
            <w:r>
              <w:t xml:space="preserve">5,116 / 5,467</w:t>
            </w:r>
          </w:p>
        </w:tc>
        <w:tc>
          <w:tcPr/>
          <w:p>
            <w:pPr>
              <w:pStyle w:val="Compact"/>
            </w:pPr>
            <w:r>
              <w:t xml:space="preserve">5,373 / 5,667</w:t>
            </w:r>
          </w:p>
        </w:tc>
        <w:tc>
          <w:tcPr/>
          <w:p>
            <w:pPr>
              <w:pStyle w:val="Compact"/>
            </w:pPr>
            <w:r>
              <w:t xml:space="preserve">6,055 / 5,582</w:t>
            </w:r>
          </w:p>
        </w:tc>
      </w:tr>
      <w:tr>
        <w:tc>
          <w:tcPr/>
          <w:p>
            <w:pPr>
              <w:pStyle w:val="Compact"/>
            </w:pPr>
            <w:r>
              <w:t xml:space="preserve">25</w:t>
            </w:r>
          </w:p>
        </w:tc>
        <w:tc>
          <w:tcPr/>
          <w:p>
            <w:pPr>
              <w:pStyle w:val="Compact"/>
            </w:pPr>
            <w:r>
              <w:t xml:space="preserve">2,196 / 2,711</w:t>
            </w:r>
          </w:p>
        </w:tc>
        <w:tc>
          <w:tcPr/>
          <w:p>
            <w:pPr>
              <w:pStyle w:val="Compact"/>
            </w:pPr>
            <w:r>
              <w:t xml:space="preserve">2,389 / 2,863</w:t>
            </w:r>
          </w:p>
        </w:tc>
        <w:tc>
          <w:tcPr/>
          <w:p>
            <w:pPr>
              <w:pStyle w:val="Compact"/>
            </w:pPr>
            <w:r>
              <w:t xml:space="preserve">2,610 / 3,117</w:t>
            </w:r>
          </w:p>
        </w:tc>
        <w:tc>
          <w:tcPr/>
          <w:p>
            <w:pPr>
              <w:pStyle w:val="Compact"/>
            </w:pPr>
            <w:r>
              <w:t xml:space="preserve">2,947 / 3,404</w:t>
            </w:r>
          </w:p>
        </w:tc>
        <w:tc>
          <w:tcPr/>
          <w:p>
            <w:pPr>
              <w:pStyle w:val="Compact"/>
            </w:pPr>
            <w:r>
              <w:t xml:space="preserve">3,648 / 3,658</w:t>
            </w:r>
          </w:p>
        </w:tc>
      </w:tr>
      <w:tr>
        <w:tc>
          <w:tcPr/>
          <w:p>
            <w:pPr>
              <w:pStyle w:val="Compact"/>
            </w:pPr>
            <w:r>
              <w:t xml:space="preserve">50</w:t>
            </w:r>
          </w:p>
        </w:tc>
        <w:tc>
          <w:tcPr/>
          <w:p>
            <w:pPr>
              <w:pStyle w:val="Compact"/>
            </w:pPr>
            <w:r>
              <w:t xml:space="preserve">823 / 1,464</w:t>
            </w:r>
          </w:p>
        </w:tc>
        <w:tc>
          <w:tcPr/>
          <w:p>
            <w:pPr>
              <w:pStyle w:val="Compact"/>
            </w:pPr>
            <w:r>
              <w:t xml:space="preserve">1,015 / 1,631</w:t>
            </w:r>
          </w:p>
        </w:tc>
        <w:tc>
          <w:tcPr/>
          <w:p>
            <w:pPr>
              <w:pStyle w:val="Compact"/>
            </w:pPr>
            <w:r>
              <w:t xml:space="preserve">1,317 / 1,843</w:t>
            </w:r>
          </w:p>
        </w:tc>
        <w:tc>
          <w:tcPr/>
          <w:p>
            <w:pPr>
              <w:pStyle w:val="Compact"/>
            </w:pPr>
            <w:r>
              <w:t xml:space="preserve">1,628 / 2,192</w:t>
            </w:r>
          </w:p>
        </w:tc>
        <w:tc>
          <w:tcPr/>
          <w:p>
            <w:pPr>
              <w:pStyle w:val="Compact"/>
            </w:pPr>
            <w:r>
              <w:t xml:space="preserve">2,397 / 2,625</w:t>
            </w:r>
          </w:p>
        </w:tc>
      </w:tr>
      <w:tr>
        <w:tc>
          <w:tcPr/>
          <w:p>
            <w:pPr>
              <w:pStyle w:val="Compact"/>
            </w:pPr>
            <w:r>
              <w:t xml:space="preserve">100</w:t>
            </w:r>
          </w:p>
        </w:tc>
        <w:tc>
          <w:tcPr/>
          <w:p>
            <w:pPr>
              <w:pStyle w:val="Compact"/>
            </w:pPr>
            <w:r>
              <w:t xml:space="preserve">−1,123 / −579</w:t>
            </w:r>
          </w:p>
        </w:tc>
        <w:tc>
          <w:tcPr/>
          <w:p>
            <w:pPr>
              <w:pStyle w:val="Compact"/>
            </w:pPr>
            <w:r>
              <w:t xml:space="preserve">−974 / −414</w:t>
            </w:r>
          </w:p>
        </w:tc>
        <w:tc>
          <w:tcPr/>
          <w:p>
            <w:pPr>
              <w:pStyle w:val="Compact"/>
            </w:pPr>
            <w:r>
              <w:t xml:space="preserve">−742 / −188</w:t>
            </w:r>
          </w:p>
        </w:tc>
        <w:tc>
          <w:tcPr/>
          <w:p>
            <w:pPr>
              <w:pStyle w:val="Compact"/>
            </w:pPr>
            <w:r>
              <w:t xml:space="preserve">−446 / 129</w:t>
            </w:r>
          </w:p>
        </w:tc>
        <w:tc>
          <w:tcPr/>
          <w:p>
            <w:pPr>
              <w:pStyle w:val="Compact"/>
            </w:pPr>
            <w:r>
              <w:t xml:space="preserve">241 / 830</w:t>
            </w:r>
          </w:p>
        </w:tc>
      </w:tr>
      <w:tr>
        <w:tc>
          <w:tcPr/>
          <w:p>
            <w:pPr>
              <w:pStyle w:val="Compact"/>
            </w:pPr>
            <w:r>
              <w:t xml:space="preserve">150</w:t>
            </w:r>
          </w:p>
        </w:tc>
        <w:tc>
          <w:tcPr/>
          <w:p>
            <w:pPr>
              <w:pStyle w:val="Compact"/>
            </w:pPr>
            <w:r>
              <w:t xml:space="preserve">−1,644 / −1,393</w:t>
            </w:r>
          </w:p>
        </w:tc>
        <w:tc>
          <w:tcPr/>
          <w:p>
            <w:pPr>
              <w:pStyle w:val="Compact"/>
            </w:pPr>
            <w:r>
              <w:t xml:space="preserve">−1,592 / −1,285</w:t>
            </w:r>
          </w:p>
        </w:tc>
        <w:tc>
          <w:tcPr/>
          <w:p>
            <w:pPr>
              <w:pStyle w:val="Compact"/>
            </w:pPr>
            <w:r>
              <w:t xml:space="preserve">−1,507 / −1,065</w:t>
            </w:r>
          </w:p>
        </w:tc>
        <w:tc>
          <w:tcPr/>
          <w:p>
            <w:pPr>
              <w:pStyle w:val="Compact"/>
            </w:pPr>
            <w:r>
              <w:t xml:space="preserve">−1,364 / −746</w:t>
            </w:r>
          </w:p>
        </w:tc>
        <w:tc>
          <w:tcPr/>
          <w:p>
            <w:pPr>
              <w:pStyle w:val="Compact"/>
            </w:pPr>
            <w:r>
              <w:t xml:space="preserve">−798 / −69</w:t>
            </w:r>
          </w:p>
        </w:tc>
      </w:tr>
    </w:tbl>
    <w:p>
      <w:pPr>
        <w:pStyle w:val="BodyText"/>
      </w:pPr>
      <w:r>
        <w:rPr>
          <w:rFonts w:hint="eastAsia"/>
        </w:rPr>
        <w:t xml:space="preserve">表8.6</w:t>
      </w:r>
      <w:r>
        <w:t xml:space="preserve"> π(K; </w:t>
      </w:r>
      <w:r>
        <w:rPr>
          <w:rFonts w:hint="eastAsia"/>
        </w:rPr>
        <w:t xml:space="preserve">K_wind)（円/kW-年、泊なし／泊3号再稼働。水準係数付き価格過程</w:t>
      </w:r>
      <w:r>
        <w:t xml:space="preserve"> </w:t>
      </w:r>
      <w:r>
        <w:rPr>
          <w:rFonts w:hint="eastAsia"/>
        </w:rPr>
        <w:t xml:space="preserve">θ=1、FY2023〜25パス、capture率0.81、充電従量負担控除）</w:t>
      </w:r>
    </w:p>
    <w:p>
      <w:pPr>
        <w:pStyle w:val="BodyText"/>
      </w:pPr>
      <w:r>
        <w:rPr>
          <w:rFonts w:hint="eastAsia"/>
          <w:b/>
          <w:bCs/>
        </w:rPr>
        <w:t xml:space="preserve">容量市場価格のK依存</w:t>
      </w:r>
      <w:r>
        <w:rPr>
          <w:rFonts w:hint="eastAsia"/>
        </w:rPr>
        <w:t xml:space="preserve">。容量市場の需要曲線（2029年度向け：上限価格15,112.5円/kW、目標調達量における指標価格10,075円、調達価格ゼロとなる調達量）は公表されており、蓄電池フリート</w:t>
      </w:r>
      <w:r>
        <w:t xml:space="preserve"> </w:t>
      </w:r>
      <m:oMath>
        <m:r>
          <m:t>K</m:t>
        </m:r>
      </m:oMath>
      <w:r>
        <w:t xml:space="preserve"> </w:t>
      </w:r>
      <w:r>
        <w:rPr>
          <w:rFonts w:hint="eastAsia"/>
        </w:rPr>
        <w:t xml:space="preserve">が供給側に</w:t>
      </w:r>
      <w:r>
        <w:t xml:space="preserve"> </w:t>
      </w:r>
      <m:oMath>
        <m:r>
          <m:t>κ</m:t>
        </m:r>
        <m:r>
          <m:t>K</m:t>
        </m:r>
      </m:oMath>
      <w:r>
        <w:t xml:space="preserve"> </w:t>
      </w:r>
      <w:r>
        <w:rPr>
          <w:rFonts w:hint="eastAsia"/>
        </w:rPr>
        <w:t xml:space="preserve">を加えるとき、約定価格</w:t>
      </w:r>
      <w:r>
        <w:t xml:space="preserve"> </w:t>
      </w:r>
      <m:oMath>
        <m:sSub>
          <m:e>
            <m:r>
              <m:t>P</m:t>
            </m:r>
          </m:e>
          <m:sub>
            <m:r>
              <m:t>c</m:t>
            </m:r>
            <m:r>
              <m:t>a</m:t>
            </m:r>
            <m:r>
              <m:t>p</m:t>
            </m:r>
          </m:sub>
        </m:sSub>
        <m:r>
          <m:t>(</m:t>
        </m:r>
        <m:r>
          <m:t>K</m:t>
        </m:r>
        <m:r>
          <m:t>)</m:t>
        </m:r>
      </m:oMath>
      <w:r>
        <w:t xml:space="preserve"> </w:t>
      </w:r>
      <w:r>
        <w:rPr>
          <w:rFonts w:hint="eastAsia"/>
        </w:rPr>
        <w:t xml:space="preserve">はこの折れ線に沿って低下する。北海道が単独ブロックとして分断される場合の需要曲線をH3需要シェア（529万kW／16,208万kW）で全国曲線を按分して近似すると、現行の約定価格14,972円から指標価格までわずか4.4万kW、価格ゼロまで約27万kWで到達する（上側の勾配は1万kWあたり約1,100円/kW）。全国と連系して約定する場合は指標価格まで134万kW、ゼロまで約810万kWである（表8.7）。分断ブロックの按分規則は約定処理仕様で確認を要するが、北海道の容量市場価格は接続済み容量（約20万kW）程度の蓄電池の追加で崩れうる規模であり、容量市場側のカニバリゼーションはスポット側より速い。9.4の均衡容量では、容量価格を定数とする場合と2境界で内生化する場合を併記す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K（万kW）</w:t>
            </w:r>
          </w:p>
        </w:tc>
        <w:tc>
          <w:tcPr/>
          <w:p>
            <w:pPr>
              <w:pStyle w:val="Compact"/>
            </w:pPr>
            <w:r>
              <w:t xml:space="preserve">0</w:t>
            </w:r>
          </w:p>
        </w:tc>
        <w:tc>
          <w:tcPr/>
          <w:p>
            <w:pPr>
              <w:pStyle w:val="Compact"/>
            </w:pPr>
            <w:r>
              <w:t xml:space="preserve">10</w:t>
            </w:r>
          </w:p>
        </w:tc>
        <w:tc>
          <w:tcPr/>
          <w:p>
            <w:pPr>
              <w:pStyle w:val="Compact"/>
            </w:pPr>
            <w:r>
              <w:t xml:space="preserve">25</w:t>
            </w:r>
          </w:p>
        </w:tc>
        <w:tc>
          <w:tcPr/>
          <w:p>
            <w:pPr>
              <w:pStyle w:val="Compact"/>
            </w:pPr>
            <w:r>
              <w:t xml:space="preserve">50</w:t>
            </w:r>
          </w:p>
        </w:tc>
        <w:tc>
          <w:tcPr/>
          <w:p>
            <w:pPr>
              <w:pStyle w:val="Compact"/>
            </w:pPr>
            <w:r>
              <w:t xml:space="preserve">100</w:t>
            </w:r>
          </w:p>
        </w:tc>
        <w:tc>
          <w:tcPr/>
          <w:p>
            <w:pPr>
              <w:pStyle w:val="Compact"/>
            </w:pPr>
            <w:r>
              <w:t xml:space="preserve">200</w:t>
            </w:r>
          </w:p>
        </w:tc>
      </w:tr>
      <w:tr>
        <w:tc>
          <w:tcPr/>
          <w:p>
            <w:pPr>
              <w:pStyle w:val="Compact"/>
            </w:pPr>
            <w:r>
              <w:rPr>
                <w:rFonts w:hint="eastAsia"/>
              </w:rPr>
              <w:t xml:space="preserve">北海道ブロック按分</w:t>
            </w:r>
            <w:r>
              <w:t xml:space="preserve"> </w:t>
            </w:r>
            <m:oMath>
              <m:sSub>
                <m:e>
                  <m:r>
                    <m:t>P</m:t>
                  </m:r>
                </m:e>
                <m:sub>
                  <m:r>
                    <m:t>c</m:t>
                  </m:r>
                  <m:r>
                    <m:t>a</m:t>
                  </m:r>
                  <m:r>
                    <m:t>p</m:t>
                  </m:r>
                </m:sub>
              </m:sSub>
              <m:r>
                <m:t>(</m:t>
              </m:r>
              <m:r>
                <m:t>K</m:t>
              </m:r>
              <m:r>
                <m:t>)</m:t>
              </m:r>
            </m:oMath>
          </w:p>
        </w:tc>
        <w:tc>
          <w:tcPr/>
          <w:p>
            <w:pPr>
              <w:pStyle w:val="Compact"/>
            </w:pPr>
            <w:r>
              <w:t xml:space="preserve">14,972</w:t>
            </w:r>
          </w:p>
        </w:tc>
        <w:tc>
          <w:tcPr/>
          <w:p>
            <w:pPr>
              <w:pStyle w:val="Compact"/>
            </w:pPr>
            <w:r>
              <w:t xml:space="preserve">7,522</w:t>
            </w:r>
          </w:p>
        </w:tc>
        <w:tc>
          <w:tcPr/>
          <w:p>
            <w:pPr>
              <w:pStyle w:val="Compact"/>
            </w:pPr>
            <w:r>
              <w:t xml:space="preserve">714</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rFonts w:hint="eastAsia"/>
              </w:rPr>
              <w:t xml:space="preserve">全国連系</w:t>
            </w:r>
            <w:r>
              <w:t xml:space="preserve"> </w:t>
            </w:r>
            <m:oMath>
              <m:sSub>
                <m:e>
                  <m:r>
                    <m:t>P</m:t>
                  </m:r>
                </m:e>
                <m:sub>
                  <m:r>
                    <m:t>c</m:t>
                  </m:r>
                  <m:r>
                    <m:t>a</m:t>
                  </m:r>
                  <m:r>
                    <m:t>p</m:t>
                  </m:r>
                </m:sub>
              </m:sSub>
              <m:r>
                <m:t>(</m:t>
              </m:r>
              <m:r>
                <m:t>K</m:t>
              </m:r>
              <m:r>
                <m:t>)</m:t>
              </m:r>
            </m:oMath>
          </w:p>
        </w:tc>
        <w:tc>
          <w:tcPr/>
          <w:p>
            <w:pPr>
              <w:pStyle w:val="Compact"/>
            </w:pPr>
            <w:r>
              <w:t xml:space="preserve">14,972</w:t>
            </w:r>
          </w:p>
        </w:tc>
        <w:tc>
          <w:tcPr/>
          <w:p>
            <w:pPr>
              <w:pStyle w:val="Compact"/>
            </w:pPr>
            <w:r>
              <w:t xml:space="preserve">14,607</w:t>
            </w:r>
          </w:p>
        </w:tc>
        <w:tc>
          <w:tcPr/>
          <w:p>
            <w:pPr>
              <w:pStyle w:val="Compact"/>
            </w:pPr>
            <w:r>
              <w:t xml:space="preserve">14,059</w:t>
            </w:r>
          </w:p>
        </w:tc>
        <w:tc>
          <w:tcPr/>
          <w:p>
            <w:pPr>
              <w:pStyle w:val="Compact"/>
            </w:pPr>
            <w:r>
              <w:t xml:space="preserve">13,145</w:t>
            </w:r>
          </w:p>
        </w:tc>
        <w:tc>
          <w:tcPr/>
          <w:p>
            <w:pPr>
              <w:pStyle w:val="Compact"/>
            </w:pPr>
            <w:r>
              <w:t xml:space="preserve">11,318</w:t>
            </w:r>
          </w:p>
        </w:tc>
        <w:tc>
          <w:tcPr/>
          <w:p>
            <w:pPr>
              <w:pStyle w:val="Compact"/>
            </w:pPr>
            <w:r>
              <w:t xml:space="preserve">9,098</w:t>
            </w:r>
          </w:p>
        </w:tc>
      </w:tr>
    </w:tbl>
    <w:p>
      <w:pPr>
        <w:pStyle w:val="BodyText"/>
      </w:pPr>
      <w:r>
        <w:rPr>
          <w:rFonts w:hint="eastAsia"/>
        </w:rPr>
        <w:t xml:space="preserve">表8.7</w:t>
      </w:r>
      <w:r>
        <w:t xml:space="preserve"> </w:t>
      </w:r>
      <w:r>
        <w:rPr>
          <w:rFonts w:hint="eastAsia"/>
        </w:rPr>
        <w:t xml:space="preserve">容量市場価格のK依存（円/kW、2029年度向け需要曲線、κ=0.836）</w:t>
      </w:r>
    </w:p>
    <w:p>
      <w:pPr>
        <w:pStyle w:val="BodyText"/>
      </w:pPr>
      <w:r>
        <w:rPr>
          <w:rFonts w:hint="eastAsia"/>
          <w:b/>
          <w:bCs/>
        </w:rPr>
        <w:t xml:space="preserve">需給調整市場レントの上限</w:t>
      </w:r>
      <w:r>
        <w:rPr>
          <w:rFonts w:hint="eastAsia"/>
        </w:rPr>
        <w:t xml:space="preserve">。主仕様のゼロレント（5.4.3）に対し、移行期のレントの上限を調達量</w:t>
      </w:r>
      <w:r>
        <w:t xml:space="preserve"> </w:t>
      </w:r>
      <m:oMath>
        <m:r>
          <m:t>Q</m:t>
        </m:r>
      </m:oMath>
      <w:r>
        <w:t xml:space="preserve"> </w:t>
      </w:r>
      <w:r>
        <w:rPr>
          <w:rFonts w:hint="eastAsia"/>
        </w:rPr>
        <w:t xml:space="preserve">×ΔkW価格</w:t>
      </w:r>
      <w:r>
        <w:t xml:space="preserve"> </w:t>
      </w:r>
      <m:oMath>
        <m:r>
          <m:t>p</m:t>
        </m:r>
      </m:oMath>
      <w:r>
        <w:t xml:space="preserve"> </w:t>
      </w:r>
      <w:r>
        <w:rPr>
          <w:rFonts w:hint="eastAsia"/>
        </w:rPr>
        <w:t xml:space="preserve">×8,760時間÷</w:t>
      </w:r>
      <m:oMath>
        <m:r>
          <m:t>K</m:t>
        </m:r>
      </m:oMath>
      <w:r>
        <w:t xml:space="preserve"> </w:t>
      </w:r>
      <w:r>
        <w:rPr>
          <w:rFonts w:hint="eastAsia"/>
        </w:rPr>
        <w:t xml:space="preserve">で示す。前日調達への移行後の上限価格（一次15円、二次以下7.21円/ΔkW・h）と火力並みの5円を</w:t>
      </w:r>
      <w:r>
        <w:t xml:space="preserve"> </w:t>
      </w:r>
      <m:oMath>
        <m:r>
          <m:t>p</m:t>
        </m:r>
      </m:oMath>
      <w:r>
        <w:t xml:space="preserve"> </w:t>
      </w:r>
      <w:r>
        <w:t xml:space="preserve">に、</w:t>
      </w:r>
      <m:oMath>
        <m:r>
          <m:t>Q</m:t>
        </m:r>
      </m:oMath>
      <w:r>
        <w:t xml:space="preserve"> </w:t>
      </w:r>
      <w:r>
        <w:rPr>
          <w:rFonts w:hint="eastAsia"/>
        </w:rPr>
        <w:t xml:space="preserve">を10〜50万kWとすると、フリート50万kWでは1kWあたり年8,760〜131,400円、100万kWでは4,380〜65,700円の幅になる（表8.8）。この上限はフリートが小さいうちは参入必要水準を埋めうる大きさだが、フリート全量が落札し、かつ機会費用を上回る価格が維持される場合の値であり、蓄電池の参入で一次調整力のΔkW価格が1年で5分の1以下に下落した実績（第3章）が示すとおり、均衡ではこのレントは消え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調達量Q（万kW）×ΔkW価格</w:t>
            </w:r>
          </w:p>
        </w:tc>
        <w:tc>
          <w:tcPr/>
          <w:p>
            <w:pPr>
              <w:pStyle w:val="Compact"/>
            </w:pPr>
            <w:r>
              <w:rPr>
                <w:rFonts w:hint="eastAsia"/>
              </w:rPr>
              <w:t xml:space="preserve">K=25万kW</w:t>
            </w:r>
          </w:p>
        </w:tc>
        <w:tc>
          <w:tcPr/>
          <w:p>
            <w:pPr>
              <w:pStyle w:val="Compact"/>
            </w:pPr>
            <w:r>
              <w:t xml:space="preserve">50</w:t>
            </w:r>
          </w:p>
        </w:tc>
        <w:tc>
          <w:tcPr/>
          <w:p>
            <w:pPr>
              <w:pStyle w:val="Compact"/>
            </w:pPr>
            <w:r>
              <w:t xml:space="preserve">100</w:t>
            </w:r>
          </w:p>
        </w:tc>
        <w:tc>
          <w:tcPr/>
          <w:p>
            <w:pPr>
              <w:pStyle w:val="Compact"/>
            </w:pPr>
            <w:r>
              <w:t xml:space="preserve">200</w:t>
            </w:r>
          </w:p>
        </w:tc>
      </w:tr>
      <w:tr>
        <w:tc>
          <w:tcPr/>
          <w:p>
            <w:pPr>
              <w:pStyle w:val="Compact"/>
            </w:pPr>
            <w:r>
              <w:rPr>
                <w:rFonts w:hint="eastAsia"/>
              </w:rPr>
              <w:t xml:space="preserve">10×5円</w:t>
            </w:r>
          </w:p>
        </w:tc>
        <w:tc>
          <w:tcPr/>
          <w:p>
            <w:pPr>
              <w:pStyle w:val="Compact"/>
            </w:pPr>
            <w:r>
              <w:t xml:space="preserve">17,520</w:t>
            </w:r>
          </w:p>
        </w:tc>
        <w:tc>
          <w:tcPr/>
          <w:p>
            <w:pPr>
              <w:pStyle w:val="Compact"/>
            </w:pPr>
            <w:r>
              <w:t xml:space="preserve">8,760</w:t>
            </w:r>
          </w:p>
        </w:tc>
        <w:tc>
          <w:tcPr/>
          <w:p>
            <w:pPr>
              <w:pStyle w:val="Compact"/>
            </w:pPr>
            <w:r>
              <w:t xml:space="preserve">4,380</w:t>
            </w:r>
          </w:p>
        </w:tc>
        <w:tc>
          <w:tcPr/>
          <w:p>
            <w:pPr>
              <w:pStyle w:val="Compact"/>
            </w:pPr>
            <w:r>
              <w:t xml:space="preserve">2,190</w:t>
            </w:r>
          </w:p>
        </w:tc>
      </w:tr>
      <w:tr>
        <w:tc>
          <w:tcPr/>
          <w:p>
            <w:pPr>
              <w:pStyle w:val="Compact"/>
            </w:pPr>
            <w:r>
              <w:rPr>
                <w:rFonts w:hint="eastAsia"/>
              </w:rPr>
              <w:t xml:space="preserve">10×15円</w:t>
            </w:r>
          </w:p>
        </w:tc>
        <w:tc>
          <w:tcPr/>
          <w:p>
            <w:pPr>
              <w:pStyle w:val="Compact"/>
            </w:pPr>
            <w:r>
              <w:t xml:space="preserve">52,560</w:t>
            </w:r>
          </w:p>
        </w:tc>
        <w:tc>
          <w:tcPr/>
          <w:p>
            <w:pPr>
              <w:pStyle w:val="Compact"/>
            </w:pPr>
            <w:r>
              <w:t xml:space="preserve">26,280</w:t>
            </w:r>
          </w:p>
        </w:tc>
        <w:tc>
          <w:tcPr/>
          <w:p>
            <w:pPr>
              <w:pStyle w:val="Compact"/>
            </w:pPr>
            <w:r>
              <w:t xml:space="preserve">13,140</w:t>
            </w:r>
          </w:p>
        </w:tc>
        <w:tc>
          <w:tcPr/>
          <w:p>
            <w:pPr>
              <w:pStyle w:val="Compact"/>
            </w:pPr>
            <w:r>
              <w:t xml:space="preserve">6,570</w:t>
            </w:r>
          </w:p>
        </w:tc>
      </w:tr>
      <w:tr>
        <w:tc>
          <w:tcPr/>
          <w:p>
            <w:pPr>
              <w:pStyle w:val="Compact"/>
            </w:pPr>
            <w:r>
              <w:rPr>
                <w:rFonts w:hint="eastAsia"/>
              </w:rPr>
              <w:t xml:space="preserve">30×5円</w:t>
            </w:r>
          </w:p>
        </w:tc>
        <w:tc>
          <w:tcPr/>
          <w:p>
            <w:pPr>
              <w:pStyle w:val="Compact"/>
            </w:pPr>
            <w:r>
              <w:t xml:space="preserve">52,560</w:t>
            </w:r>
          </w:p>
        </w:tc>
        <w:tc>
          <w:tcPr/>
          <w:p>
            <w:pPr>
              <w:pStyle w:val="Compact"/>
            </w:pPr>
            <w:r>
              <w:t xml:space="preserve">26,280</w:t>
            </w:r>
          </w:p>
        </w:tc>
        <w:tc>
          <w:tcPr/>
          <w:p>
            <w:pPr>
              <w:pStyle w:val="Compact"/>
            </w:pPr>
            <w:r>
              <w:t xml:space="preserve">13,140</w:t>
            </w:r>
          </w:p>
        </w:tc>
        <w:tc>
          <w:tcPr/>
          <w:p>
            <w:pPr>
              <w:pStyle w:val="Compact"/>
            </w:pPr>
            <w:r>
              <w:t xml:space="preserve">6,570</w:t>
            </w:r>
          </w:p>
        </w:tc>
      </w:tr>
      <w:tr>
        <w:tc>
          <w:tcPr/>
          <w:p>
            <w:pPr>
              <w:pStyle w:val="Compact"/>
            </w:pPr>
            <w:r>
              <w:rPr>
                <w:rFonts w:hint="eastAsia"/>
              </w:rPr>
              <w:t xml:space="preserve">50×15円</w:t>
            </w:r>
          </w:p>
        </w:tc>
        <w:tc>
          <w:tcPr/>
          <w:p>
            <w:pPr>
              <w:pStyle w:val="Compact"/>
            </w:pPr>
            <w:r>
              <w:t xml:space="preserve">262,800</w:t>
            </w:r>
          </w:p>
        </w:tc>
        <w:tc>
          <w:tcPr/>
          <w:p>
            <w:pPr>
              <w:pStyle w:val="Compact"/>
            </w:pPr>
            <w:r>
              <w:t xml:space="preserve">131,400</w:t>
            </w:r>
          </w:p>
        </w:tc>
        <w:tc>
          <w:tcPr/>
          <w:p>
            <w:pPr>
              <w:pStyle w:val="Compact"/>
            </w:pPr>
            <w:r>
              <w:t xml:space="preserve">65,700</w:t>
            </w:r>
          </w:p>
        </w:tc>
        <w:tc>
          <w:tcPr/>
          <w:p>
            <w:pPr>
              <w:pStyle w:val="Compact"/>
            </w:pPr>
            <w:r>
              <w:t xml:space="preserve">32,850</w:t>
            </w:r>
          </w:p>
        </w:tc>
      </w:tr>
    </w:tbl>
    <w:p>
      <w:pPr>
        <w:pStyle w:val="BodyText"/>
      </w:pPr>
      <w:r>
        <w:rPr>
          <w:rFonts w:hint="eastAsia"/>
        </w:rPr>
        <w:t xml:space="preserve">表8.8</w:t>
      </w:r>
      <w:r>
        <w:t xml:space="preserve"> </w:t>
      </w:r>
      <w:r>
        <w:rPr>
          <w:rFonts w:hint="eastAsia"/>
        </w:rPr>
        <w:t xml:space="preserve">需給調整市場レントの上限バンド（円/kW-年）</w:t>
      </w:r>
    </w:p>
    <w:p>
      <w:pPr>
        <w:pStyle w:val="BodyText"/>
      </w:pPr>
      <w:r>
        <w:rPr>
          <w:rFonts w:hint="eastAsia"/>
          <w:b/>
          <w:bCs/>
        </w:rPr>
        <w:t xml:space="preserve">その他の感応度</w:t>
      </w:r>
      <w:r>
        <w:rPr>
          <w:rFonts w:hint="eastAsia"/>
        </w:rPr>
        <w:t xml:space="preserve">。9.4で示す損益分岐の水準係数</w:t>
      </w:r>
      <w:r>
        <w:t xml:space="preserve"> </w:t>
      </w:r>
      <m:oMath>
        <m:sSup>
          <m:e>
            <m:r>
              <m:t>θ</m:t>
            </m:r>
          </m:e>
          <m:sup>
            <m:r>
              <m:t>*</m:t>
            </m:r>
          </m:sup>
        </m:sSup>
      </m:oMath>
      <w:r>
        <w:t xml:space="preserve"> </w:t>
      </w:r>
      <w:r>
        <w:rPr>
          <w:rFonts w:hint="eastAsia"/>
        </w:rPr>
        <w:t xml:space="preserve">はcapture率に反比例し、0.81をButters</w:t>
      </w:r>
      <w:r>
        <w:t xml:space="preserve"> et al. (2025) </w:t>
      </w:r>
      <w:r>
        <w:rPr>
          <w:rFonts w:hint="eastAsia"/>
        </w:rPr>
        <w:t xml:space="preserve">の水準の0.7に下げると</w:t>
      </w:r>
      <w:r>
        <w:t xml:space="preserve"> </w:t>
      </w:r>
      <m:oMath>
        <m:sSup>
          <m:e>
            <m:r>
              <m:t>θ</m:t>
            </m:r>
          </m:e>
          <m:sup>
            <m:r>
              <m:t>*</m:t>
            </m:r>
          </m:sup>
        </m:sSup>
      </m:oMath>
      <w:r>
        <w:t xml:space="preserve"> </w:t>
      </w:r>
      <w:r>
        <w:rPr>
          <w:rFonts w:hint="eastAsia"/>
        </w:rPr>
        <w:t xml:space="preserve">は16%上がる。WACCは</w:t>
      </w:r>
      <w:r>
        <w:t xml:space="preserve"> </w:t>
      </w:r>
      <m:oMath>
        <m:sSub>
          <m:e>
            <m:r>
              <m:t>c</m:t>
            </m:r>
          </m:e>
          <m:sub>
            <m:r>
              <m:t>r</m:t>
            </m:r>
            <m:r>
              <m:t>e</m:t>
            </m:r>
            <m:r>
              <m:t>q</m:t>
            </m:r>
          </m:sub>
        </m:sSub>
      </m:oMath>
      <w:r>
        <w:t xml:space="preserve"> </w:t>
      </w:r>
      <w:r>
        <w:rPr>
          <w:rFonts w:hint="eastAsia"/>
        </w:rPr>
        <w:t xml:space="preserve">を通じて効き、資本費6.8万円/kWhでは6%から5%で</w:t>
      </w:r>
      <w:r>
        <w:t xml:space="preserve"> </w:t>
      </w:r>
      <m:oMath>
        <m:sSub>
          <m:e>
            <m:r>
              <m:t>c</m:t>
            </m:r>
          </m:e>
          <m:sub>
            <m:r>
              <m:t>r</m:t>
            </m:r>
            <m:r>
              <m:t>e</m:t>
            </m:r>
            <m:r>
              <m:t>q</m:t>
            </m:r>
          </m:sub>
        </m:sSub>
      </m:oMath>
      <w:r>
        <w:t xml:space="preserve"> </w:t>
      </w:r>
      <w:r>
        <w:rPr>
          <w:rFonts w:hint="eastAsia"/>
        </w:rPr>
        <w:t xml:space="preserve">が約1,900円/kW-年下がり、8%では約4,000円上がる。容量市場の参加区分を安定電源（実効1.25万円）から発動指令電源（0.83万円）に替えると</w:t>
      </w:r>
      <w:r>
        <w:t xml:space="preserve"> </w:t>
      </w:r>
      <m:oMath>
        <m:sSup>
          <m:e>
            <m:r>
              <m:t>θ</m:t>
            </m:r>
          </m:e>
          <m:sup>
            <m:r>
              <m:t>*</m:t>
            </m:r>
          </m:sup>
        </m:sSup>
      </m:oMath>
      <w:r>
        <w:t xml:space="preserve"> </w:t>
      </w:r>
      <w:r>
        <w:rPr>
          <w:rFonts w:hint="eastAsia"/>
        </w:rPr>
        <w:t xml:space="preserve">は0.6程度上がる（表9.2）。いずれも</w:t>
      </w:r>
      <w:r>
        <w:t xml:space="preserve"> </w:t>
      </w:r>
      <m:oMath>
        <m:sSup>
          <m:e>
            <m:r>
              <m:t>K</m:t>
            </m:r>
          </m:e>
          <m:sup>
            <m:r>
              <m:t>*</m:t>
            </m:r>
          </m:sup>
        </m:sSup>
        <m:r>
          <m:t>=</m:t>
        </m:r>
        <m:r>
          <m:t>0</m:t>
        </m:r>
      </m:oMath>
      <w:r>
        <w:t xml:space="preserve"> </w:t>
      </w:r>
      <w:r>
        <w:rPr>
          <w:rFonts w:hint="eastAsia"/>
        </w:rPr>
        <w:t xml:space="preserve">の判定を変えない。</w:t>
      </w:r>
    </w:p>
    <w:bookmarkEnd w:id="124"/>
    <w:bookmarkStart w:id="125" w:name="小括-2"/>
    <w:p>
      <w:pPr>
        <w:pStyle w:val="Heading2"/>
      </w:pPr>
      <w:r>
        <w:t xml:space="preserve">8.6 </w:t>
      </w:r>
      <w:r>
        <w:rPr>
          <w:rFonts w:hint="eastAsia"/>
        </w:rPr>
        <w:t xml:space="preserve">小括</w:t>
      </w:r>
    </w:p>
    <w:p>
      <w:pPr>
        <w:pStyle w:val="FirstParagraph"/>
      </w:pPr>
      <w:r>
        <w:rPr>
          <w:rFonts w:hint="eastAsia"/>
        </w:rPr>
        <w:t xml:space="preserve">風力主導市場における蓄電池のスポット価値は、フリートの拡大に対して急速に減衰し、100万kW程度でほぼ枯渇する。現行の資本費と価格構造の下でマーチャントの均衡容量はゼロであり、この判定はFY2026上期や燃料危機期の価格水準を与えても変わらない（表8.5）。実際の接続済み容量（約20万kW）と契約申込（約234万kW）はいずれも均衡を超過している。この乖離の説明が第9章の課題である。</w:t>
      </w:r>
    </w:p>
    <w:bookmarkEnd w:id="125"/>
    <w:bookmarkEnd w:id="126"/>
    <w:bookmarkStart w:id="142" w:name="第9章-均衡からの乖離の分解-なぜ参入は止まらないか"/>
    <w:p>
      <w:pPr>
        <w:pStyle w:val="Heading1"/>
      </w:pPr>
      <w:r>
        <w:rPr>
          <w:rFonts w:hint="eastAsia"/>
        </w:rPr>
        <w:t xml:space="preserve">第9章</w:t>
      </w:r>
      <w:r>
        <w:t xml:space="preserve"> </w:t>
      </w:r>
      <w:r>
        <w:rPr>
          <w:rFonts w:hint="eastAsia"/>
        </w:rPr>
        <w:t xml:space="preserve">均衡からの乖離の分解</w:t>
      </w:r>
      <w:r>
        <w:t xml:space="preserve"> — </w:t>
      </w:r>
      <w:r>
        <w:rPr>
          <w:rFonts w:hint="eastAsia"/>
        </w:rPr>
        <w:t xml:space="preserve">なぜ参入は止まらないか</w:t>
      </w:r>
    </w:p>
    <w:bookmarkStart w:id="127" w:name="事実の提示"/>
    <w:p>
      <w:pPr>
        <w:pStyle w:val="Heading2"/>
      </w:pPr>
      <w:r>
        <w:t xml:space="preserve">9.1 </w:t>
      </w:r>
      <w:r>
        <w:rPr>
          <w:rFonts w:hint="eastAsia"/>
        </w:rPr>
        <w:t xml:space="preserve">事実の提示</w:t>
      </w:r>
    </w:p>
    <w:p>
      <w:pPr>
        <w:pStyle w:val="FirstParagraph"/>
      </w:pPr>
      <w:r>
        <w:rPr>
          <w:rFonts w:hint="eastAsia"/>
        </w:rPr>
        <w:t xml:space="preserve">第8章の結果は、現行の資本費と価格構造の下でマーチャントの均衡容量が</w:t>
      </w:r>
      <w:r>
        <w:t xml:space="preserve"> </w:t>
      </w:r>
      <m:oMath>
        <m:sSup>
          <m:e>
            <m:r>
              <m:t>K</m:t>
            </m:r>
          </m:e>
          <m:sup>
            <m:r>
              <m:t>*</m:t>
            </m:r>
          </m:sup>
        </m:sSup>
        <m:r>
          <m:t>=</m:t>
        </m:r>
        <m:r>
          <m:t>0</m:t>
        </m:r>
      </m:oMath>
      <w:r>
        <w:t xml:space="preserve"> </w:t>
      </w:r>
      <w:r>
        <w:rPr>
          <w:rFonts w:hint="eastAsia"/>
        </w:rPr>
        <w:t xml:space="preserve">であることを示した。一方、北海道エリアの系統接続済み蓄電池は約20万kW、契約申込は約234万kW、接続検討は約823万kWである。契約申込はモデルのスポット飽和点（約100万kW）すら大きく超過している。参入の原資は市場収益の外にある。本章はこの乖離を、参入者が直面する市場外の収益源に分解する。</w:t>
      </w:r>
    </w:p>
    <w:bookmarkEnd w:id="127"/>
    <w:bookmarkStart w:id="133" w:name="乖離の分解"/>
    <w:p>
      <w:pPr>
        <w:pStyle w:val="Heading2"/>
      </w:pPr>
      <w:r>
        <w:t xml:space="preserve">9.2 </w:t>
      </w:r>
      <w:r>
        <w:rPr>
          <w:rFonts w:hint="eastAsia"/>
        </w:rPr>
        <w:t xml:space="preserve">乖離の分解</w:t>
      </w:r>
    </w:p>
    <w:bookmarkStart w:id="128" w:name="a-容量市場"/>
    <w:p>
      <w:pPr>
        <w:pStyle w:val="Heading3"/>
      </w:pPr>
      <w:r>
        <w:t xml:space="preserve">(a) </w:t>
      </w:r>
      <w:r>
        <w:rPr>
          <w:rFonts w:hint="eastAsia"/>
        </w:rPr>
        <w:t xml:space="preserve">容量市場</w:t>
      </w:r>
    </w:p>
    <w:p>
      <w:pPr>
        <w:pStyle w:val="FirstParagraph"/>
      </w:pPr>
      <w:r>
        <w:rPr>
          <w:rFonts w:hint="eastAsia"/>
        </w:rPr>
        <w:t xml:space="preserve">北海道の約定価格は上限近傍（14,972円/kW、2029年度向け）で、4時間蓄電池の調整係数83.6%を乗じた実効収入は約1.25万円/kW-年である。第8章の判定はこれを織り込んだうえで</w:t>
      </w:r>
      <w:r>
        <w:t xml:space="preserve"> </w:t>
      </w:r>
      <m:oMath>
        <m:sSup>
          <m:e>
            <m:r>
              <m:t>K</m:t>
            </m:r>
          </m:e>
          <m:sup>
            <m:r>
              <m:t>*</m:t>
            </m:r>
          </m:sup>
        </m:sSup>
        <m:r>
          <m:t>=</m:t>
        </m:r>
        <m:r>
          <m:t>0</m:t>
        </m:r>
      </m:oMath>
      <w:r>
        <w:t xml:space="preserve"> </w:t>
      </w:r>
      <w:r>
        <w:rPr>
          <w:rFonts w:hint="eastAsia"/>
        </w:rPr>
        <w:t xml:space="preserve">であり、容量市場単独では乖離を埋めない。ただし2030年度向けからNet</w:t>
      </w:r>
      <w:r>
        <w:t xml:space="preserve"> </w:t>
      </w:r>
      <w:r>
        <w:rPr>
          <w:rFonts w:hint="eastAsia"/>
        </w:rPr>
        <w:t xml:space="preserve">CONEが約2倍（20,911円/kW）になれば、実効収入は最大で約2.5万円/kW-年程度まで上がりうる。蓄電池の応札急増（169万kW）は容量市場側のカニバリの開始も示唆しており、この上振れは持続的とは限らない。容量価格のK依存は8.5（表8.7）で内生化し、9.4の均衡容量に反映した。</w:t>
      </w:r>
    </w:p>
    <w:bookmarkEnd w:id="128"/>
    <w:bookmarkStart w:id="129" w:name="b-長期脱炭素電源オークション"/>
    <w:p>
      <w:pPr>
        <w:pStyle w:val="Heading3"/>
      </w:pPr>
      <w:r>
        <w:t xml:space="preserve">(b) </w:t>
      </w:r>
      <w:r>
        <w:rPr>
          <w:rFonts w:hint="eastAsia"/>
        </w:rPr>
        <w:t xml:space="preserve">長期脱炭素電源オークション</w:t>
      </w:r>
    </w:p>
    <w:p>
      <w:pPr>
        <w:pStyle w:val="FirstParagraph"/>
      </w:pPr>
      <w:r>
        <w:rPr>
          <w:rFonts w:hint="eastAsia"/>
        </w:rPr>
        <w:t xml:space="preserve">LTDAの落札蓄電池は全国で371.3万kW（第1〜3回、109.2・137.0・125.1万kW）、北海道では少なくとも57.7万kW（第2回までの43.7万kWに、第3回の系統用蓄電所14.0万kWを加えた推定。第3回の別紙にはエリア表記がなく所在地から推定した）である。第3回（2025年度応札分）では蓄電池の応札273.1万kWに対し落札125.1万kW（落札率46%）で、脱炭素電源全体の約定総額は年4,748億円、426.1万kWに対して1kWあたり約11.1万円/年（他市場収益の還付控除前）に達する。他市場収益の約9割を還付する構造のため、LTDA電源は市場収益に依存せず建設され、落札者に残る市場収益は1割にすぎない。この固定収入は本研究の</w:t>
      </w:r>
      <w:r>
        <w:t xml:space="preserve"> </w:t>
      </w:r>
      <m:oMath>
        <m:sSub>
          <m:e>
            <m:r>
              <m:t>c</m:t>
            </m:r>
          </m:e>
          <m:sub>
            <m:r>
              <m:t>r</m:t>
            </m:r>
            <m:r>
              <m:t>e</m:t>
            </m:r>
            <m:r>
              <m:t>q</m:t>
            </m:r>
          </m:sub>
        </m:sSub>
      </m:oMath>
      <w:r>
        <w:rPr>
          <w:rFonts w:hint="eastAsia"/>
        </w:rPr>
        <w:t xml:space="preserve">（3.2〜3.7万円/kW-年）を大きく上回り、接続済み容量と近い将来の運開の相当部分はこの市場外収入に依存する容量で説明される。自然エネルギー財団のコラム（工藤</w:t>
      </w:r>
      <w:r>
        <w:t xml:space="preserve"> </w:t>
      </w:r>
      <w:r>
        <w:rPr>
          <w:rFonts w:hint="eastAsia"/>
        </w:rPr>
        <w:t xml:space="preserve">2025）は、蓄電池以外の参加が低調で募集未達が続く一方で蓄電池は応札が活発で募集が縮減されていること（第3回の募集案では蓄電池は継続時間6時間以上に限定）、9割還付の下では投資リスクと収益が見合わないこと、上限価格の引き上げ（10万円から20万円/kW/年へ）が提案されていることを指摘している。LTDAの要件が4時間より長いdurationを誘導している点は7.4の含意と接続する【要確認：第3回募集要綱の上限価格の最終値と還付3段階の閾値】。蓄電池・揚水の応札が募集量の5倍を超え、制度の有効性が問われていること（自然エネルギー財団</w:t>
      </w:r>
      <w:r>
        <w:t xml:space="preserve"> </w:t>
      </w:r>
      <w:r>
        <w:rPr>
          <w:rFonts w:hint="eastAsia"/>
        </w:rPr>
        <w:t xml:space="preserve">2025）は、市場外収入が市場収益と独立に参入を作り出していることの傍証である。再エネの市場価値の低下が固有の統合問題ではなく政策選択の産物であるという</w:t>
      </w:r>
      <w:r>
        <w:t xml:space="preserve"> Brown and Reichenberg (2021) </w:t>
      </w:r>
      <w:r>
        <w:rPr>
          <w:rFonts w:hint="eastAsia"/>
        </w:rPr>
        <w:t xml:space="preserve">の議論と同型で、蓄電池の参入も何が駆動しているかで市場価値の解釈が変わる。</w:t>
      </w:r>
    </w:p>
    <w:bookmarkEnd w:id="129"/>
    <w:bookmarkStart w:id="130" w:name="c-補助金"/>
    <w:p>
      <w:pPr>
        <w:pStyle w:val="Heading3"/>
      </w:pPr>
      <w:r>
        <w:t xml:space="preserve">(c) </w:t>
      </w:r>
      <w:r>
        <w:rPr>
          <w:rFonts w:hint="eastAsia"/>
        </w:rPr>
        <w:t xml:space="preserve">補助金</w:t>
      </w:r>
    </w:p>
    <w:p>
      <w:pPr>
        <w:pStyle w:val="FirstParagraph"/>
      </w:pPr>
      <w:r>
        <w:rPr>
          <w:rFonts w:hint="eastAsia"/>
        </w:rPr>
        <w:t xml:space="preserve">SIIの系統用蓄電池等導入支援事業は資本費の一定割合を補助し、2024年度採択27件のうち北海道が9件と最多であった。補助率を</w:t>
      </w:r>
      <w:r>
        <w:t xml:space="preserve"> </w:t>
      </w:r>
      <m:oMath>
        <m:r>
          <m:t>s</m:t>
        </m:r>
      </m:oMath>
      <w:r>
        <w:t xml:space="preserve"> </w:t>
      </w:r>
      <w:r>
        <w:rPr>
          <w:rFonts w:hint="eastAsia"/>
        </w:rPr>
        <w:t xml:space="preserve">とすると参入必要収益は</w:t>
      </w:r>
      <w:r>
        <w:t xml:space="preserve"> </w:t>
      </w:r>
      <m:oMath>
        <m:sSub>
          <m:e>
            <m:r>
              <m:t>c</m:t>
            </m:r>
          </m:e>
          <m:sub>
            <m:r>
              <m:t>r</m:t>
            </m:r>
            <m:r>
              <m:t>e</m:t>
            </m:r>
            <m:r>
              <m:t>q</m:t>
            </m:r>
          </m:sub>
        </m:sSub>
      </m:oMath>
      <w:r>
        <w:t xml:space="preserve"> </w:t>
      </w:r>
      <w:r>
        <w:rPr>
          <w:rFonts w:hint="eastAsia"/>
        </w:rPr>
        <w:t xml:space="preserve">から資本費年額×</w:t>
      </w:r>
      <m:oMath>
        <m:r>
          <m:t>s</m:t>
        </m:r>
      </m:oMath>
      <w:r>
        <w:t xml:space="preserve"> </w:t>
      </w:r>
      <w:r>
        <w:rPr>
          <w:rFonts w:hint="eastAsia"/>
        </w:rPr>
        <w:t xml:space="preserve">だけ低下する【要精緻化：公募要領の補助率と交付実績】。</w:t>
      </w:r>
    </w:p>
    <w:bookmarkEnd w:id="130"/>
    <w:bookmarkStart w:id="131" w:name="d-併設蓄電池のローカル価値"/>
    <w:p>
      <w:pPr>
        <w:pStyle w:val="Heading3"/>
      </w:pPr>
      <w:r>
        <w:t xml:space="preserve">(d) </w:t>
      </w:r>
      <w:r>
        <w:rPr>
          <w:rFonts w:hint="eastAsia"/>
        </w:rPr>
        <w:t xml:space="preserve">併設蓄電池のローカル価値</w:t>
      </w:r>
    </w:p>
    <w:p>
      <w:pPr>
        <w:pStyle w:val="FirstParagraph"/>
      </w:pPr>
      <w:r>
        <w:rPr>
          <w:rFonts w:hint="eastAsia"/>
        </w:rPr>
        <w:t xml:space="preserve">9.3で扱う。</w:t>
      </w:r>
    </w:p>
    <w:bookmarkEnd w:id="131"/>
    <w:bookmarkStart w:id="132" w:name="e-残差期待"/>
    <w:p>
      <w:pPr>
        <w:pStyle w:val="Heading3"/>
      </w:pPr>
      <w:r>
        <w:t xml:space="preserve">(e) </w:t>
      </w:r>
      <w:r>
        <w:rPr>
          <w:rFonts w:hint="eastAsia"/>
        </w:rPr>
        <w:t xml:space="preserve">残差＝期待</w:t>
      </w:r>
    </w:p>
    <w:p>
      <w:pPr>
        <w:pStyle w:val="FirstParagraph"/>
      </w:pPr>
      <w:r>
        <w:rPr>
          <w:rFonts w:hint="eastAsia"/>
        </w:rPr>
        <w:t xml:space="preserve">(a)〜(d)で説明できない残りは、参入者が将来について抱く期待に帰属する。候補は、FY2026上期に観察された高スプレッド（TB4h中央値18.7円）の定常化、資本費の継続的低下、需給調整市場の移行期レント、そしてデータセンター需要と泊再稼働の実現である。実物オプションの枠組みでは、収益の不確実性の下で待機が最適となりうる（Shin</w:t>
      </w:r>
      <w:r>
        <w:t xml:space="preserve"> and Lee 2024 </w:t>
      </w:r>
      <w:r>
        <w:rPr>
          <w:rFonts w:hint="eastAsia"/>
        </w:rPr>
        <w:t xml:space="preserve">は韓国の蓄電池についてLSMCで投資タイミングを計算している）。しかし競争的参入の下では待機オプションの価値は競争によって侵食され、Grenadier</w:t>
      </w:r>
      <w:r>
        <w:t xml:space="preserve"> (2002) </w:t>
      </w:r>
      <w:r>
        <w:rPr>
          <w:rFonts w:hint="eastAsia"/>
        </w:rPr>
        <w:t xml:space="preserve">の数値例では競争者が2社で50%、5社で15%に落ち、参入は近視眼的なNPV判断に近づく（Leahy</w:t>
      </w:r>
      <w:r>
        <w:t xml:space="preserve"> </w:t>
      </w:r>
      <w:r>
        <w:rPr>
          <w:rFonts w:hint="eastAsia"/>
        </w:rPr>
        <w:t xml:space="preserve">1993）。参入ラッシュはこの意味で「期待の先取り競争」として解釈しうる。残差は「測れない」のではなく、(a)〜(d)の計測後に定義される量であり、第11章で解釈する。</w:t>
      </w:r>
    </w:p>
    <w:bookmarkEnd w:id="132"/>
    <w:bookmarkEnd w:id="133"/>
    <w:bookmarkStart w:id="137" w:name="併設蓄電池のローカル価値"/>
    <w:p>
      <w:pPr>
        <w:pStyle w:val="Heading2"/>
      </w:pPr>
      <w:r>
        <w:t xml:space="preserve">9.3 </w:t>
      </w:r>
      <w:r>
        <w:rPr>
          <w:rFonts w:hint="eastAsia"/>
        </w:rPr>
        <w:t xml:space="preserve">併設蓄電池のローカル価値</w:t>
      </w:r>
    </w:p>
    <w:bookmarkStart w:id="134" w:name="出力制御の立ち上がりと価格に映らない抑制"/>
    <w:p>
      <w:pPr>
        <w:pStyle w:val="Heading3"/>
      </w:pPr>
      <w:r>
        <w:t xml:space="preserve">9.3.1 </w:t>
      </w:r>
      <w:r>
        <w:rPr>
          <w:rFonts w:hint="eastAsia"/>
        </w:rPr>
        <w:t xml:space="preserve">出力制御の立ち上がりと価格に映らない抑制</w:t>
      </w:r>
    </w:p>
    <w:p>
      <w:pPr>
        <w:pStyle w:val="FirstParagraph"/>
      </w:pPr>
      <w:r>
        <w:rPr>
          <w:rFonts w:hint="eastAsia"/>
        </w:rPr>
        <w:t xml:space="preserve">北海道の風力抑制はエネルギーベースで2022〜24年度に0.01〜0.04%、2025年度に0.10%、2026年度上期に1.35%と立ち上がり、抑制時間は12→109→235時間である。抑制が発生した時間のエリア価格は、床（0.01円）が60〜68%、0.01〜5円が19〜28%、そして5円超が12.8%（FY2025・26とも）である。5円超での抑制はエリア全体の余剰ではなく、ローカル系統の混雑や下げ代の制約を示唆する。第3章で述べたとおり、2025年11月に66kV岩松線で道内初のローカル混雑による出力制御が実施されており、時期は整合する。ノーダル価格のない日本では、この損失はエリア価格に映らず、エリア価格に基づく第8章の</w:t>
      </w:r>
      <w:r>
        <w:t xml:space="preserve"> </w:t>
      </w:r>
      <m:oMath>
        <m:sSub>
          <m:e>
            <m:r>
              <m:t>π</m:t>
            </m:r>
          </m:e>
          <m:sub>
            <m:r>
              <m:t>s</m:t>
            </m:r>
            <m:r>
              <m:t>p</m:t>
            </m:r>
            <m:r>
              <m:t>o</m:t>
            </m:r>
            <m:r>
              <m:t>t</m:t>
            </m:r>
          </m:sub>
        </m:sSub>
      </m:oMath>
      <w:r>
        <w:t xml:space="preserve"> </w:t>
      </w:r>
      <w:r>
        <w:rPr>
          <w:rFonts w:hint="eastAsia"/>
        </w:rPr>
        <w:t xml:space="preserve">は併設蓄電池のこの価値をゼロと計上している。抑制がローカルな現象であることは海外でも確認されており、Maji</w:t>
      </w:r>
      <w:r>
        <w:t xml:space="preserve"> et al. (2025) </w:t>
      </w:r>
      <w:r>
        <w:rPr>
          <w:rFonts w:hint="eastAsia"/>
        </w:rPr>
        <w:t xml:space="preserve">はERCOTの2023年ノード別データで、20%のノードが抑制電力量の77%を占め、抑制イベントの74.3%（抑制電力量の93.4%）が余剰ではなく送電混雑に起因することをノード価格から識別した。ノーダル価格のある市場では混雑は価格に映り併設蓄電池の価値として取引可能になるが、ゾーン価格の日本では同じ損失が市場の外に置かれる。</w:t>
      </w:r>
    </w:p>
    <w:bookmarkEnd w:id="134"/>
    <w:bookmarkStart w:id="135" w:name="回避価値の上限試算"/>
    <w:p>
      <w:pPr>
        <w:pStyle w:val="Heading3"/>
      </w:pPr>
      <w:r>
        <w:t xml:space="preserve">9.3.2 </w:t>
      </w:r>
      <w:r>
        <w:rPr>
          <w:rFonts w:hint="eastAsia"/>
        </w:rPr>
        <w:t xml:space="preserve">回避価値の上限試算</w:t>
      </w:r>
    </w:p>
    <w:p>
      <w:pPr>
        <w:pStyle w:val="FirstParagraph"/>
      </w:pPr>
      <w:r>
        <w:rPr>
          <w:rFonts w:hint="eastAsia"/>
        </w:rPr>
        <w:t xml:space="preserve">併設蓄電池が抑制分を全量吸収できる場合の回避価値の上限は、設備利用率26%・FIP基準価格14円/kWhとして、抑制率1.35%で430円/kW風力-年、3%で957円、5%で1,594円、九州太陽光並みの8%で2,551円/kW風力-年である。系統WGの併設前提（風力1kWあたり0.64kWh）で蓄電池容量あたりに換算すると673〜3,986円/kWh-年で、実勢資本費6.8万円/kWhに対して年0.7〜4%に相当する。現状では小さいが、洋上風力の導入後には系統用のスポット価値と同等の規模になりうる。英国の47風力サイトの併設蓄電池（1MWh、2021年）を評価した</w:t>
      </w:r>
      <w:r>
        <w:t xml:space="preserve"> Atherton et al. (2023) </w:t>
      </w:r>
      <w:r>
        <w:rPr>
          <w:rFonts w:hint="eastAsia"/>
        </w:rPr>
        <w:t xml:space="preserve">は、全サイトが2〜3年で回収するがその主因はどのサイトでも価格裁定であり、抑制の多いスコットランドのサイトでは回収が遅い代わりに抑制削減が大きいことを示した。ただし英国は制約支払いで抑制が補償される制度であり、ノーダル価格のERCOT、補償のないゾーン価格の日本とは、ローカル制約の価値の帰属先が異なる。併設蓄電池の価値が裁定と抑制回避の二つの成分からなり、後者の比重が系統制約で決まるという構図は本研究の①＋②の分解と同じである（容量制約下の回避可能率は9.3.2で評価済み。OCCTO月次検証資料による抑制の分解は【要更新】）。</w:t>
      </w:r>
    </w:p>
    <w:p>
      <w:pPr>
        <w:pStyle w:val="BodyText"/>
      </w:pPr>
      <w:r>
        <w:rPr>
          <w:rFonts w:hint="eastAsia"/>
        </w:rPr>
        <w:t xml:space="preserve">併設容量の制約下での回避可能率を、2025年4月〜2026年6月の時間値（抑制電力量13,184MWh、344時間、53イベント）で評価した。抑制はすべて6〜17時に発生し（8〜15時に電力量の約8割）、イベントの持続時間は中央値8時間・最大10時間、電力量加重平均で7.5時間である。抑制量はフリート設備容量比で中央値1.4%、平均2.7%、90パーセンタイルでも6.0%にとどまるため、系統WGの併設前提（風力1kWあたり0.64kWh、4時間なら0.16kW）の蓄電池は、フリート全体に一様に分布する限り抑制の96.8%を吸収できる（表9.1）。ただし抑制はローカルに集中する。Maji</w:t>
      </w:r>
      <w:r>
        <w:t xml:space="preserve"> et al. (2025) </w:t>
      </w:r>
      <w:r>
        <w:rPr>
          <w:rFonts w:hint="eastAsia"/>
        </w:rPr>
        <w:t xml:space="preserve">のERCOTの分布（20%のノードが抑制電力量の77%）を当てはめ、容量シェア20%のサイト群に抑制の77%が集中すると仮定すると、回避可能率は65.3%に下がる。実効的な回避価値は上限の65〜97%、抑制率1.35%で280〜417円/kW風力-年である。併設容量を倍の1.28kWh/kWにすれば集中ケースでも84%に上がる一方、放電時間を2時間に短縮しても2ポイントしか改善しないから、制約は出力ではなく容量（kWh）である。北海道のローカル混雑による抑制がどのサイトに集中しているかはOCCTOの月次検証資料で確認する【要更新：月次検証資料の取得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併設仕様（kWh/kW・放電時間）</w:t>
            </w:r>
          </w:p>
        </w:tc>
        <w:tc>
          <w:tcPr/>
          <w:p>
            <w:pPr>
              <w:pStyle w:val="Compact"/>
            </w:pPr>
            <w:r>
              <w:rPr>
                <w:rFonts w:hint="eastAsia"/>
              </w:rPr>
              <w:t xml:space="preserve">一様分布</w:t>
            </w:r>
          </w:p>
        </w:tc>
        <w:tc>
          <w:tcPr/>
          <w:p>
            <w:pPr>
              <w:pStyle w:val="Compact"/>
            </w:pPr>
            <w:r>
              <w:rPr>
                <w:rFonts w:hint="eastAsia"/>
              </w:rPr>
              <w:t xml:space="preserve">集中（容量20%のサイトに抑制の77%）</w:t>
            </w:r>
          </w:p>
        </w:tc>
      </w:tr>
      <w:tr>
        <w:tc>
          <w:tcPr/>
          <w:p>
            <w:pPr>
              <w:pStyle w:val="Compact"/>
            </w:pPr>
            <w:r>
              <w:rPr>
                <w:rFonts w:hint="eastAsia"/>
              </w:rPr>
              <w:t xml:space="preserve">0.64・4時間</w:t>
            </w:r>
          </w:p>
        </w:tc>
        <w:tc>
          <w:tcPr/>
          <w:p>
            <w:pPr>
              <w:pStyle w:val="Compact"/>
            </w:pPr>
            <w:r>
              <w:t xml:space="preserve">96.8%</w:t>
            </w:r>
          </w:p>
        </w:tc>
        <w:tc>
          <w:tcPr/>
          <w:p>
            <w:pPr>
              <w:pStyle w:val="Compact"/>
            </w:pPr>
            <w:r>
              <w:t xml:space="preserve">65.3%</w:t>
            </w:r>
          </w:p>
        </w:tc>
      </w:tr>
      <w:tr>
        <w:tc>
          <w:tcPr/>
          <w:p>
            <w:pPr>
              <w:pStyle w:val="Compact"/>
            </w:pPr>
            <w:r>
              <w:rPr>
                <w:rFonts w:hint="eastAsia"/>
              </w:rPr>
              <w:t xml:space="preserve">0.64・2時間</w:t>
            </w:r>
          </w:p>
        </w:tc>
        <w:tc>
          <w:tcPr/>
          <w:p>
            <w:pPr>
              <w:pStyle w:val="Compact"/>
            </w:pPr>
            <w:r>
              <w:t xml:space="preserve">99.2%</w:t>
            </w:r>
          </w:p>
        </w:tc>
        <w:tc>
          <w:tcPr/>
          <w:p>
            <w:pPr>
              <w:pStyle w:val="Compact"/>
            </w:pPr>
            <w:r>
              <w:t xml:space="preserve">67.3%</w:t>
            </w:r>
          </w:p>
        </w:tc>
      </w:tr>
      <w:tr>
        <w:tc>
          <w:tcPr/>
          <w:p>
            <w:pPr>
              <w:pStyle w:val="Compact"/>
            </w:pPr>
            <w:r>
              <w:rPr>
                <w:rFonts w:hint="eastAsia"/>
              </w:rPr>
              <w:t xml:space="preserve">1.28・4時間</w:t>
            </w:r>
          </w:p>
        </w:tc>
        <w:tc>
          <w:tcPr/>
          <w:p>
            <w:pPr>
              <w:pStyle w:val="Compact"/>
            </w:pPr>
            <w:r>
              <w:t xml:space="preserve">100%</w:t>
            </w:r>
          </w:p>
        </w:tc>
        <w:tc>
          <w:tcPr/>
          <w:p>
            <w:pPr>
              <w:pStyle w:val="Compact"/>
            </w:pPr>
            <w:r>
              <w:t xml:space="preserve">84.3%</w:t>
            </w:r>
          </w:p>
        </w:tc>
      </w:tr>
      <w:tr>
        <w:tc>
          <w:tcPr/>
          <w:p>
            <w:pPr>
              <w:pStyle w:val="Compact"/>
            </w:pPr>
            <w:r>
              <w:rPr>
                <w:rFonts w:hint="eastAsia"/>
              </w:rPr>
              <w:t xml:space="preserve">2.0・4時間</w:t>
            </w:r>
          </w:p>
        </w:tc>
        <w:tc>
          <w:tcPr/>
          <w:p>
            <w:pPr>
              <w:pStyle w:val="Compact"/>
            </w:pPr>
            <w:r>
              <w:t xml:space="preserve">100%</w:t>
            </w:r>
          </w:p>
        </w:tc>
        <w:tc>
          <w:tcPr/>
          <w:p>
            <w:pPr>
              <w:pStyle w:val="Compact"/>
            </w:pPr>
            <w:r>
              <w:t xml:space="preserve">93.8%</w:t>
            </w:r>
          </w:p>
        </w:tc>
      </w:tr>
    </w:tbl>
    <w:p>
      <w:pPr>
        <w:pStyle w:val="BodyText"/>
      </w:pPr>
      <w:r>
        <w:rPr>
          <w:rFonts w:hint="eastAsia"/>
        </w:rPr>
        <w:t xml:space="preserve">表9.1</w:t>
      </w:r>
      <w:r>
        <w:t xml:space="preserve"> </w:t>
      </w:r>
      <w:r>
        <w:rPr>
          <w:rFonts w:hint="eastAsia"/>
        </w:rPr>
        <w:t xml:space="preserve">併設蓄電池の容量制約下での抑制回避可能率（北海道風力、2025年4月〜2026年6月の時間値、フリート集約SoCシミュレーション）</w:t>
      </w:r>
    </w:p>
    <w:bookmarkEnd w:id="135"/>
    <w:bookmarkStart w:id="136" w:name="定式化"/>
    <w:p>
      <w:pPr>
        <w:pStyle w:val="Heading3"/>
      </w:pPr>
      <w:r>
        <w:t xml:space="preserve">9.3.3 </w:t>
      </w:r>
      <w:r>
        <w:rPr>
          <w:rFonts w:hint="eastAsia"/>
        </w:rPr>
        <w:t xml:space="preserve">定式化</w:t>
      </w:r>
    </w:p>
    <w:p>
      <w:pPr>
        <w:pStyle w:val="FirstParagraph"/>
      </w:pPr>
      <w:r>
        <w:rPr>
          <w:rFonts w:hint="eastAsia"/>
        </w:rPr>
        <w:t xml:space="preserve">蓄電池の私的価値を次の3成分に分解する。</w:t>
      </w:r>
    </w:p>
    <w:p>
      <w:pPr>
        <w:pStyle w:val="BodyText"/>
      </w:pPr>
      <m:oMathPara>
        <m:oMathParaPr>
          <m:jc m:val="center"/>
        </m:oMathParaPr>
        <m:oMath>
          <m:r>
            <m:t>π</m:t>
          </m:r>
          <m:r>
            <m:t>=</m:t>
          </m:r>
          <m:limLow>
            <m:e>
              <m:limLow>
                <m:e>
                  <m:sSub>
                    <m:e>
                      <m:r>
                        <m:t>π</m:t>
                      </m:r>
                    </m:e>
                    <m:sub>
                      <m:r>
                        <m:t>s</m:t>
                      </m:r>
                      <m:r>
                        <m:t>p</m:t>
                      </m:r>
                      <m:r>
                        <m:t>o</m:t>
                      </m:r>
                      <m:r>
                        <m:t>t</m:t>
                      </m:r>
                    </m:sub>
                  </m:sSub>
                </m:e>
                <m:lim>
                  <m:r>
                    <m:t>⏟</m:t>
                  </m:r>
                </m:lim>
              </m:limLow>
            </m:e>
            <m:lim>
              <m:r>
                <m:t>①</m:t>
              </m:r>
              <m:r>
                <m:rPr>
                  <m:nor/>
                  <m:sty m:val="p"/>
                </m:rPr>
                <m:t>エリア価格裁定（系統用/併設共通）</m:t>
              </m:r>
            </m:lim>
          </m:limLow>
          <m:r>
            <m:t>+</m:t>
          </m:r>
          <m:limLow>
            <m:e>
              <m:limLow>
                <m:e>
                  <m:sSub>
                    <m:e>
                      <m:r>
                        <m:t>π</m:t>
                      </m:r>
                    </m:e>
                    <m:sub>
                      <m:r>
                        <m:t>l</m:t>
                      </m:r>
                      <m:r>
                        <m:t>o</m:t>
                      </m:r>
                      <m:r>
                        <m:t>c</m:t>
                      </m:r>
                      <m:r>
                        <m:t>a</m:t>
                      </m:r>
                      <m:r>
                        <m:t>l</m:t>
                      </m:r>
                    </m:sub>
                  </m:sSub>
                </m:e>
                <m:lim>
                  <m:r>
                    <m:t>⏟</m:t>
                  </m:r>
                </m:lim>
              </m:limLow>
            </m:e>
            <m:lim>
              <m:r>
                <m:t>②</m:t>
              </m:r>
              <m:r>
                <m:rPr>
                  <m:nor/>
                  <m:sty m:val="p"/>
                </m:rPr>
                <m:t>ローカル抑制回避（併設固有・価格に不可視）</m:t>
              </m:r>
            </m:lim>
          </m:limLow>
          <m:r>
            <m:t>+</m:t>
          </m:r>
          <m:limLow>
            <m:e>
              <m:limLow>
                <m:e>
                  <m:r>
                    <m:t>κ</m:t>
                  </m:r>
                  <m:sSub>
                    <m:e>
                      <m:r>
                        <m:t>P</m:t>
                      </m:r>
                    </m:e>
                    <m:sub>
                      <m:r>
                        <m:t>c</m:t>
                      </m:r>
                      <m:r>
                        <m:t>a</m:t>
                      </m:r>
                      <m:r>
                        <m:t>p</m:t>
                      </m:r>
                    </m:sub>
                  </m:sSub>
                  <m:r>
                    <m:t>+</m:t>
                  </m:r>
                  <m:r>
                    <m:t>…</m:t>
                  </m:r>
                </m:e>
                <m:lim>
                  <m:r>
                    <m:t>⏟</m:t>
                  </m:r>
                </m:lim>
              </m:limLow>
            </m:e>
            <m:lim>
              <m:r>
                <m:t>③</m:t>
              </m:r>
              <m:r>
                <m:rPr>
                  <m:nor/>
                  <m:sty m:val="p"/>
                </m:rPr>
                <m:t>容量市場等（系統用中心）</m:t>
              </m:r>
            </m:lim>
          </m:limLow>
        </m:oMath>
      </m:oMathPara>
    </w:p>
    <w:p>
      <w:pPr>
        <w:pStyle w:val="FirstParagraph"/>
      </w:pPr>
      <m:oMath>
        <m:sSup>
          <m:e>
            <m:r>
              <m:t>K</m:t>
            </m:r>
          </m:e>
          <m:sup>
            <m:r>
              <m:t>*</m:t>
            </m:r>
          </m:sup>
        </m:sSup>
      </m:oMath>
      <w:r>
        <w:t xml:space="preserve"> </w:t>
      </w:r>
      <w:r>
        <w:rPr>
          <w:rFonts w:hint="eastAsia"/>
        </w:rPr>
        <w:t xml:space="preserve">の主結果は①＋③の系統用マーチャント容量で立て、併設は現時点では制度（FIP併設・併設要件）に依存する容量として外生に置く。抑制率の上昇とともに②が内生的な参入動機に変わるため、併設蓄電池の参入条件</w:t>
      </w:r>
      <w:r>
        <w:t xml:space="preserve"> </w:t>
      </w:r>
      <m:oMath>
        <m:sSubSup>
          <m:e>
            <m:r>
              <m:t>π</m:t>
            </m:r>
          </m:e>
          <m:sub>
            <m:r>
              <m:t>s</m:t>
            </m:r>
            <m:r>
              <m:t>p</m:t>
            </m:r>
            <m:r>
              <m:t>o</m:t>
            </m:r>
            <m:r>
              <m:t>t</m:t>
            </m:r>
          </m:sub>
          <m:sup>
            <m:r>
              <m:t>′</m:t>
            </m:r>
          </m:sup>
        </m:sSubSup>
        <m:r>
          <m:t>+</m:t>
        </m:r>
        <m:sSub>
          <m:e>
            <m:r>
              <m:t>π</m:t>
            </m:r>
          </m:e>
          <m:sub>
            <m:r>
              <m:t>l</m:t>
            </m:r>
            <m:r>
              <m:t>o</m:t>
            </m:r>
            <m:r>
              <m:t>c</m:t>
            </m:r>
            <m:r>
              <m:t>a</m:t>
            </m:r>
            <m:r>
              <m:t>l</m:t>
            </m:r>
          </m:sub>
        </m:sSub>
        <m:r>
          <m:t>≥</m:t>
        </m:r>
        <m:sSubSup>
          <m:e>
            <m:r>
              <m:t>c</m:t>
            </m:r>
          </m:e>
          <m:sub>
            <m:r>
              <m:t>r</m:t>
            </m:r>
            <m:r>
              <m:t>e</m:t>
            </m:r>
            <m:r>
              <m:t>q</m:t>
            </m:r>
          </m:sub>
          <m:sup>
            <m:r>
              <m:t>併</m:t>
            </m:r>
            <m:r>
              <m:t>設</m:t>
            </m:r>
          </m:sup>
        </m:sSubSup>
      </m:oMath>
      <w:r>
        <w:t xml:space="preserve"> </w:t>
      </w:r>
      <w:r>
        <w:rPr>
          <w:rFonts w:hint="eastAsia"/>
        </w:rPr>
        <w:t xml:space="preserve">を別建てで示す。</w:t>
      </w:r>
    </w:p>
    <w:bookmarkEnd w:id="136"/>
    <w:bookmarkEnd w:id="137"/>
    <w:bookmarkStart w:id="141" w:name="損益分岐面"/>
    <w:p>
      <w:pPr>
        <w:pStyle w:val="Heading2"/>
      </w:pPr>
      <w:r>
        <w:t xml:space="preserve">9.4 </w:t>
      </w:r>
      <w:r>
        <w:rPr>
          <w:rFonts w:hint="eastAsia"/>
        </w:rPr>
        <w:t xml:space="preserve">損益分岐面</w:t>
      </w:r>
    </w:p>
    <w:p>
      <w:pPr>
        <w:pStyle w:val="FirstParagraph"/>
      </w:pPr>
      <m:oMath>
        <m:sSup>
          <m:e>
            <m:r>
              <m:t>K</m:t>
            </m:r>
          </m:e>
          <m:sup>
            <m:r>
              <m:t>*</m:t>
            </m:r>
          </m:sup>
        </m:sSup>
        <m:r>
          <m:t>&gt;</m:t>
        </m:r>
        <m:r>
          <m:t>0</m:t>
        </m:r>
      </m:oMath>
      <w:r>
        <w:t xml:space="preserve"> </w:t>
      </w:r>
      <w:r>
        <w:rPr>
          <w:rFonts w:hint="eastAsia"/>
        </w:rPr>
        <w:t xml:space="preserve">に転じる条件を、資本費・実効容量収入・価格水準係数</w:t>
      </w:r>
      <w:r>
        <w:t xml:space="preserve"> </w:t>
      </w:r>
      <m:oMath>
        <m:r>
          <m:t>θ</m:t>
        </m:r>
      </m:oMath>
      <w:r>
        <w:t xml:space="preserve"> </w:t>
      </w:r>
      <w:r>
        <w:rPr>
          <w:rFonts w:hint="eastAsia"/>
        </w:rPr>
        <w:t xml:space="preserve">の3次元で示す。参入条件</w:t>
      </w:r>
      <w:r>
        <w:t xml:space="preserve"> </w:t>
      </w:r>
      <m:oMath>
        <m:r>
          <m:t>θ</m:t>
        </m:r>
        <m:r>
          <m:t> </m:t>
        </m:r>
        <m:sSub>
          <m:e>
            <m:r>
              <m:t>π</m:t>
            </m:r>
          </m:e>
          <m:sub>
            <m:r>
              <m:t>P</m:t>
            </m:r>
            <m:r>
              <m:t>F</m:t>
            </m:r>
          </m:sub>
        </m:sSub>
        <m:r>
          <m:t>(</m:t>
        </m:r>
        <m:r>
          <m:t>0</m:t>
        </m:r>
        <m:r>
          <m:t>)</m:t>
        </m:r>
        <m:r>
          <m:t> </m:t>
        </m:r>
        <m:r>
          <m:t>c</m:t>
        </m:r>
        <m:r>
          <m:t>−</m:t>
        </m:r>
        <m:r>
          <m:t>充</m:t>
        </m:r>
        <m:r>
          <m:t>電</m:t>
        </m:r>
        <m:r>
          <m:t>従</m:t>
        </m:r>
        <m:r>
          <m:t>量</m:t>
        </m:r>
        <m:r>
          <m:t>負</m:t>
        </m:r>
        <m:r>
          <m:t>担</m:t>
        </m:r>
        <m:r>
          <m:t>+</m:t>
        </m:r>
        <m:r>
          <m:t>κ</m:t>
        </m:r>
        <m:sSub>
          <m:e>
            <m:r>
              <m:t>P</m:t>
            </m:r>
          </m:e>
          <m:sub>
            <m:r>
              <m:t>c</m:t>
            </m:r>
            <m:r>
              <m:t>a</m:t>
            </m:r>
            <m:r>
              <m:t>p</m:t>
            </m:r>
          </m:sub>
        </m:sSub>
        <m:r>
          <m:t>≥</m:t>
        </m:r>
        <m:sSub>
          <m:e>
            <m:r>
              <m:t>c</m:t>
            </m:r>
          </m:e>
          <m:sub>
            <m:r>
              <m:t>r</m:t>
            </m:r>
            <m:r>
              <m:t>e</m:t>
            </m:r>
            <m:r>
              <m:t>q</m:t>
            </m:r>
          </m:sub>
        </m:sSub>
      </m:oMath>
      <w:r>
        <w:rPr>
          <w:rFonts w:hint="eastAsia"/>
        </w:rPr>
        <w:t xml:space="preserve">（5.4.3）は</w:t>
      </w:r>
      <w:r>
        <w:t xml:space="preserve"> </w:t>
      </w:r>
      <m:oMath>
        <m:r>
          <m:t>θ</m:t>
        </m:r>
      </m:oMath>
      <w:r>
        <w:t xml:space="preserve"> </w:t>
      </w:r>
      <w:r>
        <w:rPr>
          <w:rFonts w:hint="eastAsia"/>
        </w:rPr>
        <w:t xml:space="preserve">について線形なので、K=0で参入が開く損益分岐の水準係数は</w:t>
      </w:r>
    </w:p>
    <w:p>
      <w:pPr>
        <w:pStyle w:val="BodyText"/>
      </w:pPr>
      <m:oMathPara>
        <m:oMathParaPr>
          <m:jc m:val="center"/>
        </m:oMathParaPr>
        <m:oMath>
          <m:sSup>
            <m:e>
              <m:r>
                <m:t>θ</m:t>
              </m:r>
            </m:e>
            <m:sup>
              <m:r>
                <m:t>*</m:t>
              </m:r>
            </m:sup>
          </m:sSup>
          <m:r>
            <m:t>=</m:t>
          </m:r>
          <m:f>
            <m:fPr>
              <m:type m:val="bar"/>
            </m:fPr>
            <m:num>
              <m:sSub>
                <m:e>
                  <m:r>
                    <m:t>c</m:t>
                  </m:r>
                </m:e>
                <m:sub>
                  <m:r>
                    <m:t>r</m:t>
                  </m:r>
                  <m:r>
                    <m:t>e</m:t>
                  </m:r>
                  <m:r>
                    <m:t>q</m:t>
                  </m:r>
                </m:sub>
              </m:sSub>
              <m:r>
                <m:t>(</m:t>
              </m:r>
              <m:r>
                <m:t>資</m:t>
              </m:r>
              <m:r>
                <m:t>本</m:t>
              </m:r>
              <m:r>
                <m:t>費</m:t>
              </m:r>
              <m:r>
                <m:t>,</m:t>
              </m:r>
              <m:r>
                <m:t>W</m:t>
              </m:r>
              <m:r>
                <m:t>A</m:t>
              </m:r>
              <m:r>
                <m:t>C</m:t>
              </m:r>
              <m:r>
                <m:t>C</m:t>
              </m:r>
              <m:r>
                <m:t>)</m:t>
              </m:r>
              <m:r>
                <m:t>−</m:t>
              </m:r>
              <m:r>
                <m:t>κ</m:t>
              </m:r>
              <m:sSub>
                <m:e>
                  <m:r>
                    <m:t>P</m:t>
                  </m:r>
                </m:e>
                <m:sub>
                  <m:r>
                    <m:t>c</m:t>
                  </m:r>
                  <m:r>
                    <m:t>a</m:t>
                  </m:r>
                  <m:r>
                    <m:t>p</m:t>
                  </m:r>
                </m:sub>
              </m:sSub>
              <m:r>
                <m:t>+</m:t>
              </m:r>
              <m:r>
                <m:t>充</m:t>
              </m:r>
              <m:r>
                <m:t>電</m:t>
              </m:r>
              <m:r>
                <m:t>従</m:t>
              </m:r>
              <m:r>
                <m:t>量</m:t>
              </m:r>
              <m:r>
                <m:t>負</m:t>
              </m:r>
              <m:r>
                <m:t>担</m:t>
              </m:r>
            </m:num>
            <m:den>
              <m:r>
                <m:t>c</m:t>
              </m:r>
              <m:r>
                <m:t>⋅</m:t>
              </m:r>
              <m:sSub>
                <m:e>
                  <m:r>
                    <m:t>π</m:t>
                  </m:r>
                </m:e>
                <m:sub>
                  <m:r>
                    <m:t>P</m:t>
                  </m:r>
                  <m:r>
                    <m:t>F</m:t>
                  </m:r>
                </m:sub>
              </m:sSub>
              <m:r>
                <m:t>(</m:t>
              </m:r>
              <m:r>
                <m:t>0</m:t>
              </m:r>
              <m:r>
                <m:t>)</m:t>
              </m:r>
            </m:den>
          </m:f>
        </m:oMath>
      </m:oMathPara>
    </w:p>
    <w:p>
      <w:pPr>
        <w:pStyle w:val="FirstParagraph"/>
      </w:pPr>
      <w:r>
        <w:rPr>
          <w:rFonts w:hint="eastAsia"/>
        </w:rPr>
        <w:t xml:space="preserve">と閉じた形で求まる（</w:t>
      </w:r>
      <m:oMath>
        <m:sSub>
          <m:e>
            <m:r>
              <m:t>c</m:t>
            </m:r>
          </m:e>
          <m:sub>
            <m:r>
              <m:t>r</m:t>
            </m:r>
            <m:r>
              <m:t>e</m:t>
            </m:r>
            <m:r>
              <m:t>q</m:t>
            </m:r>
          </m:sub>
        </m:sSub>
      </m:oMath>
      <w:r>
        <w:t xml:space="preserve"> </w:t>
      </w:r>
      <w:r>
        <w:rPr>
          <w:rFonts w:hint="eastAsia"/>
        </w:rPr>
        <w:t xml:space="preserve">は4時間分の資本費×CRF(WACC,</w:t>
      </w:r>
      <w:r>
        <w:t xml:space="preserve"> </w:t>
      </w:r>
      <w:r>
        <w:rPr>
          <w:rFonts w:hint="eastAsia"/>
        </w:rPr>
        <w:t xml:space="preserve">20年)＋運維・廃止0.53万円＋託送等固定0.69万円/kW-年、</w:t>
      </w:r>
      <m:oMath>
        <m:sSub>
          <m:e>
            <m:r>
              <m:t>π</m:t>
            </m:r>
          </m:e>
          <m:sub>
            <m:r>
              <m:t>P</m:t>
            </m:r>
            <m:r>
              <m:t>F</m:t>
            </m:r>
          </m:sub>
        </m:sSub>
        <m:r>
          <m:t>(</m:t>
        </m:r>
        <m:r>
          <m:t>0</m:t>
        </m:r>
        <m:r>
          <m:t>)</m:t>
        </m:r>
      </m:oMath>
      <w:r>
        <w:rPr>
          <w:rFonts w:hint="eastAsia"/>
        </w:rPr>
        <w:t xml:space="preserve">=8,265円、</w:t>
      </w:r>
      <m:oMath>
        <m:r>
          <m:t>c</m:t>
        </m:r>
      </m:oMath>
      <w:r>
        <w:rPr>
          <w:rFonts w:hint="eastAsia"/>
        </w:rPr>
        <w:t xml:space="preserve">=0.81）。表9.2と図9.1は</w:t>
      </w:r>
      <w:r>
        <w:t xml:space="preserve"> </w:t>
      </w:r>
      <m:oMath>
        <m:sSup>
          <m:e>
            <m:r>
              <m:t>θ</m:t>
            </m:r>
          </m:e>
          <m:sup>
            <m:r>
              <m:t>*</m:t>
            </m:r>
          </m:sup>
        </m:sSup>
      </m:oMath>
      <w:r>
        <w:t xml:space="preserve"> </w:t>
      </w:r>
      <w:r>
        <w:rPr>
          <w:rFonts w:hint="eastAsia"/>
        </w:rPr>
        <w:t xml:space="preserve">の格子である。現状（資本費6.8万円/kWh、実効容量収入1.25万円）では</w:t>
      </w:r>
      <w:r>
        <w:t xml:space="preserve"> </w:t>
      </w:r>
      <m:oMath>
        <m:sSup>
          <m:e>
            <m:r>
              <m:t>θ</m:t>
            </m:r>
          </m:e>
          <m:sup>
            <m:r>
              <m:t>*</m:t>
            </m:r>
          </m:sup>
        </m:sSup>
      </m:oMath>
      <w:r>
        <w:rPr>
          <w:rFonts w:hint="eastAsia"/>
        </w:rPr>
        <w:t xml:space="preserve">=3.76、すなわちFY2023〜25の3.8倍の価格水準が必要である。2030年度向けのNet</w:t>
      </w:r>
      <w:r>
        <w:t xml:space="preserve"> </w:t>
      </w:r>
      <w:r>
        <w:rPr>
          <w:rFonts w:hint="eastAsia"/>
        </w:rPr>
        <w:t xml:space="preserve">CONE（20,911円、実効1.75万円）でも3.0、揚水並みの資本費2.3万円/kWhでも現行の容量収入では1.42で、FY2023〜25の水準（</w:t>
      </w:r>
      <m:oMath>
        <m:r>
          <m:t>θ</m:t>
        </m:r>
      </m:oMath>
      <w:r>
        <w:rPr>
          <w:rFonts w:hint="eastAsia"/>
        </w:rPr>
        <w:t xml:space="preserve">=1）では参入が開かない。参入が開くのは、資本費2.3万円/kWhかつ実効容量収入1.75万円以上（</w:t>
      </w:r>
      <m:oMath>
        <m:sSup>
          <m:e>
            <m:r>
              <m:t>θ</m:t>
            </m:r>
          </m:e>
          <m:sup>
            <m:r>
              <m:t>*</m:t>
            </m:r>
          </m:sup>
        </m:sSup>
      </m:oMath>
      <w:r>
        <w:rPr>
          <w:rFonts w:hint="eastAsia"/>
        </w:rPr>
        <w:t xml:space="preserve">=0.67）、資本費4万円/kWhかつ容量収入2.5万円（0.42）、資本費5万円/kWh以下かつ容量収入2.5万円かつFY2026上期並みの価格水準（0.94〜1.46）、といった連言条件の下に限られる。</w:t>
      </w:r>
    </w:p>
    <w:p>
      <w:pPr>
        <w:pStyle w:val="CaptionedFigure"/>
      </w:pPr>
      <w:r>
        <w:drawing>
          <wp:inline>
            <wp:extent cx="5334000" cy="3380064"/>
            <wp:effectExtent b="0" l="0" r="0" t="0"/>
            <wp:docPr descr="図9.1 損益分岐面（θ* の等高線）" title="" id="139" name="Picture"/>
            <a:graphic>
              <a:graphicData uri="http://schemas.openxmlformats.org/drawingml/2006/picture">
                <pic:pic>
                  <pic:nvPicPr>
                    <pic:cNvPr descr="/home/user/work/thesis/figures/hokkaido/breakeven_frontier.png" id="140" name="Picture"/>
                    <pic:cNvPicPr>
                      <a:picLocks noChangeArrowheads="1" noChangeAspect="1"/>
                    </pic:cNvPicPr>
                  </pic:nvPicPr>
                  <pic:blipFill>
                    <a:blip r:embed="rId138"/>
                    <a:stretch>
                      <a:fillRect/>
                    </a:stretch>
                  </pic:blipFill>
                  <pic:spPr bwMode="auto">
                    <a:xfrm>
                      <a:off x="0" y="0"/>
                      <a:ext cx="5334000" cy="3380064"/>
                    </a:xfrm>
                    <a:prstGeom prst="rect">
                      <a:avLst/>
                    </a:prstGeom>
                    <a:noFill/>
                    <a:ln w="9525">
                      <a:noFill/>
                      <a:headEnd/>
                      <a:tailEnd/>
                    </a:ln>
                  </pic:spPr>
                </pic:pic>
              </a:graphicData>
            </a:graphic>
          </wp:inline>
        </w:drawing>
      </w:r>
    </w:p>
    <w:p>
      <w:pPr>
        <w:pStyle w:val="ImageCaption"/>
      </w:pPr>
      <w:r>
        <w:rPr>
          <w:rFonts w:hint="eastAsia"/>
        </w:rPr>
        <w:t xml:space="preserve">図9.1</w:t>
      </w:r>
      <w:r>
        <w:t xml:space="preserve"> </w:t>
      </w:r>
      <w:r>
        <w:rPr>
          <w:rFonts w:hint="eastAsia"/>
        </w:rPr>
        <w:t xml:space="preserve">損益分岐面（θ*</w:t>
      </w:r>
      <w:r>
        <w:t xml:space="preserve"> </w:t>
      </w:r>
      <w:r>
        <w:rPr>
          <w:rFonts w:hint="eastAsia"/>
        </w:rPr>
        <w:t xml:space="preserve">の等高線）</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資本費（万円/kWh）</w:t>
            </w:r>
          </w:p>
        </w:tc>
        <w:tc>
          <w:tcPr/>
          <w:p>
            <w:pPr>
              <w:pStyle w:val="Compact"/>
            </w:pPr>
            <w:r>
              <w:rPr>
                <w:rFonts w:hint="eastAsia"/>
              </w:rPr>
              <w:t xml:space="preserve">容量収入なし</w:t>
            </w:r>
          </w:p>
        </w:tc>
        <w:tc>
          <w:tcPr/>
          <w:p>
            <w:pPr>
              <w:pStyle w:val="Compact"/>
            </w:pPr>
            <w:r>
              <w:rPr>
                <w:rFonts w:hint="eastAsia"/>
              </w:rPr>
              <w:t xml:space="preserve">0.83万（発動指令）</w:t>
            </w:r>
          </w:p>
        </w:tc>
        <w:tc>
          <w:tcPr/>
          <w:p>
            <w:pPr>
              <w:pStyle w:val="Compact"/>
            </w:pPr>
            <w:r>
              <w:rPr>
                <w:rFonts w:hint="eastAsia"/>
              </w:rPr>
              <w:t xml:space="preserve">1.25万（現行）</w:t>
            </w:r>
          </w:p>
        </w:tc>
        <w:tc>
          <w:tcPr/>
          <w:p>
            <w:pPr>
              <w:pStyle w:val="Compact"/>
            </w:pPr>
            <w:r>
              <w:rPr>
                <w:rFonts w:hint="eastAsia"/>
              </w:rPr>
              <w:t xml:space="preserve">1.75万（Net</w:t>
            </w:r>
            <w:r>
              <w:t xml:space="preserve"> CONE </w:t>
            </w:r>
            <w:r>
              <w:rPr>
                <w:rFonts w:hint="eastAsia"/>
              </w:rPr>
              <w:t xml:space="preserve">2030）</w:t>
            </w:r>
          </w:p>
        </w:tc>
        <w:tc>
          <w:tcPr/>
          <w:p>
            <w:pPr>
              <w:pStyle w:val="Compact"/>
            </w:pPr>
            <w:r>
              <w:rPr>
                <w:rFonts w:hint="eastAsia"/>
              </w:rPr>
              <w:t xml:space="preserve">2.5万（上限近傍）</w:t>
            </w:r>
          </w:p>
        </w:tc>
      </w:tr>
      <w:tr>
        <w:tc>
          <w:tcPr/>
          <w:p>
            <w:pPr>
              <w:pStyle w:val="Compact"/>
            </w:pPr>
            <w:r>
              <w:rPr>
                <w:rFonts w:hint="eastAsia"/>
              </w:rPr>
              <w:t xml:space="preserve">2.3（揚水並み）</w:t>
            </w:r>
          </w:p>
        </w:tc>
        <w:tc>
          <w:tcPr/>
          <w:p>
            <w:pPr>
              <w:pStyle w:val="Compact"/>
            </w:pPr>
            <w:r>
              <w:t xml:space="preserve">3.28</w:t>
            </w:r>
          </w:p>
        </w:tc>
        <w:tc>
          <w:tcPr/>
          <w:p>
            <w:pPr>
              <w:pStyle w:val="Compact"/>
            </w:pPr>
            <w:r>
              <w:t xml:space="preserve">2.04</w:t>
            </w:r>
          </w:p>
        </w:tc>
        <w:tc>
          <w:tcPr/>
          <w:p>
            <w:pPr>
              <w:pStyle w:val="Compact"/>
            </w:pPr>
            <w:r>
              <w:t xml:space="preserve">1.42</w:t>
            </w:r>
          </w:p>
        </w:tc>
        <w:tc>
          <w:tcPr/>
          <w:p>
            <w:pPr>
              <w:pStyle w:val="Compact"/>
            </w:pPr>
            <w:r>
              <w:rPr>
                <w:b/>
                <w:bCs/>
              </w:rPr>
              <w:t xml:space="preserve">0.67</w:t>
            </w:r>
          </w:p>
        </w:tc>
        <w:tc>
          <w:tcPr/>
          <w:p>
            <w:pPr>
              <w:pStyle w:val="Compact"/>
            </w:pPr>
            <w:r>
              <w:rPr>
                <w:b/>
                <w:bCs/>
              </w:rPr>
              <w:t xml:space="preserve">&lt;0</w:t>
            </w:r>
          </w:p>
        </w:tc>
      </w:tr>
      <w:tr>
        <w:tc>
          <w:tcPr/>
          <w:p>
            <w:pPr>
              <w:pStyle w:val="Compact"/>
            </w:pPr>
            <w:r>
              <w:t xml:space="preserve">3.0</w:t>
            </w:r>
          </w:p>
        </w:tc>
        <w:tc>
          <w:tcPr/>
          <w:p>
            <w:pPr>
              <w:pStyle w:val="Compact"/>
            </w:pPr>
            <w:r>
              <w:t xml:space="preserve">3.65</w:t>
            </w:r>
          </w:p>
        </w:tc>
        <w:tc>
          <w:tcPr/>
          <w:p>
            <w:pPr>
              <w:pStyle w:val="Compact"/>
            </w:pPr>
            <w:r>
              <w:t xml:space="preserve">2.41</w:t>
            </w:r>
          </w:p>
        </w:tc>
        <w:tc>
          <w:tcPr/>
          <w:p>
            <w:pPr>
              <w:pStyle w:val="Compact"/>
            </w:pPr>
            <w:r>
              <w:t xml:space="preserve">1.78</w:t>
            </w:r>
          </w:p>
        </w:tc>
        <w:tc>
          <w:tcPr/>
          <w:p>
            <w:pPr>
              <w:pStyle w:val="Compact"/>
            </w:pPr>
            <w:r>
              <w:t xml:space="preserve">1.04</w:t>
            </w:r>
          </w:p>
        </w:tc>
        <w:tc>
          <w:tcPr/>
          <w:p>
            <w:pPr>
              <w:pStyle w:val="Compact"/>
            </w:pPr>
            <w:r>
              <w:rPr>
                <w:b/>
                <w:bCs/>
              </w:rPr>
              <w:t xml:space="preserve">&lt;0</w:t>
            </w:r>
          </w:p>
        </w:tc>
      </w:tr>
      <w:tr>
        <w:tc>
          <w:tcPr/>
          <w:p>
            <w:pPr>
              <w:pStyle w:val="Compact"/>
            </w:pPr>
            <w:r>
              <w:t xml:space="preserve">4.0</w:t>
            </w:r>
          </w:p>
        </w:tc>
        <w:tc>
          <w:tcPr/>
          <w:p>
            <w:pPr>
              <w:pStyle w:val="Compact"/>
            </w:pPr>
            <w:r>
              <w:t xml:space="preserve">4.17</w:t>
            </w:r>
          </w:p>
        </w:tc>
        <w:tc>
          <w:tcPr/>
          <w:p>
            <w:pPr>
              <w:pStyle w:val="Compact"/>
            </w:pPr>
            <w:r>
              <w:t xml:space="preserve">2.93</w:t>
            </w:r>
          </w:p>
        </w:tc>
        <w:tc>
          <w:tcPr/>
          <w:p>
            <w:pPr>
              <w:pStyle w:val="Compact"/>
            </w:pPr>
            <w:r>
              <w:t xml:space="preserve">2.30</w:t>
            </w:r>
          </w:p>
        </w:tc>
        <w:tc>
          <w:tcPr/>
          <w:p>
            <w:pPr>
              <w:pStyle w:val="Compact"/>
            </w:pPr>
            <w:r>
              <w:t xml:space="preserve">1.56</w:t>
            </w:r>
          </w:p>
        </w:tc>
        <w:tc>
          <w:tcPr/>
          <w:p>
            <w:pPr>
              <w:pStyle w:val="Compact"/>
            </w:pPr>
            <w:r>
              <w:rPr>
                <w:b/>
                <w:bCs/>
              </w:rPr>
              <w:t xml:space="preserve">0.42</w:t>
            </w:r>
          </w:p>
        </w:tc>
      </w:tr>
      <w:tr>
        <w:tc>
          <w:tcPr/>
          <w:p>
            <w:pPr>
              <w:pStyle w:val="Compact"/>
            </w:pPr>
            <w:r>
              <w:t xml:space="preserve">5.0</w:t>
            </w:r>
          </w:p>
        </w:tc>
        <w:tc>
          <w:tcPr/>
          <w:p>
            <w:pPr>
              <w:pStyle w:val="Compact"/>
            </w:pPr>
            <w:r>
              <w:t xml:space="preserve">4.69</w:t>
            </w:r>
          </w:p>
        </w:tc>
        <w:tc>
          <w:tcPr/>
          <w:p>
            <w:pPr>
              <w:pStyle w:val="Compact"/>
            </w:pPr>
            <w:r>
              <w:t xml:space="preserve">3.45</w:t>
            </w:r>
          </w:p>
        </w:tc>
        <w:tc>
          <w:tcPr/>
          <w:p>
            <w:pPr>
              <w:pStyle w:val="Compact"/>
            </w:pPr>
            <w:r>
              <w:t xml:space="preserve">2.82</w:t>
            </w:r>
          </w:p>
        </w:tc>
        <w:tc>
          <w:tcPr/>
          <w:p>
            <w:pPr>
              <w:pStyle w:val="Compact"/>
            </w:pPr>
            <w:r>
              <w:t xml:space="preserve">2.08</w:t>
            </w:r>
          </w:p>
        </w:tc>
        <w:tc>
          <w:tcPr/>
          <w:p>
            <w:pPr>
              <w:pStyle w:val="Compact"/>
            </w:pPr>
            <w:r>
              <w:rPr>
                <w:b/>
                <w:bCs/>
              </w:rPr>
              <w:t xml:space="preserve">0.94</w:t>
            </w:r>
          </w:p>
        </w:tc>
      </w:tr>
      <w:tr>
        <w:tc>
          <w:tcPr/>
          <w:p>
            <w:pPr>
              <w:pStyle w:val="Compact"/>
            </w:pPr>
            <w:r>
              <w:t xml:space="preserve">6.0</w:t>
            </w:r>
          </w:p>
        </w:tc>
        <w:tc>
          <w:tcPr/>
          <w:p>
            <w:pPr>
              <w:pStyle w:val="Compact"/>
            </w:pPr>
            <w:r>
              <w:t xml:space="preserve">5.21</w:t>
            </w:r>
          </w:p>
        </w:tc>
        <w:tc>
          <w:tcPr/>
          <w:p>
            <w:pPr>
              <w:pStyle w:val="Compact"/>
            </w:pPr>
            <w:r>
              <w:t xml:space="preserve">3.97</w:t>
            </w:r>
          </w:p>
        </w:tc>
        <w:tc>
          <w:tcPr/>
          <w:p>
            <w:pPr>
              <w:pStyle w:val="Compact"/>
            </w:pPr>
            <w:r>
              <w:t xml:space="preserve">3.34</w:t>
            </w:r>
          </w:p>
        </w:tc>
        <w:tc>
          <w:tcPr/>
          <w:p>
            <w:pPr>
              <w:pStyle w:val="Compact"/>
            </w:pPr>
            <w:r>
              <w:t xml:space="preserve">2.60</w:t>
            </w:r>
          </w:p>
        </w:tc>
        <w:tc>
          <w:tcPr/>
          <w:p>
            <w:pPr>
              <w:pStyle w:val="Compact"/>
            </w:pPr>
            <w:r>
              <w:t xml:space="preserve">1.46</w:t>
            </w:r>
          </w:p>
        </w:tc>
      </w:tr>
      <w:tr>
        <w:tc>
          <w:tcPr/>
          <w:p>
            <w:pPr>
              <w:pStyle w:val="Compact"/>
            </w:pPr>
            <w:r>
              <w:rPr>
                <w:rFonts w:hint="eastAsia"/>
              </w:rPr>
              <w:t xml:space="preserve">6.8（現行）</w:t>
            </w:r>
          </w:p>
        </w:tc>
        <w:tc>
          <w:tcPr/>
          <w:p>
            <w:pPr>
              <w:pStyle w:val="Compact"/>
            </w:pPr>
            <w:r>
              <w:t xml:space="preserve">5.63</w:t>
            </w:r>
          </w:p>
        </w:tc>
        <w:tc>
          <w:tcPr/>
          <w:p>
            <w:pPr>
              <w:pStyle w:val="Compact"/>
            </w:pPr>
            <w:r>
              <w:t xml:space="preserve">4.39</w:t>
            </w:r>
          </w:p>
        </w:tc>
        <w:tc>
          <w:tcPr/>
          <w:p>
            <w:pPr>
              <w:pStyle w:val="Compact"/>
            </w:pPr>
            <w:r>
              <w:t xml:space="preserve">3.76</w:t>
            </w:r>
          </w:p>
        </w:tc>
        <w:tc>
          <w:tcPr/>
          <w:p>
            <w:pPr>
              <w:pStyle w:val="Compact"/>
            </w:pPr>
            <w:r>
              <w:t xml:space="preserve">3.02</w:t>
            </w:r>
          </w:p>
        </w:tc>
        <w:tc>
          <w:tcPr/>
          <w:p>
            <w:pPr>
              <w:pStyle w:val="Compact"/>
            </w:pPr>
            <w:r>
              <w:t xml:space="preserve">1.88</w:t>
            </w:r>
          </w:p>
        </w:tc>
      </w:tr>
    </w:tbl>
    <w:p>
      <w:pPr>
        <w:pStyle w:val="BodyText"/>
      </w:pPr>
      <w:r>
        <w:rPr>
          <w:rFonts w:hint="eastAsia"/>
        </w:rPr>
        <w:t xml:space="preserve">表9.2</w:t>
      </w:r>
      <w:r>
        <w:t xml:space="preserve"> </w:t>
      </w:r>
      <w:r>
        <w:rPr>
          <w:rFonts w:hint="eastAsia"/>
        </w:rPr>
        <w:t xml:space="preserve">損益分岐の価格水準係数</w:t>
      </w:r>
      <w:r>
        <w:t xml:space="preserve"> </w:t>
      </w:r>
      <w:r>
        <w:rPr>
          <w:rFonts w:hint="eastAsia"/>
        </w:rPr>
        <w:t xml:space="preserve">θ*（WACC</w:t>
      </w:r>
      <w:r>
        <w:t xml:space="preserve"> </w:t>
      </w:r>
      <w:r>
        <w:rPr>
          <w:rFonts w:hint="eastAsia"/>
        </w:rPr>
        <w:t xml:space="preserve">6%。太字はFY2023〜25の水準（θ=1）で参入が開く組合せ、&lt;0</w:t>
      </w:r>
      <w:r>
        <w:t xml:space="preserve"> </w:t>
      </w:r>
      <w:r>
        <w:rPr>
          <w:rFonts w:hint="eastAsia"/>
        </w:rPr>
        <w:t xml:space="preserve">は容量収入だけで</w:t>
      </w:r>
      <w:r>
        <w:t xml:space="preserve"> c_req </w:t>
      </w:r>
      <w:r>
        <w:rPr>
          <w:rFonts w:hint="eastAsia"/>
        </w:rPr>
        <w:t xml:space="preserve">を満たす）</w:t>
      </w:r>
    </w:p>
    <w:p>
      <w:pPr>
        <w:pStyle w:val="BodyText"/>
      </w:pPr>
      <w:r>
        <w:rPr>
          <w:rFonts w:hint="eastAsia"/>
        </w:rPr>
        <w:t xml:space="preserve">参入が開いた後の均衡容量は、</w:t>
      </w:r>
      <m:oMath>
        <m:r>
          <m:t>π</m:t>
        </m:r>
        <m:r>
          <m:t>(</m:t>
        </m:r>
        <m:r>
          <m:t>K</m:t>
        </m:r>
        <m:r>
          <m:t>)</m:t>
        </m:r>
      </m:oMath>
      <w:r>
        <w:t xml:space="preserve"> </w:t>
      </w:r>
      <w:r>
        <w:rPr>
          <w:rFonts w:hint="eastAsia"/>
        </w:rPr>
        <w:t xml:space="preserve">の減衰と容量価格のK依存で決まる（表9.3）。価格水準がFY2026上期並み（</w:t>
      </w:r>
      <m:oMath>
        <m:r>
          <m:t>θ</m:t>
        </m:r>
      </m:oMath>
      <w:r>
        <w:rPr>
          <w:rFonts w:hint="eastAsia"/>
        </w:rPr>
        <w:t xml:space="preserve">=1.57）で資本費が揚水並みまで下がり、容量収入が1.75万円の場合、容量価格を定数とすれば</w:t>
      </w:r>
      <w:r>
        <w:t xml:space="preserve"> </w:t>
      </w:r>
      <m:oMath>
        <m:sSup>
          <m:e>
            <m:r>
              <m:t>K</m:t>
            </m:r>
          </m:e>
          <m:sup>
            <m:r>
              <m:t>*</m:t>
            </m:r>
          </m:sup>
        </m:sSup>
      </m:oMath>
      <w:r>
        <w:rPr>
          <w:rFonts w:hint="eastAsia"/>
        </w:rPr>
        <w:t xml:space="preserve">≈48万kWだが、北海道が単独ブロックとして分断される按分曲線では容量価格が数万kWで崩れるため</w:t>
      </w:r>
      <w:r>
        <w:t xml:space="preserve"> </w:t>
      </w:r>
      <m:oMath>
        <m:sSup>
          <m:e>
            <m:r>
              <m:t>K</m:t>
            </m:r>
          </m:e>
          <m:sup>
            <m:r>
              <m:t>*</m:t>
            </m:r>
          </m:sup>
        </m:sSup>
      </m:oMath>
      <w:r>
        <w:rPr>
          <w:rFonts w:hint="eastAsia"/>
        </w:rPr>
        <w:t xml:space="preserve">≈6万kW、全国連系でも35万kWにとどまる。上限近傍の容量収入2.5万円が維持されるなら定数ケースで200万kW超まで開くが、これは容量市場側のカニバリゼーションを無視した上限であり、按分曲線では20万kW、全国連系で125万kWであ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条件（θ、資本費、実効容量収入）</w:t>
            </w:r>
          </w:p>
        </w:tc>
        <w:tc>
          <w:tcPr/>
          <w:p>
            <w:pPr>
              <w:pStyle w:val="Compact"/>
            </w:pPr>
            <w:r>
              <w:rPr>
                <w:rFonts w:hint="eastAsia"/>
              </w:rPr>
              <w:t xml:space="preserve">容量価格定数</w:t>
            </w:r>
          </w:p>
        </w:tc>
        <w:tc>
          <w:tcPr/>
          <w:p>
            <w:pPr>
              <w:pStyle w:val="Compact"/>
            </w:pPr>
            <w:r>
              <w:rPr>
                <w:rFonts w:hint="eastAsia"/>
              </w:rPr>
              <w:t xml:space="preserve">北海道ブロック按分</w:t>
            </w:r>
          </w:p>
        </w:tc>
        <w:tc>
          <w:tcPr/>
          <w:p>
            <w:pPr>
              <w:pStyle w:val="Compact"/>
            </w:pPr>
            <w:r>
              <w:rPr>
                <w:rFonts w:hint="eastAsia"/>
              </w:rPr>
              <w:t xml:space="preserve">全国連系</w:t>
            </w:r>
          </w:p>
        </w:tc>
      </w:tr>
      <w:tr>
        <w:tc>
          <w:tcPr/>
          <w:p>
            <w:pPr>
              <w:pStyle w:val="Compact"/>
            </w:pPr>
            <w:r>
              <w:rPr>
                <w:rFonts w:hint="eastAsia"/>
              </w:rPr>
              <w:t xml:space="preserve">1.00、2.3万、1.75万</w:t>
            </w:r>
          </w:p>
        </w:tc>
        <w:tc>
          <w:tcPr/>
          <w:p>
            <w:pPr>
              <w:pStyle w:val="Compact"/>
            </w:pPr>
            <w:r>
              <w:t xml:space="preserve">21</w:t>
            </w:r>
          </w:p>
        </w:tc>
        <w:tc>
          <w:tcPr/>
          <w:p>
            <w:pPr>
              <w:pStyle w:val="Compact"/>
            </w:pPr>
            <w:r>
              <w:t xml:space="preserve">2</w:t>
            </w:r>
          </w:p>
        </w:tc>
        <w:tc>
          <w:tcPr/>
          <w:p>
            <w:pPr>
              <w:pStyle w:val="Compact"/>
            </w:pPr>
            <w:r>
              <w:t xml:space="preserve">17</w:t>
            </w:r>
          </w:p>
        </w:tc>
      </w:tr>
      <w:tr>
        <w:tc>
          <w:tcPr/>
          <w:p>
            <w:pPr>
              <w:pStyle w:val="Compact"/>
            </w:pPr>
            <w:r>
              <w:rPr>
                <w:rFonts w:hint="eastAsia"/>
              </w:rPr>
              <w:t xml:space="preserve">1.00、2.3万、2.5万</w:t>
            </w:r>
          </w:p>
        </w:tc>
        <w:tc>
          <w:tcPr/>
          <w:p>
            <w:pPr>
              <w:pStyle w:val="Compact"/>
            </w:pPr>
            <w:r>
              <w:rPr>
                <w:rFonts w:hint="eastAsia"/>
              </w:rPr>
              <w:t xml:space="preserve">200超</w:t>
            </w:r>
          </w:p>
        </w:tc>
        <w:tc>
          <w:tcPr/>
          <w:p>
            <w:pPr>
              <w:pStyle w:val="Compact"/>
            </w:pPr>
            <w:r>
              <w:t xml:space="preserve">15</w:t>
            </w:r>
          </w:p>
        </w:tc>
        <w:tc>
          <w:tcPr/>
          <w:p>
            <w:pPr>
              <w:pStyle w:val="Compact"/>
            </w:pPr>
            <w:r>
              <w:t xml:space="preserve">119</w:t>
            </w:r>
          </w:p>
        </w:tc>
      </w:tr>
      <w:tr>
        <w:tc>
          <w:tcPr/>
          <w:p>
            <w:pPr>
              <w:pStyle w:val="Compact"/>
            </w:pPr>
            <w:r>
              <w:rPr>
                <w:rFonts w:hint="eastAsia"/>
              </w:rPr>
              <w:t xml:space="preserve">1.57、2.3万、1.25万</w:t>
            </w:r>
          </w:p>
        </w:tc>
        <w:tc>
          <w:tcPr/>
          <w:p>
            <w:pPr>
              <w:pStyle w:val="Compact"/>
            </w:pPr>
            <w:r>
              <w:t xml:space="preserve">7</w:t>
            </w:r>
          </w:p>
        </w:tc>
        <w:tc>
          <w:tcPr/>
          <w:p>
            <w:pPr>
              <w:pStyle w:val="Compact"/>
            </w:pPr>
            <w:r>
              <w:t xml:space="preserve">0</w:t>
            </w:r>
          </w:p>
        </w:tc>
        <w:tc>
          <w:tcPr/>
          <w:p>
            <w:pPr>
              <w:pStyle w:val="Compact"/>
            </w:pPr>
            <w:r>
              <w:t xml:space="preserve">5</w:t>
            </w:r>
          </w:p>
        </w:tc>
      </w:tr>
      <w:tr>
        <w:tc>
          <w:tcPr/>
          <w:p>
            <w:pPr>
              <w:pStyle w:val="Compact"/>
            </w:pPr>
            <w:r>
              <w:rPr>
                <w:rFonts w:hint="eastAsia"/>
              </w:rPr>
              <w:t xml:space="preserve">1.57、2.3万、1.75万</w:t>
            </w:r>
          </w:p>
        </w:tc>
        <w:tc>
          <w:tcPr/>
          <w:p>
            <w:pPr>
              <w:pStyle w:val="Compact"/>
            </w:pPr>
            <w:r>
              <w:t xml:space="preserve">48</w:t>
            </w:r>
          </w:p>
        </w:tc>
        <w:tc>
          <w:tcPr/>
          <w:p>
            <w:pPr>
              <w:pStyle w:val="Compact"/>
            </w:pPr>
            <w:r>
              <w:t xml:space="preserve">6</w:t>
            </w:r>
          </w:p>
        </w:tc>
        <w:tc>
          <w:tcPr/>
          <w:p>
            <w:pPr>
              <w:pStyle w:val="Compact"/>
            </w:pPr>
            <w:r>
              <w:t xml:space="preserve">35</w:t>
            </w:r>
          </w:p>
        </w:tc>
      </w:tr>
      <w:tr>
        <w:tc>
          <w:tcPr/>
          <w:p>
            <w:pPr>
              <w:pStyle w:val="Compact"/>
            </w:pPr>
            <w:r>
              <w:rPr>
                <w:rFonts w:hint="eastAsia"/>
              </w:rPr>
              <w:t xml:space="preserve">1.57、4.0万、2.5万</w:t>
            </w:r>
          </w:p>
        </w:tc>
        <w:tc>
          <w:tcPr/>
          <w:p>
            <w:pPr>
              <w:pStyle w:val="Compact"/>
            </w:pPr>
            <w:r>
              <w:t xml:space="preserve">74</w:t>
            </w:r>
          </w:p>
        </w:tc>
        <w:tc>
          <w:tcPr/>
          <w:p>
            <w:pPr>
              <w:pStyle w:val="Compact"/>
            </w:pPr>
            <w:r>
              <w:t xml:space="preserve">10</w:t>
            </w:r>
          </w:p>
        </w:tc>
        <w:tc>
          <w:tcPr/>
          <w:p>
            <w:pPr>
              <w:pStyle w:val="Compact"/>
            </w:pPr>
            <w:r>
              <w:t xml:space="preserve">49</w:t>
            </w:r>
          </w:p>
        </w:tc>
      </w:tr>
      <w:tr>
        <w:tc>
          <w:tcPr/>
          <w:p>
            <w:pPr>
              <w:pStyle w:val="Compact"/>
            </w:pPr>
            <w:r>
              <w:rPr>
                <w:rFonts w:hint="eastAsia"/>
              </w:rPr>
              <w:t xml:space="preserve">1.72、4.0万、1.75万</w:t>
            </w:r>
          </w:p>
        </w:tc>
        <w:tc>
          <w:tcPr/>
          <w:p>
            <w:pPr>
              <w:pStyle w:val="Compact"/>
            </w:pPr>
            <w:r>
              <w:t xml:space="preserve">6</w:t>
            </w:r>
          </w:p>
        </w:tc>
        <w:tc>
          <w:tcPr/>
          <w:p>
            <w:pPr>
              <w:pStyle w:val="Compact"/>
            </w:pPr>
            <w:r>
              <w:t xml:space="preserve">0</w:t>
            </w:r>
          </w:p>
        </w:tc>
        <w:tc>
          <w:tcPr/>
          <w:p>
            <w:pPr>
              <w:pStyle w:val="Compact"/>
            </w:pPr>
            <w:r>
              <w:t xml:space="preserve">5</w:t>
            </w:r>
          </w:p>
        </w:tc>
      </w:tr>
      <w:tr>
        <w:tc>
          <w:tcPr/>
          <w:p>
            <w:pPr>
              <w:pStyle w:val="Compact"/>
            </w:pPr>
            <w:r>
              <w:rPr>
                <w:rFonts w:hint="eastAsia"/>
              </w:rPr>
              <w:t xml:space="preserve">2.50、4.0万、1.25万</w:t>
            </w:r>
          </w:p>
        </w:tc>
        <w:tc>
          <w:tcPr/>
          <w:p>
            <w:pPr>
              <w:pStyle w:val="Compact"/>
            </w:pPr>
            <w:r>
              <w:t xml:space="preserve">5</w:t>
            </w:r>
          </w:p>
        </w:tc>
        <w:tc>
          <w:tcPr/>
          <w:p>
            <w:pPr>
              <w:pStyle w:val="Compact"/>
            </w:pPr>
            <w:r>
              <w:t xml:space="preserve">1</w:t>
            </w:r>
          </w:p>
        </w:tc>
        <w:tc>
          <w:tcPr/>
          <w:p>
            <w:pPr>
              <w:pStyle w:val="Compact"/>
            </w:pPr>
            <w:r>
              <w:t xml:space="preserve">5</w:t>
            </w:r>
          </w:p>
        </w:tc>
      </w:tr>
      <w:tr>
        <w:tc>
          <w:tcPr/>
          <w:p>
            <w:pPr>
              <w:pStyle w:val="Compact"/>
            </w:pPr>
            <w:r>
              <w:rPr>
                <w:rFonts w:hint="eastAsia"/>
              </w:rPr>
              <w:t xml:space="preserve">3.00、6.8万、2.5万</w:t>
            </w:r>
          </w:p>
        </w:tc>
        <w:tc>
          <w:tcPr/>
          <w:p>
            <w:pPr>
              <w:pStyle w:val="Compact"/>
            </w:pPr>
            <w:r>
              <w:t xml:space="preserve">24</w:t>
            </w:r>
          </w:p>
        </w:tc>
        <w:tc>
          <w:tcPr/>
          <w:p>
            <w:pPr>
              <w:pStyle w:val="Compact"/>
            </w:pPr>
            <w:r>
              <w:t xml:space="preserve">7</w:t>
            </w:r>
          </w:p>
        </w:tc>
        <w:tc>
          <w:tcPr/>
          <w:p>
            <w:pPr>
              <w:pStyle w:val="Compact"/>
            </w:pPr>
            <w:r>
              <w:t xml:space="preserve">22</w:t>
            </w:r>
          </w:p>
        </w:tc>
      </w:tr>
    </w:tbl>
    <w:p>
      <w:pPr>
        <w:pStyle w:val="BodyText"/>
      </w:pPr>
      <w:r>
        <w:rPr>
          <w:rFonts w:hint="eastAsia"/>
        </w:rPr>
        <w:t xml:space="preserve">表9.3</w:t>
      </w:r>
      <w:r>
        <w:t xml:space="preserve"> </w:t>
      </w:r>
      <w:r>
        <w:rPr>
          <w:rFonts w:hint="eastAsia"/>
        </w:rPr>
        <w:t xml:space="preserve">参入が開く組合せにおける均衡容量</w:t>
      </w:r>
      <w:r>
        <w:t xml:space="preserve"> </w:t>
      </w:r>
      <w:r>
        <w:rPr>
          <w:rFonts w:hint="eastAsia"/>
        </w:rPr>
        <w:t xml:space="preserve">K*（万kW、WACC</w:t>
      </w:r>
      <w:r>
        <w:t xml:space="preserve"> </w:t>
      </w:r>
      <w:r>
        <w:rPr>
          <w:rFonts w:hint="eastAsia"/>
        </w:rPr>
        <w:t xml:space="preserve">6%、水準係数付き価格過程・FY2023〜25パス）</w:t>
      </w:r>
    </w:p>
    <w:p>
      <w:pPr>
        <w:pStyle w:val="BodyText"/>
      </w:pPr>
      <w:r>
        <w:rPr>
          <w:rFonts w:hint="eastAsia"/>
        </w:rPr>
        <w:t xml:space="preserve">この曲面が示すのは、現実の契約申込（約234万kW）をマーチャントの均衡として説明できるパラメータの組合せが、観察可能な範囲に存在しないことである。資本費が揚水並みに下がり、容量市場が上限近傍で約定し続け、価格水準がFY2026上期並みに維持される、という三つの条件がすべて成立して初めて均衡容量は100万kW台に達し、しかもそれは容量市場側のカニバリゼーションを無視した場合に限られる。したがって第9章の乖離は、パラメータの不確実性ではなく、市場外収入と期待によって説明されなければならない。</w:t>
      </w:r>
    </w:p>
    <w:bookmarkEnd w:id="141"/>
    <w:bookmarkEnd w:id="142"/>
    <w:bookmarkStart w:id="152" w:name="第10章-価格の下限とネガティブプライス"/>
    <w:p>
      <w:pPr>
        <w:pStyle w:val="Heading1"/>
      </w:pPr>
      <w:r>
        <w:rPr>
          <w:rFonts w:hint="eastAsia"/>
        </w:rPr>
        <w:t xml:space="preserve">第10章</w:t>
      </w:r>
      <w:r>
        <w:t xml:space="preserve"> </w:t>
      </w:r>
      <w:r>
        <w:rPr>
          <w:rFonts w:hint="eastAsia"/>
        </w:rPr>
        <w:t xml:space="preserve">価格の下限とネガティブプライス</w:t>
      </w:r>
    </w:p>
    <w:bookmarkStart w:id="143" w:name="下限価格が価値形成に果たしてきた役割"/>
    <w:p>
      <w:pPr>
        <w:pStyle w:val="Heading2"/>
      </w:pPr>
      <w:r>
        <w:t xml:space="preserve">10.1 </w:t>
      </w:r>
      <w:r>
        <w:rPr>
          <w:rFonts w:hint="eastAsia"/>
        </w:rPr>
        <w:t xml:space="preserve">下限価格が価値形成に果たしてきた役割</w:t>
      </w:r>
    </w:p>
    <w:p>
      <w:pPr>
        <w:pStyle w:val="FirstParagraph"/>
      </w:pPr>
      <w:r>
        <w:rPr>
          <w:rFonts w:hint="eastAsia"/>
        </w:rPr>
        <w:t xml:space="preserve">前章までの結果は、JEPXスポット市場の下限価格0.01円/kWh（以下「床」）を軸に読み直すと一つの線につながる。第6章では、風力は床に届くまで日内形状を変えず、太陽光は昼を彫るが底には床がある。第8章では、風力・太陽光の追加が蓄電池の裁定価値を作る経路は床の非対称な打ち切りだけであり（8.2）、床に張り付いた後の余剰は価格ではなく出力制御という数量に現れる。第9章では、その出力制御は無補償でエリア価格に映らず、併設蓄電池の抑制回避価値は市場を通らない（9.3）。</w:t>
      </w:r>
    </w:p>
    <w:p>
      <w:pPr>
        <w:pStyle w:val="BodyText"/>
      </w:pPr>
      <w:r>
        <w:rPr>
          <w:rFonts w:hint="eastAsia"/>
        </w:rPr>
        <w:t xml:space="preserve">すなわち床は、余剰時の価格発見を止め、余剰の配分を優先給電ルールという数量割当に置き換える制度である。余剰を吸収する蓄電池の価値のうち、床より下にあるはずの部分はスポット価格に現れないため、マーチャントの参入条件（5.4.3）からも抜け落ちる。第8章の</w:t>
      </w:r>
      <w:r>
        <w:t xml:space="preserve"> </w:t>
      </w:r>
      <m:oMath>
        <m:sSup>
          <m:e>
            <m:r>
              <m:t>K</m:t>
            </m:r>
          </m:e>
          <m:sup>
            <m:r>
              <m:t>*</m:t>
            </m:r>
          </m:sup>
        </m:sSup>
        <m:r>
          <m:t>=</m:t>
        </m:r>
        <m:r>
          <m:t>0</m:t>
        </m:r>
      </m:oMath>
      <w:r>
        <w:t xml:space="preserve"> </w:t>
      </w:r>
      <w:r>
        <w:rPr>
          <w:rFonts w:hint="eastAsia"/>
        </w:rPr>
        <w:t xml:space="preserve">と第9章の乖離の一部は、この打ち切りの帰結として理解できる。本章では、床を負の価格に置き換えた場合に何が変わるかを、同じ価格過程の上で反実仮想として評価する。</w:t>
      </w:r>
    </w:p>
    <w:bookmarkEnd w:id="143"/>
    <w:bookmarkStart w:id="144" w:name="方法下限価格の段差モデル"/>
    <w:p>
      <w:pPr>
        <w:pStyle w:val="Heading2"/>
      </w:pPr>
      <w:r>
        <w:t xml:space="preserve">10.2 </w:t>
      </w:r>
      <w:r>
        <w:rPr>
          <w:rFonts w:hint="eastAsia"/>
        </w:rPr>
        <w:t xml:space="preserve">方法：下限価格の段差モデル</w:t>
      </w:r>
    </w:p>
    <w:p>
      <w:pPr>
        <w:pStyle w:val="FirstParagraph"/>
      </w:pPr>
      <w:r>
        <w:rPr>
          <w:rFonts w:hint="eastAsia"/>
        </w:rPr>
        <w:t xml:space="preserve">価格過程（5.4.1）は0.01円で打ち切られた価格から推定しており、負の領域の供給曲線の形は識別できない。そこで床に達する時間（純需要が床の閾値を下回る時間）の価格だけを</w:t>
      </w:r>
      <w:r>
        <w:t xml:space="preserve"> </w:t>
      </w:r>
      <m:oMath>
        <m:r>
          <m:t>−</m:t>
        </m:r>
        <m:r>
          <m:t>c</m:t>
        </m:r>
      </m:oMath>
      <w:r>
        <w:t xml:space="preserve"> </w:t>
      </w:r>
      <w:r>
        <w:rPr>
          <w:rFonts w:hint="eastAsia"/>
        </w:rPr>
        <w:t xml:space="preserve">円/kWh</w:t>
      </w:r>
      <w:r>
        <w:t xml:space="preserve"> </w:t>
      </w:r>
      <w:r>
        <w:rPr>
          <w:rFonts w:hint="eastAsia"/>
        </w:rPr>
        <w:t xml:space="preserve">に置く段差モデルを用い、深さ</w:t>
      </w:r>
      <w:r>
        <w:t xml:space="preserve"> </w:t>
      </w:r>
      <m:oMath>
        <m:r>
          <m:t>c</m:t>
        </m:r>
      </m:oMath>
      <w:r>
        <w:t xml:space="preserve"> </w:t>
      </w:r>
      <w:r>
        <w:rPr>
          <w:rFonts w:hint="eastAsia"/>
        </w:rPr>
        <w:t xml:space="preserve">を0（下限の撤廃のみ）、5、10円の外生パラメータとして振る。</w:t>
      </w:r>
      <m:oMath>
        <m:r>
          <m:t>c</m:t>
        </m:r>
      </m:oMath>
      <w:r>
        <w:t xml:space="preserve"> </w:t>
      </w:r>
      <w:r>
        <w:rPr>
          <w:rFonts w:hint="eastAsia"/>
        </w:rPr>
        <w:t xml:space="preserve">の目安は、余剰時に運転を続ける電源の支払意思である。抑制が無補償のFIT電源は0円までしか耐えず、FIP電源はプレミアム（基準価格と参照価格の差）まで負の価格を受け入れ、起動費のある火力・原子力はそれ以上の負値を提示しうる。欧州の日前市場で観察される負価格の分布もこの範囲にある（De</w:t>
      </w:r>
      <w:r>
        <w:t xml:space="preserve"> Vos 2015; Fanone et al. </w:t>
      </w:r>
      <w:r>
        <w:rPr>
          <w:rFonts w:hint="eastAsia"/>
        </w:rPr>
        <w:t xml:space="preserve">2013）。</w:t>
      </w:r>
    </w:p>
    <w:p>
      <w:pPr>
        <w:pStyle w:val="BodyText"/>
      </w:pPr>
      <w:r>
        <w:rPr>
          <w:rFonts w:hint="eastAsia"/>
        </w:rPr>
        <w:t xml:space="preserve">シナリオは、現状（FY2023〜25の気象・需要パス、</w:t>
      </w:r>
      <m:oMath>
        <m:r>
          <m:t>θ</m:t>
        </m:r>
      </m:oMath>
      <w:r>
        <w:rPr>
          <w:rFonts w:hint="eastAsia"/>
        </w:rPr>
        <w:t xml:space="preserve">=1）、FY2026上期の価格水準（</w:t>
      </w:r>
      <m:oMath>
        <m:r>
          <m:t>θ</m:t>
        </m:r>
      </m:oMath>
      <w:r>
        <w:rPr>
          <w:rFonts w:hint="eastAsia"/>
        </w:rPr>
        <w:t xml:space="preserve">=1.57）、泊3号機の再稼働、泊と風力2倍の4通りで、8.2と同じ構造イベントを用いる。蓄電池フリート</w:t>
      </w:r>
      <w:r>
        <w:t xml:space="preserve"> </w:t>
      </w:r>
      <m:oMath>
        <m:r>
          <m:t>K</m:t>
        </m:r>
      </m:oMath>
      <w:r>
        <w:t xml:space="preserve"> </w:t>
      </w:r>
      <w:r>
        <w:rPr>
          <w:rFonts w:hint="eastAsia"/>
        </w:rPr>
        <w:t xml:space="preserve">の内生化（増分貪欲ディスパッチ）は8.3と同じで、フリートが床の時間に充電すると純需要が上がり価格は床を離れる。</w:t>
      </w:r>
    </w:p>
    <w:bookmarkEnd w:id="144"/>
    <w:bookmarkStart w:id="148" w:name="結果裁定価値と均衡容量への効果は余剰の量に比例する"/>
    <w:p>
      <w:pPr>
        <w:pStyle w:val="Heading2"/>
      </w:pPr>
      <w:r>
        <w:t xml:space="preserve">10.3 </w:t>
      </w:r>
      <w:r>
        <w:rPr>
          <w:rFonts w:hint="eastAsia"/>
        </w:rPr>
        <w:t xml:space="preserve">結果：裁定価値と均衡容量への効果は余剰の量に比例する</w:t>
      </w:r>
    </w:p>
    <w:p>
      <w:pPr>
        <w:pStyle w:val="FirstParagraph"/>
      </w:pPr>
      <w:r>
        <w:rPr>
          <w:rFonts w:hint="eastAsia"/>
        </w:rPr>
        <w:t xml:space="preserve">表10.1と図10.1に、下限価格ごとの限界参入者の実現可能収益</w:t>
      </w:r>
      <w:r>
        <w:t xml:space="preserve"> </w:t>
      </w:r>
      <m:oMath>
        <m:r>
          <m:t>π</m:t>
        </m:r>
        <m:r>
          <m:t>(</m:t>
        </m:r>
        <m:r>
          <m:t>K</m:t>
        </m:r>
        <m:r>
          <m:t>)</m:t>
        </m:r>
      </m:oMath>
      <w:r>
        <w:t xml:space="preserve"> </w:t>
      </w:r>
      <w:r>
        <w:rPr>
          <w:rFonts w:hint="eastAsia"/>
        </w:rPr>
        <w:t xml:space="preserve">と、K=0で参入が開く価格水準係数</w:t>
      </w:r>
      <w:r>
        <w:t xml:space="preserve"> </w:t>
      </w:r>
      <m:oMath>
        <m:sSup>
          <m:e>
            <m:r>
              <m:t>θ</m:t>
            </m:r>
          </m:e>
          <m:sup>
            <m:r>
              <m:t>*</m:t>
            </m:r>
          </m:sup>
        </m:sSup>
      </m:oMath>
      <w:r>
        <w:rPr>
          <w:rFonts w:hint="eastAsia"/>
        </w:rPr>
        <w:t xml:space="preserve">（資本費6.8万円/kWh・実効容量収入1.25万円）を示す。</w:t>
      </w:r>
    </w:p>
    <w:p>
      <w:pPr>
        <w:pStyle w:val="CaptionedFigure"/>
      </w:pPr>
      <w:r>
        <w:drawing>
          <wp:inline>
            <wp:extent cx="5334000" cy="3033124"/>
            <wp:effectExtent b="0" l="0" r="0" t="0"/>
            <wp:docPr descr="図10.1 下限価格シナリオ別の π(K)" title="" id="146" name="Picture"/>
            <a:graphic>
              <a:graphicData uri="http://schemas.openxmlformats.org/drawingml/2006/picture">
                <pic:pic>
                  <pic:nvPicPr>
                    <pic:cNvPr descr="/home/user/work/thesis/figures/hokkaido/negative_price_pi_k.png" id="147" name="Picture"/>
                    <pic:cNvPicPr>
                      <a:picLocks noChangeArrowheads="1" noChangeAspect="1"/>
                    </pic:cNvPicPr>
                  </pic:nvPicPr>
                  <pic:blipFill>
                    <a:blip r:embed="rId145"/>
                    <a:stretch>
                      <a:fillRect/>
                    </a:stretch>
                  </pic:blipFill>
                  <pic:spPr bwMode="auto">
                    <a:xfrm>
                      <a:off x="0" y="0"/>
                      <a:ext cx="5334000" cy="3033124"/>
                    </a:xfrm>
                    <a:prstGeom prst="rect">
                      <a:avLst/>
                    </a:prstGeom>
                    <a:noFill/>
                    <a:ln w="9525">
                      <a:noFill/>
                      <a:headEnd/>
                      <a:tailEnd/>
                    </a:ln>
                  </pic:spPr>
                </pic:pic>
              </a:graphicData>
            </a:graphic>
          </wp:inline>
        </w:drawing>
      </w:r>
    </w:p>
    <w:p>
      <w:pPr>
        <w:pStyle w:val="ImageCaption"/>
      </w:pPr>
      <w:r>
        <w:rPr>
          <w:rFonts w:hint="eastAsia"/>
        </w:rPr>
        <w:t xml:space="preserve">図10.1</w:t>
      </w:r>
      <w:r>
        <w:t xml:space="preserve"> </w:t>
      </w:r>
      <w:r>
        <w:rPr>
          <w:rFonts w:hint="eastAsia"/>
        </w:rPr>
        <w:t xml:space="preserve">下限価格シナリオ別の</w:t>
      </w:r>
      <w:r>
        <w:t xml:space="preserve"> π(K)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シナリオ</w:t>
            </w:r>
          </w:p>
        </w:tc>
        <w:tc>
          <w:tcPr/>
          <w:p>
            <w:pPr>
              <w:pStyle w:val="Compact"/>
            </w:pPr>
            <w:r>
              <w:rPr>
                <w:rFonts w:hint="eastAsia"/>
              </w:rPr>
              <w:t xml:space="preserve">下限</w:t>
            </w:r>
          </w:p>
        </w:tc>
        <w:tc>
          <w:tcPr/>
          <w:p>
            <w:pPr>
              <w:pStyle w:val="Compact"/>
            </w:pPr>
            <w:r>
              <w:rPr>
                <w:rFonts w:hint="eastAsia"/>
              </w:rPr>
              <w:t xml:space="preserve">負価格の時間（h/年）</w:t>
            </w:r>
          </w:p>
        </w:tc>
        <w:tc>
          <w:tcPr/>
          <w:p>
            <w:pPr>
              <w:pStyle w:val="Compact"/>
            </w:pPr>
            <w:r>
              <w:t xml:space="preserve">π(0)</w:t>
            </w:r>
          </w:p>
        </w:tc>
        <w:tc>
          <w:tcPr/>
          <w:p>
            <w:pPr>
              <w:pStyle w:val="Compact"/>
            </w:pPr>
            <w:r>
              <w:t xml:space="preserve">π(50)</w:t>
            </w:r>
          </w:p>
        </w:tc>
        <w:tc>
          <w:tcPr/>
          <w:p>
            <w:pPr>
              <w:pStyle w:val="Compact"/>
            </w:pPr>
            <w:r>
              <w:t xml:space="preserve">π(100)</w:t>
            </w:r>
          </w:p>
        </w:tc>
        <w:tc>
          <w:tcPr/>
          <w:p>
            <w:pPr>
              <w:pStyle w:val="Compact"/>
            </w:pPr>
            <w:r>
              <w:t xml:space="preserve">θ*</w:t>
            </w:r>
          </w:p>
        </w:tc>
      </w:tr>
      <w:tr>
        <w:tc>
          <w:tcPr/>
          <w:p>
            <w:pPr>
              <w:pStyle w:val="Compact"/>
            </w:pPr>
            <w:r>
              <w:rPr>
                <w:rFonts w:hint="eastAsia"/>
              </w:rPr>
              <w:t xml:space="preserve">θ=1（FY2023-25水準）</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4,943</w:t>
            </w:r>
          </w:p>
        </w:tc>
        <w:tc>
          <w:tcPr/>
          <w:p>
            <w:pPr>
              <w:pStyle w:val="Compact"/>
            </w:pPr>
            <w:r>
              <w:t xml:space="preserve">1,015</w:t>
            </w:r>
          </w:p>
        </w:tc>
        <w:tc>
          <w:tcPr/>
          <w:p>
            <w:pPr>
              <w:pStyle w:val="Compact"/>
            </w:pPr>
            <w:r>
              <w:t xml:space="preserve">−974</w:t>
            </w:r>
          </w:p>
        </w:tc>
        <w:tc>
          <w:tcPr/>
          <w:p>
            <w:pPr>
              <w:pStyle w:val="Compact"/>
            </w:pPr>
            <w:r>
              <w:t xml:space="preserve">3.76</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4,944</w:t>
            </w:r>
          </w:p>
        </w:tc>
        <w:tc>
          <w:tcPr/>
          <w:p>
            <w:pPr>
              <w:pStyle w:val="Compact"/>
            </w:pPr>
            <w:r>
              <w:t xml:space="preserve">1,015</w:t>
            </w:r>
          </w:p>
        </w:tc>
        <w:tc>
          <w:tcPr/>
          <w:p>
            <w:pPr>
              <w:pStyle w:val="Compact"/>
            </w:pPr>
            <w:r>
              <w:t xml:space="preserve">−974</w:t>
            </w:r>
          </w:p>
        </w:tc>
        <w:tc>
          <w:tcPr/>
          <w:p>
            <w:pPr>
              <w:pStyle w:val="Compact"/>
            </w:pPr>
            <w:r>
              <w:t xml:space="preserve">3.76</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115</w:t>
            </w:r>
          </w:p>
        </w:tc>
        <w:tc>
          <w:tcPr/>
          <w:p>
            <w:pPr>
              <w:pStyle w:val="Compact"/>
            </w:pPr>
            <w:r>
              <w:t xml:space="preserve">5,302</w:t>
            </w:r>
          </w:p>
        </w:tc>
        <w:tc>
          <w:tcPr/>
          <w:p>
            <w:pPr>
              <w:pStyle w:val="Compact"/>
            </w:pPr>
            <w:r>
              <w:t xml:space="preserve">1,073</w:t>
            </w:r>
          </w:p>
        </w:tc>
        <w:tc>
          <w:tcPr/>
          <w:p>
            <w:pPr>
              <w:pStyle w:val="Compact"/>
            </w:pPr>
            <w:r>
              <w:t xml:space="preserve">−963</w:t>
            </w:r>
          </w:p>
        </w:tc>
        <w:tc>
          <w:tcPr/>
          <w:p>
            <w:pPr>
              <w:pStyle w:val="Compact"/>
            </w:pPr>
            <w:r>
              <w:t xml:space="preserve">3.57</w:t>
            </w:r>
          </w:p>
        </w:tc>
      </w:tr>
      <w:tr>
        <w:tc>
          <w:tcPr/>
          <w:p>
            <w:pPr>
              <w:pStyle w:val="Compact"/>
            </w:pPr>
            <w:r>
              <w:rPr>
                <w:rFonts w:hint="eastAsia"/>
              </w:rPr>
              <w:t xml:space="preserve">θ=1（FY2023-25水準）</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115</w:t>
            </w:r>
          </w:p>
        </w:tc>
        <w:tc>
          <w:tcPr/>
          <w:p>
            <w:pPr>
              <w:pStyle w:val="Compact"/>
            </w:pPr>
            <w:r>
              <w:t xml:space="preserve">5,659</w:t>
            </w:r>
          </w:p>
        </w:tc>
        <w:tc>
          <w:tcPr/>
          <w:p>
            <w:pPr>
              <w:pStyle w:val="Compact"/>
            </w:pPr>
            <w:r>
              <w:t xml:space="preserve">1,131</w:t>
            </w:r>
          </w:p>
        </w:tc>
        <w:tc>
          <w:tcPr/>
          <w:p>
            <w:pPr>
              <w:pStyle w:val="Compact"/>
            </w:pPr>
            <w:r>
              <w:t xml:space="preserve">−952</w:t>
            </w:r>
          </w:p>
        </w:tc>
        <w:tc>
          <w:tcPr/>
          <w:p>
            <w:pPr>
              <w:pStyle w:val="Compact"/>
            </w:pPr>
            <w:r>
              <w:t xml:space="preserve">3.40</w:t>
            </w:r>
          </w:p>
        </w:tc>
      </w:tr>
      <w:tr>
        <w:tc>
          <w:tcPr/>
          <w:p>
            <w:pPr>
              <w:pStyle w:val="Compact"/>
            </w:pPr>
            <w:r>
              <w:rPr>
                <w:rFonts w:hint="eastAsia"/>
              </w:rPr>
              <w:t xml:space="preserve">θ=1.57（FY2026上期水準）</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8,738</w:t>
            </w:r>
          </w:p>
        </w:tc>
        <w:tc>
          <w:tcPr/>
          <w:p>
            <w:pPr>
              <w:pStyle w:val="Compact"/>
            </w:pPr>
            <w:r>
              <w:t xml:space="preserve">2,584</w:t>
            </w:r>
          </w:p>
        </w:tc>
        <w:tc>
          <w:tcPr/>
          <w:p>
            <w:pPr>
              <w:pStyle w:val="Compact"/>
            </w:pPr>
            <w:r>
              <w:t xml:space="preserve">−532</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8,739</w:t>
            </w:r>
          </w:p>
        </w:tc>
        <w:tc>
          <w:tcPr/>
          <w:p>
            <w:pPr>
              <w:pStyle w:val="Compact"/>
            </w:pPr>
            <w:r>
              <w:t xml:space="preserve">2,584</w:t>
            </w:r>
          </w:p>
        </w:tc>
        <w:tc>
          <w:tcPr/>
          <w:p>
            <w:pPr>
              <w:pStyle w:val="Compact"/>
            </w:pPr>
            <w:r>
              <w:t xml:space="preserve">−532</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115</w:t>
            </w:r>
          </w:p>
        </w:tc>
        <w:tc>
          <w:tcPr/>
          <w:p>
            <w:pPr>
              <w:pStyle w:val="Compact"/>
            </w:pPr>
            <w:r>
              <w:t xml:space="preserve">9,097</w:t>
            </w:r>
          </w:p>
        </w:tc>
        <w:tc>
          <w:tcPr/>
          <w:p>
            <w:pPr>
              <w:pStyle w:val="Compact"/>
            </w:pPr>
            <w:r>
              <w:t xml:space="preserve">2,642</w:t>
            </w:r>
          </w:p>
        </w:tc>
        <w:tc>
          <w:tcPr/>
          <w:p>
            <w:pPr>
              <w:pStyle w:val="Compact"/>
            </w:pPr>
            <w:r>
              <w:t xml:space="preserve">−521</w:t>
            </w:r>
          </w:p>
        </w:tc>
        <w:tc>
          <w:tcPr/>
          <w:p>
            <w:pPr>
              <w:pStyle w:val="Compact"/>
            </w:pPr>
            <w:r>
              <w:t xml:space="preserve">—</w:t>
            </w:r>
          </w:p>
        </w:tc>
      </w:tr>
      <w:tr>
        <w:tc>
          <w:tcPr/>
          <w:p>
            <w:pPr>
              <w:pStyle w:val="Compact"/>
            </w:pPr>
            <w:r>
              <w:rPr>
                <w:rFonts w:hint="eastAsia"/>
              </w:rPr>
              <w:t xml:space="preserve">θ=1.57（FY2026上期水準）</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115</w:t>
            </w:r>
          </w:p>
        </w:tc>
        <w:tc>
          <w:tcPr/>
          <w:p>
            <w:pPr>
              <w:pStyle w:val="Compact"/>
            </w:pPr>
            <w:r>
              <w:t xml:space="preserve">9,454</w:t>
            </w:r>
          </w:p>
        </w:tc>
        <w:tc>
          <w:tcPr/>
          <w:p>
            <w:pPr>
              <w:pStyle w:val="Compact"/>
            </w:pPr>
            <w:r>
              <w:t xml:space="preserve">2,700</w:t>
            </w:r>
          </w:p>
        </w:tc>
        <w:tc>
          <w:tcPr/>
          <w:p>
            <w:pPr>
              <w:pStyle w:val="Compact"/>
            </w:pPr>
            <w:r>
              <w:t xml:space="preserve">−510</w:t>
            </w:r>
          </w:p>
        </w:tc>
        <w:tc>
          <w:tcPr/>
          <w:p>
            <w:pPr>
              <w:pStyle w:val="Compact"/>
            </w:pPr>
            <w:r>
              <w:t xml:space="preserve">—</w:t>
            </w:r>
          </w:p>
        </w:tc>
      </w:tr>
      <w:tr>
        <w:tc>
          <w:tcPr/>
          <w:p>
            <w:pPr>
              <w:pStyle w:val="Compact"/>
            </w:pPr>
            <w:r>
              <w:rPr>
                <w:rFonts w:hint="eastAsia"/>
              </w:rPr>
              <w:t xml:space="preserve">θ=1・泊3号再稼働</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5,287</w:t>
            </w:r>
          </w:p>
        </w:tc>
        <w:tc>
          <w:tcPr/>
          <w:p>
            <w:pPr>
              <w:pStyle w:val="Compact"/>
            </w:pPr>
            <w:r>
              <w:t xml:space="preserve">1,631</w:t>
            </w:r>
          </w:p>
        </w:tc>
        <w:tc>
          <w:tcPr/>
          <w:p>
            <w:pPr>
              <w:pStyle w:val="Compact"/>
            </w:pPr>
            <w:r>
              <w:t xml:space="preserve">−414</w:t>
            </w:r>
          </w:p>
        </w:tc>
        <w:tc>
          <w:tcPr/>
          <w:p>
            <w:pPr>
              <w:pStyle w:val="Compact"/>
            </w:pPr>
            <w:r>
              <w:t xml:space="preserve">3.58</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5,291</w:t>
            </w:r>
          </w:p>
        </w:tc>
        <w:tc>
          <w:tcPr/>
          <w:p>
            <w:pPr>
              <w:pStyle w:val="Compact"/>
            </w:pPr>
            <w:r>
              <w:t xml:space="preserve">1,633</w:t>
            </w:r>
          </w:p>
        </w:tc>
        <w:tc>
          <w:tcPr/>
          <w:p>
            <w:pPr>
              <w:pStyle w:val="Compact"/>
            </w:pPr>
            <w:r>
              <w:t xml:space="preserve">−413</w:t>
            </w:r>
          </w:p>
        </w:tc>
        <w:tc>
          <w:tcPr/>
          <w:p>
            <w:pPr>
              <w:pStyle w:val="Compact"/>
            </w:pPr>
            <w:r>
              <w:t xml:space="preserve">3.57</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762</w:t>
            </w:r>
          </w:p>
        </w:tc>
        <w:tc>
          <w:tcPr/>
          <w:p>
            <w:pPr>
              <w:pStyle w:val="Compact"/>
            </w:pPr>
            <w:r>
              <w:t xml:space="preserve">7,177</w:t>
            </w:r>
          </w:p>
        </w:tc>
        <w:tc>
          <w:tcPr/>
          <w:p>
            <w:pPr>
              <w:pStyle w:val="Compact"/>
            </w:pPr>
            <w:r>
              <w:t xml:space="preserve">2,638</w:t>
            </w:r>
          </w:p>
        </w:tc>
        <w:tc>
          <w:tcPr/>
          <w:p>
            <w:pPr>
              <w:pStyle w:val="Compact"/>
            </w:pPr>
            <w:r>
              <w:t xml:space="preserve">112</w:t>
            </w:r>
          </w:p>
        </w:tc>
        <w:tc>
          <w:tcPr/>
          <w:p>
            <w:pPr>
              <w:pStyle w:val="Compact"/>
            </w:pPr>
            <w:r>
              <w:t xml:space="preserve">2.82</w:t>
            </w:r>
          </w:p>
        </w:tc>
      </w:tr>
      <w:tr>
        <w:tc>
          <w:tcPr/>
          <w:p>
            <w:pPr>
              <w:pStyle w:val="Compact"/>
            </w:pPr>
            <w:r>
              <w:rPr>
                <w:rFonts w:hint="eastAsia"/>
              </w:rPr>
              <w:t xml:space="preserve">θ=1・泊3号再稼働</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762</w:t>
            </w:r>
          </w:p>
        </w:tc>
        <w:tc>
          <w:tcPr/>
          <w:p>
            <w:pPr>
              <w:pStyle w:val="Compact"/>
            </w:pPr>
            <w:r>
              <w:t xml:space="preserve">9,063</w:t>
            </w:r>
          </w:p>
        </w:tc>
        <w:tc>
          <w:tcPr/>
          <w:p>
            <w:pPr>
              <w:pStyle w:val="Compact"/>
            </w:pPr>
            <w:r>
              <w:t xml:space="preserve">3,642</w:t>
            </w:r>
          </w:p>
        </w:tc>
        <w:tc>
          <w:tcPr/>
          <w:p>
            <w:pPr>
              <w:pStyle w:val="Compact"/>
            </w:pPr>
            <w:r>
              <w:t xml:space="preserve">637</w:t>
            </w:r>
          </w:p>
        </w:tc>
        <w:tc>
          <w:tcPr/>
          <w:p>
            <w:pPr>
              <w:pStyle w:val="Compact"/>
            </w:pPr>
            <w:r>
              <w:t xml:space="preserve">2.33</w:t>
            </w:r>
          </w:p>
        </w:tc>
      </w:tr>
      <w:tr>
        <w:tc>
          <w:tcPr/>
          <w:p>
            <w:pPr>
              <w:pStyle w:val="Compact"/>
            </w:pPr>
            <w:r>
              <w:rPr>
                <w:rFonts w:hint="eastAsia"/>
              </w:rPr>
              <w:t xml:space="preserve">θ=1・泊＋風力2倍</w:t>
            </w:r>
          </w:p>
        </w:tc>
        <w:tc>
          <w:tcPr/>
          <w:p>
            <w:pPr>
              <w:pStyle w:val="Compact"/>
            </w:pPr>
            <w:r>
              <w:rPr>
                <w:rFonts w:hint="eastAsia"/>
              </w:rPr>
              <w:t xml:space="preserve">現行（下限0.01円）</w:t>
            </w:r>
          </w:p>
        </w:tc>
        <w:tc>
          <w:tcPr/>
          <w:p>
            <w:pPr>
              <w:pStyle w:val="Compact"/>
            </w:pPr>
            <w:r>
              <w:t xml:space="preserve">0</w:t>
            </w:r>
          </w:p>
        </w:tc>
        <w:tc>
          <w:tcPr/>
          <w:p>
            <w:pPr>
              <w:pStyle w:val="Compact"/>
            </w:pPr>
            <w:r>
              <w:t xml:space="preserve">5,667</w:t>
            </w:r>
          </w:p>
        </w:tc>
        <w:tc>
          <w:tcPr/>
          <w:p>
            <w:pPr>
              <w:pStyle w:val="Compact"/>
            </w:pPr>
            <w:r>
              <w:t xml:space="preserve">2,192</w:t>
            </w:r>
          </w:p>
        </w:tc>
        <w:tc>
          <w:tcPr/>
          <w:p>
            <w:pPr>
              <w:pStyle w:val="Compact"/>
            </w:pPr>
            <w:r>
              <w:t xml:space="preserve">129</w:t>
            </w:r>
          </w:p>
        </w:tc>
        <w:tc>
          <w:tcPr/>
          <w:p>
            <w:pPr>
              <w:pStyle w:val="Compact"/>
            </w:pPr>
            <w:r>
              <w:t xml:space="preserve">3.39</w:t>
            </w:r>
          </w:p>
        </w:tc>
      </w:tr>
      <w:tr>
        <w:tc>
          <w:tcPr/>
          <w:p>
            <w:pPr>
              <w:pStyle w:val="Compact"/>
            </w:pPr>
            <w:r>
              <w:rPr>
                <w:rFonts w:hint="eastAsia"/>
              </w:rPr>
              <w:t xml:space="preserve">θ=1・泊＋風力2倍</w:t>
            </w:r>
          </w:p>
        </w:tc>
        <w:tc>
          <w:tcPr/>
          <w:p>
            <w:pPr>
              <w:pStyle w:val="Compact"/>
            </w:pPr>
            <w:r>
              <w:rPr>
                <w:rFonts w:hint="eastAsia"/>
              </w:rPr>
              <w:t xml:space="preserve">下限</w:t>
            </w:r>
            <w:r>
              <w:t xml:space="preserve"> </w:t>
            </w:r>
            <w:r>
              <w:rPr>
                <w:rFonts w:hint="eastAsia"/>
              </w:rPr>
              <w:t xml:space="preserve">0円</w:t>
            </w:r>
          </w:p>
        </w:tc>
        <w:tc>
          <w:tcPr/>
          <w:p>
            <w:pPr>
              <w:pStyle w:val="Compact"/>
            </w:pPr>
            <w:r>
              <w:t xml:space="preserve">0</w:t>
            </w:r>
          </w:p>
        </w:tc>
        <w:tc>
          <w:tcPr/>
          <w:p>
            <w:pPr>
              <w:pStyle w:val="Compact"/>
            </w:pPr>
            <w:r>
              <w:t xml:space="preserve">5,673</w:t>
            </w:r>
          </w:p>
        </w:tc>
        <w:tc>
          <w:tcPr/>
          <w:p>
            <w:pPr>
              <w:pStyle w:val="Compact"/>
            </w:pPr>
            <w:r>
              <w:t xml:space="preserve">2,196</w:t>
            </w:r>
          </w:p>
        </w:tc>
        <w:tc>
          <w:tcPr/>
          <w:p>
            <w:pPr>
              <w:pStyle w:val="Compact"/>
            </w:pPr>
            <w:r>
              <w:t xml:space="preserve">132</w:t>
            </w:r>
          </w:p>
        </w:tc>
        <w:tc>
          <w:tcPr/>
          <w:p>
            <w:pPr>
              <w:pStyle w:val="Compact"/>
            </w:pPr>
            <w:r>
              <w:t xml:space="preserve">3.39</w:t>
            </w:r>
          </w:p>
        </w:tc>
      </w:tr>
      <w:tr>
        <w:tc>
          <w:tcPr/>
          <w:p>
            <w:pPr>
              <w:pStyle w:val="Compact"/>
            </w:pPr>
            <w:r>
              <w:rPr>
                <w:rFonts w:hint="eastAsia"/>
              </w:rPr>
              <w:t xml:space="preserve">θ=1・泊＋風力2倍</w:t>
            </w:r>
          </w:p>
        </w:tc>
        <w:tc>
          <w:tcPr/>
          <w:p>
            <w:pPr>
              <w:pStyle w:val="Compact"/>
            </w:pPr>
            <w:r>
              <w:rPr>
                <w:rFonts w:hint="eastAsia"/>
              </w:rPr>
              <w:t xml:space="preserve">下限</w:t>
            </w:r>
            <w:r>
              <w:t xml:space="preserve"> </w:t>
            </w:r>
            <w:r>
              <w:rPr>
                <w:rFonts w:hint="eastAsia"/>
              </w:rPr>
              <w:t xml:space="preserve">−5円</w:t>
            </w:r>
          </w:p>
        </w:tc>
        <w:tc>
          <w:tcPr/>
          <w:p>
            <w:pPr>
              <w:pStyle w:val="Compact"/>
            </w:pPr>
            <w:r>
              <w:t xml:space="preserve">1478</w:t>
            </w:r>
          </w:p>
        </w:tc>
        <w:tc>
          <w:tcPr/>
          <w:p>
            <w:pPr>
              <w:pStyle w:val="Compact"/>
            </w:pPr>
            <w:r>
              <w:t xml:space="preserve">8,766</w:t>
            </w:r>
          </w:p>
        </w:tc>
        <w:tc>
          <w:tcPr/>
          <w:p>
            <w:pPr>
              <w:pStyle w:val="Compact"/>
            </w:pPr>
            <w:r>
              <w:t xml:space="preserve">4,043</w:t>
            </w:r>
          </w:p>
        </w:tc>
        <w:tc>
          <w:tcPr/>
          <w:p>
            <w:pPr>
              <w:pStyle w:val="Compact"/>
            </w:pPr>
            <w:r>
              <w:t xml:space="preserve">1,364</w:t>
            </w:r>
          </w:p>
        </w:tc>
        <w:tc>
          <w:tcPr/>
          <w:p>
            <w:pPr>
              <w:pStyle w:val="Compact"/>
            </w:pPr>
            <w:r>
              <w:t xml:space="preserve">2.39</w:t>
            </w:r>
          </w:p>
        </w:tc>
      </w:tr>
      <w:tr>
        <w:tc>
          <w:tcPr/>
          <w:p>
            <w:pPr>
              <w:pStyle w:val="Compact"/>
            </w:pPr>
            <w:r>
              <w:rPr>
                <w:rFonts w:hint="eastAsia"/>
              </w:rPr>
              <w:t xml:space="preserve">θ=1・泊＋風力2倍</w:t>
            </w:r>
          </w:p>
        </w:tc>
        <w:tc>
          <w:tcPr/>
          <w:p>
            <w:pPr>
              <w:pStyle w:val="Compact"/>
            </w:pPr>
            <w:r>
              <w:rPr>
                <w:rFonts w:hint="eastAsia"/>
              </w:rPr>
              <w:t xml:space="preserve">下限</w:t>
            </w:r>
            <w:r>
              <w:t xml:space="preserve"> </w:t>
            </w:r>
            <w:r>
              <w:rPr>
                <w:rFonts w:hint="eastAsia"/>
              </w:rPr>
              <w:t xml:space="preserve">−10円</w:t>
            </w:r>
          </w:p>
        </w:tc>
        <w:tc>
          <w:tcPr/>
          <w:p>
            <w:pPr>
              <w:pStyle w:val="Compact"/>
            </w:pPr>
            <w:r>
              <w:t xml:space="preserve">1478</w:t>
            </w:r>
          </w:p>
        </w:tc>
        <w:tc>
          <w:tcPr/>
          <w:p>
            <w:pPr>
              <w:pStyle w:val="Compact"/>
            </w:pPr>
            <w:r>
              <w:t xml:space="preserve">11,859</w:t>
            </w:r>
          </w:p>
        </w:tc>
        <w:tc>
          <w:tcPr/>
          <w:p>
            <w:pPr>
              <w:pStyle w:val="Compact"/>
            </w:pPr>
            <w:r>
              <w:t xml:space="preserve">5,890</w:t>
            </w:r>
          </w:p>
        </w:tc>
        <w:tc>
          <w:tcPr/>
          <w:p>
            <w:pPr>
              <w:pStyle w:val="Compact"/>
            </w:pPr>
            <w:r>
              <w:t xml:space="preserve">2,597</w:t>
            </w:r>
          </w:p>
        </w:tc>
        <w:tc>
          <w:tcPr/>
          <w:p>
            <w:pPr>
              <w:pStyle w:val="Compact"/>
            </w:pPr>
            <w:r>
              <w:t xml:space="preserve">1.85</w:t>
            </w:r>
          </w:p>
        </w:tc>
      </w:tr>
    </w:tbl>
    <w:p>
      <w:pPr>
        <w:pStyle w:val="BodyText"/>
      </w:pPr>
      <w:r>
        <w:rPr>
          <w:rFonts w:hint="eastAsia"/>
        </w:rPr>
        <w:t xml:space="preserve">表10.1</w:t>
      </w:r>
      <w:r>
        <w:t xml:space="preserve"> </w:t>
      </w:r>
      <w:r>
        <w:rPr>
          <w:rFonts w:hint="eastAsia"/>
        </w:rPr>
        <w:t xml:space="preserve">下限価格シナリオ別の実現可能スポット収益（円/kW-年）と損益分岐の価格水準係数</w:t>
      </w:r>
      <w:r>
        <w:t xml:space="preserve"> θ</w:t>
      </w:r>
      <w:r>
        <w:rPr>
          <w:rFonts w:hint="eastAsia"/>
          <w:i/>
          <w:iCs/>
        </w:rPr>
        <w:t xml:space="preserve">（水準係数付き価格過程・FY2023〜25パス・capture率0.81・充電従量負担控除。θ</w:t>
      </w:r>
      <w:r>
        <w:t xml:space="preserve"> </w:t>
      </w:r>
      <w:r>
        <w:rPr>
          <w:rFonts w:hint="eastAsia"/>
        </w:rPr>
        <w:t xml:space="preserve">は資本費6.8万円/kWh・実効容量収入1.25万円・WACC</w:t>
      </w:r>
      <w:r>
        <w:t xml:space="preserve"> </w:t>
      </w:r>
      <w:r>
        <w:rPr>
          <w:rFonts w:hint="eastAsia"/>
        </w:rPr>
        <w:t xml:space="preserve">6%。FY2026上期水準の行は</w:t>
      </w:r>
      <w:r>
        <w:t xml:space="preserve"> θ </w:t>
      </w:r>
      <w:r>
        <w:rPr>
          <w:rFonts w:hint="eastAsia"/>
        </w:rPr>
        <w:t xml:space="preserve">が既に1.57のため省略）</w:t>
      </w:r>
    </w:p>
    <w:p>
      <w:pPr>
        <w:pStyle w:val="BodyText"/>
      </w:pPr>
      <w:r>
        <w:rPr>
          <w:rFonts w:hint="eastAsia"/>
        </w:rPr>
        <w:t xml:space="preserve">三つの含意がある。第一に、現状の余剰の量では負価格の効果は小さい。モデル上の床の時間は年115時間で、−10円にしても</w:t>
      </w:r>
      <w:r>
        <w:t xml:space="preserve"> </w:t>
      </w:r>
      <m:oMath>
        <m:r>
          <m:t>π</m:t>
        </m:r>
        <m:r>
          <m:t>(</m:t>
        </m:r>
        <m:r>
          <m:t>0</m:t>
        </m:r>
        <m:r>
          <m:t>)</m:t>
        </m:r>
      </m:oMath>
      <w:r>
        <w:t xml:space="preserve"> </w:t>
      </w:r>
      <w:r>
        <w:rPr>
          <w:rFonts w:hint="eastAsia"/>
        </w:rPr>
        <w:t xml:space="preserve">は4,943円から5,659円（+14%）、</w:t>
      </w:r>
      <m:oMath>
        <m:sSup>
          <m:e>
            <m:r>
              <m:t>θ</m:t>
            </m:r>
          </m:e>
          <m:sup>
            <m:r>
              <m:t>*</m:t>
            </m:r>
          </m:sup>
        </m:sSup>
      </m:oMath>
      <w:r>
        <w:t xml:space="preserve"> </w:t>
      </w:r>
      <w:r>
        <w:rPr>
          <w:rFonts w:hint="eastAsia"/>
        </w:rPr>
        <w:t xml:space="preserve">は3.76から3.40に下がるにすぎない。下限を0円にするだけでは何も変わらない。第二に、効果は余剰の量に比例して拡大する。泊3号機の再稼働で床の時間が年762時間になると、−10円で</w:t>
      </w:r>
      <w:r>
        <w:t xml:space="preserve"> </w:t>
      </w:r>
      <m:oMath>
        <m:r>
          <m:t>π</m:t>
        </m:r>
        <m:r>
          <m:t>(</m:t>
        </m:r>
        <m:r>
          <m:t>0</m:t>
        </m:r>
        <m:r>
          <m:t>)</m:t>
        </m:r>
      </m:oMath>
      <w:r>
        <w:t xml:space="preserve"> </w:t>
      </w:r>
      <w:r>
        <w:rPr>
          <w:rFonts w:hint="eastAsia"/>
        </w:rPr>
        <w:t xml:space="preserve">は5,287円から9,063円（1.7倍）、</w:t>
      </w:r>
      <m:oMath>
        <m:sSup>
          <m:e>
            <m:r>
              <m:t>θ</m:t>
            </m:r>
          </m:e>
          <m:sup>
            <m:r>
              <m:t>*</m:t>
            </m:r>
          </m:sup>
        </m:sSup>
      </m:oMath>
      <w:r>
        <w:t xml:space="preserve"> </w:t>
      </w:r>
      <w:r>
        <w:rPr>
          <w:rFonts w:hint="eastAsia"/>
        </w:rPr>
        <w:t xml:space="preserve">は3.58から2.33へ下がる。泊と風力2倍では床の時間が1,478時間となり、</w:t>
      </w:r>
      <m:oMath>
        <m:r>
          <m:t>π</m:t>
        </m:r>
        <m:r>
          <m:t>(</m:t>
        </m:r>
        <m:r>
          <m:t>0</m:t>
        </m:r>
        <m:r>
          <m:t>)</m:t>
        </m:r>
      </m:oMath>
      <w:r>
        <w:t xml:space="preserve"> </w:t>
      </w:r>
      <w:r>
        <w:rPr>
          <w:rFonts w:hint="eastAsia"/>
        </w:rPr>
        <w:t xml:space="preserve">は11,859円、</w:t>
      </w:r>
      <m:oMath>
        <m:sSup>
          <m:e>
            <m:r>
              <m:t>θ</m:t>
            </m:r>
          </m:e>
          <m:sup>
            <m:r>
              <m:t>*</m:t>
            </m:r>
          </m:sup>
        </m:sSup>
      </m:oMath>
      <w:r>
        <w:t xml:space="preserve"> </w:t>
      </w:r>
      <w:r>
        <w:rPr>
          <w:rFonts w:hint="eastAsia"/>
        </w:rPr>
        <w:t xml:space="preserve">は1.85で、負価格は必要な価格水準をほぼ半分にする。第三に、カニバリゼーションの速度が緩む。負価格の下では充電が支払いを受けるため、フリートが増えても</w:t>
      </w:r>
      <w:r>
        <w:t xml:space="preserve"> </w:t>
      </w:r>
      <m:oMath>
        <m:r>
          <m:t>π</m:t>
        </m:r>
        <m:r>
          <m:t>(</m:t>
        </m:r>
        <m:r>
          <m:t>K</m:t>
        </m:r>
        <m:r>
          <m:t>)</m:t>
        </m:r>
      </m:oMath>
      <w:r>
        <w:t xml:space="preserve"> </w:t>
      </w:r>
      <w:r>
        <w:rPr>
          <w:rFonts w:hint="eastAsia"/>
        </w:rPr>
        <w:t xml:space="preserve">の減衰が遅く、泊と風力2倍・−10円では</w:t>
      </w:r>
      <w:r>
        <w:t xml:space="preserve"> </w:t>
      </w:r>
      <w:r>
        <w:rPr>
          <w:rFonts w:hint="eastAsia"/>
        </w:rPr>
        <w:t xml:space="preserve">K=100万kWでも2,597円が残る（現行の床では129円）。</w:t>
      </w:r>
    </w:p>
    <w:p>
      <w:pPr>
        <w:pStyle w:val="BodyText"/>
      </w:pPr>
      <w:r>
        <w:rPr>
          <w:rFonts w:hint="eastAsia"/>
        </w:rPr>
        <w:t xml:space="preserve">ただし、観察可能な範囲のどのシナリオでも</w:t>
      </w:r>
      <w:r>
        <w:t xml:space="preserve"> </w:t>
      </w:r>
      <m:oMath>
        <m:sSup>
          <m:e>
            <m:r>
              <m:t>θ</m:t>
            </m:r>
          </m:e>
          <m:sup>
            <m:r>
              <m:t>*</m:t>
            </m:r>
          </m:sup>
        </m:sSup>
      </m:oMath>
      <w:r>
        <w:t xml:space="preserve"> </w:t>
      </w:r>
      <w:r>
        <w:rPr>
          <w:rFonts w:hint="eastAsia"/>
        </w:rPr>
        <w:t xml:space="preserve">は1を超えており、負価格だけでマーチャント参入が開くわけではない。負価格は9.4の損益分岐面を資本費・容量収入と同じ方向に動かす第三の政策レバーであり、その効きは将来の余剰の大きさで決まる。2035年度に北海道の出力制御率が37%に達するという公表見通し（資源エネルギー庁</w:t>
      </w:r>
      <w:r>
        <w:t xml:space="preserve"> </w:t>
      </w:r>
      <w:r>
        <w:rPr>
          <w:rFonts w:hint="eastAsia"/>
        </w:rPr>
        <w:t xml:space="preserve">2026）が実現する局面では、この効果は本章の泊と風力2倍のシナリオに近いか、それを超える。</w:t>
      </w:r>
    </w:p>
    <w:bookmarkEnd w:id="148"/>
    <w:bookmarkStart w:id="149" w:name="出力制御の影の価格と再エネ側の収入"/>
    <w:p>
      <w:pPr>
        <w:pStyle w:val="Heading2"/>
      </w:pPr>
      <w:r>
        <w:t xml:space="preserve">10.4 </w:t>
      </w:r>
      <w:r>
        <w:rPr>
          <w:rFonts w:hint="eastAsia"/>
        </w:rPr>
        <w:t xml:space="preserve">出力制御の影の価格と再エネ側の収入</w:t>
      </w:r>
    </w:p>
    <w:p>
      <w:pPr>
        <w:pStyle w:val="FirstParagraph"/>
      </w:pPr>
      <w:r>
        <w:rPr>
          <w:rFonts w:hint="eastAsia"/>
        </w:rPr>
        <w:t xml:space="preserve">負価格は蓄電池への支払いであると同時に、余剰時に発電する再エネ事業者からの移転である。表10.2に、実績の価格と出力で、床の時間に発電していた再エネ出力に</w:t>
      </w:r>
      <w:r>
        <w:t xml:space="preserve"> </w:t>
      </w:r>
      <m:oMath>
        <m:r>
          <m:t>0.01</m:t>
        </m:r>
        <m:r>
          <m:t>+</m:t>
        </m:r>
        <m:r>
          <m:t>c</m:t>
        </m:r>
      </m:oMath>
      <w:r>
        <w:t xml:space="preserve"> </w:t>
      </w:r>
      <w:r>
        <w:rPr>
          <w:rFonts w:hint="eastAsia"/>
        </w:rPr>
        <w:t xml:space="preserve">円を掛けた収入減と、出力制御された電力量に</w:t>
      </w:r>
      <w:r>
        <w:t xml:space="preserve"> </w:t>
      </w:r>
      <m:oMath>
        <m:r>
          <m:t>c</m:t>
        </m:r>
      </m:oMath>
      <w:r>
        <w:t xml:space="preserve"> </w:t>
      </w:r>
      <w:r>
        <w:rPr>
          <w:rFonts w:hint="eastAsia"/>
        </w:rPr>
        <w:t xml:space="preserve">円を掛けた「影の価格」の価値を示す。</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年度</w:t>
            </w:r>
          </w:p>
        </w:tc>
        <w:tc>
          <w:tcPr/>
          <w:p>
            <w:pPr>
              <w:pStyle w:val="Compact"/>
            </w:pPr>
            <w:r>
              <w:rPr>
                <w:rFonts w:hint="eastAsia"/>
              </w:rPr>
              <w:t xml:space="preserve">床の時間（h）</w:t>
            </w:r>
          </w:p>
        </w:tc>
        <w:tc>
          <w:tcPr/>
          <w:p>
            <w:pPr>
              <w:pStyle w:val="Compact"/>
            </w:pPr>
            <w:r>
              <w:rPr>
                <w:rFonts w:hint="eastAsia"/>
              </w:rPr>
              <w:t xml:space="preserve">床の時間の再エネ出力（GWh）</w:t>
            </w:r>
          </w:p>
        </w:tc>
        <w:tc>
          <w:tcPr/>
          <w:p>
            <w:pPr>
              <w:pStyle w:val="Compact"/>
            </w:pPr>
            <w:r>
              <w:rPr>
                <w:rFonts w:hint="eastAsia"/>
              </w:rPr>
              <w:t xml:space="preserve">再エネ収入減</w:t>
            </w:r>
            <w:r>
              <w:t xml:space="preserve"> </w:t>
            </w:r>
            <w:r>
              <w:rPr>
                <w:rFonts w:hint="eastAsia"/>
              </w:rPr>
              <w:t xml:space="preserve">c=5／10（億円）</w:t>
            </w:r>
          </w:p>
        </w:tc>
        <w:tc>
          <w:tcPr/>
          <w:p>
            <w:pPr>
              <w:pStyle w:val="Compact"/>
            </w:pPr>
            <w:r>
              <w:rPr>
                <w:rFonts w:hint="eastAsia"/>
              </w:rPr>
              <w:t xml:space="preserve">出力制御（GWh）</w:t>
            </w:r>
          </w:p>
        </w:tc>
        <w:tc>
          <w:tcPr/>
          <w:p>
            <w:pPr>
              <w:pStyle w:val="Compact"/>
            </w:pPr>
            <w:r>
              <w:rPr>
                <w:rFonts w:hint="eastAsia"/>
              </w:rPr>
              <w:t xml:space="preserve">抑制時間（うち床と一致）</w:t>
            </w:r>
          </w:p>
        </w:tc>
        <w:tc>
          <w:tcPr/>
          <w:p>
            <w:pPr>
              <w:pStyle w:val="Compact"/>
            </w:pPr>
            <w:r>
              <w:rPr>
                <w:rFonts w:hint="eastAsia"/>
              </w:rPr>
              <w:t xml:space="preserve">抑制の影の価格の価値</w:t>
            </w:r>
            <w:r>
              <w:t xml:space="preserve"> </w:t>
            </w:r>
            <w:r>
              <w:rPr>
                <w:rFonts w:hint="eastAsia"/>
              </w:rPr>
              <w:t xml:space="preserve">c=5／10（億円）</w:t>
            </w:r>
          </w:p>
        </w:tc>
      </w:tr>
      <w:tr>
        <w:tc>
          <w:tcPr/>
          <w:p>
            <w:pPr>
              <w:pStyle w:val="Compact"/>
            </w:pPr>
            <w:r>
              <w:t xml:space="preserve">FY2023</w:t>
            </w:r>
          </w:p>
        </w:tc>
        <w:tc>
          <w:tcPr/>
          <w:p>
            <w:pPr>
              <w:pStyle w:val="Compact"/>
            </w:pPr>
            <w:r>
              <w:t xml:space="preserve">265</w:t>
            </w:r>
          </w:p>
        </w:tc>
        <w:tc>
          <w:tcPr/>
          <w:p>
            <w:pPr>
              <w:pStyle w:val="Compact"/>
            </w:pPr>
            <w:r>
              <w:t xml:space="preserve">442.4</w:t>
            </w:r>
          </w:p>
        </w:tc>
        <w:tc>
          <w:tcPr/>
          <w:p>
            <w:pPr>
              <w:pStyle w:val="Compact"/>
            </w:pPr>
            <w:r>
              <w:rPr>
                <w:rFonts w:hint="eastAsia"/>
              </w:rPr>
              <w:t xml:space="preserve">22.2／44.3</w:t>
            </w:r>
          </w:p>
        </w:tc>
        <w:tc>
          <w:tcPr/>
          <w:p>
            <w:pPr>
              <w:pStyle w:val="Compact"/>
            </w:pPr>
            <w:r>
              <w:t xml:space="preserve">0.8</w:t>
            </w:r>
          </w:p>
        </w:tc>
        <w:tc>
          <w:tcPr/>
          <w:p>
            <w:pPr>
              <w:pStyle w:val="Compact"/>
            </w:pPr>
            <w:r>
              <w:rPr>
                <w:rFonts w:hint="eastAsia"/>
              </w:rPr>
              <w:t xml:space="preserve">8（3）</w:t>
            </w:r>
          </w:p>
        </w:tc>
        <w:tc>
          <w:tcPr/>
          <w:p>
            <w:pPr>
              <w:pStyle w:val="Compact"/>
            </w:pPr>
            <w:r>
              <w:rPr>
                <w:rFonts w:hint="eastAsia"/>
              </w:rPr>
              <w:t xml:space="preserve">0.04／0.08</w:t>
            </w:r>
          </w:p>
        </w:tc>
      </w:tr>
      <w:tr>
        <w:tc>
          <w:tcPr/>
          <w:p>
            <w:pPr>
              <w:pStyle w:val="Compact"/>
            </w:pPr>
            <w:r>
              <w:t xml:space="preserve">FY2024</w:t>
            </w:r>
          </w:p>
        </w:tc>
        <w:tc>
          <w:tcPr/>
          <w:p>
            <w:pPr>
              <w:pStyle w:val="Compact"/>
            </w:pPr>
            <w:r>
              <w:t xml:space="preserve">138</w:t>
            </w:r>
          </w:p>
        </w:tc>
        <w:tc>
          <w:tcPr/>
          <w:p>
            <w:pPr>
              <w:pStyle w:val="Compact"/>
            </w:pPr>
            <w:r>
              <w:t xml:space="preserve">274.7</w:t>
            </w:r>
          </w:p>
        </w:tc>
        <w:tc>
          <w:tcPr/>
          <w:p>
            <w:pPr>
              <w:pStyle w:val="Compact"/>
            </w:pPr>
            <w:r>
              <w:rPr>
                <w:rFonts w:hint="eastAsia"/>
              </w:rPr>
              <w:t xml:space="preserve">13.8／27.5</w:t>
            </w:r>
          </w:p>
        </w:tc>
        <w:tc>
          <w:tcPr/>
          <w:p>
            <w:pPr>
              <w:pStyle w:val="Compact"/>
            </w:pPr>
            <w:r>
              <w:t xml:space="preserve">2.7</w:t>
            </w:r>
          </w:p>
        </w:tc>
        <w:tc>
          <w:tcPr/>
          <w:p>
            <w:pPr>
              <w:pStyle w:val="Compact"/>
            </w:pPr>
            <w:r>
              <w:rPr>
                <w:rFonts w:hint="eastAsia"/>
              </w:rPr>
              <w:t xml:space="preserve">12（12）</w:t>
            </w:r>
          </w:p>
        </w:tc>
        <w:tc>
          <w:tcPr/>
          <w:p>
            <w:pPr>
              <w:pStyle w:val="Compact"/>
            </w:pPr>
            <w:r>
              <w:rPr>
                <w:rFonts w:hint="eastAsia"/>
              </w:rPr>
              <w:t xml:space="preserve">0.13／0.27</w:t>
            </w:r>
          </w:p>
        </w:tc>
      </w:tr>
      <w:tr>
        <w:tc>
          <w:tcPr/>
          <w:p>
            <w:pPr>
              <w:pStyle w:val="Compact"/>
            </w:pPr>
            <w:r>
              <w:t xml:space="preserve">FY2025</w:t>
            </w:r>
          </w:p>
        </w:tc>
        <w:tc>
          <w:tcPr/>
          <w:p>
            <w:pPr>
              <w:pStyle w:val="Compact"/>
            </w:pPr>
            <w:r>
              <w:t xml:space="preserve">205</w:t>
            </w:r>
          </w:p>
        </w:tc>
        <w:tc>
          <w:tcPr/>
          <w:p>
            <w:pPr>
              <w:pStyle w:val="Compact"/>
            </w:pPr>
            <w:r>
              <w:t xml:space="preserve">384.9</w:t>
            </w:r>
          </w:p>
        </w:tc>
        <w:tc>
          <w:tcPr/>
          <w:p>
            <w:pPr>
              <w:pStyle w:val="Compact"/>
            </w:pPr>
            <w:r>
              <w:rPr>
                <w:rFonts w:hint="eastAsia"/>
              </w:rPr>
              <w:t xml:space="preserve">19.3／38.5</w:t>
            </w:r>
          </w:p>
        </w:tc>
        <w:tc>
          <w:tcPr/>
          <w:p>
            <w:pPr>
              <w:pStyle w:val="Compact"/>
            </w:pPr>
            <w:r>
              <w:t xml:space="preserve">16.2</w:t>
            </w:r>
          </w:p>
        </w:tc>
        <w:tc>
          <w:tcPr/>
          <w:p>
            <w:pPr>
              <w:pStyle w:val="Compact"/>
            </w:pPr>
            <w:r>
              <w:rPr>
                <w:rFonts w:hint="eastAsia"/>
              </w:rPr>
              <w:t xml:space="preserve">121（70）</w:t>
            </w:r>
          </w:p>
        </w:tc>
        <w:tc>
          <w:tcPr/>
          <w:p>
            <w:pPr>
              <w:pStyle w:val="Compact"/>
            </w:pPr>
            <w:r>
              <w:rPr>
                <w:rFonts w:hint="eastAsia"/>
              </w:rPr>
              <w:t xml:space="preserve">0.81／1.62</w:t>
            </w:r>
          </w:p>
        </w:tc>
      </w:tr>
      <w:tr>
        <w:tc>
          <w:tcPr/>
          <w:p>
            <w:pPr>
              <w:pStyle w:val="Compact"/>
            </w:pPr>
            <w:r>
              <w:rPr>
                <w:rFonts w:hint="eastAsia"/>
              </w:rPr>
              <w:t xml:space="preserve">FY2026（4〜6月）</w:t>
            </w:r>
          </w:p>
        </w:tc>
        <w:tc>
          <w:tcPr/>
          <w:p>
            <w:pPr>
              <w:pStyle w:val="Compact"/>
            </w:pPr>
            <w:r>
              <w:t xml:space="preserve">216</w:t>
            </w:r>
          </w:p>
        </w:tc>
        <w:tc>
          <w:tcPr/>
          <w:p>
            <w:pPr>
              <w:pStyle w:val="Compact"/>
            </w:pPr>
            <w:r>
              <w:t xml:space="preserve">435.6</w:t>
            </w:r>
          </w:p>
        </w:tc>
        <w:tc>
          <w:tcPr/>
          <w:p>
            <w:pPr>
              <w:pStyle w:val="Compact"/>
            </w:pPr>
            <w:r>
              <w:rPr>
                <w:rFonts w:hint="eastAsia"/>
              </w:rPr>
              <w:t xml:space="preserve">21.8／43.6</w:t>
            </w:r>
          </w:p>
        </w:tc>
        <w:tc>
          <w:tcPr/>
          <w:p>
            <w:pPr>
              <w:pStyle w:val="Compact"/>
            </w:pPr>
            <w:r>
              <w:t xml:space="preserve">65.3</w:t>
            </w:r>
          </w:p>
        </w:tc>
        <w:tc>
          <w:tcPr/>
          <w:p>
            <w:pPr>
              <w:pStyle w:val="Compact"/>
            </w:pPr>
            <w:r>
              <w:rPr>
                <w:rFonts w:hint="eastAsia"/>
              </w:rPr>
              <w:t xml:space="preserve">437（176）</w:t>
            </w:r>
          </w:p>
        </w:tc>
        <w:tc>
          <w:tcPr/>
          <w:p>
            <w:pPr>
              <w:pStyle w:val="Compact"/>
            </w:pPr>
            <w:r>
              <w:rPr>
                <w:rFonts w:hint="eastAsia"/>
              </w:rPr>
              <w:t xml:space="preserve">3.26／6.53</w:t>
            </w:r>
          </w:p>
        </w:tc>
      </w:tr>
    </w:tbl>
    <w:p>
      <w:pPr>
        <w:pStyle w:val="BodyText"/>
      </w:pPr>
      <w:r>
        <w:rPr>
          <w:rFonts w:hint="eastAsia"/>
        </w:rPr>
        <w:t xml:space="preserve">表10.2</w:t>
      </w:r>
      <w:r>
        <w:t xml:space="preserve"> </w:t>
      </w:r>
      <w:r>
        <w:rPr>
          <w:rFonts w:hint="eastAsia"/>
        </w:rPr>
        <w:t xml:space="preserve">床の時間の再エネ出力と出力制御の影の価格（北海道、実績の価格・出力。FY2026は4〜6月の3か月分）</w:t>
      </w:r>
    </w:p>
    <w:p>
      <w:pPr>
        <w:pStyle w:val="BodyText"/>
      </w:pPr>
      <w:r>
        <w:rPr>
          <w:rFonts w:hint="eastAsia"/>
        </w:rPr>
        <w:t xml:space="preserve">FY2025では床の時間が205時間、その間の再エネ出力が385GWhで、−5円なら年19億円、−10円なら39億円が再エネ事業者から蓄電池・需要側に移る。一方、出力制御の電力量は16GWhにすぎず、影の価格で測った価値は0.8〜1.6億円である。負価格は「捨てられた電気」に値段を付けるだけでなく、床の時間に発電していたすべての再エネから支払いを求めるため、移転額は抑制の価値の20倍以上になる。FY2026上期は抑制が3か月で65GWhに急増し（437時間、うち176時間が床と一致）、影の価格の価値も3.3〜6.5億円に上がったが、比率の構造は同じである。したがって負価格の導入は、FIP電源のプレミアムを負価格の時間に停止する規則（欧州の6時間ルールに相当）や、FIT電源の扱いと一体で設計しなければ、再エネ側の収入を大きく損なう。</w:t>
      </w:r>
    </w:p>
    <w:bookmarkEnd w:id="149"/>
    <w:bookmarkStart w:id="150" w:name="価格による調整と数量による調整"/>
    <w:p>
      <w:pPr>
        <w:pStyle w:val="Heading2"/>
      </w:pPr>
      <w:r>
        <w:t xml:space="preserve">10.5 </w:t>
      </w:r>
      <w:r>
        <w:rPr>
          <w:rFonts w:hint="eastAsia"/>
        </w:rPr>
        <w:t xml:space="preserve">価格による調整と数量による調整</w:t>
      </w:r>
    </w:p>
    <w:p>
      <w:pPr>
        <w:pStyle w:val="FirstParagraph"/>
      </w:pPr>
      <w:r>
        <w:rPr>
          <w:rFonts w:hint="eastAsia"/>
        </w:rPr>
        <w:t xml:space="preserve">現行制度は、余剰時の調整を優先給電ルールという数量割当で行い、その見直し（FIT電源を先に制御し、FIPに移行して蓄電池を併設した電源の抑制率を下げる）が進んでいる。資源エネルギー庁の試算では、北海道の太陽光の出力制御率は2035年度に53%となるところ、FIP移行と1kWあたり3kWhの併設で3%に下がる（資源エネルギー庁</w:t>
      </w:r>
      <w:r>
        <w:t xml:space="preserve"> </w:t>
      </w:r>
      <w:r>
        <w:rPr>
          <w:rFonts w:hint="eastAsia"/>
        </w:rPr>
        <w:t xml:space="preserve">2026）。これは数量規制の側で併設蓄電池を誘導する設計であり、本章の負価格は同じ目的を価格で達成する設計である。</w:t>
      </w:r>
    </w:p>
    <w:p>
      <w:pPr>
        <w:pStyle w:val="BodyText"/>
      </w:pPr>
      <w:r>
        <w:t xml:space="preserve">Weitzman (1974) </w:t>
      </w:r>
      <w:r>
        <w:rPr>
          <w:rFonts w:hint="eastAsia"/>
        </w:rPr>
        <w:t xml:space="preserve">の枠組みでは、限界費用（ここでは蓄電池の資本費）の不確実性が大きく、限界便益（余剰の吸収の価値）の曲線が緩やかなときに価格規制が数量規制に勝る。蓄電池の資本費は年率数%で低下し見通しの幅が大きいのに対し、余剰吸収の価値は床の時間の数にほぼ比例して緩やかに増える。この条件は価格規制に有利であり、負価格は「どの電源をどれだけ止めるか」を行政が決める代わりに、支払意思の低い電源から順に止め、蓄電池には吸収の価値を直接支払う。透明性の面でも、出力制御の実績は月次の検証資料でしか把握できないのに対し、負価格は30分ごとに公表される。</w:t>
      </w:r>
    </w:p>
    <w:p>
      <w:pPr>
        <w:pStyle w:val="BodyText"/>
      </w:pPr>
      <w:r>
        <w:rPr>
          <w:rFonts w:hint="eastAsia"/>
        </w:rPr>
        <w:t xml:space="preserve">ただし二つの限界がある。第一に、負価格が拾うのはエリア全体の余剰だけである。ローカル系統の混雑による抑制（9.3.1で抑制時間の12.8%がエリア価格5円超で発生）はゾーン価格には映らず、ノーダル価格か混雑管理の制度なしには解消しない。第二に、負価格の深さは希少性ではなく補助制度で決まる。FITの無補償ルールとFIPのプレミアムがそのまま残れば、負価格はプレミアムの大きさを映す指標になり、余剰の限界価値を示す指標にはならない。負価格が「透明性の高い指標」として機能するのは、補助の設計と組み合わせた場合に限られる。</w:t>
      </w:r>
    </w:p>
    <w:bookmarkEnd w:id="150"/>
    <w:bookmarkStart w:id="151" w:name="小括-3"/>
    <w:p>
      <w:pPr>
        <w:pStyle w:val="Heading2"/>
      </w:pPr>
      <w:r>
        <w:t xml:space="preserve">10.6 </w:t>
      </w:r>
      <w:r>
        <w:rPr>
          <w:rFonts w:hint="eastAsia"/>
        </w:rPr>
        <w:t xml:space="preserve">小括</w:t>
      </w:r>
    </w:p>
    <w:p>
      <w:pPr>
        <w:pStyle w:val="FirstParagraph"/>
      </w:pPr>
      <w:r>
        <w:rPr>
          <w:rFonts w:hint="eastAsia"/>
        </w:rPr>
        <w:t xml:space="preserve">床は、風力主導市場で蓄電池が価値を得る唯一の経路（打ち切りの非対称性）であると同時に、余剰の価値を市場から隠す制度でもある。負価格の導入は、余剰の量に比例して蓄電池の裁定価値を高め、参入に必要な価格水準を最大で半分近くまで下げるが、現在の余剰の量では効果は小さく、マーチャント参入を単独で開くには足りない。再エネ側からの移転は抑制の価値の20倍を超えるため、プレミアムの停止規則と一体の設計が要る。ローカル混雑の抑制は負価格では解消しない。</w:t>
      </w:r>
    </w:p>
    <w:bookmarkEnd w:id="151"/>
    <w:bookmarkEnd w:id="152"/>
    <w:bookmarkStart w:id="158" w:name="第11章-ディスカッション"/>
    <w:p>
      <w:pPr>
        <w:pStyle w:val="Heading1"/>
      </w:pPr>
      <w:r>
        <w:rPr>
          <w:rFonts w:hint="eastAsia"/>
        </w:rPr>
        <w:t xml:space="preserve">第11章</w:t>
      </w:r>
      <w:r>
        <w:t xml:space="preserve"> ディスカッション</w:t>
      </w:r>
    </w:p>
    <w:bookmarkStart w:id="153" w:name="結果の統合的解釈"/>
    <w:p>
      <w:pPr>
        <w:pStyle w:val="Heading2"/>
      </w:pPr>
      <w:r>
        <w:t xml:space="preserve">11.1 </w:t>
      </w:r>
      <w:r>
        <w:rPr>
          <w:rFonts w:hint="eastAsia"/>
        </w:rPr>
        <w:t xml:space="preserve">結果の統合的解釈</w:t>
      </w:r>
    </w:p>
    <w:p>
      <w:pPr>
        <w:pStyle w:val="FirstParagraph"/>
      </w:pPr>
      <w:r>
        <w:rPr>
          <w:rFonts w:hint="eastAsia"/>
        </w:rPr>
        <w:t xml:space="preserve">序論で示した5段階の論理に沿って結果を統合する。</w:t>
      </w:r>
    </w:p>
    <w:p>
      <w:pPr>
        <w:pStyle w:val="BodyText"/>
      </w:pPr>
      <w:r>
        <w:rPr>
          <w:rFonts w:hint="eastAsia"/>
        </w:rPr>
        <w:t xml:space="preserve">第一に、「再エネの増加は価格ボラティリティを高める」という通説は、電源種で分岐する。太陽光は日内形状を変え（ダックカーブ）、不需要期を中心に日内スプレッドを拡大させる。風力は水準を平行に下げるだけで日内形状を変えない。風力の変動は数日から週の帯域に分布し、この帯域構造は導入量が4倍になっても不変であった。日間の散らばりに限れば風力も太陽光も価格を安定させる（6.5）。これは再エネが価格の燃料価格感応度を下げるという</w:t>
      </w:r>
      <w:r>
        <w:t xml:space="preserve"> Navia Simon and Diaz Anadon (2025) </w:t>
      </w:r>
      <w:r>
        <w:rPr>
          <w:rFonts w:hint="eastAsia"/>
        </w:rPr>
        <w:t xml:space="preserve">の「保険価値」と同じ方向であり、通説の反対側にも先行研究の裏付けがある。</w:t>
      </w:r>
    </w:p>
    <w:p>
      <w:pPr>
        <w:pStyle w:val="BodyText"/>
      </w:pPr>
      <w:r>
        <w:rPr>
          <w:rFonts w:hint="eastAsia"/>
        </w:rPr>
        <w:t xml:space="preserve">第二に、蓄電池のスポット価値は「ボラティリティ一般」ではなく日内形状（TB4hスプレッド）で決まる。北海道の価値の源泉は夕方スパイクと床の形成であり、風力の導入そのものはこれをほとんど動かさない。風力主導市場では「再エネ→ボラ→蓄電池価値」というスポット市場を通じた連鎖がほぼ切れている。</w:t>
      </w:r>
    </w:p>
    <w:p>
      <w:pPr>
        <w:pStyle w:val="BodyText"/>
      </w:pPr>
      <w:r>
        <w:rPr>
          <w:rFonts w:hint="eastAsia"/>
        </w:rPr>
        <w:t xml:space="preserve">第三に、蓄電池自身の競合は速い。フリート容量100万kW程度でスポット原資は枯渇し、現行の資本費と価格構造の下でマーチャントの均衡容量はゼロである。それでも参入が続くのは、市場外の収益（容量市場・LTDA・補助金）と、エリア価格に映らないローカル価値、そして将来への期待による。</w:t>
      </w:r>
    </w:p>
    <w:bookmarkEnd w:id="153"/>
    <w:bookmarkStart w:id="154" w:name="先行研究との対話"/>
    <w:p>
      <w:pPr>
        <w:pStyle w:val="Heading2"/>
      </w:pPr>
      <w:r>
        <w:t xml:space="preserve">11.2 </w:t>
      </w:r>
      <w:r>
        <w:rPr>
          <w:rFonts w:hint="eastAsia"/>
        </w:rPr>
        <w:t xml:space="preserve">先行研究との対話</w:t>
      </w:r>
    </w:p>
    <w:p>
      <w:pPr>
        <w:pStyle w:val="FirstParagraph"/>
      </w:pPr>
      <w:r>
        <w:t xml:space="preserve">Fuke and Ohashi (2025) </w:t>
      </w:r>
      <w:r>
        <w:rPr>
          <w:rFonts w:hint="eastAsia"/>
        </w:rPr>
        <w:t xml:space="preserve">は九州の太陽光について、昼間平均価格の条件付き分位点幅（IQR）で測った変動性が春夏に低下することを示した。本研究は同じ九州で日内スプレッド（TB4h）が冬・不需要期に拡大することを示しており、一見矛盾する。しかし両者は時間スケールが異なる。彼らの被説明変数は昼間時間帯の平均価格の日次系列であり、IQRはその日間の散らばりを測る。日内の形状は日次平均化の段階で消えている。本研究の3分解（水準・日内形状・日間）でいえば、彼らの指標は第3成分、TB4hは第2成分に対応する。太陽光が昼間の平均価格を日々安定させながら（需要と発電が同方向に動く夏に顕著）、同時に昼と夕方の差を開く（ダックカーブ）ことは何ら矛盾しない。6.5では彼らの仕様を再現したうえで、同一サンプルで被説明変数をTB4hに替えると符号が変わることを示した。蓄電池の裁定原資は日内の形状で決まるため、蓄電池分析には本研究の指標が適切である。彼らが今後の課題として挙げた時間値データによる日内変動の分析は、本研究が埋めた部分にあたる。</w:t>
      </w:r>
    </w:p>
    <w:p>
      <w:pPr>
        <w:pStyle w:val="BodyText"/>
      </w:pPr>
      <w:r>
        <w:t xml:space="preserve">Butters et al. (2025) </w:t>
      </w:r>
      <w:r>
        <w:rPr>
          <w:rFonts w:hint="eastAsia"/>
        </w:rPr>
        <w:t xml:space="preserve">との比較では、capture率（気候値で81〜83%）は彼らの「完全予見の約7割」と整合し、カニバリの速度も整合する。彼らの設定で仮定によって捨象されていた条件のうち、価格下限（打ち切り）は本研究において風力価値の転換点の機構そのものであり、連系線制約は市場分断の方向転換として、出力制御は（彼らが脚注で示唆したとおり）併設蓄電池の価値として、複数市場は容量市場・LTDAの乖離として、それぞれ一次的に重要であった。彼ら自身が明示した限界のうち、火力の退出と資本費の内生的低下は本研究でも扱っておらず（11.5）、標本内の変動から高浸透を外挿するという限界は、本研究では風力導入量を気象パスを保存したまま動かす価格過程モデルによって部分的に緩和されているにすぎない。</w:t>
      </w:r>
    </w:p>
    <w:p>
      <w:pPr>
        <w:pStyle w:val="BodyText"/>
      </w:pPr>
      <w:r>
        <w:rPr>
          <w:rFonts w:hint="eastAsia"/>
        </w:rPr>
        <w:t xml:space="preserve">ERCOTの実績（2年で6分の1）は、本研究のπ(K)曲線の急峻さを外部から裏付ける。北海道の契約申込234万kWがスポット飽和点を超えているという事実は、ERCOTの後追いではなく、LTDAと容量市場という日本固有の市場外収入がカニバリの先に参入を押し出していることを示す。</w:t>
      </w:r>
    </w:p>
    <w:bookmarkEnd w:id="154"/>
    <w:bookmarkStart w:id="155" w:name="機構の考察"/>
    <w:p>
      <w:pPr>
        <w:pStyle w:val="Heading2"/>
      </w:pPr>
      <w:r>
        <w:t xml:space="preserve">11.3 </w:t>
      </w:r>
      <w:r>
        <w:rPr>
          <w:rFonts w:hint="eastAsia"/>
        </w:rPr>
        <w:t xml:space="preserve">機構の考察</w:t>
      </w:r>
    </w:p>
    <w:p>
      <w:pPr>
        <w:pStyle w:val="FirstParagraph"/>
      </w:pPr>
      <w:r>
        <w:rPr>
          <w:rFonts w:hint="eastAsia"/>
        </w:rPr>
        <w:t xml:space="preserve">風力が日内形状を変えない理由は、第一に風力に系統的な日内サイクルがなく（何時に吹くかは決まっていない）、第二に北海道が広域単一価格ゾーンであるため地理的に分散した風力がフリートとして集約されて日内の高周波が相殺された後に価格に効くことにある。前者が本質、後者が平行シフトを「綺麗にする」補助機構である。6.4の反実仮想はこの順位を定量的に裏付ける。日内帯域を単一サイト並みの4倍に増幅してもTB4hは+4%、PF価値は+7%しか動かず、風力の日次発電量がTB4hに与える係数はほぼ不変であった。Rintamäki</w:t>
      </w:r>
      <w:r>
        <w:t xml:space="preserve"> et al. (2017) </w:t>
      </w:r>
      <w:r>
        <w:rPr>
          <w:rFonts w:hint="eastAsia"/>
        </w:rPr>
        <w:t xml:space="preserve">がデンマークについて挙げた機構——風が終日ほぼ一様に吹き、水力を持つ隣国との連系が太いため、ピークとオフピークの価格がほぼ等しく下がる——は北海道の前半と一致する。他方、彼らがドイツで観察した「夜間に偏った風力が変動性を上げる」機構が北海道で働かないのは、道内に系統的な日内偏りがないためであり、この点が空間分散シミュレーション（6.4）で確かめるべき仮説である。この日内形状を変えない性質は市場・系統構造の産物であり、洋上風力が道北に集中してサイト間相関が高まれば減衰しうる。</w:t>
      </w:r>
    </w:p>
    <w:p>
      <w:pPr>
        <w:pStyle w:val="BodyText"/>
      </w:pPr>
      <w:r>
        <w:rPr>
          <w:rFonts w:hint="eastAsia"/>
        </w:rPr>
        <w:t xml:space="preserve">床が価値の転換点になるのは、打ち切りの非対称性による。風力は価格を平行に下げるが、0.01円以下には下がれない。床に当たると安い側だけが切り取られ、夕方スパイクは残るため、スプレッドが開く。太陽光が最初からダックカーブで価値を作るのに対し、風力は床を通じてのみ価値を作る。</w:t>
      </w:r>
    </w:p>
    <w:p>
      <w:pPr>
        <w:pStyle w:val="BodyText"/>
      </w:pPr>
      <w:r>
        <w:rPr>
          <w:rFonts w:hint="eastAsia"/>
        </w:rPr>
        <w:t xml:space="preserve">参入が均衡を超える理由は、契約型とマーチャントの2区分で理解できる。LTDAと補助金の市場外収入に依存する容量は市場収益と無関係に建設され、マーチャント容量はその後に残ったスプレッドに直面する。さらに、将来のスプレッド水準と資本費低下への期待、容量市場価格の上振れ期待が、競争的参入の下では先取り競争として現れる。</w:t>
      </w:r>
    </w:p>
    <w:bookmarkEnd w:id="155"/>
    <w:bookmarkStart w:id="156" w:name="外的妥当性"/>
    <w:p>
      <w:pPr>
        <w:pStyle w:val="Heading2"/>
      </w:pPr>
      <w:r>
        <w:t xml:space="preserve">11.4 </w:t>
      </w:r>
      <w:r>
        <w:rPr>
          <w:rFonts w:hint="eastAsia"/>
        </w:rPr>
        <w:t xml:space="preserve">外的妥当性</w:t>
      </w:r>
    </w:p>
    <w:p>
      <w:pPr>
        <w:pStyle w:val="FirstParagraph"/>
      </w:pPr>
      <w:r>
        <w:rPr>
          <w:rFonts w:hint="eastAsia"/>
        </w:rPr>
        <w:t xml:space="preserve">東北エリア（風力・太陽光が混合し、東京への連系が太い）と九州エリア（太陽光主導・床が飽和）は本研究の枠組みの自然な比較対象である。九州で観察したスプレッドのFY2023年反転（蓄電池普及前に揚水運用の拡大が起こした圧縮）は、北海道の将来の姿でもある。同時市場への移行（2030年代前半）とノーダル化の議論は、需給調整市場のゼロレント仮定と併設蓄電池のローカル価値の扱いを変えうる。ドイツの日前・当日市場では、当日市場の逐次再最適化を含む複数市場戦略が日前市場単独の粗利を4〜5割上回るという結果（Oeltz</w:t>
      </w:r>
      <w:r>
        <w:t xml:space="preserve"> and Pfingsten </w:t>
      </w:r>
      <w:r>
        <w:rPr>
          <w:rFonts w:hint="eastAsia"/>
        </w:rPr>
        <w:t xml:space="preserve">2025）があり、国内でも同時市場で蓄電池がプライスメーカーとして参加する際の損益評価手法が提案されている（電気学会論文誌B</w:t>
      </w:r>
      <w:r>
        <w:t xml:space="preserve"> </w:t>
      </w:r>
      <w:r>
        <w:rPr>
          <w:rFonts w:hint="eastAsia"/>
        </w:rPr>
        <w:t xml:space="preserve">2026）。スポット単独のゼロレント仮定は、これらの市場設計の下では再検討を要する。</w:t>
      </w:r>
    </w:p>
    <w:bookmarkEnd w:id="156"/>
    <w:bookmarkStart w:id="157" w:name="限界"/>
    <w:p>
      <w:pPr>
        <w:pStyle w:val="Heading2"/>
      </w:pPr>
      <w:r>
        <w:t xml:space="preserve">11.5 </w:t>
      </w:r>
      <w:r>
        <w:rPr>
          <w:rFonts w:hint="eastAsia"/>
        </w:rPr>
        <w:t xml:space="preserve">限界</w:t>
      </w:r>
    </w:p>
    <w:p>
      <w:pPr>
        <w:pStyle w:val="FirstParagraph"/>
      </w:pPr>
      <w:r>
        <w:rPr>
          <w:rFonts w:hint="eastAsia"/>
        </w:rPr>
        <w:t xml:space="preserve">本研究の分析は部分均衡である。システムプライスは外生であり、供給側（火力の退出）・連系線増強・揚水運用の内生的反応は価格過程に埋め込まれた歴史的応答として固定されている。水準係数付き価格過程は年度別の水準係数でFY2026型の水準シフトを取り込んだが、床時間とスパイクの裾は7〜9割の再現にとどまり、水準係数も外部の燃料価格指数ではなくデータから推定した指数である。ただし</w:t>
      </w:r>
      <w:r>
        <w:t xml:space="preserve"> </w:t>
      </w:r>
      <m:oMath>
        <m:sSup>
          <m:e>
            <m:r>
              <m:t>K</m:t>
            </m:r>
          </m:e>
          <m:sup>
            <m:r>
              <m:t>*</m:t>
            </m:r>
          </m:sup>
        </m:sSup>
        <m:r>
          <m:t>=</m:t>
        </m:r>
        <m:r>
          <m:t>0</m:t>
        </m:r>
      </m:oMath>
      <w:r>
        <w:t xml:space="preserve"> </w:t>
      </w:r>
      <w:r>
        <w:rPr>
          <w:rFonts w:hint="eastAsia"/>
        </w:rPr>
        <w:t xml:space="preserve">の判定は水準係数を約3倍（裾の補正後でも2.5倍）に引き上げない限り覆らず（8.4）、この限界が結論を変える可能性は小さい。併設蓄電池の価値は上限試算にとどまり、容量制約下の実効値は今後の課題である。第10章の負価格は、床に達する時間の価格を外生の深さ</w:t>
      </w:r>
      <w:r>
        <w:t xml:space="preserve"> </w:t>
      </w:r>
      <m:oMath>
        <m:r>
          <m:t>−</m:t>
        </m:r>
        <m:r>
          <m:t>c</m:t>
        </m:r>
      </m:oMath>
      <w:r>
        <w:t xml:space="preserve"> </w:t>
      </w:r>
      <w:r>
        <w:rPr>
          <w:rFonts w:hint="eastAsia"/>
        </w:rPr>
        <w:t xml:space="preserve">に置く段差モデルによる反実仮想であり、負の領域の供給曲線と補助制度の内生的な反応は扱っていない。厚生分析は本研究のスコープ外であり、私的均衡の実証命題に限定した。貯蔵の所有構造や市場支配力が運用と投資を歪めうること（Sioshansi</w:t>
      </w:r>
      <w:r>
        <w:t xml:space="preserve"> 2010; Andrés-Cerezo and Fabra </w:t>
      </w:r>
      <w:r>
        <w:rPr>
          <w:rFonts w:hint="eastAsia"/>
        </w:rPr>
        <w:t xml:space="preserve">2023）も扱っておらず、本研究の参入者は競争的な価格テイカーである。</w:t>
      </w:r>
    </w:p>
    <w:bookmarkEnd w:id="157"/>
    <w:bookmarkEnd w:id="158"/>
    <w:bookmarkStart w:id="162" w:name="第12章-結論"/>
    <w:p>
      <w:pPr>
        <w:pStyle w:val="Heading1"/>
      </w:pPr>
      <w:r>
        <w:rPr>
          <w:rFonts w:hint="eastAsia"/>
        </w:rPr>
        <w:t xml:space="preserve">第12章</w:t>
      </w:r>
      <w:r>
        <w:t xml:space="preserve"> </w:t>
      </w:r>
      <w:r>
        <w:rPr>
          <w:rFonts w:hint="eastAsia"/>
        </w:rPr>
        <w:t xml:space="preserve">結論</w:t>
      </w:r>
    </w:p>
    <w:bookmarkStart w:id="159" w:name="要約"/>
    <w:p>
      <w:pPr>
        <w:pStyle w:val="Heading2"/>
      </w:pPr>
      <w:r>
        <w:t xml:space="preserve">12.1 </w:t>
      </w:r>
      <w:r>
        <w:rPr>
          <w:rFonts w:hint="eastAsia"/>
        </w:rPr>
        <w:t xml:space="preserve">要約</w:t>
      </w:r>
    </w:p>
    <w:p>
      <w:pPr>
        <w:pStyle w:val="FirstParagraph"/>
      </w:pPr>
      <w:r>
        <w:rPr>
          <w:rFonts w:hint="eastAsia"/>
        </w:rPr>
        <w:t xml:space="preserve">本研究は、風力主導の卸電力市場である北海道エリアを対象に、再エネの増加が価格に与える影響を電源種と時間スケールで分解し、蓄電池のスポット価値とその減衰を測定し、自由参入均衡の蓄電池容量を推計したうえで、現実の参入との乖離を均衡からの乖離として分解した。</w:t>
      </w:r>
    </w:p>
    <w:p>
      <w:pPr>
        <w:pStyle w:val="BodyText"/>
      </w:pPr>
      <w:r>
        <w:rPr>
          <w:rFonts w:hint="eastAsia"/>
        </w:rPr>
        <w:t xml:space="preserve">主要な発見は次のとおりである。（1）太陽光は不需要期を中心に日内スプレッドを拡大させるが、風力は価格水準を平行に引き下げるのみで日内形状を変えない。風力変動の約4分の3は1日を超える長周期に分布し、この構造は10年間不変である。（2）北海道の蓄電池のスポット価値は九州と同水準（約1万円/kW-年）だが、源泉は昼の床ではなく夕方のスパイクである。実行可能戦略の最善は単純な平均化（気候値）で完全予見の81〜83%であり、風力ノイズは前日情報では取れない。（3）蓄電池フリートの拡大に対するスポット価値の減衰は速く、約100万kWで原資が枯渇する。現行の資本費と価格構造の下ではマーチャントの均衡容量はゼロであり、接続済み容量と契約申込はいずれも均衡を超過している。（4）この乖離は、容量市場・LTDA・補助金の市場外収入と、エリア価格に映らない併設蓄電池のローカル価値、および将来への期待によって説明される。（5）価格の下限は蓄電池が価値を得る唯一の経路であると同時に余剰の価値を市場から隠しており、負価格の導入は余剰の量に比例して裁定価値を高め、泊再稼働と風力倍増の局面では参入に必要な価格水準をほぼ半分に下げるが、現状の余剰では効果は小さく、再エネ側からの移転は出力制御の価値の20倍を超える。</w:t>
      </w:r>
    </w:p>
    <w:bookmarkEnd w:id="159"/>
    <w:bookmarkStart w:id="160" w:name="実務政策への含意"/>
    <w:p>
      <w:pPr>
        <w:pStyle w:val="Heading2"/>
      </w:pPr>
      <w:r>
        <w:t xml:space="preserve">12.2 </w:t>
      </w:r>
      <w:r>
        <w:rPr>
          <w:rFonts w:hint="eastAsia"/>
        </w:rPr>
        <w:t xml:space="preserve">実務・政策への含意</w:t>
      </w:r>
    </w:p>
    <w:p>
      <w:pPr>
        <w:pStyle w:val="FirstParagraph"/>
      </w:pPr>
      <w:r>
        <w:rPr>
          <w:rFonts w:hint="eastAsia"/>
        </w:rPr>
        <w:t xml:space="preserve">投資実務にとって、蓄電池の収益は複数の源泉からなり、スポット裁定はその一部にすぎない。スポット裁定の価値はフリートの拡大に対して最も脆弱であり、収益スタックの評価では参入の進展に伴う減衰を織り込む必要がある。風力主導市場では、風力の増加そのものは裁定価値を高めず、価値を動かすのは床の形成（原子力再稼働、風力の大幅増）とフラット需要の実現である。</w:t>
      </w:r>
    </w:p>
    <w:p>
      <w:pPr>
        <w:pStyle w:val="BodyText"/>
      </w:pPr>
      <w:r>
        <w:rPr>
          <w:rFonts w:hint="eastAsia"/>
        </w:rPr>
        <w:t xml:space="preserve">政策にとって、導入見通しと市場均衡の乖離は市場外収入に依存する容量の規模を示す。LTDAと補助金が参入を駆動している以上、それらの制度設計（duration要件・還付構造・上限価格）が導入の量と質を決める。ローカル系統制約による抑制がエリア価格に映らないことは、併設蓄電池の価値が市場シグナルとして伝わっていないことを意味し、混雑管理の制度設計と接続する論点である。価格の下限を負価格に置き換えることは、余剰の配分を数量割当から価格発見に移し、蓄電池の吸収の価値を市場の内側に入れる。ただしその効きは余剰の量に依存し、FIPプレミアムの停止規則と一体で設計しなければ再エネ側の収入を大きく損なう。ローカル混雑による抑制はゾーン価格の負価格では解消せず、ノーダル価格か混雑管理の制度が別に要る。</w:t>
      </w:r>
    </w:p>
    <w:bookmarkEnd w:id="160"/>
    <w:bookmarkStart w:id="161" w:name="今後の課題"/>
    <w:p>
      <w:pPr>
        <w:pStyle w:val="Heading2"/>
      </w:pPr>
      <w:r>
        <w:t xml:space="preserve">12.3 </w:t>
      </w:r>
      <w:r>
        <w:rPr>
          <w:rFonts w:hint="eastAsia"/>
        </w:rPr>
        <w:t xml:space="preserve">今後の課題</w:t>
      </w:r>
    </w:p>
    <w:p>
      <w:pPr>
        <w:pStyle w:val="FirstParagraph"/>
      </w:pPr>
      <w:r>
        <w:rPr>
          <w:rFonts w:hint="eastAsia"/>
        </w:rPr>
        <w:t xml:space="preserve">第一に、価格過程の裾（床時間とスパイク）の再現の改善と、外部の燃料価格指数による水準係数の校正である。第二に、分断ブロックにおける容量市場需要曲線の按分規則の確認と、需給調整市場の調達量データによるレント上限の実測である。第三に、併設蓄電池の容量制約下の回避可能率と、OCCTOの月次検証資料による抑制の分解である。第四に、空間分散シミュレーションによる風力が日内形状を変えない性質の機構検証である。第五に、同時市場への移行後の需給調整市場の扱いと、洋上風力の大量導入後の帯域構造の再検証である。第六に、負価格の深さを補助制度（FIT・FIPの扱い）から内生的に導く市場設計モデルと、2035年度の出力制御見通しを前提にした均衡容量の再計算である。</w:t>
      </w:r>
    </w:p>
    <w:bookmarkEnd w:id="161"/>
    <w:bookmarkEnd w:id="162"/>
    <w:bookmarkStart w:id="168" w:name="参考文献ドラフト"/>
    <w:p>
      <w:pPr>
        <w:pStyle w:val="Heading1"/>
      </w:pPr>
      <w:r>
        <w:rPr>
          <w:rFonts w:hint="eastAsia"/>
        </w:rPr>
        <w:t xml:space="preserve">参考文献（ドラフト）</w:t>
      </w:r>
    </w:p>
    <w:p>
      <w:pPr>
        <w:pStyle w:val="FirstParagraph"/>
      </w:pPr>
      <w:r>
        <w:rPr>
          <w:rFonts w:hint="eastAsia"/>
        </w:rPr>
        <w:t xml:space="preserve">本リストはコア文献（DOI照合済み）を先に掲げ、追加文献・資料を続ける。書式は「著者</w:t>
      </w:r>
      <w:r>
        <w:t xml:space="preserve"> </w:t>
      </w:r>
      <w:r>
        <w:rPr>
          <w:rFonts w:hint="eastAsia"/>
        </w:rPr>
        <w:t xml:space="preserve">(年).</w:t>
      </w:r>
      <w:r>
        <w:t xml:space="preserve"> </w:t>
      </w:r>
      <w:r>
        <w:rPr>
          <w:rFonts w:hint="eastAsia"/>
        </w:rPr>
        <w:t xml:space="preserve">題名.</w:t>
      </w:r>
      <w:r>
        <w:t xml:space="preserve"> </w:t>
      </w:r>
      <w:r>
        <w:rPr>
          <w:rFonts w:hint="eastAsia"/>
        </w:rPr>
        <w:t xml:space="preserve">誌名</w:t>
      </w:r>
      <w:r>
        <w:t xml:space="preserve"> </w:t>
      </w:r>
      <w:r>
        <w:rPr>
          <w:rFonts w:hint="eastAsia"/>
        </w:rPr>
        <w:t xml:space="preserve">巻(号),</w:t>
      </w:r>
      <w:r>
        <w:t xml:space="preserve"> </w:t>
      </w:r>
      <w:r>
        <w:rPr>
          <w:rFonts w:hint="eastAsia"/>
        </w:rPr>
        <w:t xml:space="preserve">頁.</w:t>
      </w:r>
      <w:r>
        <w:t xml:space="preserve"> </w:t>
      </w:r>
      <w:r>
        <w:rPr>
          <w:rFonts w:hint="eastAsia"/>
        </w:rPr>
        <w:t xml:space="preserve">DOI」。頁は精読ノートで確認後に補う。</w:t>
      </w:r>
    </w:p>
    <w:bookmarkStart w:id="163" w:name="a.-学術文献コア"/>
    <w:p>
      <w:pPr>
        <w:pStyle w:val="Heading2"/>
      </w:pPr>
      <w:r>
        <w:t xml:space="preserve">A. </w:t>
      </w:r>
      <w:r>
        <w:rPr>
          <w:rFonts w:hint="eastAsia"/>
        </w:rPr>
        <w:t xml:space="preserve">学術文献（コア）</w:t>
      </w:r>
    </w:p>
    <w:p>
      <w:pPr>
        <w:pStyle w:val="Compact"/>
        <w:numPr>
          <w:ilvl w:val="0"/>
          <w:numId w:val="1004"/>
        </w:numPr>
      </w:pPr>
      <w:r>
        <w:t xml:space="preserve">[A1] Ketterer (2014) The impact of wind power generation on the electricity price in Germany. Energy Economics 44, 270–280. https://doi.org/10.1016/j.eneco.2014.04.003</w:t>
      </w:r>
    </w:p>
    <w:p>
      <w:pPr>
        <w:pStyle w:val="Compact"/>
        <w:numPr>
          <w:ilvl w:val="0"/>
          <w:numId w:val="1004"/>
        </w:numPr>
      </w:pPr>
      <w:r>
        <w:t xml:space="preserve">[A2] Woo, Horowitz, Moore &amp; Pacheco (2011) The impact of wind generation on the electricity spot-market price level and variance: The Texas experience. Energy Policy 39(7), 3939–3944. https://doi.org/10.1016/j.enpol.2011.03.084</w:t>
      </w:r>
    </w:p>
    <w:p>
      <w:pPr>
        <w:pStyle w:val="Compact"/>
        <w:numPr>
          <w:ilvl w:val="0"/>
          <w:numId w:val="1004"/>
        </w:numPr>
      </w:pPr>
      <w:r>
        <w:t xml:space="preserve">[A3] Rintamäki, Siddiqui &amp; Salo (2017) Does renewable energy generation decrease the volatility of electricity prices? An analysis of Denmark and Germany. Energy Economics 62, 270–282. https://doi.org/10.1016/j.eneco.2016.12.019</w:t>
      </w:r>
    </w:p>
    <w:p>
      <w:pPr>
        <w:pStyle w:val="Compact"/>
        <w:numPr>
          <w:ilvl w:val="0"/>
          <w:numId w:val="1004"/>
        </w:numPr>
      </w:pPr>
      <w:r>
        <w:t xml:space="preserve">[A4] Kyritsis, Andersson &amp; Serletis (2017) Electricity prices, large-scale renewable integration, and policy implications. Energy Policy 101, 550–560. https://doi.org/10.1016/j.enpol.2016.11.014</w:t>
      </w:r>
    </w:p>
    <w:p>
      <w:pPr>
        <w:pStyle w:val="Compact"/>
        <w:numPr>
          <w:ilvl w:val="0"/>
          <w:numId w:val="1004"/>
        </w:numPr>
      </w:pPr>
      <w:r>
        <w:t xml:space="preserve">[A5] Wozabal, Graf &amp; Hirschmann (2016) The effect of intermittent renewables on the electricity price variance. OR Spectrum 38, 687–709. https://doi.org/10.1007/s00291-015-0395-x</w:t>
      </w:r>
    </w:p>
    <w:p>
      <w:pPr>
        <w:pStyle w:val="Compact"/>
        <w:numPr>
          <w:ilvl w:val="0"/>
          <w:numId w:val="1004"/>
        </w:numPr>
      </w:pPr>
      <w:r>
        <w:t xml:space="preserve">[A6] Schöniger &amp; Morawetz (2022) What comes down must go up: Why fluctuating renewable energy does not necessarily increase electricity spot price variance in Europe. Energy Economics 111, 106069. https://doi.org/10.1016/j.eneco.2022.106069</w:t>
      </w:r>
    </w:p>
    <w:p>
      <w:pPr>
        <w:pStyle w:val="Compact"/>
        <w:numPr>
          <w:ilvl w:val="0"/>
          <w:numId w:val="1004"/>
        </w:numPr>
      </w:pPr>
      <w:r>
        <w:t xml:space="preserve">[A7] Maciejowska (2020) Assessing the impact of renewable energy sources on the electricity price level and variability. Energy Economics 85, 104532. https://doi.org/10.1016/j.eneco.2019.104532</w:t>
      </w:r>
    </w:p>
    <w:p>
      <w:pPr>
        <w:pStyle w:val="Compact"/>
        <w:numPr>
          <w:ilvl w:val="0"/>
          <w:numId w:val="1004"/>
        </w:numPr>
      </w:pPr>
      <w:r>
        <w:t xml:space="preserve">[A8] Paraschiv, Erni &amp; Pietsch (2014) The impact of renewable energies on EEX day-ahead electricity prices. Energy Policy 73, 196–210. https://doi.org/10.1016/j.enpol.2014.05.004</w:t>
      </w:r>
    </w:p>
    <w:p>
      <w:pPr>
        <w:pStyle w:val="Compact"/>
        <w:numPr>
          <w:ilvl w:val="0"/>
          <w:numId w:val="1004"/>
        </w:numPr>
      </w:pPr>
      <w:r>
        <w:t xml:space="preserve">[A9] Hagfors et al. (2016) Prediction of extreme price occurrences in the German day-ahead electricity market. Quantitative Finance 16(12), 1929–1948. https://doi.org/10.1080/14697688.2016.1211794</w:t>
      </w:r>
    </w:p>
    <w:p>
      <w:pPr>
        <w:pStyle w:val="Compact"/>
        <w:numPr>
          <w:ilvl w:val="0"/>
          <w:numId w:val="1004"/>
        </w:numPr>
      </w:pPr>
      <w:r>
        <w:t xml:space="preserve">[A10] Mwampashi, Nikitopoulos, Konstandatos &amp; Rai (2021) Wind generation and the dynamics of electricity prices in Australia. Energy Economics 103, 105547. https://doi.org/10.1016/j.eneco.2021.105547</w:t>
      </w:r>
    </w:p>
    <w:p>
      <w:pPr>
        <w:pStyle w:val="Compact"/>
        <w:numPr>
          <w:ilvl w:val="0"/>
          <w:numId w:val="1004"/>
        </w:numPr>
      </w:pPr>
      <w:r>
        <w:t xml:space="preserve">[A11] Navia Simon &amp; Diaz Anadon (2025) Power price stability and the insurance value of renewable technologies. Nature Energy 10, 329–341. https://doi.org/10.1038/s41560-025-01704-0</w:t>
      </w:r>
    </w:p>
    <w:p>
      <w:pPr>
        <w:pStyle w:val="Compact"/>
        <w:numPr>
          <w:ilvl w:val="0"/>
          <w:numId w:val="1004"/>
        </w:numPr>
      </w:pPr>
      <w:r>
        <w:t xml:space="preserve">[B1] Butters, Dorsey &amp; Gowrisankaran (2025) Soaking Up the Sun: Battery Investment, Renewable Energy, and Market Equilibrium. Econometrica 93(3). https://doi.org/10.3982/ECTA20411 </w:t>
      </w:r>
      <w:r>
        <w:rPr>
          <w:rFonts w:hint="eastAsia"/>
        </w:rPr>
        <w:t xml:space="preserve">【頁未確認】【要確認:</w:t>
      </w:r>
      <w:r>
        <w:t xml:space="preserve"> </w:t>
      </w:r>
      <w:r>
        <w:rPr>
          <w:rFonts w:hint="eastAsia"/>
        </w:rPr>
        <w:t xml:space="preserve">精読ノート（butters-dorsey-gowrisankaran2025.md）は</w:t>
      </w:r>
      <w:r>
        <w:t xml:space="preserve"> NBER WP </w:t>
      </w:r>
      <w:r>
        <w:rPr>
          <w:rFonts w:hint="eastAsia"/>
        </w:rPr>
        <w:t xml:space="preserve">29133（2024年9月改訂版）を読んだ版と記載。公刊版（Econometrica</w:t>
      </w:r>
      <w:r>
        <w:t xml:space="preserve"> </w:t>
      </w:r>
      <w:r>
        <w:rPr>
          <w:rFonts w:hint="eastAsia"/>
        </w:rPr>
        <w:t xml:space="preserve">93(3)）との異同は未確認】</w:t>
      </w:r>
    </w:p>
    <w:p>
      <w:pPr>
        <w:pStyle w:val="Compact"/>
        <w:numPr>
          <w:ilvl w:val="0"/>
          <w:numId w:val="1004"/>
        </w:numPr>
      </w:pPr>
      <w:r>
        <w:t xml:space="preserve">[B2] Karaduman (2023) — Economics of Grid-Scale Energy Storage in Wholesale Electricity </w:t>
      </w:r>
      <w:r>
        <w:rPr>
          <w:rFonts w:hint="eastAsia"/>
        </w:rPr>
        <w:t xml:space="preserve">Markets（WP）.</w:t>
      </w:r>
      <w:r>
        <w:t xml:space="preserve"> https://gsb-faculty.stanford.edu/omer-karaduman/files/2022/09/Economics-of-Grid-Scale-Energy-Storage.pdf</w:t>
      </w:r>
    </w:p>
    <w:p>
      <w:pPr>
        <w:pStyle w:val="Compact"/>
        <w:numPr>
          <w:ilvl w:val="0"/>
          <w:numId w:val="1004"/>
        </w:numPr>
      </w:pPr>
      <w:r>
        <w:t xml:space="preserve">[B3] Schmalensee (2022) Competitive Energy Storage and the Duck Curve. The Energy Journal 43(2). https://doi.org/10.5547/01956574.43.2.rsch </w:t>
      </w:r>
      <w:r>
        <w:rPr>
          <w:rFonts w:hint="eastAsia"/>
        </w:rPr>
        <w:t xml:space="preserve">【頁未確認】【要確認:</w:t>
      </w:r>
      <w:r>
        <w:t xml:space="preserve"> </w:t>
      </w:r>
      <w:r>
        <w:rPr>
          <w:rFonts w:hint="eastAsia"/>
        </w:rPr>
        <w:t xml:space="preserve">精読ノート（schmalensee2022.md）は</w:t>
      </w:r>
      <w:r>
        <w:t xml:space="preserve"> MIT CEEPR WP 2020-012 </w:t>
      </w:r>
      <w:r>
        <w:rPr>
          <w:rFonts w:hint="eastAsia"/>
        </w:rPr>
        <w:t xml:space="preserve">に基づくと記載。公刊版（Energy</w:t>
      </w:r>
      <w:r>
        <w:t xml:space="preserve"> Journal </w:t>
      </w:r>
      <w:r>
        <w:rPr>
          <w:rFonts w:hint="eastAsia"/>
        </w:rPr>
        <w:t xml:space="preserve">43(2)）との異同は未確認】</w:t>
      </w:r>
    </w:p>
    <w:p>
      <w:pPr>
        <w:pStyle w:val="Compact"/>
        <w:numPr>
          <w:ilvl w:val="0"/>
          <w:numId w:val="1004"/>
        </w:numPr>
      </w:pPr>
      <w:r>
        <w:t xml:space="preserve">[B4] Andrés-Cerezo &amp; Fabra (2023) Storing power: market structure matters. RAND Journal of Economics 54(1), 3–53. https://doi.org/10.1111/1756-2171.12429</w:t>
      </w:r>
    </w:p>
    <w:p>
      <w:pPr>
        <w:pStyle w:val="Compact"/>
        <w:numPr>
          <w:ilvl w:val="0"/>
          <w:numId w:val="1004"/>
        </w:numPr>
      </w:pPr>
      <w:r>
        <w:t xml:space="preserve">[B5] Sioshansi, Denholm, Jenkin &amp; Weiss (2009) Estimating the value of electricity storage in PJM. Energy Economics 31(2), 269–277. https://doi.org/10.1016/j.eneco.2008.10.005</w:t>
      </w:r>
    </w:p>
    <w:p>
      <w:pPr>
        <w:pStyle w:val="Compact"/>
        <w:numPr>
          <w:ilvl w:val="0"/>
          <w:numId w:val="1004"/>
        </w:numPr>
      </w:pPr>
      <w:r>
        <w:t xml:space="preserve">[B6] Sioshansi (2010) Welfare Impacts of Electricity Storage and the Implications of Ownership Structure. The Energy Journal 31(2), 173–198. https://doi.org/10.5547/ISSN0195-6574-EJ-Vol31-No2-7</w:t>
      </w:r>
    </w:p>
    <w:p>
      <w:pPr>
        <w:pStyle w:val="Compact"/>
        <w:numPr>
          <w:ilvl w:val="0"/>
          <w:numId w:val="1004"/>
        </w:numPr>
      </w:pPr>
      <w:r>
        <w:t xml:space="preserve">[B7] Lamont (2013) Assessing the economic value and optimal structure of large-scale electricity storage. IEEE Trans. Power Systems 28(2), 911–921. https://doi.org/10.1109/TPWRS.2012.2218135</w:t>
      </w:r>
    </w:p>
    <w:p>
      <w:pPr>
        <w:pStyle w:val="Compact"/>
        <w:numPr>
          <w:ilvl w:val="0"/>
          <w:numId w:val="1004"/>
        </w:numPr>
      </w:pPr>
      <w:r>
        <w:t xml:space="preserve">[B8] Lamp &amp; Samano (2022) Large-scale battery storage, short-term market outcomes, and arbitrage. Energy Economics 107, 105786. https://doi.org/10.1016/j.eneco.2021.105786</w:t>
      </w:r>
    </w:p>
    <w:p>
      <w:pPr>
        <w:pStyle w:val="Compact"/>
        <w:numPr>
          <w:ilvl w:val="0"/>
          <w:numId w:val="1004"/>
        </w:numPr>
      </w:pPr>
      <w:r>
        <w:t xml:space="preserve">[B9] Hirth (2013) The market value of variable renewables. Energy Economics 38, 218–236. https://doi.org/10.1016/j.eneco.2013.02.004</w:t>
      </w:r>
    </w:p>
    <w:p>
      <w:pPr>
        <w:pStyle w:val="Compact"/>
        <w:numPr>
          <w:ilvl w:val="0"/>
          <w:numId w:val="1004"/>
        </w:numPr>
      </w:pPr>
      <w:r>
        <w:t xml:space="preserve">[B10] Brown &amp; Reichenberg (2021) Decreasing market value of variable renewables can be avoided by policy action. Energy Economics 100, 105354. https://doi.org/10.1016/j.eneco.2021.105354</w:t>
      </w:r>
    </w:p>
    <w:p>
      <w:pPr>
        <w:pStyle w:val="Compact"/>
        <w:numPr>
          <w:ilvl w:val="0"/>
          <w:numId w:val="1004"/>
        </w:numPr>
      </w:pPr>
      <w:r>
        <w:t xml:space="preserve">[B11] López Prol &amp; Schill (2021) The Economics of Variable Renewable Energy and Electricity Storage. Annual Review of Resource Economics 13, 443–467. https://doi.org/10.1146/annurev-resource-101620-081246</w:t>
      </w:r>
    </w:p>
    <w:p>
      <w:pPr>
        <w:pStyle w:val="Compact"/>
        <w:numPr>
          <w:ilvl w:val="0"/>
          <w:numId w:val="1004"/>
        </w:numPr>
      </w:pPr>
      <w:r>
        <w:t xml:space="preserve">[B12] Zhao, Jafari, Botterud &amp; Sakti (2022) Strategic energy storage investments: A case study of the CAISO electricity market. Applied Energy 325, 119909. https://doi.org/10.1016/j.apenergy.2022.119909</w:t>
      </w:r>
    </w:p>
    <w:p>
      <w:pPr>
        <w:pStyle w:val="Compact"/>
        <w:numPr>
          <w:ilvl w:val="0"/>
          <w:numId w:val="1004"/>
        </w:numPr>
      </w:pPr>
      <w:r>
        <w:t xml:space="preserve">[B13] Mercier, Olivier &amp; De Jaeger (2023) The value of electricity storage arbitrage on day-ahead markets across Europe. Energy Economics 123, 106721. https://doi.org/10.1016/j.eneco.2023.106721 </w:t>
      </w:r>
      <w:r>
        <w:rPr>
          <w:rFonts w:hint="eastAsia"/>
        </w:rPr>
        <w:t xml:space="preserve">【要確認:</w:t>
      </w:r>
      <w:r>
        <w:t xml:space="preserve"> </w:t>
      </w:r>
      <w:r>
        <w:rPr>
          <w:rFonts w:hint="eastAsia"/>
        </w:rPr>
        <w:t xml:space="preserve">巻を122から123に修正。精読ノート</w:t>
      </w:r>
      <w:r>
        <w:t xml:space="preserve"> mercier2023.md は Energy Economics 123 (2023) </w:t>
      </w:r>
      <w:r>
        <w:rPr>
          <w:rFonts w:hint="eastAsia"/>
        </w:rPr>
        <w:t xml:space="preserve">106721。旧表記122は</w:t>
      </w:r>
      <w:r>
        <w:t xml:space="preserve"> doi-list.md </w:t>
      </w:r>
      <w:r>
        <w:rPr>
          <w:rFonts w:hint="eastAsia"/>
        </w:rPr>
        <w:t xml:space="preserve">と一致】</w:t>
      </w:r>
    </w:p>
    <w:p>
      <w:pPr>
        <w:pStyle w:val="Compact"/>
        <w:numPr>
          <w:ilvl w:val="0"/>
          <w:numId w:val="1004"/>
        </w:numPr>
      </w:pPr>
      <w:r>
        <w:t xml:space="preserve">[C1] Fuke &amp; Ohashi (2025) Seasonal variation in the impact of solar power generation on electricity price level and variability. J. Commodity Markets 40, 100521 </w:t>
      </w:r>
      <w:r>
        <w:rPr>
          <w:rFonts w:hint="eastAsia"/>
        </w:rPr>
        <w:t xml:space="preserve">※最重要（大橋教授共著）.</w:t>
      </w:r>
      <w:r>
        <w:t xml:space="preserve"> https://doi.org/10.1016/j.jcomm.2025.100521</w:t>
      </w:r>
    </w:p>
    <w:p>
      <w:pPr>
        <w:pStyle w:val="Compact"/>
        <w:numPr>
          <w:ilvl w:val="0"/>
          <w:numId w:val="1004"/>
        </w:numPr>
      </w:pPr>
      <w:r>
        <w:t xml:space="preserve">[C2] Sakaguchi &amp; Fujii (2021) The Impact of Variable Renewable Energy Penetration on Wholesale Electricity Prices in Japan Between FY 2016 and 2019. Frontiers in Sustainability 2:770045. https://doi.org/10.3389/frsus.2021.770045</w:t>
      </w:r>
    </w:p>
    <w:p>
      <w:pPr>
        <w:pStyle w:val="Compact"/>
        <w:numPr>
          <w:ilvl w:val="0"/>
          <w:numId w:val="1004"/>
        </w:numPr>
      </w:pPr>
      <w:r>
        <w:t xml:space="preserve">[C3] Kanamura &amp; Bunn (2022) Market making and electricity price formation in Japan. Energy Economics 107, 105765. https://doi.org/10.1016/j.eneco.2021.105765</w:t>
      </w:r>
    </w:p>
    <w:p>
      <w:pPr>
        <w:pStyle w:val="Compact"/>
        <w:numPr>
          <w:ilvl w:val="0"/>
          <w:numId w:val="1004"/>
        </w:numPr>
      </w:pPr>
      <w:r>
        <w:t xml:space="preserve">[C4] Rassi &amp; Kanamura (2023) Electricity price spike formation and LNG prices effect under gross bidding scheme in JEPX. Energy Policy 177, 113552. https://doi.org/10.1016/j.enpol.2023.113552</w:t>
      </w:r>
    </w:p>
    <w:p>
      <w:pPr>
        <w:pStyle w:val="Compact"/>
        <w:numPr>
          <w:ilvl w:val="0"/>
          <w:numId w:val="1004"/>
        </w:numPr>
      </w:pPr>
      <w:r>
        <w:t xml:space="preserve">[C5] Ma, Du, Xu &amp; Chen (2023) Cross-regional effects of renewable power generation on the electricity market: an empirical study on Japan’s electricity spot market. Applied Economics 55(18), 2070–2097. https://doi.org/10.1080/00036846.2022.2101609</w:t>
      </w:r>
    </w:p>
    <w:p>
      <w:pPr>
        <w:pStyle w:val="Compact"/>
        <w:numPr>
          <w:ilvl w:val="0"/>
          <w:numId w:val="1004"/>
        </w:numPr>
      </w:pPr>
      <w:r>
        <w:t xml:space="preserve">[C6] Ikeda (2019) Illiquidity in the Japan electric power exchange. J. Commodity Markets 14, 16–39. https://doi.org/10.1016/j.jcomm.2018.08.001</w:t>
      </w:r>
    </w:p>
    <w:p>
      <w:pPr>
        <w:pStyle w:val="Compact"/>
        <w:numPr>
          <w:ilvl w:val="0"/>
          <w:numId w:val="1004"/>
        </w:numPr>
      </w:pPr>
      <w:r>
        <w:t xml:space="preserve">[C7] Li, Xie, Zhang, Xiao &amp; Gao (2024) Grid variability and value assessment of long-duration energy storage under rising photovoltaic penetration: Evidence from Japan. Energy 307, 132607. https://doi.org/10.1016/j.energy.2024.132607</w:t>
      </w:r>
    </w:p>
    <w:p>
      <w:pPr>
        <w:pStyle w:val="Compact"/>
        <w:numPr>
          <w:ilvl w:val="0"/>
          <w:numId w:val="1004"/>
        </w:numPr>
      </w:pPr>
      <w:r>
        <w:t xml:space="preserve">[C8] Maekawa, Hai, Shinkuma &amp; Shimada (2018) The Effect of Renewable Energy Generation on the Electric Power Spot Price of the Japan Electric Power Exchange. Energies 11(9):2215. https://doi.org/10.3390/en11092215</w:t>
      </w:r>
    </w:p>
    <w:p>
      <w:pPr>
        <w:pStyle w:val="Compact"/>
        <w:numPr>
          <w:ilvl w:val="0"/>
          <w:numId w:val="1004"/>
        </w:numPr>
      </w:pPr>
      <w:r>
        <w:t xml:space="preserve">[C9] Li, Bu, Kopsakangas-Savolainen &amp; Goto (2025) A revisiting of 2021 Japanese electricity spot market dysfunction event. Energy Policy 206, 114802. https://doi.org/10.1016/j.enpol.2025.114802</w:t>
      </w:r>
    </w:p>
    <w:p>
      <w:pPr>
        <w:pStyle w:val="Compact"/>
        <w:numPr>
          <w:ilvl w:val="0"/>
          <w:numId w:val="1004"/>
        </w:numPr>
      </w:pPr>
      <w:r>
        <w:t xml:space="preserve">[D1] Weron (2014) Electricity price forecasting: A review of the state-of-the-art. Int. J. Forecasting 30(4), 1030–1081. https://doi.org/10.1016/j.ijforecast.2014.08.008</w:t>
      </w:r>
    </w:p>
    <w:p>
      <w:pPr>
        <w:pStyle w:val="Compact"/>
        <w:numPr>
          <w:ilvl w:val="0"/>
          <w:numId w:val="1004"/>
        </w:numPr>
      </w:pPr>
      <w:r>
        <w:t xml:space="preserve">[D2] Lago, Marcjasz, De Schutter &amp; Weron (2021) Forecasting day-ahead electricity prices: A review of state-of-the-art algorithms, best practices and an open-access benchmark. Applied Energy 293, 116983. https://doi.org/10.1016/j.apenergy.2021.116983</w:t>
      </w:r>
    </w:p>
    <w:p>
      <w:pPr>
        <w:pStyle w:val="Compact"/>
        <w:numPr>
          <w:ilvl w:val="0"/>
          <w:numId w:val="1004"/>
        </w:numPr>
      </w:pPr>
      <w:r>
        <w:t xml:space="preserve">[D3] Corsi (2009) A Simple Approximate Long-Memory Model of Realized Volatility. J. Financial Econometrics 7(2), 174–196. https://doi.org/10.1093/jjfinec/nbp001</w:t>
      </w:r>
    </w:p>
    <w:p>
      <w:pPr>
        <w:pStyle w:val="Compact"/>
        <w:numPr>
          <w:ilvl w:val="0"/>
          <w:numId w:val="1004"/>
        </w:numPr>
      </w:pPr>
      <w:r>
        <w:t xml:space="preserve">[D4] Shin &amp; Lee (2024) Investment Decision for Long-Term Battery Energy Storage System Using Least Squares Monte Carlo. Energies 17(9):2019. https://doi.org/10.3390/en17092019</w:t>
      </w:r>
    </w:p>
    <w:p>
      <w:pPr>
        <w:pStyle w:val="Compact"/>
        <w:numPr>
          <w:ilvl w:val="0"/>
          <w:numId w:val="1004"/>
        </w:numPr>
      </w:pPr>
      <w:r>
        <w:t xml:space="preserve">[D5] Jiang &amp; Powell (2015) Optimal Hour-Ahead Bidding in the Real-Time Electricity Market with Battery Storage Using Approximate Dynamic Programming. INFORMS J. Computing 27(3), 525–543. https://doi.org/10.1287/ijoc.2015.0640</w:t>
      </w:r>
    </w:p>
    <w:p>
      <w:pPr>
        <w:pStyle w:val="Compact"/>
        <w:numPr>
          <w:ilvl w:val="0"/>
          <w:numId w:val="1004"/>
        </w:numPr>
      </w:pPr>
      <w:r>
        <w:t xml:space="preserve">[D6a] Leahy (1993) Investment in Competitive Equilibrium: The Optimality of Myopic Behavior. QJE 108(4), 1105–1133. https://doi.org/10.2307/2118461</w:t>
      </w:r>
    </w:p>
    <w:p>
      <w:pPr>
        <w:pStyle w:val="Compact"/>
        <w:numPr>
          <w:ilvl w:val="0"/>
          <w:numId w:val="1004"/>
        </w:numPr>
      </w:pPr>
      <w:r>
        <w:t xml:space="preserve">[D6b] Grenadier (2002) Option Exercise Games: An Application to the Equilibrium Investment Strategies of Firms. Review of Financial Studies 15(3), 691–721. https://doi.org/10.1093/rfs/15.3.691</w:t>
      </w:r>
    </w:p>
    <w:p>
      <w:pPr>
        <w:pStyle w:val="Compact"/>
        <w:numPr>
          <w:ilvl w:val="0"/>
          <w:numId w:val="1004"/>
        </w:numPr>
      </w:pPr>
      <w:r>
        <w:t xml:space="preserve">[D7] Fanone, Gamba &amp; Prokopczuk (2013) The case of negative day-ahead electricity prices. Energy Economics 35, 22–34. https://doi.org/10.1016/j.eneco.2011.12.006</w:t>
      </w:r>
    </w:p>
    <w:bookmarkEnd w:id="163"/>
    <w:bookmarkStart w:id="165" w:name="b.-追加学術文献2026年9月調査編入検討中"/>
    <w:p>
      <w:pPr>
        <w:pStyle w:val="Heading2"/>
      </w:pPr>
      <w:r>
        <w:t xml:space="preserve">B. </w:t>
      </w:r>
      <w:r>
        <w:rPr>
          <w:rFonts w:hint="eastAsia"/>
        </w:rPr>
        <w:t xml:space="preserve">追加学術文献（2026年9月調査、編入検討中）</w:t>
      </w:r>
    </w:p>
    <w:p>
      <w:pPr>
        <w:numPr>
          <w:ilvl w:val="0"/>
          <w:numId w:val="1005"/>
        </w:numPr>
      </w:pPr>
      <w:r>
        <w:t xml:space="preserve">Sensfuß, F., Ragwitz, M., &amp; Genoese, M. (2008). The merit-order effect: A detailed analysis of the price effect of renewable electricity generation on spot market prices in Germany. Energy Policy 36(8), 3086–3094. https://doi.org/10.1016/j.enpol.2008.03.035</w:t>
      </w:r>
    </w:p>
    <w:p>
      <w:pPr>
        <w:numPr>
          <w:ilvl w:val="0"/>
          <w:numId w:val="1005"/>
        </w:numPr>
      </w:pPr>
      <w:r>
        <w:t xml:space="preserve">Würzburg, K., Labandeira, X., &amp; Linares, P. (2013). Renewable generation and electricity prices: Taking stock and new evidence for Germany and Austria. Energy Economics 40, S159–S171. https://doi.org/10.1016/j.eneco.2013.09.011</w:t>
      </w:r>
    </w:p>
    <w:p>
      <w:pPr>
        <w:numPr>
          <w:ilvl w:val="0"/>
          <w:numId w:val="1005"/>
        </w:numPr>
      </w:pPr>
      <w:r>
        <w:t xml:space="preserve">St. Martin, C. M., Lundquist, J. K., &amp; Handschy, M. A. (2015). Variability of interconnected wind plants: correlation length and its dependence on variability time scale. Environmental Research Letters 10(4), 044004. https://doi.org/10.1088/1748-9326/10/4/044004</w:t>
      </w:r>
    </w:p>
    <w:p>
      <w:pPr>
        <w:numPr>
          <w:ilvl w:val="0"/>
          <w:numId w:val="1005"/>
        </w:numPr>
      </w:pPr>
      <w:r>
        <w:t xml:space="preserve">Handschy, M. A., Rose, S., &amp; Apt, J. (2017). Is it always windy somewhere? Occurrence of low-wind-power events over large areas. Renewable Energy 101, 1124–1130. </w:t>
      </w:r>
      <w:r>
        <w:rPr>
          <w:rFonts w:hint="eastAsia"/>
        </w:rPr>
        <w:t xml:space="preserve">https://doi.org/10.1016/j.renene.2016.10.004（arXiv:1607.06702）</w:t>
      </w:r>
    </w:p>
    <w:p>
      <w:pPr>
        <w:numPr>
          <w:ilvl w:val="0"/>
          <w:numId w:val="1005"/>
        </w:numPr>
      </w:pPr>
      <w:r>
        <w:t xml:space="preserve">Malvaldi, A., Weiss, S., Infield, D., Browell, J., Leahy, P., &amp; Foley, A. M. (2017). A spatial and temporal correlation analysis of aggregate wind power in an ideally interconnected Europe. Wind Energy 20(8), 1315–1329. https://doi.org/10.1002/we.2095</w:t>
      </w:r>
    </w:p>
    <w:p>
      <w:pPr>
        <w:numPr>
          <w:ilvl w:val="0"/>
          <w:numId w:val="1005"/>
        </w:numPr>
      </w:pPr>
      <w:r>
        <w:t xml:space="preserve">Ohlendorf, N., &amp; Schill, W.-P. (2020). Frequency and duration of low-wind-power events in Germany. Environmental Research Letters 15(8), 084045. https://doi.org/10.1088/1748-9326/ab91e9 </w:t>
      </w:r>
      <w:r>
        <w:rPr>
          <w:rFonts w:hint="eastAsia"/>
        </w:rPr>
        <w:t xml:space="preserve">【要確認:</w:t>
      </w:r>
      <w:r>
        <w:t xml:space="preserve"> </w:t>
      </w:r>
      <w:r>
        <w:rPr>
          <w:rFonts w:hint="eastAsia"/>
        </w:rPr>
        <w:t xml:space="preserve">号(8)はPDFに印字がなく論文番号からの推定（精読ノート</w:t>
      </w:r>
      <w:r>
        <w:t xml:space="preserve"> </w:t>
      </w:r>
      <w:r>
        <w:rPr>
          <w:rFonts w:hint="eastAsia"/>
        </w:rPr>
        <w:t xml:space="preserve">ohlendorf-schill2020.md）。doi-list.md</w:t>
      </w:r>
      <w:r>
        <w:t xml:space="preserve"> </w:t>
      </w:r>
      <w:r>
        <w:rPr>
          <w:rFonts w:hint="eastAsia"/>
        </w:rPr>
        <w:t xml:space="preserve">は号なし】</w:t>
      </w:r>
    </w:p>
    <w:p>
      <w:pPr>
        <w:numPr>
          <w:ilvl w:val="0"/>
          <w:numId w:val="1005"/>
        </w:numPr>
      </w:pPr>
      <w:r>
        <w:t xml:space="preserve">Fertig, E., Apt, J., Jaramillo, P., &amp; Katzenstein, W. (2012). The effect of long-distance interconnection on wind power variability. Environmental Research Letters 7(3), 034017. https://doi.org/10.1088/1748-9326/7/3/034017</w:t>
      </w:r>
    </w:p>
    <w:p>
      <w:pPr>
        <w:numPr>
          <w:ilvl w:val="0"/>
          <w:numId w:val="1005"/>
        </w:numPr>
      </w:pPr>
      <w:r>
        <w:t xml:space="preserve">Tselika, K. (2022). The impact of variable renewables on the distribution of hourly electricity prices and their variability: A panel approach. Energy Economics 113, 106194. https://doi.org/10.1016/j.eneco.2022.106194</w:t>
      </w:r>
    </w:p>
    <w:p>
      <w:pPr>
        <w:numPr>
          <w:ilvl w:val="0"/>
          <w:numId w:val="1005"/>
        </w:numPr>
      </w:pPr>
      <w:r>
        <w:t xml:space="preserve">Emmanuel, M., &amp; Denholm, P. (2022). A market feedback framework for improved estimates of the arbitrage value of energy storage using price-taker models. Applied Energy 310, 118250. https://doi.org/10.1016/j.apenergy.2021.118250</w:t>
      </w:r>
    </w:p>
    <w:p>
      <w:pPr>
        <w:numPr>
          <w:ilvl w:val="0"/>
          <w:numId w:val="1005"/>
        </w:numPr>
      </w:pPr>
      <w:r>
        <w:t xml:space="preserve">Atherton, J., Akroyd, J., Farazi, F., Mosbach, S., Lim, M. Q., &amp; Kraft, M. (2023). British wind farm ESS attachments: curtailment reduction vs. price arbitrage. Energy &amp; Environmental Science 16, 4020–4040. https://doi.org/10.1039/d3ee01355c</w:t>
      </w:r>
    </w:p>
    <w:p>
      <w:pPr>
        <w:numPr>
          <w:ilvl w:val="0"/>
          <w:numId w:val="1005"/>
        </w:numPr>
      </w:pPr>
      <w:r>
        <w:t xml:space="preserve">Landy, M., Schmidt, O., Johnson, N., &amp; Staffell, I. (2026). Maximising the economic value of renewable and battery storage hybrids with revenue stacking. Energy &amp; Environmental Science 19, 4469–4494. https://doi.org/10.1039/d6ee00776g</w:t>
      </w:r>
    </w:p>
    <w:p>
      <w:pPr>
        <w:numPr>
          <w:ilvl w:val="0"/>
          <w:numId w:val="1005"/>
        </w:numPr>
      </w:pPr>
      <w:r>
        <w:t xml:space="preserve">Grimaldi, A., Minuto, F. D., Perol, A., Casagrande, S., &amp; Lanzini, A. (2025). Techno-economic optimization of utility-scale battery storage integration with a wind farm for wholesale energy arbitrage considering wind curtailment and battery degradation. Journal of Energy Storage 112, 115500. https://doi.org/10.1016/j.est.2025.115500</w:t>
      </w:r>
    </w:p>
    <w:p>
      <w:pPr>
        <w:numPr>
          <w:ilvl w:val="0"/>
          <w:numId w:val="1005"/>
        </w:numPr>
      </w:pPr>
      <w:r>
        <w:t xml:space="preserve">Maji, D., Irwin, D., Shenoy, P., &amp; Sitaraman, R. K. (2025). A first look at node-level curtailment of renewable energy and its implications. Proceedings of the 16th ACM International Conference on Future and Sustainable Energy Systems (e-Energy ’25), 293–304. https://doi.org/10.1145/3679240.3734627</w:t>
      </w:r>
    </w:p>
    <w:p>
      <w:pPr>
        <w:numPr>
          <w:ilvl w:val="0"/>
          <w:numId w:val="1005"/>
        </w:numPr>
      </w:pPr>
      <w:r>
        <w:t xml:space="preserve">Loukatou, A., Johnson, P., Howell, S., &amp; Duck, P. (2021). Optimal valuation of wind energy projects co-located with battery storage. Applied Energy 283, 116247. https://doi.org/10.1016/j.apenergy.2020.116247</w:t>
      </w:r>
    </w:p>
    <w:p>
      <w:pPr>
        <w:numPr>
          <w:ilvl w:val="0"/>
          <w:numId w:val="1005"/>
        </w:numPr>
      </w:pPr>
      <w:r>
        <w:t xml:space="preserve">Shen, D., Ilic, M., &amp; Parsons, J. (2026). Peak-load pricing and investment cost recovery with duration-limited storage. arXiv:2603.13678</w:t>
      </w:r>
    </w:p>
    <w:p>
      <w:pPr>
        <w:numPr>
          <w:ilvl w:val="0"/>
          <w:numId w:val="1005"/>
        </w:numPr>
      </w:pPr>
      <w:r>
        <w:t xml:space="preserve">Oeltz, D., &amp; Pfingsten, T. (2025). Rolling intrinsic for battery valuation in day-ahead and intraday markets. arXiv:2510.01956</w:t>
      </w:r>
    </w:p>
    <w:p>
      <w:pPr>
        <w:numPr>
          <w:ilvl w:val="0"/>
          <w:numId w:val="1005"/>
        </w:numPr>
      </w:pPr>
      <w:r>
        <w:rPr>
          <w:rFonts w:hint="eastAsia"/>
        </w:rPr>
        <w:t xml:space="preserve">電気学会論文誌B</w:t>
      </w:r>
      <w:r>
        <w:t xml:space="preserve"> 146(2) (2026). </w:t>
      </w:r>
      <w:r>
        <w:rPr>
          <w:rFonts w:hint="eastAsia"/>
        </w:rPr>
        <w:t xml:space="preserve">蓄電池事業者が参加する同時市場における市場参加者の損益評価手法.</w:t>
      </w:r>
      <w:r>
        <w:t xml:space="preserve"> https://doi.org/10.1541/ieejpes.146.125 </w:t>
      </w:r>
      <w:r>
        <w:rPr>
          <w:rFonts w:hint="eastAsia"/>
        </w:rPr>
        <w:t xml:space="preserve">※著者名・DOI要確認</w:t>
      </w:r>
      <w:r>
        <w:t xml:space="preserve"> </w:t>
      </w:r>
      <w:r>
        <w:rPr>
          <w:rFonts w:hint="eastAsia"/>
        </w:rPr>
        <w:t xml:space="preserve">【頁未確認】</w:t>
      </w:r>
    </w:p>
    <w:bookmarkStart w:id="164" w:name="追加第10章2026-09-30原典未確認"/>
    <w:p>
      <w:pPr>
        <w:pStyle w:val="Heading3"/>
      </w:pPr>
      <w:r>
        <w:rPr>
          <w:rFonts w:hint="eastAsia"/>
        </w:rPr>
        <w:t xml:space="preserve">追加（第10章、2026-09-30、原典未確認）</w:t>
      </w:r>
    </w:p>
    <w:p>
      <w:pPr>
        <w:pStyle w:val="Compact"/>
        <w:numPr>
          <w:ilvl w:val="0"/>
          <w:numId w:val="1006"/>
        </w:numPr>
      </w:pPr>
      <w:r>
        <w:t xml:space="preserve">De Vos, K. (2015). Negative wholesale electricity prices in the German, French and Belgian day-ahead, intra-day and real-time markets. The Electricity Journal 28(4), 36–50. https://doi.org/10.1016/j.tej.2015.04.001 </w:t>
      </w:r>
      <w:r>
        <w:rPr>
          <w:rFonts w:hint="eastAsia"/>
        </w:rPr>
        <w:t xml:space="preserve">【原典未確認】</w:t>
      </w:r>
    </w:p>
    <w:p>
      <w:pPr>
        <w:pStyle w:val="Compact"/>
        <w:numPr>
          <w:ilvl w:val="0"/>
          <w:numId w:val="1006"/>
        </w:numPr>
      </w:pPr>
      <w:r>
        <w:t xml:space="preserve">Weitzman, M. L. (1974). Prices vs. quantities. The Review of Economic Studies 41(4), 477–491. https://doi.org/10.2307/2296698 </w:t>
      </w:r>
      <w:r>
        <w:rPr>
          <w:rFonts w:hint="eastAsia"/>
        </w:rPr>
        <w:t xml:space="preserve">【原典未確認】</w:t>
      </w:r>
    </w:p>
    <w:p>
      <w:pPr>
        <w:pStyle w:val="Compact"/>
        <w:numPr>
          <w:ilvl w:val="0"/>
          <w:numId w:val="1006"/>
        </w:numPr>
      </w:pPr>
      <w:r>
        <w:rPr>
          <w:rFonts w:hint="eastAsia"/>
        </w:rPr>
        <w:t xml:space="preserve">資源エネルギー庁</w:t>
      </w:r>
      <w:r>
        <w:t xml:space="preserve"> (2026). </w:t>
      </w:r>
      <w:r>
        <w:rPr>
          <w:rFonts w:hint="eastAsia"/>
        </w:rPr>
        <w:t xml:space="preserve">再生可能エネルギー出力制御の長期見通し等について（次世代電力系統ワーキンググループ</w:t>
      </w:r>
      <w:r>
        <w:t xml:space="preserve"> </w:t>
      </w:r>
      <w:r>
        <w:rPr>
          <w:rFonts w:hint="eastAsia"/>
        </w:rPr>
        <w:t xml:space="preserve">資料1-1、2026年8月6日）【原典未確認：出力制御率の2035年度見通し・優先給電ルール見直しの試算】</w:t>
      </w:r>
    </w:p>
    <w:bookmarkEnd w:id="164"/>
    <w:bookmarkEnd w:id="165"/>
    <w:bookmarkStart w:id="166" w:name="c.-制度データ資料一次資料"/>
    <w:p>
      <w:pPr>
        <w:pStyle w:val="Heading2"/>
      </w:pPr>
      <w:r>
        <w:t xml:space="preserve">C. </w:t>
      </w:r>
      <w:r>
        <w:rPr>
          <w:rFonts w:hint="eastAsia"/>
        </w:rPr>
        <w:t xml:space="preserve">制度・データ資料（一次資料）</w:t>
      </w:r>
    </w:p>
    <w:p>
      <w:pPr>
        <w:pStyle w:val="Compact"/>
        <w:numPr>
          <w:ilvl w:val="0"/>
          <w:numId w:val="1007"/>
        </w:numPr>
      </w:pPr>
      <w:r>
        <w:rPr>
          <w:rFonts w:hint="eastAsia"/>
        </w:rPr>
        <w:t xml:space="preserve">経済産業省</w:t>
      </w:r>
      <w:r>
        <w:t xml:space="preserve"> </w:t>
      </w:r>
      <w:r>
        <w:rPr>
          <w:rFonts w:hint="eastAsia"/>
        </w:rPr>
        <w:t xml:space="preserve">資源エネルギー庁・調達価格等算定委員会</w:t>
      </w:r>
      <w:r>
        <w:t xml:space="preserve"> </w:t>
      </w:r>
      <w:r>
        <w:rPr>
          <w:rFonts w:hint="eastAsia"/>
        </w:rPr>
        <w:t xml:space="preserve">各年度「意見」（FY2020〜27）</w:t>
      </w:r>
    </w:p>
    <w:p>
      <w:pPr>
        <w:pStyle w:val="Compact"/>
        <w:numPr>
          <w:ilvl w:val="0"/>
          <w:numId w:val="1007"/>
        </w:numPr>
      </w:pPr>
      <w:r>
        <w:rPr>
          <w:rFonts w:hint="eastAsia"/>
        </w:rPr>
        <w:t xml:space="preserve">経済産業省</w:t>
      </w:r>
      <w:r>
        <w:t xml:space="preserve"> </w:t>
      </w:r>
      <w:r>
        <w:rPr>
          <w:rFonts w:hint="eastAsia"/>
        </w:rPr>
        <w:t xml:space="preserve">定置用蓄電システム普及拡大検討会</w:t>
      </w:r>
      <w:r>
        <w:t xml:space="preserve"> </w:t>
      </w:r>
      <w:r>
        <w:rPr>
          <w:rFonts w:hint="eastAsia"/>
        </w:rPr>
        <w:t xml:space="preserve">資料（2024年度第3回「系統用・再エネ併設蓄電システムのコスト面・収益面での課題整理」2024年8月29日、第4回「系統用蓄電システムの需給調整市場における収益性分析」（三菱総合研究所）2024年11月11日、2024年度結果とりまとめ</w:t>
      </w:r>
      <w:r>
        <w:t xml:space="preserve"> </w:t>
      </w:r>
      <w:r>
        <w:rPr>
          <w:rFonts w:hint="eastAsia"/>
        </w:rPr>
        <w:t xml:space="preserve">2025年3月7日、2025年度第1回）</w:t>
      </w:r>
    </w:p>
    <w:p>
      <w:pPr>
        <w:pStyle w:val="Compact"/>
        <w:numPr>
          <w:ilvl w:val="0"/>
          <w:numId w:val="1007"/>
        </w:numPr>
      </w:pPr>
      <w:r>
        <w:rPr>
          <w:rFonts w:hint="eastAsia"/>
        </w:rPr>
        <w:t xml:space="preserve">自然エネルギー財団</w:t>
      </w:r>
      <w:r>
        <w:t xml:space="preserve"> </w:t>
      </w:r>
      <w:r>
        <w:rPr>
          <w:rFonts w:hint="eastAsia"/>
        </w:rPr>
        <w:t xml:space="preserve">(2025年7月16日).</w:t>
      </w:r>
      <w:r>
        <w:t xml:space="preserve"> </w:t>
      </w:r>
      <w:r>
        <w:rPr>
          <w:rFonts w:hint="eastAsia"/>
        </w:rPr>
        <w:t xml:space="preserve">総論：長期脱炭素電源オークションの有効性を問う（連載コラム）</w:t>
      </w:r>
    </w:p>
    <w:p>
      <w:pPr>
        <w:pStyle w:val="Compact"/>
        <w:numPr>
          <w:ilvl w:val="0"/>
          <w:numId w:val="1007"/>
        </w:numPr>
      </w:pPr>
      <w:r>
        <w:rPr>
          <w:rFonts w:hint="eastAsia"/>
        </w:rPr>
        <w:t xml:space="preserve">電力広域的運営推進機関（OCCTO）容量市場</w:t>
      </w:r>
      <w:r>
        <w:t xml:space="preserve"> </w:t>
      </w:r>
      <w:r>
        <w:rPr>
          <w:rFonts w:hint="eastAsia"/>
        </w:rPr>
        <w:t xml:space="preserve">約定結果（2024〜2029年度向け）、長期脱炭素電源オークション</w:t>
      </w:r>
      <w:r>
        <w:t xml:space="preserve"> </w:t>
      </w:r>
      <w:r>
        <w:rPr>
          <w:rFonts w:hint="eastAsia"/>
        </w:rPr>
        <w:t xml:space="preserve">約定結果</w:t>
      </w:r>
      <w:r>
        <w:t xml:space="preserve"> </w:t>
      </w:r>
      <w:r>
        <w:rPr>
          <w:rFonts w:hint="eastAsia"/>
        </w:rPr>
        <w:t xml:space="preserve">本文・別紙（落札電源一覧）（2023年度・2024年度・2025年度応札分、最終公表</w:t>
      </w:r>
      <w:r>
        <w:t xml:space="preserve"> </w:t>
      </w:r>
      <w:r>
        <w:rPr>
          <w:rFonts w:hint="eastAsia"/>
        </w:rPr>
        <w:t xml:space="preserve">2026年5月13日）、出力制御の月次検証資料</w:t>
      </w:r>
    </w:p>
    <w:p>
      <w:pPr>
        <w:pStyle w:val="Compact"/>
        <w:numPr>
          <w:ilvl w:val="0"/>
          <w:numId w:val="1007"/>
        </w:numPr>
      </w:pPr>
      <w:r>
        <w:rPr>
          <w:rFonts w:hint="eastAsia"/>
        </w:rPr>
        <w:t xml:space="preserve">工藤美香</w:t>
      </w:r>
      <w:r>
        <w:t xml:space="preserve"> (2025). </w:t>
      </w:r>
      <w:r>
        <w:rPr>
          <w:rFonts w:hint="eastAsia"/>
        </w:rPr>
        <w:t xml:space="preserve">総論：長期脱炭素電源オークションの有効性を問う（長期脱炭素電源オークションの課題</w:t>
      </w:r>
      <w:r>
        <w:t xml:space="preserve"> </w:t>
      </w:r>
      <w:r>
        <w:rPr>
          <w:rFonts w:hint="eastAsia"/>
        </w:rPr>
        <w:t xml:space="preserve">1）.</w:t>
      </w:r>
      <w:r>
        <w:t xml:space="preserve"> </w:t>
      </w:r>
      <w:r>
        <w:rPr>
          <w:rFonts w:hint="eastAsia"/>
        </w:rPr>
        <w:t xml:space="preserve">自然エネルギー財団</w:t>
      </w:r>
      <w:r>
        <w:t xml:space="preserve"> </w:t>
      </w:r>
      <w:r>
        <w:rPr>
          <w:rFonts w:hint="eastAsia"/>
        </w:rPr>
        <w:t xml:space="preserve">連載コラム,</w:t>
      </w:r>
      <w:r>
        <w:t xml:space="preserve"> </w:t>
      </w:r>
      <w:r>
        <w:rPr>
          <w:rFonts w:hint="eastAsia"/>
        </w:rPr>
        <w:t xml:space="preserve">2025年7月16日.</w:t>
      </w:r>
      <w:r>
        <w:t xml:space="preserve"> https://www.renewable-ei.org/activities/column/20250716.php</w:t>
      </w:r>
    </w:p>
    <w:p>
      <w:pPr>
        <w:pStyle w:val="Compact"/>
        <w:numPr>
          <w:ilvl w:val="0"/>
          <w:numId w:val="1007"/>
        </w:numPr>
      </w:pPr>
      <w:r>
        <w:rPr>
          <w:rFonts w:hint="eastAsia"/>
        </w:rPr>
        <w:t xml:space="preserve">北海道電力ネットワーク</w:t>
      </w:r>
      <w:r>
        <w:t xml:space="preserve"> </w:t>
      </w:r>
      <w:r>
        <w:rPr>
          <w:rFonts w:hint="eastAsia"/>
        </w:rPr>
        <w:t xml:space="preserve">需給実績・出力制御実績、系統ワーキンググループ資料（岩松線ローカル混雑）</w:t>
      </w:r>
    </w:p>
    <w:p>
      <w:pPr>
        <w:pStyle w:val="Compact"/>
        <w:numPr>
          <w:ilvl w:val="0"/>
          <w:numId w:val="1007"/>
        </w:numPr>
      </w:pPr>
      <w:r>
        <w:rPr>
          <w:rFonts w:hint="eastAsia"/>
        </w:rPr>
        <w:t xml:space="preserve">日本卸電力取引所（JEPX）スポット市場約定価格（2016年4月〜2026年7月）</w:t>
      </w:r>
    </w:p>
    <w:p>
      <w:pPr>
        <w:pStyle w:val="Compact"/>
        <w:numPr>
          <w:ilvl w:val="0"/>
          <w:numId w:val="1007"/>
        </w:numPr>
      </w:pPr>
      <w:r>
        <w:t xml:space="preserve">Modo Energy (2025). ERCOT battery revenues </w:t>
      </w:r>
      <w:r>
        <w:rPr>
          <w:rFonts w:hint="eastAsia"/>
        </w:rPr>
        <w:t xml:space="preserve">2023–2025（ウェブ資料）;</w:t>
      </w:r>
      <w:r>
        <w:t xml:space="preserve"> CAISO (2025). 2024 Special Report on Battery Storage</w:t>
      </w:r>
    </w:p>
    <w:bookmarkEnd w:id="166"/>
    <w:bookmarkStart w:id="167" w:name="照合メモ2026-09-29"/>
    <w:p>
      <w:pPr>
        <w:pStyle w:val="Heading2"/>
      </w:pPr>
      <w:r>
        <w:rPr>
          <w:rFonts w:hint="eastAsia"/>
        </w:rPr>
        <w:t xml:space="preserve">照合メモ（2026-09-29）</w:t>
      </w:r>
    </w:p>
    <w:p>
      <w:pPr>
        <w:pStyle w:val="Compact"/>
        <w:numPr>
          <w:ilvl w:val="0"/>
          <w:numId w:val="1008"/>
        </w:numPr>
      </w:pPr>
      <w:r>
        <w:rPr>
          <w:rFonts w:hint="eastAsia"/>
        </w:rPr>
        <w:t xml:space="preserve">照合の範囲と方法:</w:t>
      </w:r>
      <w:r>
        <w:t xml:space="preserve"> </w:t>
      </w:r>
      <w:r>
        <w:rPr>
          <w:rFonts w:hint="eastAsia"/>
        </w:rPr>
        <w:t xml:space="preserve">原稿</w:t>
      </w:r>
      <w:r>
        <w:t xml:space="preserve"> </w:t>
      </w:r>
      <w:r>
        <w:rPr>
          <w:rFonts w:hint="eastAsia"/>
        </w:rPr>
        <w:t xml:space="preserve">01_intro.md〜11_conclusion.md（2026-09-29</w:t>
      </w:r>
      <w:r>
        <w:t xml:space="preserve"> </w:t>
      </w:r>
      <w:r>
        <w:rPr>
          <w:rFonts w:hint="eastAsia"/>
        </w:rPr>
        <w:t xml:space="preserve">10:48時点のスナップショット。他作業で更新中）から「著者</w:t>
      </w:r>
      <w:r>
        <w:t xml:space="preserve"> </w:t>
      </w:r>
      <w:r>
        <w:rPr>
          <w:rFonts w:hint="eastAsia"/>
        </w:rPr>
        <w:t xml:space="preserve">(年)」「（著者</w:t>
      </w:r>
      <w:r>
        <w:t xml:space="preserve"> </w:t>
      </w:r>
      <w:r>
        <w:rPr>
          <w:rFonts w:hint="eastAsia"/>
        </w:rPr>
        <w:t xml:space="preserve">年）」形式の引用を機械抽出し、本リストと突合した。11章に引用はない。00_front.md</w:t>
      </w:r>
      <w:r>
        <w:t xml:space="preserve"> と 13_appendix.md </w:t>
      </w:r>
      <w:r>
        <w:rPr>
          <w:rFonts w:hint="eastAsia"/>
        </w:rPr>
        <w:t xml:space="preserve">は範囲外（13章の引用は</w:t>
      </w:r>
      <w:r>
        <w:t xml:space="preserve"> Fuke &amp; Ohashi (2025) </w:t>
      </w:r>
      <w:r>
        <w:rPr>
          <w:rFonts w:hint="eastAsia"/>
        </w:rPr>
        <w:t xml:space="preserve">のみで、リストに存在する）。</w:t>
      </w:r>
    </w:p>
    <w:p>
      <w:pPr>
        <w:pStyle w:val="Compact"/>
        <w:numPr>
          <w:ilvl w:val="0"/>
          <w:numId w:val="1008"/>
        </w:numPr>
      </w:pPr>
      <w:r>
        <w:rPr>
          <w:rFonts w:hint="eastAsia"/>
        </w:rPr>
        <w:t xml:space="preserve">本文で引用が確認できた学術文献56件はすべてリストに存在する。制度・資料系の括弧引用（Modo</w:t>
      </w:r>
      <w:r>
        <w:t xml:space="preserve"> Energy </w:t>
      </w:r>
      <w:r>
        <w:rPr>
          <w:rFonts w:hint="eastAsia"/>
        </w:rPr>
        <w:t xml:space="preserve">2025、自然エネルギー財団</w:t>
      </w:r>
      <w:r>
        <w:t xml:space="preserve"> </w:t>
      </w:r>
      <w:r>
        <w:rPr>
          <w:rFonts w:hint="eastAsia"/>
        </w:rPr>
        <w:t xml:space="preserve">2025、電気学会論文誌B</w:t>
      </w:r>
      <w:r>
        <w:t xml:space="preserve"> </w:t>
      </w:r>
      <w:r>
        <w:rPr>
          <w:rFonts w:hint="eastAsia"/>
        </w:rPr>
        <w:t xml:space="preserve">2026）にも、C節・B節に対応項目がある。</w:t>
      </w:r>
    </w:p>
    <w:p>
      <w:pPr>
        <w:pStyle w:val="Compact"/>
        <w:numPr>
          <w:ilvl w:val="0"/>
          <w:numId w:val="1008"/>
        </w:numPr>
      </w:pPr>
      <w:r>
        <w:rPr>
          <w:rFonts w:hint="eastAsia"/>
        </w:rPr>
        <w:t xml:space="preserve">本文にあるがリストにない引用（抜け候補、1件。エントリは追加していない）:</w:t>
      </w:r>
    </w:p>
    <w:p>
      <w:pPr>
        <w:pStyle w:val="Compact"/>
        <w:numPr>
          <w:ilvl w:val="1"/>
          <w:numId w:val="1009"/>
        </w:numPr>
      </w:pPr>
      <w:r>
        <w:t xml:space="preserve">LBNL, Hybrid Power Plants (2024): 02_literature.md </w:t>
      </w:r>
      <w:r>
        <w:rPr>
          <w:rFonts w:hint="eastAsia"/>
        </w:rPr>
        <w:t xml:space="preserve">2.2.3「米国のハイブリッド発電所の実態（LBNL,</w:t>
      </w:r>
      <w:r>
        <w:t xml:space="preserve"> Hybrid Power Plants </w:t>
      </w:r>
      <w:r>
        <w:rPr>
          <w:rFonts w:hint="eastAsia"/>
        </w:rPr>
        <w:t xml:space="preserve">2024）」。著者・題名・URL</w:t>
      </w:r>
      <w:r>
        <w:t xml:space="preserve"> </w:t>
      </w:r>
      <w:r>
        <w:rPr>
          <w:rFonts w:hint="eastAsia"/>
        </w:rPr>
        <w:t xml:space="preserve">を指定資料から特定できず、追加には書誌の確認が要る。</w:t>
      </w:r>
    </w:p>
    <w:p>
      <w:pPr>
        <w:pStyle w:val="Compact"/>
        <w:numPr>
          <w:ilvl w:val="0"/>
          <w:numId w:val="1008"/>
        </w:numPr>
      </w:pPr>
      <w:r>
        <w:rPr>
          <w:rFonts w:hint="eastAsia"/>
        </w:rPr>
        <w:t xml:space="preserve">リストにあるが本文で引用されていない文献（未使用、1件）:</w:t>
      </w:r>
    </w:p>
    <w:p>
      <w:pPr>
        <w:pStyle w:val="Compact"/>
        <w:numPr>
          <w:ilvl w:val="1"/>
          <w:numId w:val="1010"/>
        </w:numPr>
      </w:pPr>
      <w:r>
        <w:t xml:space="preserve">Fertig et al. </w:t>
      </w:r>
      <w:r>
        <w:rPr>
          <w:rFonts w:hint="eastAsia"/>
        </w:rPr>
        <w:t xml:space="preserve">(2012)（B節）。指定資料に書誌情報がなく、既存の巻・論文番号・DOI</w:t>
      </w:r>
      <w:r>
        <w:t xml:space="preserve"> </w:t>
      </w:r>
      <w:r>
        <w:rPr>
          <w:rFonts w:hint="eastAsia"/>
        </w:rPr>
        <w:t xml:space="preserve">は未照合のまま据え置いた。</w:t>
      </w:r>
    </w:p>
    <w:p>
      <w:pPr>
        <w:pStyle w:val="Compact"/>
        <w:numPr>
          <w:ilvl w:val="0"/>
          <w:numId w:val="1008"/>
        </w:numPr>
      </w:pPr>
      <w:r>
        <w:rPr>
          <w:rFonts w:hint="eastAsia"/>
        </w:rPr>
        <w:t xml:space="preserve">突合で気づいた表記上の点（リスト本体は未修正）:</w:t>
      </w:r>
    </w:p>
    <w:p>
      <w:pPr>
        <w:pStyle w:val="Compact"/>
        <w:numPr>
          <w:ilvl w:val="1"/>
          <w:numId w:val="1011"/>
        </w:numPr>
      </w:pPr>
      <w:r>
        <w:t xml:space="preserve">B2 Karaduman: </w:t>
      </w:r>
      <w:r>
        <w:rPr>
          <w:rFonts w:hint="eastAsia"/>
        </w:rPr>
        <w:t xml:space="preserve">リストに年がないが、本文は「Karaduman</w:t>
      </w:r>
      <w:r>
        <w:t xml:space="preserve"> </w:t>
      </w:r>
      <w:r>
        <w:rPr>
          <w:rFonts w:hint="eastAsia"/>
        </w:rPr>
        <w:t xml:space="preserve">(2023)」（02・05・08章）、精読ノートは「Working</w:t>
      </w:r>
      <w:r>
        <w:t xml:space="preserve"> </w:t>
      </w:r>
      <w:r>
        <w:rPr>
          <w:rFonts w:hint="eastAsia"/>
        </w:rPr>
        <w:t xml:space="preserve">Paper（Stanford）2023年3月26日版、DOIなし」。</w:t>
      </w:r>
    </w:p>
    <w:p>
      <w:pPr>
        <w:pStyle w:val="Compact"/>
        <w:numPr>
          <w:ilvl w:val="1"/>
          <w:numId w:val="1011"/>
        </w:numPr>
      </w:pPr>
      <w:r>
        <w:rPr>
          <w:rFonts w:hint="eastAsia"/>
        </w:rPr>
        <w:t xml:space="preserve">電気学会論文誌B:</w:t>
      </w:r>
      <w:r>
        <w:t xml:space="preserve"> </w:t>
      </w:r>
      <w:r>
        <w:rPr>
          <w:rFonts w:hint="eastAsia"/>
        </w:rPr>
        <w:t xml:space="preserve">本文は「電気学会論文誌B,</w:t>
      </w:r>
      <w:r>
        <w:t xml:space="preserve"> </w:t>
      </w:r>
      <w:r>
        <w:rPr>
          <w:rFonts w:hint="eastAsia"/>
        </w:rPr>
        <w:t xml:space="preserve">2026」（02・10章）と著者名を欠き、リストも著者名・DOI要確認のまま。146(2)</w:t>
      </w:r>
      <w:r>
        <w:t xml:space="preserve"> と DOI </w:t>
      </w:r>
      <w:r>
        <w:rPr>
          <w:rFonts w:hint="eastAsia"/>
        </w:rPr>
        <w:t xml:space="preserve">も指定資料に記載がなく未照合。</w:t>
      </w:r>
    </w:p>
    <w:p>
      <w:pPr>
        <w:pStyle w:val="Compact"/>
        <w:numPr>
          <w:ilvl w:val="1"/>
          <w:numId w:val="1011"/>
        </w:numPr>
      </w:pPr>
      <w:r>
        <w:t xml:space="preserve">B1 Butters et al.: </w:t>
      </w:r>
      <w:r>
        <w:rPr>
          <w:rFonts w:hint="eastAsia"/>
        </w:rPr>
        <w:t xml:space="preserve">本文は「(2025,</w:t>
      </w:r>
      <w:r>
        <w:t xml:space="preserve"> </w:t>
      </w:r>
      <w:r>
        <w:rPr>
          <w:rFonts w:hint="eastAsia"/>
        </w:rPr>
        <w:t xml:space="preserve">Econometrica)」と引用するが、精読ノートが読んだのは</w:t>
      </w:r>
      <w:r>
        <w:t xml:space="preserve"> NBER WP </w:t>
      </w:r>
      <w:r>
        <w:rPr>
          <w:rFonts w:hint="eastAsia"/>
        </w:rPr>
        <w:t xml:space="preserve">29133（2024年9月改訂版）。本文の数値・図表番号の出典版に注意。</w:t>
      </w:r>
    </w:p>
    <w:p>
      <w:pPr>
        <w:pStyle w:val="Compact"/>
        <w:numPr>
          <w:ilvl w:val="1"/>
          <w:numId w:val="1011"/>
        </w:numPr>
      </w:pPr>
      <w:r>
        <w:rPr>
          <w:rFonts w:hint="eastAsia"/>
        </w:rPr>
        <w:t xml:space="preserve">題名の副題が欠けている疑い（精読ノートの題名と比較、未修正）:</w:t>
      </w:r>
      <w:r>
        <w:t xml:space="preserve"> A7 Maciejowska「– A quantile regression approach」、B5 Sioshansi et al.「: Arbitrage and some welfare effects」、B9 Hirth「: The effect of solar wind power variability on their relative price」、C9 Li et al.「: How it happened and what can we learn from it?」、D1 Weron「with a look into the future」。</w:t>
      </w:r>
    </w:p>
    <w:p>
      <w:pPr>
        <w:pStyle w:val="Compact"/>
        <w:numPr>
          <w:ilvl w:val="0"/>
          <w:numId w:val="1008"/>
        </w:numPr>
      </w:pPr>
      <w:r>
        <w:rPr>
          <w:rFonts w:hint="eastAsia"/>
        </w:rPr>
        <w:t xml:space="preserve">書誌補完の記録:</w:t>
      </w:r>
    </w:p>
    <w:p>
      <w:pPr>
        <w:pStyle w:val="Compact"/>
        <w:numPr>
          <w:ilvl w:val="1"/>
          <w:numId w:val="1012"/>
        </w:numPr>
      </w:pPr>
      <w:r>
        <w:rPr>
          <w:rFonts w:hint="eastAsia"/>
        </w:rPr>
        <w:t xml:space="preserve">補完28件（巻・頁・論文番号）:</w:t>
      </w:r>
      <w:r>
        <w:t xml:space="preserve"> A1〜A6, A8, A9, A11, B4〜B9, B11, B12, C1, C5, C6, C9, D1〜D3, D5, D6a, D6b, </w:t>
      </w:r>
      <w:r>
        <w:rPr>
          <w:rFonts w:hint="eastAsia"/>
        </w:rPr>
        <w:t xml:space="preserve">D7。修正1件:</w:t>
      </w:r>
      <w:r>
        <w:t xml:space="preserve"> B13 Mercier </w:t>
      </w:r>
      <w:r>
        <w:rPr>
          <w:rFonts w:hint="eastAsia"/>
        </w:rPr>
        <w:t xml:space="preserve">の巻を122から123へ（精読ノートを優先）。号数は資料にない場合は推測せず空欄のまま。</w:t>
      </w:r>
    </w:p>
    <w:p>
      <w:pPr>
        <w:pStyle w:val="Compact"/>
        <w:numPr>
          <w:ilvl w:val="1"/>
          <w:numId w:val="1012"/>
        </w:numPr>
      </w:pPr>
      <w:r>
        <w:rPr>
          <w:rFonts w:hint="eastAsia"/>
        </w:rPr>
        <w:t xml:space="preserve">根拠は</w:t>
      </w:r>
      <w:r>
        <w:t xml:space="preserve"> notes/*.md </w:t>
      </w:r>
      <w:r>
        <w:rPr>
          <w:rFonts w:hint="eastAsia"/>
        </w:rPr>
        <w:t xml:space="preserve">の「書誌」行と</w:t>
      </w:r>
      <w:r>
        <w:t xml:space="preserve"> doi-list.md。DOI </w:t>
      </w:r>
      <w:r>
        <w:rPr>
          <w:rFonts w:hint="eastAsia"/>
        </w:rPr>
        <w:t xml:space="preserve">は照合できた全エントリでリスト・ノート・doi-list.md</w:t>
      </w:r>
      <w:r>
        <w:t xml:space="preserve"> </w:t>
      </w:r>
      <w:r>
        <w:rPr>
          <w:rFonts w:hint="eastAsia"/>
        </w:rPr>
        <w:t xml:space="preserve">が一致した（照合資料がないのは</w:t>
      </w:r>
      <w:r>
        <w:t xml:space="preserve"> Fertig </w:t>
      </w:r>
      <w:r>
        <w:rPr>
          <w:rFonts w:hint="eastAsia"/>
        </w:rPr>
        <w:t xml:space="preserve">と電気学会論文誌B。B1・B3</w:t>
      </w:r>
      <w:r>
        <w:t xml:space="preserve"> はノートに DOI なし。B2 は DOI </w:t>
      </w:r>
      <w:r>
        <w:rPr>
          <w:rFonts w:hint="eastAsia"/>
        </w:rPr>
        <w:t xml:space="preserve">なし）。</w:t>
      </w:r>
    </w:p>
    <w:p>
      <w:pPr>
        <w:pStyle w:val="Compact"/>
        <w:numPr>
          <w:ilvl w:val="1"/>
          <w:numId w:val="1012"/>
        </w:numPr>
      </w:pPr>
      <w:r>
        <w:t xml:space="preserve">unified_review.csv </w:t>
      </w:r>
      <w:r>
        <w:rPr>
          <w:rFonts w:hint="eastAsia"/>
        </w:rPr>
        <w:t xml:space="preserve">の列は</w:t>
      </w:r>
      <w:r>
        <w:t xml:space="preserve"> </w:t>
      </w:r>
      <w:r>
        <w:rPr>
          <w:rFonts w:hint="eastAsia"/>
        </w:rPr>
        <w:t xml:space="preserve">set・title（PDFファイル名）・TL;DR</w:t>
      </w:r>
      <w:r>
        <w:t xml:space="preserve"> </w:t>
      </w:r>
      <w:r>
        <w:rPr>
          <w:rFonts w:hint="eastAsia"/>
        </w:rPr>
        <w:t xml:space="preserve">ほかで、巻・号・頁・DOI</w:t>
      </w:r>
      <w:r>
        <w:t xml:space="preserve"> </w:t>
      </w:r>
      <w:r>
        <w:rPr>
          <w:rFonts w:hint="eastAsia"/>
        </w:rPr>
        <w:t xml:space="preserve">を含まず補完には使えなかった。ファイル名から、B1・B2・B3</w:t>
      </w:r>
      <w:r>
        <w:t xml:space="preserve"> </w:t>
      </w:r>
      <w:r>
        <w:rPr>
          <w:rFonts w:hint="eastAsia"/>
        </w:rPr>
        <w:t xml:space="preserve">の精読版が</w:t>
      </w:r>
      <w:r>
        <w:t xml:space="preserve"> WP </w:t>
      </w:r>
      <w:r>
        <w:rPr>
          <w:rFonts w:hint="eastAsia"/>
        </w:rPr>
        <w:t xml:space="preserve">版であることのみ確認した。</w:t>
      </w:r>
    </w:p>
    <w:p>
      <w:pPr>
        <w:pStyle w:val="Compact"/>
        <w:numPr>
          <w:ilvl w:val="1"/>
          <w:numId w:val="1012"/>
        </w:numPr>
      </w:pPr>
      <w:r>
        <w:rPr>
          <w:rFonts w:hint="eastAsia"/>
        </w:rPr>
        <w:t xml:space="preserve">頁未確認マーカーは3件（B1</w:t>
      </w:r>
      <w:r>
        <w:t xml:space="preserve"> Butters ほか、B3 </w:t>
      </w:r>
      <w:r>
        <w:rPr>
          <w:rFonts w:hint="eastAsia"/>
        </w:rPr>
        <w:t xml:space="preserve">Schmalensee、電気学会論文誌B）。公刊版の頁が指定資料にない。指定外の</w:t>
      </w:r>
      <w:r>
        <w:t xml:space="preserve"> </w:t>
      </w:r>
      <w:r>
        <w:rPr>
          <w:rFonts w:hint="eastAsia"/>
        </w:rPr>
        <w:t xml:space="preserve">library-check-list.md（C-1）に</w:t>
      </w:r>
      <w:r>
        <w:t xml:space="preserve"> B1 </w:t>
      </w:r>
      <w:r>
        <w:rPr>
          <w:rFonts w:hint="eastAsia"/>
        </w:rPr>
        <w:t xml:space="preserve">の頁「891–927」の記載があるが、原典未照合のため採用していない。</w:t>
      </w:r>
    </w:p>
    <w:p>
      <w:pPr>
        <w:pStyle w:val="Compact"/>
        <w:numPr>
          <w:ilvl w:val="1"/>
          <w:numId w:val="1012"/>
        </w:numPr>
      </w:pPr>
      <w:r>
        <w:rPr>
          <w:rFonts w:hint="eastAsia"/>
        </w:rPr>
        <w:t xml:space="preserve">要確認マーカーは4件（B1・B3:</w:t>
      </w:r>
      <w:r>
        <w:t xml:space="preserve"> </w:t>
      </w:r>
      <w:r>
        <w:rPr>
          <w:rFonts w:hint="eastAsia"/>
        </w:rPr>
        <w:t xml:space="preserve">精読ノートが</w:t>
      </w:r>
      <w:r>
        <w:t xml:space="preserve"> WP </w:t>
      </w:r>
      <w:r>
        <w:rPr>
          <w:rFonts w:hint="eastAsia"/>
        </w:rPr>
        <w:t xml:space="preserve">版基準、B13</w:t>
      </w:r>
      <w:r>
        <w:t xml:space="preserve"> Mercier: </w:t>
      </w:r>
      <w:r>
        <w:rPr>
          <w:rFonts w:hint="eastAsia"/>
        </w:rPr>
        <w:t xml:space="preserve">巻の不一致、Ohlendorf</w:t>
      </w:r>
      <w:r>
        <w:t xml:space="preserve"> &amp; Schill: </w:t>
      </w:r>
      <w:r>
        <w:rPr>
          <w:rFonts w:hint="eastAsia"/>
        </w:rPr>
        <w:t xml:space="preserve">号(8)が推定）。</w:t>
      </w:r>
    </w:p>
    <w:p>
      <w:pPr>
        <w:pStyle w:val="Compact"/>
        <w:numPr>
          <w:ilvl w:val="1"/>
          <w:numId w:val="1012"/>
        </w:numPr>
      </w:pPr>
      <w:r>
        <w:rPr>
          <w:rFonts w:hint="eastAsia"/>
        </w:rPr>
        <w:t xml:space="preserve">頁を持たない項目（B2</w:t>
      </w:r>
      <w:r>
        <w:t xml:space="preserve"> の WP、Shen・Oeltz の arXiv </w:t>
      </w:r>
      <w:r>
        <w:rPr>
          <w:rFonts w:hint="eastAsia"/>
        </w:rPr>
        <w:t xml:space="preserve">プレプリント）には頁未確認マーカーを付けていない。</w:t>
      </w:r>
    </w:p>
    <w:p>
      <w:pPr>
        <w:pStyle w:val="Compact"/>
        <w:numPr>
          <w:ilvl w:val="1"/>
          <w:numId w:val="1012"/>
        </w:numPr>
      </w:pPr>
      <w:r>
        <w:rPr>
          <w:rFonts w:hint="eastAsia"/>
        </w:rPr>
        <w:t xml:space="preserve">精読ノートが「PDF</w:t>
      </w:r>
      <w:r>
        <w:t xml:space="preserve"> </w:t>
      </w:r>
      <w:r>
        <w:rPr>
          <w:rFonts w:hint="eastAsia"/>
        </w:rPr>
        <w:t xml:space="preserve">に明示なし」「推定」と注記しているが</w:t>
      </w:r>
      <w:r>
        <w:t xml:space="preserve"> doi-list.md </w:t>
      </w:r>
      <w:r>
        <w:rPr>
          <w:rFonts w:hint="eastAsia"/>
        </w:rPr>
        <w:t xml:space="preserve">と一致するため据え置き:</w:t>
      </w:r>
      <w:r>
        <w:t xml:space="preserve"> C7 Li et al. (2024) と C9 Li et al. (2025) の DOI、Sensfuß et al. (2008) </w:t>
      </w:r>
      <w:r>
        <w:rPr>
          <w:rFonts w:hint="eastAsia"/>
        </w:rPr>
        <w:t xml:space="preserve">の号(8)。Loukatou</w:t>
      </w:r>
      <w:r>
        <w:t xml:space="preserve"> et al. (2021) </w:t>
      </w:r>
      <w:r>
        <w:rPr>
          <w:rFonts w:hint="eastAsia"/>
        </w:rPr>
        <w:t xml:space="preserve">の「※巻・番号要確認」は、精読ノート・doi-list.md</w:t>
      </w:r>
      <w:r>
        <w:t xml:space="preserve"> とも Applied Energy 283, 116247 </w:t>
      </w:r>
      <w:r>
        <w:rPr>
          <w:rFonts w:hint="eastAsia"/>
        </w:rPr>
        <w:t xml:space="preserve">で一致したため解消済み（注記は残置）。</w:t>
      </w:r>
    </w:p>
    <w:bookmarkEnd w:id="167"/>
    <w:bookmarkEnd w:id="168"/>
    <w:bookmarkStart w:id="173" w:name="付録"/>
    <w:p>
      <w:pPr>
        <w:pStyle w:val="Heading1"/>
      </w:pPr>
      <w:r>
        <w:rPr>
          <w:rFonts w:hint="eastAsia"/>
        </w:rPr>
        <w:t xml:space="preserve">付録</w:t>
      </w:r>
    </w:p>
    <w:bookmarkStart w:id="169" w:name="付録a-データ台帳"/>
    <w:p>
      <w:pPr>
        <w:pStyle w:val="Heading2"/>
      </w:pPr>
      <w:r>
        <w:rPr>
          <w:rFonts w:hint="eastAsia"/>
        </w:rPr>
        <w:t xml:space="preserve">付録A</w:t>
      </w:r>
      <w:r>
        <w:t xml:space="preserve"> </w:t>
      </w:r>
      <w:r>
        <w:rPr>
          <w:rFonts w:hint="eastAsia"/>
        </w:rPr>
        <w:t xml:space="preserve">データ台帳</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rPr>
                <w:rFonts w:hint="eastAsia"/>
              </w:rPr>
              <w:t xml:space="preserve">出所・取得</w:t>
            </w:r>
          </w:p>
        </w:tc>
        <w:tc>
          <w:tcPr/>
          <w:p>
            <w:pPr>
              <w:pStyle w:val="Compact"/>
            </w:pPr>
            <w:r>
              <w:rPr>
                <w:rFonts w:hint="eastAsia"/>
              </w:rPr>
              <w:t xml:space="preserve">期間・粒度</w:t>
            </w:r>
          </w:p>
        </w:tc>
        <w:tc>
          <w:tcPr/>
          <w:p>
            <w:pPr>
              <w:pStyle w:val="Compact"/>
            </w:pPr>
            <w:r>
              <w:rPr>
                <w:rFonts w:hint="eastAsia"/>
              </w:rPr>
              <w:t xml:space="preserve">処理後ファイル</w:t>
            </w:r>
          </w:p>
        </w:tc>
      </w:tr>
      <w:tr>
        <w:tc>
          <w:tcPr/>
          <w:p>
            <w:pPr>
              <w:pStyle w:val="Compact"/>
            </w:pPr>
            <w:r>
              <w:rPr>
                <w:rFonts w:hint="eastAsia"/>
              </w:rPr>
              <w:t xml:space="preserve">JEPXスポット約定結果</w:t>
            </w:r>
          </w:p>
        </w:tc>
        <w:tc>
          <w:tcPr/>
          <w:p>
            <w:pPr>
              <w:pStyle w:val="Compact"/>
            </w:pPr>
            <w:r>
              <w:t xml:space="preserve">JEPX </w:t>
            </w:r>
            <w:r>
              <w:rPr>
                <w:rFonts w:hint="eastAsia"/>
              </w:rPr>
              <w:t xml:space="preserve">市場情報（手動DL、2026-07-26）</w:t>
            </w:r>
          </w:p>
        </w:tc>
        <w:tc>
          <w:tcPr/>
          <w:p>
            <w:pPr>
              <w:pStyle w:val="Compact"/>
            </w:pPr>
            <w:r>
              <w:rPr>
                <w:rFonts w:hint="eastAsia"/>
              </w:rPr>
              <w:t xml:space="preserve">FY2016〜FY2026（2026/7/27受渡分まで）、30分48コマ、システム／9エリアプライス</w:t>
            </w:r>
          </w:p>
        </w:tc>
        <w:tc>
          <w:tcPr/>
          <w:p>
            <w:pPr>
              <w:pStyle w:val="Compact"/>
            </w:pPr>
            <w:r>
              <w:rPr>
                <w:rStyle w:val="VerbatimChar"/>
              </w:rPr>
              <w:t xml:space="preserve">data/processed/jepx_kyushu_30min.csv</w:t>
            </w:r>
            <w:r>
              <w:rPr>
                <w:rFonts w:hint="eastAsia"/>
              </w:rPr>
              <w:t xml:space="preserve">、各エリアの時間値パネル</w:t>
            </w:r>
          </w:p>
        </w:tc>
      </w:tr>
      <w:tr>
        <w:tc>
          <w:tcPr/>
          <w:p>
            <w:pPr>
              <w:pStyle w:val="Compact"/>
            </w:pPr>
            <w:r>
              <w:rPr>
                <w:rFonts w:hint="eastAsia"/>
              </w:rPr>
              <w:t xml:space="preserve">九州エリア需給実績</w:t>
            </w:r>
          </w:p>
        </w:tc>
        <w:tc>
          <w:tcPr/>
          <w:p>
            <w:pPr>
              <w:pStyle w:val="Compact"/>
            </w:pPr>
            <w:r>
              <w:rPr>
                <w:rFonts w:hint="eastAsia"/>
              </w:rPr>
              <w:t xml:space="preserve">九州電力送配電（手動DL）</w:t>
            </w:r>
          </w:p>
        </w:tc>
        <w:tc>
          <w:tcPr/>
          <w:p>
            <w:pPr>
              <w:pStyle w:val="Compact"/>
            </w:pPr>
            <w:r>
              <w:rPr>
                <w:rFonts w:hint="eastAsia"/>
              </w:rPr>
              <w:t xml:space="preserve">2016/4〜2026/7。2024/2まで60分値（MWh）、2024/3から30分値（MW平均）</w:t>
            </w:r>
          </w:p>
        </w:tc>
        <w:tc>
          <w:tcPr/>
          <w:p>
            <w:pPr>
              <w:pStyle w:val="Compact"/>
            </w:pPr>
            <w:r>
              <w:rPr>
                <w:rStyle w:val="VerbatimChar"/>
              </w:rPr>
              <w:t xml:space="preserve">kyushu_hourly_panel.csv</w:t>
            </w:r>
            <w:r>
              <w:t xml:space="preserve">、</w:t>
            </w:r>
            <w:r>
              <w:rPr>
                <w:rStyle w:val="VerbatimChar"/>
              </w:rPr>
              <w:t xml:space="preserve">kyushu_daily_metrics.csv</w:t>
            </w:r>
            <w:r>
              <w:t xml:space="preserve">、</w:t>
            </w:r>
            <w:r>
              <w:rPr>
                <w:rStyle w:val="VerbatimChar"/>
              </w:rPr>
              <w:t xml:space="preserve">kyushu_battery_backtest_daily.csv</w:t>
            </w:r>
          </w:p>
        </w:tc>
      </w:tr>
      <w:tr>
        <w:tc>
          <w:tcPr/>
          <w:p>
            <w:pPr>
              <w:pStyle w:val="Compact"/>
            </w:pPr>
            <w:r>
              <w:rPr>
                <w:rFonts w:hint="eastAsia"/>
              </w:rPr>
              <w:t xml:space="preserve">北海道・東北エリア需給実績</w:t>
            </w:r>
          </w:p>
        </w:tc>
        <w:tc>
          <w:tcPr/>
          <w:p>
            <w:pPr>
              <w:pStyle w:val="Compact"/>
            </w:pPr>
            <w:r>
              <w:rPr>
                <w:rFonts w:hint="eastAsia"/>
              </w:rPr>
              <w:t xml:space="preserve">北海道電力NW・東北電力NW（手動DL、2026-07-27）</w:t>
            </w:r>
          </w:p>
        </w:tc>
        <w:tc>
          <w:tcPr/>
          <w:p>
            <w:pPr>
              <w:pStyle w:val="Compact"/>
            </w:pPr>
            <w:r>
              <w:rPr>
                <w:rFonts w:hint="eastAsia"/>
              </w:rPr>
              <w:t xml:space="preserve">2016/4〜2026/6、60分値に統一。出力制御量列を含む</w:t>
            </w:r>
          </w:p>
        </w:tc>
        <w:tc>
          <w:tcPr/>
          <w:p>
            <w:pPr>
              <w:pStyle w:val="Compact"/>
            </w:pPr>
            <w:r>
              <w:rPr>
                <w:rStyle w:val="VerbatimChar"/>
              </w:rPr>
              <w:t xml:space="preserve">hokkaido_hourly_panel.csv</w:t>
            </w:r>
            <w:r>
              <w:t xml:space="preserve">、</w:t>
            </w:r>
            <w:r>
              <w:rPr>
                <w:rStyle w:val="VerbatimChar"/>
              </w:rPr>
              <w:t xml:space="preserve">tohoku_hourly_panel.csv</w:t>
            </w:r>
          </w:p>
        </w:tc>
      </w:tr>
      <w:tr>
        <w:tc>
          <w:tcPr/>
          <w:p>
            <w:pPr>
              <w:pStyle w:val="Compact"/>
            </w:pPr>
            <w:r>
              <w:t xml:space="preserve">FIT/FIP </w:t>
            </w:r>
            <w:r>
              <w:rPr>
                <w:rFonts w:hint="eastAsia"/>
              </w:rPr>
              <w:t xml:space="preserve">導入容量（B表）</w:t>
            </w:r>
          </w:p>
        </w:tc>
        <w:tc>
          <w:tcPr/>
          <w:p>
            <w:pPr>
              <w:pStyle w:val="Compact"/>
            </w:pPr>
            <w:r>
              <w:rPr>
                <w:rFonts w:hint="eastAsia"/>
              </w:rPr>
              <w:t xml:space="preserve">再エネ</w:t>
            </w:r>
            <w:r>
              <w:t xml:space="preserve"> FIT/FIP </w:t>
            </w:r>
            <w:r>
              <w:rPr>
                <w:rFonts w:hint="eastAsia"/>
              </w:rPr>
              <w:t xml:space="preserve">公表サイト</w:t>
            </w:r>
            <w:r>
              <w:t xml:space="preserve"> B_city </w:t>
            </w:r>
            <w:r>
              <w:rPr>
                <w:rFonts w:hint="eastAsia"/>
              </w:rPr>
              <w:t xml:space="preserve">四半期（手動DL）</w:t>
            </w:r>
          </w:p>
        </w:tc>
        <w:tc>
          <w:tcPr/>
          <w:p>
            <w:pPr>
              <w:pStyle w:val="Compact"/>
            </w:pPr>
            <w:r>
              <w:rPr>
                <w:rFonts w:hint="eastAsia"/>
              </w:rPr>
              <w:t xml:space="preserve">2014/6〜2025/12、都道府県別。月次補間</w:t>
            </w:r>
          </w:p>
        </w:tc>
        <w:tc>
          <w:tcPr/>
          <w:p>
            <w:pPr>
              <w:pStyle w:val="Compact"/>
            </w:pPr>
            <w:r>
              <w:rPr>
                <w:rStyle w:val="VerbatimChar"/>
              </w:rPr>
              <w:t xml:space="preserve">fit_capacity_pref_quarterly.csv</w:t>
            </w:r>
            <w:r>
              <w:t xml:space="preserve">、</w:t>
            </w:r>
            <w:r>
              <w:rPr>
                <w:rStyle w:val="VerbatimChar"/>
              </w:rPr>
              <w:t xml:space="preserve">area_capacity_series.csv</w:t>
            </w:r>
            <w:r>
              <w:t xml:space="preserve">、</w:t>
            </w:r>
            <w:r>
              <w:rPr>
                <w:rStyle w:val="VerbatimChar"/>
              </w:rPr>
              <w:t xml:space="preserve">hokkaido_cf_series.csv</w:t>
            </w:r>
          </w:p>
        </w:tc>
      </w:tr>
      <w:tr>
        <w:tc>
          <w:tcPr/>
          <w:p>
            <w:pPr>
              <w:pStyle w:val="Compact"/>
            </w:pPr>
            <w:r>
              <w:rPr>
                <w:rFonts w:hint="eastAsia"/>
              </w:rPr>
              <w:t xml:space="preserve">長期脱炭素電源オークション約定結果</w:t>
            </w:r>
          </w:p>
        </w:tc>
        <w:tc>
          <w:tcPr/>
          <w:p>
            <w:pPr>
              <w:pStyle w:val="Compact"/>
            </w:pPr>
            <w:r>
              <w:t xml:space="preserve">OCCTO </w:t>
            </w:r>
            <w:r>
              <w:rPr>
                <w:rFonts w:hint="eastAsia"/>
              </w:rPr>
              <w:t xml:space="preserve">本文・別紙（第1〜3回、2025年度応札分）</w:t>
            </w:r>
          </w:p>
        </w:tc>
        <w:tc>
          <w:tcPr/>
          <w:p>
            <w:pPr>
              <w:pStyle w:val="Compact"/>
            </w:pPr>
            <w:r>
              <w:rPr>
                <w:rFonts w:hint="eastAsia"/>
              </w:rPr>
              <w:t xml:space="preserve">蓄電池案件のエリア・容量</w:t>
            </w:r>
          </w:p>
        </w:tc>
        <w:tc>
          <w:tcPr/>
          <w:p>
            <w:pPr>
              <w:pStyle w:val="Compact"/>
            </w:pPr>
            <w:r>
              <w:rPr>
                <w:rStyle w:val="VerbatimChar"/>
              </w:rPr>
              <w:t xml:space="preserve">ltda_battery_projects.csv</w:t>
            </w:r>
            <w:r>
              <w:t xml:space="preserve">、</w:t>
            </w:r>
            <w:r>
              <w:rPr>
                <w:rStyle w:val="VerbatimChar"/>
              </w:rPr>
              <w:t xml:space="preserve">notes/16</w:t>
            </w:r>
            <w:r>
              <w:t xml:space="preserve">・</w:t>
            </w:r>
            <w:r>
              <w:rPr>
                <w:rStyle w:val="VerbatimChar"/>
              </w:rPr>
              <w:t xml:space="preserve">notes/28</w:t>
            </w:r>
          </w:p>
        </w:tc>
      </w:tr>
      <w:tr>
        <w:tc>
          <w:tcPr/>
          <w:p>
            <w:pPr>
              <w:pStyle w:val="Compact"/>
            </w:pPr>
            <w:r>
              <w:rPr>
                <w:rFonts w:hint="eastAsia"/>
              </w:rPr>
              <w:t xml:space="preserve">容量市場</w:t>
            </w:r>
            <w:r>
              <w:t xml:space="preserve"> </w:t>
            </w:r>
            <w:r>
              <w:rPr>
                <w:rFonts w:hint="eastAsia"/>
              </w:rPr>
              <w:t xml:space="preserve">需要曲線・調整係数</w:t>
            </w:r>
          </w:p>
        </w:tc>
        <w:tc>
          <w:tcPr/>
          <w:p>
            <w:pPr>
              <w:pStyle w:val="Compact"/>
            </w:pPr>
            <w:r>
              <w:rPr>
                <w:rFonts w:hint="eastAsia"/>
              </w:rPr>
              <w:t xml:space="preserve">OCCTO（2027〜2029年度向け需要曲線、2024〜2029年度向け調整係数）</w:t>
            </w:r>
          </w:p>
        </w:tc>
        <w:tc>
          <w:tcPr/>
          <w:p>
            <w:pPr>
              <w:pStyle w:val="Compact"/>
            </w:pPr>
            <w:r>
              <w:rPr>
                <w:rFonts w:hint="eastAsia"/>
              </w:rPr>
              <w:t xml:space="preserve">全国アンカーとエリア別</w:t>
            </w:r>
            <w:r>
              <w:t xml:space="preserve"> κ</w:t>
            </w:r>
          </w:p>
        </w:tc>
        <w:tc>
          <w:tcPr/>
          <w:p>
            <w:pPr>
              <w:pStyle w:val="Compact"/>
            </w:pPr>
            <w:r>
              <w:rPr>
                <w:rStyle w:val="VerbatimChar"/>
              </w:rPr>
              <w:t xml:space="preserve">capacity_adjustment_coefficients.csv</w:t>
            </w:r>
            <w:r>
              <w:t xml:space="preserve">、</w:t>
            </w:r>
            <w:r>
              <w:rPr>
                <w:rStyle w:val="VerbatimChar"/>
              </w:rPr>
              <w:t xml:space="preserve">notes/17</w:t>
            </w:r>
          </w:p>
        </w:tc>
      </w:tr>
      <w:tr>
        <w:tc>
          <w:tcPr/>
          <w:p>
            <w:pPr>
              <w:pStyle w:val="Compact"/>
            </w:pPr>
            <w:r>
              <w:rPr>
                <w:rFonts w:hint="eastAsia"/>
              </w:rPr>
              <w:t xml:space="preserve">蓄電池資本費・費用諸元</w:t>
            </w:r>
          </w:p>
        </w:tc>
        <w:tc>
          <w:tcPr/>
          <w:p>
            <w:pPr>
              <w:pStyle w:val="Compact"/>
            </w:pPr>
            <w:r>
              <w:rPr>
                <w:rFonts w:hint="eastAsia"/>
              </w:rPr>
              <w:t xml:space="preserve">定置用蓄電システム普及拡大検討会、調達価格等算定委員会</w:t>
            </w:r>
          </w:p>
        </w:tc>
        <w:tc>
          <w:tcPr/>
          <w:p>
            <w:pPr>
              <w:pStyle w:val="Compact"/>
            </w:pPr>
            <w:r>
              <w:t xml:space="preserve">FY2022〜24 </w:t>
            </w:r>
            <w:r>
              <w:rPr>
                <w:rFonts w:hint="eastAsia"/>
              </w:rPr>
              <w:t xml:space="preserve">実績・規模別、風力・太陽光の資本費・IRR</w:t>
            </w:r>
          </w:p>
        </w:tc>
        <w:tc>
          <w:tcPr/>
          <w:p>
            <w:pPr>
              <w:pStyle w:val="Compact"/>
            </w:pPr>
            <w:r>
              <w:rPr>
                <w:rStyle w:val="VerbatimChar"/>
              </w:rPr>
              <w:t xml:space="preserve">battery_capex_series.csv</w:t>
            </w:r>
            <w:r>
              <w:t xml:space="preserve">、</w:t>
            </w:r>
            <w:r>
              <w:rPr>
                <w:rStyle w:val="VerbatimChar"/>
              </w:rPr>
              <w:t xml:space="preserve">santeii_cost_assumptions.csv</w:t>
            </w:r>
            <w:r>
              <w:t xml:space="preserve">、</w:t>
            </w:r>
            <w:r>
              <w:rPr>
                <w:rStyle w:val="VerbatimChar"/>
              </w:rPr>
              <w:t xml:space="preserve">notes/19</w:t>
            </w:r>
            <w:r>
              <w:t xml:space="preserve">・</w:t>
            </w:r>
            <w:r>
              <w:rPr>
                <w:rStyle w:val="VerbatimChar"/>
              </w:rPr>
              <w:t xml:space="preserve">notes/20</w:t>
            </w:r>
          </w:p>
        </w:tc>
      </w:tr>
      <w:tr>
        <w:tc>
          <w:tcPr/>
          <w:p>
            <w:pPr>
              <w:pStyle w:val="Compact"/>
            </w:pPr>
            <w:r>
              <w:rPr>
                <w:rFonts w:hint="eastAsia"/>
              </w:rPr>
              <w:t xml:space="preserve">風力導入実績（第三者検証）</w:t>
            </w:r>
          </w:p>
        </w:tc>
        <w:tc>
          <w:tcPr/>
          <w:p>
            <w:pPr>
              <w:pStyle w:val="Compact"/>
            </w:pPr>
            <w:r>
              <w:t xml:space="preserve">JWPA </w:t>
            </w:r>
            <w:r>
              <w:rPr>
                <w:rFonts w:hint="eastAsia"/>
              </w:rPr>
              <w:t xml:space="preserve">導入実績（2019〜2025年末版）</w:t>
            </w:r>
          </w:p>
        </w:tc>
        <w:tc>
          <w:tcPr/>
          <w:p>
            <w:pPr>
              <w:pStyle w:val="Compact"/>
            </w:pPr>
            <w:r>
              <w:rPr>
                <w:rFonts w:hint="eastAsia"/>
              </w:rPr>
              <w:t xml:space="preserve">年末累計</w:t>
            </w:r>
          </w:p>
        </w:tc>
        <w:tc>
          <w:tcPr/>
          <w:p>
            <w:pPr>
              <w:pStyle w:val="Compact"/>
            </w:pPr>
            <w:r>
              <w:rPr>
                <w:rStyle w:val="VerbatimChar"/>
              </w:rPr>
              <w:t xml:space="preserve">notes/16</w:t>
            </w:r>
          </w:p>
        </w:tc>
      </w:tr>
    </w:tbl>
    <w:p>
      <w:pPr>
        <w:pStyle w:val="BodyText"/>
      </w:pPr>
      <w:r>
        <w:rPr>
          <w:rFonts w:hint="eastAsia"/>
        </w:rPr>
        <w:t xml:space="preserve">データ修正の記録（</w:t>
      </w:r>
      <w:r>
        <w:rPr>
          <w:rStyle w:val="VerbatimChar"/>
        </w:rPr>
        <w:t xml:space="preserve">data/README.md</w:t>
      </w:r>
      <w:r>
        <w:rPr>
          <w:rFonts w:hint="eastAsia"/>
        </w:rPr>
        <w:t xml:space="preserve">）:</w:t>
      </w:r>
      <w:r>
        <w:t xml:space="preserve"> </w:t>
      </w:r>
      <w:r>
        <w:rPr>
          <w:rFonts w:hint="eastAsia"/>
        </w:rPr>
        <w:t xml:space="preserve">九州新形式の連系線列の符号反転（パネル上は「負＝域外送電」に統一）、2026年4〜5月ファイルの列構成変更（ヘッダー名ベースのマッピングに変更）、北海道の2018/9/7〜26</w:t>
      </w:r>
      <w:r>
        <w:t xml:space="preserve"> </w:t>
      </w:r>
      <w:r>
        <w:rPr>
          <w:rFonts w:hint="eastAsia"/>
        </w:rPr>
        <w:t xml:space="preserve">の価格欠損480時間（胆振東部地震後の取引停止）。</w:t>
      </w:r>
    </w:p>
    <w:bookmarkEnd w:id="169"/>
    <w:bookmarkStart w:id="170" w:name="付録b-変数と区分の定義"/>
    <w:p>
      <w:pPr>
        <w:pStyle w:val="Heading2"/>
      </w:pPr>
      <w:r>
        <w:rPr>
          <w:rFonts w:hint="eastAsia"/>
        </w:rPr>
        <w:t xml:space="preserve">付録B</w:t>
      </w:r>
      <w:r>
        <w:t xml:space="preserve"> </w:t>
      </w:r>
      <w:r>
        <w:rPr>
          <w:rFonts w:hint="eastAsia"/>
        </w:rPr>
        <w:t xml:space="preserve">変数と区分の定義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定義</w:t>
            </w:r>
          </w:p>
        </w:tc>
      </w:tr>
      <w:tr>
        <w:tc>
          <w:tcPr/>
          <w:p>
            <w:pPr>
              <w:pStyle w:val="Compact"/>
            </w:pPr>
            <w:r>
              <w:rPr>
                <w:rFonts w:hint="eastAsia"/>
              </w:rPr>
              <w:t xml:space="preserve">年度（FY）</w:t>
            </w:r>
          </w:p>
        </w:tc>
        <w:tc>
          <w:tcPr/>
          <w:p>
            <w:pPr>
              <w:pStyle w:val="Compact"/>
            </w:pPr>
            <w:r>
              <w:rPr>
                <w:rFonts w:hint="eastAsia"/>
              </w:rPr>
              <w:t xml:space="preserve">4月〜翌3月</w:t>
            </w:r>
          </w:p>
        </w:tc>
      </w:tr>
      <w:tr>
        <w:tc>
          <w:tcPr/>
          <w:p>
            <w:pPr>
              <w:pStyle w:val="Compact"/>
            </w:pPr>
            <w:r>
              <w:rPr>
                <w:rFonts w:hint="eastAsia"/>
              </w:rPr>
              <w:t xml:space="preserve">報告用の季節区分</w:t>
            </w:r>
          </w:p>
        </w:tc>
        <w:tc>
          <w:tcPr/>
          <w:p>
            <w:pPr>
              <w:pStyle w:val="Compact"/>
            </w:pPr>
            <w:r>
              <w:rPr>
                <w:rFonts w:hint="eastAsia"/>
              </w:rPr>
              <w:t xml:space="preserve">夏＝7〜8月、冬＝12〜2月、不需要期＝3〜6月・10〜11月、端境期＝9月（推定に含め、係数は非報告）</w:t>
            </w:r>
          </w:p>
        </w:tc>
      </w:tr>
      <w:tr>
        <w:tc>
          <w:tcPr/>
          <w:p>
            <w:pPr>
              <w:pStyle w:val="Compact"/>
            </w:pPr>
            <w:r>
              <w:rPr>
                <w:rFonts w:hint="eastAsia"/>
              </w:rPr>
              <w:t xml:space="preserve">価格過程の季節</w:t>
            </w:r>
          </w:p>
        </w:tc>
        <w:tc>
          <w:tcPr/>
          <w:p>
            <w:pPr>
              <w:pStyle w:val="Compact"/>
            </w:pPr>
            <w:r>
              <w:rPr>
                <w:rFonts w:hint="eastAsia"/>
              </w:rPr>
              <w:t xml:space="preserve">気象学的4区分（12〜2月、3〜5月、6〜8月、9〜11月）。報告用区分とは別</w:t>
            </w:r>
          </w:p>
        </w:tc>
      </w:tr>
      <w:tr>
        <w:tc>
          <w:tcPr/>
          <w:p>
            <w:pPr>
              <w:pStyle w:val="Compact"/>
            </w:pPr>
            <w:r>
              <w:rPr>
                <w:rFonts w:hint="eastAsia"/>
              </w:rPr>
              <w:t xml:space="preserve">制御前出力</w:t>
            </w:r>
          </w:p>
        </w:tc>
        <w:tc>
          <w:tcPr/>
          <w:p>
            <w:pPr>
              <w:pStyle w:val="Compact"/>
            </w:pPr>
            <w:r>
              <w:rPr>
                <w:rFonts w:hint="eastAsia"/>
              </w:rPr>
              <w:t xml:space="preserve">発電実績＋出力制御量</w:t>
            </w:r>
          </w:p>
        </w:tc>
      </w:tr>
      <w:tr>
        <w:tc>
          <w:tcPr/>
          <w:p>
            <w:pPr>
              <w:pStyle w:val="Compact"/>
            </w:pPr>
            <w:r>
              <w:rPr>
                <w:rFonts w:hint="eastAsia"/>
              </w:rPr>
              <w:t xml:space="preserve">純需要</w:t>
            </w:r>
            <w:r>
              <w:t xml:space="preserve"> </w:t>
            </w:r>
            <m:oMath>
              <m:r>
                <m:t>n</m:t>
              </m:r>
              <m:r>
                <m:t>e</m:t>
              </m:r>
              <m:r>
                <m:t>t</m:t>
              </m:r>
            </m:oMath>
          </w:p>
        </w:tc>
        <w:tc>
          <w:tcPr/>
          <w:p>
            <w:pPr>
              <w:pStyle w:val="Compact"/>
            </w:pPr>
            <w:r>
              <w:rPr>
                <w:rFonts w:hint="eastAsia"/>
              </w:rPr>
              <w:t xml:space="preserve">需要</w:t>
            </w:r>
            <w:r>
              <w:t xml:space="preserve"> − </w:t>
            </w:r>
            <w:r>
              <w:rPr>
                <w:rFonts w:hint="eastAsia"/>
              </w:rPr>
              <w:t xml:space="preserve">制御前太陽光</w:t>
            </w:r>
            <w:r>
              <w:t xml:space="preserve"> − </w:t>
            </w:r>
            <w:r>
              <w:rPr>
                <w:rFonts w:hint="eastAsia"/>
              </w:rPr>
              <w:t xml:space="preserve">制御前風力</w:t>
            </w:r>
            <w:r>
              <w:t xml:space="preserve"> − </w:t>
            </w:r>
            <w:r>
              <w:rPr>
                <w:rFonts w:hint="eastAsia"/>
              </w:rPr>
              <w:t xml:space="preserve">原子力</w:t>
            </w:r>
          </w:p>
        </w:tc>
      </w:tr>
      <w:tr>
        <w:tc>
          <w:tcPr/>
          <w:p>
            <w:pPr>
              <w:pStyle w:val="Compact"/>
            </w:pPr>
            <w:r>
              <w:t xml:space="preserve">TB4h スプレッド</w:t>
            </w:r>
          </w:p>
        </w:tc>
        <w:tc>
          <w:tcPr/>
          <w:p>
            <w:pPr>
              <w:pStyle w:val="Compact"/>
            </w:pPr>
            <w:r>
              <w:rPr>
                <w:rFonts w:hint="eastAsia"/>
              </w:rPr>
              <w:t xml:space="preserve">日内の上位4時間平均価格</w:t>
            </w:r>
            <w:r>
              <w:t xml:space="preserve"> − </w:t>
            </w:r>
            <w:r>
              <w:rPr>
                <w:rFonts w:hint="eastAsia"/>
              </w:rPr>
              <w:t xml:space="preserve">下位4時間平均価格</w:t>
            </w:r>
          </w:p>
        </w:tc>
      </w:tr>
      <w:tr>
        <w:tc>
          <w:tcPr/>
          <w:p>
            <w:pPr>
              <w:pStyle w:val="Compact"/>
            </w:pPr>
            <w:r>
              <w:rPr>
                <w:rFonts w:hint="eastAsia"/>
              </w:rPr>
              <w:t xml:space="preserve">PF価値</w:t>
            </w:r>
          </w:p>
        </w:tc>
        <w:tc>
          <w:tcPr/>
          <w:p>
            <w:pPr>
              <w:pStyle w:val="Compact"/>
            </w:pPr>
            <w:r>
              <w:rPr>
                <w:rFonts w:hint="eastAsia"/>
              </w:rPr>
              <w:t xml:space="preserve">完全予見4時間蓄電池（往復効率0.85、1日1サイクル）の年間裁定粗利（円/kW-年）</w:t>
            </w:r>
          </w:p>
        </w:tc>
      </w:tr>
      <w:tr>
        <w:tc>
          <w:tcPr/>
          <w:p>
            <w:pPr>
              <w:pStyle w:val="Compact"/>
            </w:pPr>
            <w:r>
              <w:rPr>
                <w:rFonts w:hint="eastAsia"/>
              </w:rPr>
              <w:t xml:space="preserve">床</w:t>
            </w:r>
          </w:p>
        </w:tc>
        <w:tc>
          <w:tcPr/>
          <w:p>
            <w:pPr>
              <w:pStyle w:val="Compact"/>
            </w:pPr>
            <w:r>
              <w:rPr>
                <w:rFonts w:hint="eastAsia"/>
              </w:rPr>
              <w:t xml:space="preserve">0.01円/kWh（30分コマまたは60分時間で</w:t>
            </w:r>
            <w:r>
              <w:t xml:space="preserve"> </w:t>
            </w:r>
            <w:r>
              <w:rPr>
                <w:rFonts w:hint="eastAsia"/>
              </w:rPr>
              <w:t xml:space="preserve">≤0.011円）</w:t>
            </w:r>
          </w:p>
        </w:tc>
      </w:tr>
      <w:tr>
        <w:tc>
          <w:tcPr/>
          <w:p>
            <w:pPr>
              <w:pStyle w:val="Compact"/>
            </w:pPr>
            <w:r>
              <w:rPr>
                <w:rFonts w:hint="eastAsia"/>
              </w:rPr>
              <w:t xml:space="preserve">市場分断の3レジーム</w:t>
            </w:r>
          </w:p>
        </w:tc>
        <w:tc>
          <w:tcPr/>
          <w:p>
            <w:pPr>
              <w:pStyle w:val="Compact"/>
            </w:pPr>
            <w:r>
              <w:rPr>
                <w:rFonts w:hint="eastAsia"/>
              </w:rPr>
              <w:t xml:space="preserve">安値分断（道内＜システム−0.01）、連系（±0.01円以内）、高値分断（道内＞システム+0.01）</w:t>
            </w:r>
          </w:p>
        </w:tc>
      </w:tr>
      <w:tr>
        <w:tc>
          <w:tcPr/>
          <w:p>
            <w:pPr>
              <w:pStyle w:val="Compact"/>
            </w:pPr>
            <w:r>
              <w:rPr>
                <w:rFonts w:hint="eastAsia"/>
              </w:rPr>
              <w:t xml:space="preserve">帯域分解</w:t>
            </w:r>
          </w:p>
        </w:tc>
        <w:tc>
          <w:tcPr/>
          <w:p>
            <w:pPr>
              <w:pStyle w:val="Compact"/>
            </w:pPr>
            <w:r>
              <w:rPr>
                <w:rFonts w:hint="eastAsia"/>
              </w:rPr>
              <w:t xml:space="preserve">移動平均カスケード:</w:t>
            </w:r>
            <w:r>
              <w:t xml:space="preserve"> </w:t>
            </w:r>
            <w:r>
              <w:rPr>
                <w:rFonts w:hint="eastAsia"/>
              </w:rPr>
              <w:t xml:space="preserve">&lt;6h＝x−MA6h、6〜24h＝MA6h−MA24h、1〜7日＝MA24h−MA168h、&gt;7日＝MA168h−平均（非直交）</w:t>
            </w:r>
          </w:p>
        </w:tc>
      </w:tr>
      <w:tr>
        <w:tc>
          <w:tcPr/>
          <w:p>
            <w:pPr>
              <w:pStyle w:val="Compact"/>
            </w:pPr>
            <w:r>
              <w:rPr>
                <w:rFonts w:hint="eastAsia"/>
              </w:rPr>
              <w:t xml:space="preserve">価格水準係数</w:t>
            </w:r>
            <w:r>
              <w:t xml:space="preserve"> </w:t>
            </w:r>
            <m:oMath>
              <m:sSub>
                <m:e>
                  <m:r>
                    <m:t>θ</m:t>
                  </m:r>
                </m:e>
                <m:sub>
                  <m:r>
                    <m:t>F</m:t>
                  </m:r>
                  <m:r>
                    <m:t>Y</m:t>
                  </m:r>
                </m:sub>
              </m:sSub>
            </m:oMath>
          </w:p>
        </w:tc>
        <w:tc>
          <w:tcPr/>
          <w:p>
            <w:pPr>
              <w:pStyle w:val="Compact"/>
            </w:pPr>
            <w:r>
              <w:rPr>
                <w:rFonts w:hint="eastAsia"/>
              </w:rPr>
              <w:t xml:space="preserve">水準係数付き価格過程の年度別スケール（FY2023〜25の時間加重平均＝1）</w:t>
            </w:r>
          </w:p>
        </w:tc>
      </w:tr>
    </w:tbl>
    <w:bookmarkEnd w:id="170"/>
    <w:bookmarkStart w:id="171" w:name="付録c-図表と出力ファイルの対応"/>
    <w:p>
      <w:pPr>
        <w:pStyle w:val="Heading2"/>
      </w:pPr>
      <w:r>
        <w:rPr>
          <w:rFonts w:hint="eastAsia"/>
        </w:rPr>
        <w:t xml:space="preserve">付録C</w:t>
      </w:r>
      <w:r>
        <w:t xml:space="preserve"> </w:t>
      </w:r>
      <w:r>
        <w:rPr>
          <w:rFonts w:hint="eastAsia"/>
        </w:rPr>
        <w:t xml:space="preserve">図表と出力ファイルの対応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原稿の図</w:t>
            </w:r>
          </w:p>
        </w:tc>
        <w:tc>
          <w:tcPr/>
          <w:p>
            <w:pPr>
              <w:pStyle w:val="Compact"/>
            </w:pPr>
            <w:r>
              <w:rPr>
                <w:rFonts w:hint="eastAsia"/>
              </w:rPr>
              <w:t xml:space="preserve">ファイル（</w:t>
            </w:r>
            <w:r>
              <w:rPr>
                <w:rStyle w:val="VerbatimChar"/>
              </w:rPr>
              <w:t xml:space="preserve">figures/hokkaido/</w:t>
            </w:r>
            <w:r>
              <w:rPr>
                <w:rFonts w:hint="eastAsia"/>
              </w:rPr>
              <w:t xml:space="preserve">）</w:t>
            </w:r>
          </w:p>
        </w:tc>
        <w:tc>
          <w:tcPr/>
          <w:p>
            <w:pPr>
              <w:pStyle w:val="Compact"/>
            </w:pPr>
            <w:r>
              <w:rPr>
                <w:rFonts w:hint="eastAsia"/>
              </w:rPr>
              <w:t xml:space="preserve">生成スクリプト</w:t>
            </w:r>
          </w:p>
        </w:tc>
      </w:tr>
      <w:tr>
        <w:tc>
          <w:tcPr/>
          <w:p>
            <w:pPr>
              <w:pStyle w:val="Compact"/>
            </w:pPr>
            <w:r>
              <w:rPr>
                <w:rFonts w:hint="eastAsia"/>
              </w:rPr>
              <w:t xml:space="preserve">図6.1</w:t>
            </w:r>
            <w:r>
              <w:t xml:space="preserve"> </w:t>
            </w:r>
            <w:r>
              <w:rPr>
                <w:rFonts w:hint="eastAsia"/>
              </w:rPr>
              <w:t xml:space="preserve">太陽光大小×3季節の価格カーブ</w:t>
            </w:r>
          </w:p>
        </w:tc>
        <w:tc>
          <w:tcPr/>
          <w:p>
            <w:pPr>
              <w:pStyle w:val="Compact"/>
            </w:pPr>
            <w:r>
              <w:rPr>
                <w:rStyle w:val="VerbatimChar"/>
              </w:rPr>
              <w:t xml:space="preserve">price_curve_shapes_fy2023-25.png</w:t>
            </w:r>
          </w:p>
        </w:tc>
        <w:tc>
          <w:tcPr/>
          <w:p>
            <w:pPr>
              <w:pStyle w:val="Compact"/>
            </w:pPr>
            <w:r>
              <w:rPr>
                <w:rStyle w:val="VerbatimChar"/>
              </w:rPr>
              <w:t xml:space="preserve">15_price_curve_shapes.py</w:t>
            </w:r>
          </w:p>
        </w:tc>
      </w:tr>
      <w:tr>
        <w:tc>
          <w:tcPr/>
          <w:p>
            <w:pPr>
              <w:pStyle w:val="Compact"/>
            </w:pPr>
            <w:r>
              <w:rPr>
                <w:rFonts w:hint="eastAsia"/>
              </w:rPr>
              <w:t xml:space="preserve">図6.2</w:t>
            </w:r>
            <w:r>
              <w:t xml:space="preserve"> </w:t>
            </w:r>
            <w:r>
              <w:rPr>
                <w:rFonts w:hint="eastAsia"/>
              </w:rPr>
              <w:t xml:space="preserve">風力大小×3季節の価格カーブ</w:t>
            </w:r>
          </w:p>
        </w:tc>
        <w:tc>
          <w:tcPr/>
          <w:p>
            <w:pPr>
              <w:pStyle w:val="Compact"/>
            </w:pPr>
            <w:r>
              <w:rPr>
                <w:rStyle w:val="VerbatimChar"/>
              </w:rPr>
              <w:t xml:space="preserve">wind_price_curves_fy2023-25.png</w:t>
            </w:r>
          </w:p>
        </w:tc>
        <w:tc>
          <w:tcPr/>
          <w:p>
            <w:pPr>
              <w:pStyle w:val="Compact"/>
            </w:pPr>
            <w:r>
              <w:rPr>
                <w:rStyle w:val="VerbatimChar"/>
              </w:rPr>
              <w:t xml:space="preserve">17_wind_battery_deepdive.py</w:t>
            </w:r>
          </w:p>
        </w:tc>
      </w:tr>
      <w:tr>
        <w:tc>
          <w:tcPr/>
          <w:p>
            <w:pPr>
              <w:pStyle w:val="Compact"/>
            </w:pPr>
            <w:r>
              <w:rPr>
                <w:rFonts w:hint="eastAsia"/>
              </w:rPr>
              <w:t xml:space="preserve">図6.3</w:t>
            </w:r>
            <w:r>
              <w:t xml:space="preserve"> </w:t>
            </w:r>
            <w:r>
              <w:rPr>
                <w:rFonts w:hint="eastAsia"/>
              </w:rPr>
              <w:t xml:space="preserve">帯域分解の年度別推移</w:t>
            </w:r>
          </w:p>
        </w:tc>
        <w:tc>
          <w:tcPr/>
          <w:p>
            <w:pPr>
              <w:pStyle w:val="Compact"/>
            </w:pPr>
            <w:r>
              <w:rPr>
                <w:rStyle w:val="VerbatimChar"/>
              </w:rPr>
              <w:t xml:space="preserve">wind_bands_timeseries.png</w:t>
            </w:r>
          </w:p>
        </w:tc>
        <w:tc>
          <w:tcPr/>
          <w:p>
            <w:pPr>
              <w:pStyle w:val="Compact"/>
            </w:pPr>
            <w:r>
              <w:rPr>
                <w:rStyle w:val="VerbatimChar"/>
              </w:rPr>
              <w:t xml:space="preserve">19_hokkaido_extra_figs.py</w:t>
            </w:r>
          </w:p>
        </w:tc>
      </w:tr>
      <w:tr>
        <w:tc>
          <w:tcPr/>
          <w:p>
            <w:pPr>
              <w:pStyle w:val="Compact"/>
            </w:pPr>
            <w:r>
              <w:rPr>
                <w:rFonts w:hint="eastAsia"/>
              </w:rPr>
              <w:t xml:space="preserve">図6.4</w:t>
            </w:r>
            <w:r>
              <w:t xml:space="preserve"> </w:t>
            </w:r>
            <w:r>
              <w:rPr>
                <w:rFonts w:hint="eastAsia"/>
              </w:rPr>
              <w:t xml:space="preserve">発電量五分位×水準・TB4h</w:t>
            </w:r>
          </w:p>
        </w:tc>
        <w:tc>
          <w:tcPr/>
          <w:p>
            <w:pPr>
              <w:pStyle w:val="Compact"/>
            </w:pPr>
            <w:r>
              <w:rPr>
                <w:rStyle w:val="VerbatimChar"/>
              </w:rPr>
              <w:t xml:space="preserve">gen_vs_price_shape.png</w:t>
            </w:r>
          </w:p>
        </w:tc>
        <w:tc>
          <w:tcPr/>
          <w:p>
            <w:pPr>
              <w:pStyle w:val="Compact"/>
            </w:pPr>
            <w:r>
              <w:rPr>
                <w:rStyle w:val="VerbatimChar"/>
              </w:rPr>
              <w:t xml:space="preserve">22_wind_vs_price_shape.py</w:t>
            </w:r>
          </w:p>
        </w:tc>
      </w:tr>
      <w:tr>
        <w:tc>
          <w:tcPr/>
          <w:p>
            <w:pPr>
              <w:pStyle w:val="Compact"/>
            </w:pPr>
            <w:r>
              <w:rPr>
                <w:rFonts w:hint="eastAsia"/>
              </w:rPr>
              <w:t xml:space="preserve">図6.5</w:t>
            </w:r>
            <w:r>
              <w:t xml:space="preserve"> </w:t>
            </w:r>
            <w:r>
              <w:rPr>
                <w:rFonts w:hint="eastAsia"/>
              </w:rPr>
              <w:t xml:space="preserve">空間分散シミュレーション</w:t>
            </w:r>
          </w:p>
        </w:tc>
        <w:tc>
          <w:tcPr/>
          <w:p>
            <w:pPr>
              <w:pStyle w:val="Compact"/>
            </w:pPr>
            <w:r>
              <w:rPr>
                <w:rStyle w:val="VerbatimChar"/>
              </w:rPr>
              <w:t xml:space="preserve">spatial_dispersion.png</w:t>
            </w:r>
          </w:p>
        </w:tc>
        <w:tc>
          <w:tcPr/>
          <w:p>
            <w:pPr>
              <w:pStyle w:val="Compact"/>
            </w:pPr>
            <w:r>
              <w:rPr>
                <w:rStyle w:val="VerbatimChar"/>
              </w:rPr>
              <w:t xml:space="preserve">29_spatial_dispersion.py</w:t>
            </w:r>
          </w:p>
        </w:tc>
      </w:tr>
      <w:tr>
        <w:tc>
          <w:tcPr/>
          <w:p>
            <w:pPr>
              <w:pStyle w:val="Compact"/>
            </w:pPr>
            <w:r>
              <w:rPr>
                <w:rFonts w:hint="eastAsia"/>
              </w:rPr>
              <w:t xml:space="preserve">図7.1</w:t>
            </w:r>
            <w:r>
              <w:t xml:space="preserve"> </w:t>
            </w:r>
            <w:r>
              <w:rPr>
                <w:rFonts w:hint="eastAsia"/>
              </w:rPr>
              <w:t xml:space="preserve">年間裁定粗利の時系列（PF・a・b・c）</w:t>
            </w:r>
          </w:p>
        </w:tc>
        <w:tc>
          <w:tcPr/>
          <w:p>
            <w:pPr>
              <w:pStyle w:val="Compact"/>
            </w:pPr>
            <w:r>
              <w:rPr>
                <w:rStyle w:val="VerbatimChar"/>
              </w:rPr>
              <w:t xml:space="preserve">annual_backtest_series.png</w:t>
            </w:r>
          </w:p>
        </w:tc>
        <w:tc>
          <w:tcPr/>
          <w:p>
            <w:pPr>
              <w:pStyle w:val="Compact"/>
            </w:pPr>
            <w:r>
              <w:rPr>
                <w:rStyle w:val="VerbatimChar"/>
              </w:rPr>
              <w:t xml:space="preserve">19_hokkaido_extra_figs.py</w:t>
            </w:r>
          </w:p>
        </w:tc>
      </w:tr>
      <w:tr>
        <w:tc>
          <w:tcPr/>
          <w:p>
            <w:pPr>
              <w:pStyle w:val="Compact"/>
            </w:pPr>
            <w:r>
              <w:rPr>
                <w:rFonts w:hint="eastAsia"/>
              </w:rPr>
              <w:t xml:space="preserve">図8.1</w:t>
            </w:r>
            <w:r>
              <w:t xml:space="preserve"> </w:t>
            </w:r>
            <w:r>
              <w:rPr>
                <w:rFonts w:hint="eastAsia"/>
              </w:rPr>
              <w:t xml:space="preserve">風力導入量スイープ</w:t>
            </w:r>
          </w:p>
        </w:tc>
        <w:tc>
          <w:tcPr/>
          <w:p>
            <w:pPr>
              <w:pStyle w:val="Compact"/>
            </w:pPr>
            <w:r>
              <w:rPr>
                <w:rStyle w:val="VerbatimChar"/>
              </w:rPr>
              <w:t xml:space="preserve">kwind_sweep.png</w:t>
            </w:r>
          </w:p>
        </w:tc>
        <w:tc>
          <w:tcPr/>
          <w:p>
            <w:pPr>
              <w:pStyle w:val="Compact"/>
            </w:pPr>
            <w:r>
              <w:rPr>
                <w:rStyle w:val="VerbatimChar"/>
              </w:rPr>
              <w:t xml:space="preserve">18_kwind_sweep.py</w:t>
            </w:r>
          </w:p>
        </w:tc>
      </w:tr>
      <w:tr>
        <w:tc>
          <w:tcPr/>
          <w:p>
            <w:pPr>
              <w:pStyle w:val="Compact"/>
            </w:pPr>
            <w:r>
              <w:rPr>
                <w:rFonts w:hint="eastAsia"/>
              </w:rPr>
              <w:t xml:space="preserve">図8.2</w:t>
            </w:r>
            <w:r>
              <w:t xml:space="preserve"> </w:t>
            </w:r>
            <w:r>
              <w:rPr>
                <w:rFonts w:hint="eastAsia"/>
              </w:rPr>
              <w:t xml:space="preserve">π(K)曲線（基本仕様）</w:t>
            </w:r>
          </w:p>
        </w:tc>
        <w:tc>
          <w:tcPr/>
          <w:p>
            <w:pPr>
              <w:pStyle w:val="Compact"/>
            </w:pPr>
            <w:r>
              <w:rPr>
                <w:rStyle w:val="VerbatimChar"/>
              </w:rPr>
              <w:t xml:space="preserve">pi_k_curve.png</w:t>
            </w:r>
          </w:p>
        </w:tc>
        <w:tc>
          <w:tcPr/>
          <w:p>
            <w:pPr>
              <w:pStyle w:val="Compact"/>
            </w:pPr>
            <w:r>
              <w:rPr>
                <w:rStyle w:val="VerbatimChar"/>
              </w:rPr>
              <w:t xml:space="preserve">23_pi_k_curve.py</w:t>
            </w:r>
          </w:p>
        </w:tc>
      </w:tr>
      <w:tr>
        <w:tc>
          <w:tcPr/>
          <w:p>
            <w:pPr>
              <w:pStyle w:val="Compact"/>
            </w:pPr>
            <w:r>
              <w:rPr>
                <w:rFonts w:hint="eastAsia"/>
              </w:rPr>
              <w:t xml:space="preserve">図8.3</w:t>
            </w:r>
            <w:r>
              <w:t xml:space="preserve"> π(K; K_wind)</w:t>
            </w:r>
          </w:p>
        </w:tc>
        <w:tc>
          <w:tcPr/>
          <w:p>
            <w:pPr>
              <w:pStyle w:val="Compact"/>
            </w:pPr>
            <w:r>
              <w:rPr>
                <w:rStyle w:val="VerbatimChar"/>
              </w:rPr>
              <w:t xml:space="preserve">equilibrium_surface.png</w:t>
            </w:r>
          </w:p>
        </w:tc>
        <w:tc>
          <w:tcPr/>
          <w:p>
            <w:pPr>
              <w:pStyle w:val="Compact"/>
            </w:pPr>
            <w:r>
              <w:rPr>
                <w:rStyle w:val="VerbatimChar"/>
              </w:rPr>
              <w:t xml:space="preserve">28_equilibrium_surface.py</w:t>
            </w:r>
          </w:p>
        </w:tc>
      </w:tr>
      <w:tr>
        <w:tc>
          <w:tcPr/>
          <w:p>
            <w:pPr>
              <w:pStyle w:val="Compact"/>
            </w:pPr>
            <w:r>
              <w:rPr>
                <w:rFonts w:hint="eastAsia"/>
              </w:rPr>
              <w:t xml:space="preserve">図8.4</w:t>
            </w:r>
            <w:r>
              <w:t xml:space="preserve"> </w:t>
            </w:r>
            <w:r>
              <w:rPr>
                <w:rFonts w:hint="eastAsia"/>
              </w:rPr>
              <w:t xml:space="preserve">π(K)の価格水準感応度（水準係数付き）</w:t>
            </w:r>
          </w:p>
        </w:tc>
        <w:tc>
          <w:tcPr/>
          <w:p>
            <w:pPr>
              <w:pStyle w:val="Compact"/>
            </w:pPr>
            <w:r>
              <w:rPr>
                <w:rStyle w:val="VerbatimChar"/>
              </w:rPr>
              <w:t xml:space="preserve">pi_k_curve_v2.png</w:t>
            </w:r>
          </w:p>
        </w:tc>
        <w:tc>
          <w:tcPr/>
          <w:p>
            <w:pPr>
              <w:pStyle w:val="Compact"/>
            </w:pPr>
            <w:r>
              <w:rPr>
                <w:rStyle w:val="VerbatimChar"/>
              </w:rPr>
              <w:t xml:space="preserve">27_pi_k_curve_v2.py</w:t>
            </w:r>
          </w:p>
        </w:tc>
      </w:tr>
      <w:tr>
        <w:tc>
          <w:tcPr/>
          <w:p>
            <w:pPr>
              <w:pStyle w:val="Compact"/>
            </w:pPr>
            <w:r>
              <w:rPr>
                <w:rFonts w:hint="eastAsia"/>
              </w:rPr>
              <w:t xml:space="preserve">図9.1</w:t>
            </w:r>
            <w:r>
              <w:t xml:space="preserve"> </w:t>
            </w:r>
            <w:r>
              <w:rPr>
                <w:rFonts w:hint="eastAsia"/>
              </w:rPr>
              <w:t xml:space="preserve">損益分岐面</w:t>
            </w:r>
          </w:p>
        </w:tc>
        <w:tc>
          <w:tcPr/>
          <w:p>
            <w:pPr>
              <w:pStyle w:val="Compact"/>
            </w:pPr>
            <w:r>
              <w:rPr>
                <w:rStyle w:val="VerbatimChar"/>
              </w:rPr>
              <w:t xml:space="preserve">breakeven_frontier.png</w:t>
            </w:r>
          </w:p>
        </w:tc>
        <w:tc>
          <w:tcPr/>
          <w:p>
            <w:pPr>
              <w:pStyle w:val="Compact"/>
            </w:pPr>
            <w:r>
              <w:rPr>
                <w:rStyle w:val="VerbatimChar"/>
              </w:rPr>
              <w:t xml:space="preserve">28_equilibrium_surface.py</w:t>
            </w:r>
          </w:p>
        </w:tc>
      </w:tr>
      <w:tr>
        <w:tc>
          <w:tcPr/>
          <w:p>
            <w:pPr>
              <w:pStyle w:val="Compact"/>
            </w:pPr>
            <w:r>
              <w:rPr>
                <w:rFonts w:hint="eastAsia"/>
              </w:rPr>
              <w:t xml:space="preserve">図10.1</w:t>
            </w:r>
            <w:r>
              <w:t xml:space="preserve"> </w:t>
            </w:r>
            <w:r>
              <w:rPr>
                <w:rFonts w:hint="eastAsia"/>
              </w:rPr>
              <w:t xml:space="preserve">下限価格シナリオ別の</w:t>
            </w:r>
            <w:r>
              <w:t xml:space="preserve"> π(K)</w:t>
            </w:r>
          </w:p>
        </w:tc>
        <w:tc>
          <w:tcPr/>
          <w:p>
            <w:pPr>
              <w:pStyle w:val="Compact"/>
            </w:pPr>
            <w:r>
              <w:rPr>
                <w:rStyle w:val="VerbatimChar"/>
              </w:rPr>
              <w:t xml:space="preserve">negative_price_pi_k.png</w:t>
            </w:r>
          </w:p>
        </w:tc>
        <w:tc>
          <w:tcPr/>
          <w:p>
            <w:pPr>
              <w:pStyle w:val="Compact"/>
            </w:pPr>
            <w:r>
              <w:rPr>
                <w:rStyle w:val="VerbatimChar"/>
              </w:rPr>
              <w:t xml:space="preserve">32_negative_price.py</w:t>
            </w:r>
          </w:p>
        </w:tc>
      </w:tr>
      <w:tr>
        <w:tc>
          <w:tcPr/>
          <w:p>
            <w:pPr>
              <w:pStyle w:val="Compact"/>
            </w:pPr>
            <w:r>
              <w:rPr>
                <w:rFonts w:hint="eastAsia"/>
              </w:rPr>
              <w:t xml:space="preserve">補助図</w:t>
            </w:r>
            <w:r>
              <w:t xml:space="preserve"> </w:t>
            </w:r>
            <w:r>
              <w:rPr>
                <w:rFonts w:hint="eastAsia"/>
              </w:rPr>
              <w:t xml:space="preserve">帯域分解の比較（北海道風力</w:t>
            </w:r>
            <w:r>
              <w:t xml:space="preserve"> vs </w:t>
            </w:r>
            <w:r>
              <w:rPr>
                <w:rFonts w:hint="eastAsia"/>
              </w:rPr>
              <w:t xml:space="preserve">九州太陽光）</w:t>
            </w:r>
          </w:p>
        </w:tc>
        <w:tc>
          <w:tcPr/>
          <w:p>
            <w:pPr>
              <w:pStyle w:val="Compact"/>
            </w:pPr>
            <w:r>
              <w:rPr>
                <w:rStyle w:val="VerbatimChar"/>
              </w:rPr>
              <w:t xml:space="preserve">band_comparison.png</w:t>
            </w:r>
            <w:r>
              <w:t xml:space="preserve">、</w:t>
            </w:r>
            <w:r>
              <w:rPr>
                <w:rStyle w:val="VerbatimChar"/>
              </w:rPr>
              <w:t xml:space="preserve">band_comparison_hokkaido.png</w:t>
            </w:r>
          </w:p>
        </w:tc>
        <w:tc>
          <w:tcPr/>
          <w:p>
            <w:pPr>
              <w:pStyle w:val="Compact"/>
            </w:pPr>
            <w:r>
              <w:rPr>
                <w:rStyle w:val="VerbatimChar"/>
              </w:rPr>
              <w:t xml:space="preserve">21_band_comparison.py</w:t>
            </w:r>
          </w:p>
        </w:tc>
      </w:tr>
      <w:tr>
        <w:tc>
          <w:tcPr/>
          <w:p>
            <w:pPr>
              <w:pStyle w:val="Compact"/>
            </w:pPr>
            <w:r>
              <w:rPr>
                <w:rFonts w:hint="eastAsia"/>
              </w:rPr>
              <w:t xml:space="preserve">補助図</w:t>
            </w:r>
            <w:r>
              <w:t xml:space="preserve"> </w:t>
            </w:r>
            <w:r>
              <w:rPr>
                <w:rFonts w:hint="eastAsia"/>
              </w:rPr>
              <w:t xml:space="preserve">併設の根拠</w:t>
            </w:r>
          </w:p>
        </w:tc>
        <w:tc>
          <w:tcPr/>
          <w:p>
            <w:pPr>
              <w:pStyle w:val="Compact"/>
            </w:pPr>
            <w:r>
              <w:rPr>
                <w:rStyle w:val="VerbatimChar"/>
              </w:rPr>
              <w:t xml:space="preserve">btm_case.png</w:t>
            </w:r>
          </w:p>
        </w:tc>
        <w:tc>
          <w:tcPr/>
          <w:p>
            <w:pPr>
              <w:pStyle w:val="Compact"/>
            </w:pPr>
            <w:r>
              <w:rPr>
                <w:rStyle w:val="VerbatimChar"/>
              </w:rPr>
              <w:t xml:space="preserve">20_btm_case.py</w:t>
            </w:r>
          </w:p>
        </w:tc>
      </w:tr>
    </w:tbl>
    <w:p>
      <w:pPr>
        <w:pStyle w:val="BodyText"/>
      </w:pPr>
      <w:r>
        <w:rPr>
          <w:rFonts w:hint="eastAsia"/>
        </w:rPr>
        <w:t xml:space="preserve">表の出典:</w:t>
      </w:r>
      <w:r>
        <w:t xml:space="preserve"> </w:t>
      </w:r>
      <w:r>
        <w:rPr>
          <w:rFonts w:hint="eastAsia"/>
        </w:rPr>
        <w:t xml:space="preserve">表6.2・6.8</w:t>
      </w:r>
      <w:r>
        <w:t xml:space="preserve"> </w:t>
      </w:r>
      <w:r>
        <w:rPr>
          <w:rStyle w:val="VerbatimChar"/>
        </w:rPr>
        <w:t xml:space="preserve">vol_regression_results{,_ex21-22}.csv</w:t>
      </w:r>
      <w:r>
        <w:rPr>
          <w:rFonts w:hint="eastAsia"/>
        </w:rPr>
        <w:t xml:space="preserve">、表6.5〜6.7</w:t>
      </w:r>
      <w:r>
        <w:t xml:space="preserve"> </w:t>
      </w:r>
      <w:r>
        <w:rPr>
          <w:rStyle w:val="VerbatimChar"/>
        </w:rPr>
        <w:t xml:space="preserve">fo_replication_results.csv</w:t>
      </w:r>
      <w:r>
        <w:rPr>
          <w:rFonts w:hint="eastAsia"/>
        </w:rPr>
        <w:t xml:space="preserve">、表7.3</w:t>
      </w:r>
      <w:r>
        <w:t xml:space="preserve"> </w:t>
      </w:r>
      <w:r>
        <w:rPr>
          <w:rFonts w:hint="eastAsia"/>
        </w:rPr>
        <w:t xml:space="preserve">図表データ.xlsx「風力×裁定指標」、表8.2</w:t>
      </w:r>
      <w:r>
        <w:t xml:space="preserve"> </w:t>
      </w:r>
      <w:r>
        <w:rPr>
          <w:rStyle w:val="VerbatimChar"/>
        </w:rPr>
        <w:t xml:space="preserve">price_level_theta.csv</w:t>
      </w:r>
      <w:r>
        <w:rPr>
          <w:rFonts w:hint="eastAsia"/>
        </w:rPr>
        <w:t xml:space="preserve">、表8.4</w:t>
      </w:r>
      <w:r>
        <w:t xml:space="preserve"> </w:t>
      </w:r>
      <w:r>
        <w:rPr>
          <w:rStyle w:val="VerbatimChar"/>
        </w:rPr>
        <w:t xml:space="preserve">pi_k_curve.csv</w:t>
      </w:r>
      <w:r>
        <w:rPr>
          <w:rFonts w:hint="eastAsia"/>
        </w:rPr>
        <w:t xml:space="preserve">、表8.5</w:t>
      </w:r>
      <w:r>
        <w:t xml:space="preserve"> </w:t>
      </w:r>
      <w:r>
        <w:rPr>
          <w:rStyle w:val="VerbatimChar"/>
        </w:rPr>
        <w:t xml:space="preserve">pi_k_curve_v2.csv</w:t>
      </w:r>
      <w:r>
        <w:rPr>
          <w:rFonts w:hint="eastAsia"/>
        </w:rPr>
        <w:t xml:space="preserve">、表8.6</w:t>
      </w:r>
      <w:r>
        <w:t xml:space="preserve"> </w:t>
      </w:r>
      <w:r>
        <w:rPr>
          <w:rStyle w:val="VerbatimChar"/>
        </w:rPr>
        <w:t xml:space="preserve">equilibrium_surface.csv</w:t>
      </w:r>
      <w:r>
        <w:rPr>
          <w:rFonts w:hint="eastAsia"/>
        </w:rPr>
        <w:t xml:space="preserve">、表8.7</w:t>
      </w:r>
      <w:r>
        <w:t xml:space="preserve"> </w:t>
      </w:r>
      <w:r>
        <w:rPr>
          <w:rStyle w:val="VerbatimChar"/>
        </w:rPr>
        <w:t xml:space="preserve">capacity_price_of_k.csv</w:t>
      </w:r>
      <w:r>
        <w:rPr>
          <w:rFonts w:hint="eastAsia"/>
        </w:rPr>
        <w:t xml:space="preserve">、表8.8</w:t>
      </w:r>
      <w:r>
        <w:t xml:space="preserve"> </w:t>
      </w:r>
      <w:r>
        <w:rPr>
          <w:rStyle w:val="VerbatimChar"/>
        </w:rPr>
        <w:t xml:space="preserve">eprx_rent_cap.csv</w:t>
      </w:r>
      <w:r>
        <w:rPr>
          <w:rFonts w:hint="eastAsia"/>
        </w:rPr>
        <w:t xml:space="preserve">、表9.1</w:t>
      </w:r>
      <w:r>
        <w:t xml:space="preserve"> </w:t>
      </w:r>
      <w:r>
        <w:rPr>
          <w:rStyle w:val="VerbatimChar"/>
        </w:rPr>
        <w:t xml:space="preserve">btm_avoidable_share.csv</w:t>
      </w:r>
      <w:r>
        <w:rPr>
          <w:rFonts w:hint="eastAsia"/>
        </w:rPr>
        <w:t xml:space="preserve">、表9.2</w:t>
      </w:r>
      <w:r>
        <w:t xml:space="preserve"> </w:t>
      </w:r>
      <w:r>
        <w:rPr>
          <w:rStyle w:val="VerbatimChar"/>
        </w:rPr>
        <w:t xml:space="preserve">breakeven_frontier.csv</w:t>
      </w:r>
      <w:r>
        <w:rPr>
          <w:rFonts w:hint="eastAsia"/>
        </w:rPr>
        <w:t xml:space="preserve">、表9.3</w:t>
      </w:r>
      <w:r>
        <w:t xml:space="preserve"> </w:t>
      </w:r>
      <w:r>
        <w:rPr>
          <w:rStyle w:val="VerbatimChar"/>
        </w:rPr>
        <w:t xml:space="preserve">kstar_grid.csv</w:t>
      </w:r>
      <w:r>
        <w:rPr>
          <w:rFonts w:hint="eastAsia"/>
        </w:rPr>
        <w:t xml:space="preserve">、表10.1</w:t>
      </w:r>
      <w:r>
        <w:t xml:space="preserve"> </w:t>
      </w:r>
      <w:r>
        <w:rPr>
          <w:rStyle w:val="VerbatimChar"/>
        </w:rPr>
        <w:t xml:space="preserve">negative_price_scenarios.csv</w:t>
      </w:r>
      <w:r>
        <w:t xml:space="preserve">・</w:t>
      </w:r>
      <w:r>
        <w:rPr>
          <w:rStyle w:val="VerbatimChar"/>
        </w:rPr>
        <w:t xml:space="preserve">negative_price_breakeven.csv</w:t>
      </w:r>
      <w:r>
        <w:rPr>
          <w:rFonts w:hint="eastAsia"/>
        </w:rPr>
        <w:t xml:space="preserve">、表10.2</w:t>
      </w:r>
      <w:r>
        <w:t xml:space="preserve"> </w:t>
      </w:r>
      <w:r>
        <w:rPr>
          <w:rStyle w:val="VerbatimChar"/>
        </w:rPr>
        <w:t xml:space="preserve">negative_price_transfer.csv</w:t>
      </w:r>
      <w:r>
        <w:rPr>
          <w:rFonts w:hint="eastAsia"/>
        </w:rPr>
        <w:t xml:space="preserve">。編集可能なグラフ付きデータは</w:t>
      </w:r>
      <w:r>
        <w:t xml:space="preserve"> </w:t>
      </w:r>
      <w:r>
        <w:rPr>
          <w:rStyle w:val="VerbatimChar"/>
          <w:rFonts w:hint="eastAsia"/>
        </w:rPr>
        <w:t xml:space="preserve">slides/進捗報告_20260817_図表データ.xlsx</w:t>
      </w:r>
      <w:r>
        <w:t xml:space="preserve">。</w:t>
      </w:r>
    </w:p>
    <w:bookmarkEnd w:id="171"/>
    <w:bookmarkStart w:id="172" w:name="付録d-解析スクリプト一覧analysis"/>
    <w:p>
      <w:pPr>
        <w:pStyle w:val="Heading2"/>
      </w:pPr>
      <w:r>
        <w:rPr>
          <w:rFonts w:hint="eastAsia"/>
        </w:rPr>
        <w:t xml:space="preserve">付録D</w:t>
      </w:r>
      <w:r>
        <w:t xml:space="preserve"> </w:t>
      </w:r>
      <w:r>
        <w:rPr>
          <w:rFonts w:hint="eastAsia"/>
        </w:rPr>
        <w:t xml:space="preserve">解析スクリプト一覧（</w:t>
      </w:r>
      <w:r>
        <w:rPr>
          <w:rStyle w:val="VerbatimChar"/>
        </w:rPr>
        <w:t xml:space="preserve">analysis/</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スクリプト</w:t>
            </w:r>
          </w:p>
        </w:tc>
        <w:tc>
          <w:tcPr/>
          <w:p>
            <w:pPr>
              <w:pStyle w:val="Compact"/>
            </w:pPr>
            <w:r>
              <w:rPr>
                <w:rFonts w:hint="eastAsia"/>
              </w:rPr>
              <w:t xml:space="preserve">内容（docstring</w:t>
            </w:r>
            <w:r>
              <w:t xml:space="preserve"> </w:t>
            </w:r>
            <w:r>
              <w:rPr>
                <w:rFonts w:hint="eastAsia"/>
              </w:rPr>
              <w:t xml:space="preserve">先頭行）</w:t>
            </w:r>
          </w:p>
        </w:tc>
      </w:tr>
      <w:tr>
        <w:tc>
          <w:tcPr/>
          <w:p>
            <w:pPr>
              <w:pStyle w:val="Compact"/>
            </w:pPr>
            <w:r>
              <w:rPr>
                <w:rStyle w:val="VerbatimChar"/>
              </w:rPr>
              <w:t xml:space="preserve">01_build_panel.py</w:t>
            </w:r>
          </w:p>
        </w:tc>
        <w:tc>
          <w:tcPr/>
          <w:p>
            <w:pPr>
              <w:pStyle w:val="Compact"/>
            </w:pPr>
            <w:r>
              <w:rPr>
                <w:rFonts w:hint="eastAsia"/>
              </w:rPr>
              <w:t xml:space="preserve">九州パイロット:</w:t>
            </w:r>
            <w:r>
              <w:t xml:space="preserve"> </w:t>
            </w:r>
            <w:r>
              <w:rPr>
                <w:rFonts w:hint="eastAsia"/>
              </w:rPr>
              <w:t xml:space="preserve">生データから分析用パネルを構築する</w:t>
            </w:r>
          </w:p>
        </w:tc>
      </w:tr>
      <w:tr>
        <w:tc>
          <w:tcPr/>
          <w:p>
            <w:pPr>
              <w:pStyle w:val="Compact"/>
            </w:pPr>
            <w:r>
              <w:rPr>
                <w:rStyle w:val="VerbatimChar"/>
              </w:rPr>
              <w:t xml:space="preserve">02_descriptive_figures.py</w:t>
            </w:r>
          </w:p>
        </w:tc>
        <w:tc>
          <w:tcPr/>
          <w:p>
            <w:pPr>
              <w:pStyle w:val="Compact"/>
            </w:pPr>
            <w:r>
              <w:rPr>
                <w:rFonts w:hint="eastAsia"/>
              </w:rPr>
              <w:t xml:space="preserve">九州パイロット:</w:t>
            </w:r>
            <w:r>
              <w:t xml:space="preserve"> </w:t>
            </w:r>
            <w:r>
              <w:rPr>
                <w:rFonts w:hint="eastAsia"/>
              </w:rPr>
              <w:t xml:space="preserve">記述統計図表の生成(ゼミ発表用)</w:t>
            </w:r>
          </w:p>
        </w:tc>
      </w:tr>
      <w:tr>
        <w:tc>
          <w:tcPr/>
          <w:p>
            <w:pPr>
              <w:pStyle w:val="Compact"/>
            </w:pPr>
            <w:r>
              <w:rPr>
                <w:rStyle w:val="VerbatimChar"/>
              </w:rPr>
              <w:t xml:space="preserve">03_battery_backtest.py</w:t>
            </w:r>
          </w:p>
        </w:tc>
        <w:tc>
          <w:tcPr/>
          <w:p>
            <w:pPr>
              <w:pStyle w:val="Compact"/>
            </w:pPr>
            <w:r>
              <w:rPr>
                <w:rFonts w:hint="eastAsia"/>
              </w:rPr>
              <w:t xml:space="preserve">案1:</w:t>
            </w:r>
            <w:r>
              <w:t xml:space="preserve"> </w:t>
            </w:r>
            <w:r>
              <w:rPr>
                <w:rFonts w:hint="eastAsia"/>
              </w:rPr>
              <w:t xml:space="preserve">九州エリアにおける4時間蓄電池の日次裁定価値バックテスト</w:t>
            </w:r>
          </w:p>
        </w:tc>
      </w:tr>
      <w:tr>
        <w:tc>
          <w:tcPr/>
          <w:p>
            <w:pPr>
              <w:pStyle w:val="Compact"/>
            </w:pPr>
            <w:r>
              <w:rPr>
                <w:rStyle w:val="VerbatimChar"/>
              </w:rPr>
              <w:t xml:space="preserve">04_spread_montecarlo.py</w:t>
            </w:r>
          </w:p>
        </w:tc>
        <w:tc>
          <w:tcPr/>
          <w:p>
            <w:pPr>
              <w:pStyle w:val="Compact"/>
            </w:pPr>
            <w:r>
              <w:rPr>
                <w:rFonts w:hint="eastAsia"/>
              </w:rPr>
              <w:t xml:space="preserve">案2:</w:t>
            </w:r>
            <w:r>
              <w:t xml:space="preserve"> </w:t>
            </w:r>
            <w:r>
              <w:rPr>
                <w:rFonts w:hint="eastAsia"/>
              </w:rPr>
              <w:t xml:space="preserve">日次スプレッド(完全予見粗利)の確率モデル</w:t>
            </w:r>
            <w:r>
              <w:t xml:space="preserve"> + </w:t>
            </w:r>
            <w:r>
              <w:rPr>
                <w:rFonts w:hint="eastAsia"/>
              </w:rPr>
              <w:t xml:space="preserve">モンテカルロによる年間価値分布</w:t>
            </w:r>
          </w:p>
        </w:tc>
      </w:tr>
      <w:tr>
        <w:tc>
          <w:tcPr/>
          <w:p>
            <w:pPr>
              <w:pStyle w:val="Compact"/>
            </w:pPr>
            <w:r>
              <w:rPr>
                <w:rStyle w:val="VerbatimChar"/>
              </w:rPr>
              <w:t xml:space="preserve">05_normalized_metrics.py</w:t>
            </w:r>
          </w:p>
        </w:tc>
        <w:tc>
          <w:tcPr/>
          <w:p>
            <w:pPr>
              <w:pStyle w:val="Compact"/>
            </w:pPr>
            <w:r>
              <w:rPr>
                <w:rFonts w:hint="eastAsia"/>
              </w:rPr>
              <w:t xml:space="preserve">価格水準で規格化した指標</w:t>
            </w:r>
          </w:p>
        </w:tc>
      </w:tr>
      <w:tr>
        <w:tc>
          <w:tcPr/>
          <w:p>
            <w:pPr>
              <w:pStyle w:val="Compact"/>
            </w:pPr>
            <w:r>
              <w:rPr>
                <w:rStyle w:val="VerbatimChar"/>
              </w:rPr>
              <w:t xml:space="preserve">06_factor_decomposition.py</w:t>
            </w:r>
          </w:p>
        </w:tc>
        <w:tc>
          <w:tcPr/>
          <w:p>
            <w:pPr>
              <w:pStyle w:val="Compact"/>
            </w:pPr>
            <w:r>
              <w:t xml:space="preserve">FY2023→25 </w:t>
            </w:r>
            <w:r>
              <w:rPr>
                <w:rFonts w:hint="eastAsia"/>
              </w:rPr>
              <w:t xml:space="preserve">の「張り付き減・スプレッド縮小」の要因分解</w:t>
            </w:r>
          </w:p>
        </w:tc>
      </w:tr>
      <w:tr>
        <w:tc>
          <w:tcPr/>
          <w:p>
            <w:pPr>
              <w:pStyle w:val="Compact"/>
            </w:pPr>
            <w:r>
              <w:rPr>
                <w:rStyle w:val="VerbatimChar"/>
              </w:rPr>
              <w:t xml:space="preserve">07_counterfactual.py</w:t>
            </w:r>
          </w:p>
        </w:tc>
        <w:tc>
          <w:tcPr/>
          <w:p>
            <w:pPr>
              <w:pStyle w:val="Compact"/>
            </w:pPr>
            <w:r>
              <w:rPr>
                <w:rFonts w:hint="eastAsia"/>
              </w:rPr>
              <w:t xml:space="preserve">反実仮想分析:</w:t>
            </w:r>
            <w:r>
              <w:t xml:space="preserve"> </w:t>
            </w:r>
            <w:r>
              <w:rPr>
                <w:rFonts w:hint="eastAsia"/>
              </w:rPr>
              <w:t xml:space="preserve">「半導体需要増・原子力稼働変動がなかりせば」のFY2024-25価格と裁定価値</w:t>
            </w:r>
          </w:p>
        </w:tc>
      </w:tr>
      <w:tr>
        <w:tc>
          <w:tcPr/>
          <w:p>
            <w:pPr>
              <w:pStyle w:val="Compact"/>
            </w:pPr>
            <w:r>
              <w:rPr>
                <w:rStyle w:val="VerbatimChar"/>
              </w:rPr>
              <w:t xml:space="preserve">08_wind_timescale.py</w:t>
            </w:r>
          </w:p>
        </w:tc>
        <w:tc>
          <w:tcPr/>
          <w:p>
            <w:pPr>
              <w:pStyle w:val="Compact"/>
            </w:pPr>
            <w:r>
              <w:rPr>
                <w:rFonts w:hint="eastAsia"/>
              </w:rPr>
              <w:t xml:space="preserve">風力変動の時間スケール構造の実測（九州フリート集約出力、FY2022-25）</w:t>
            </w:r>
          </w:p>
        </w:tc>
      </w:tr>
      <w:tr>
        <w:tc>
          <w:tcPr/>
          <w:p>
            <w:pPr>
              <w:pStyle w:val="Compact"/>
            </w:pPr>
            <w:r>
              <w:rPr>
                <w:rStyle w:val="VerbatimChar"/>
              </w:rPr>
              <w:t xml:space="preserve">09_export_figures_xlsx.py</w:t>
            </w:r>
          </w:p>
        </w:tc>
        <w:tc>
          <w:tcPr/>
          <w:p>
            <w:pPr>
              <w:pStyle w:val="Compact"/>
            </w:pPr>
            <w:r>
              <w:rPr>
                <w:rFonts w:hint="eastAsia"/>
              </w:rPr>
              <w:t xml:space="preserve">発表資料の図表データをExcel化（1図=1シート、数値データ＋ネイティブグラフ）</w:t>
            </w:r>
          </w:p>
        </w:tc>
      </w:tr>
      <w:tr>
        <w:tc>
          <w:tcPr/>
          <w:p>
            <w:pPr>
              <w:pStyle w:val="Compact"/>
            </w:pPr>
            <w:r>
              <w:rPr>
                <w:rStyle w:val="VerbatimChar"/>
              </w:rPr>
              <w:t xml:space="preserve">10_hokkaido_quick_xlsx.py</w:t>
            </w:r>
          </w:p>
        </w:tc>
        <w:tc>
          <w:tcPr/>
          <w:p>
            <w:pPr>
              <w:pStyle w:val="Compact"/>
            </w:pPr>
            <w:r>
              <w:rPr>
                <w:rFonts w:hint="eastAsia"/>
              </w:rPr>
              <w:t xml:space="preserve">北海道の簡易分析（JEPXエリアプライスのみで可能な範囲）</w:t>
            </w:r>
          </w:p>
        </w:tc>
      </w:tr>
      <w:tr>
        <w:tc>
          <w:tcPr/>
          <w:p>
            <w:pPr>
              <w:pStyle w:val="Compact"/>
            </w:pPr>
            <w:r>
              <w:rPr>
                <w:rStyle w:val="VerbatimChar"/>
              </w:rPr>
              <w:t xml:space="preserve">11_build_area_panels.py</w:t>
            </w:r>
          </w:p>
        </w:tc>
        <w:tc>
          <w:tcPr/>
          <w:p>
            <w:pPr>
              <w:pStyle w:val="Compact"/>
            </w:pPr>
            <w:r>
              <w:rPr>
                <w:rFonts w:hint="eastAsia"/>
              </w:rPr>
              <w:t xml:space="preserve">北海道・東北の需給実績パネル構築（01_build_panel.py</w:t>
            </w:r>
            <w:r>
              <w:t xml:space="preserve"> </w:t>
            </w:r>
            <w:r>
              <w:rPr>
                <w:rFonts w:hint="eastAsia"/>
              </w:rPr>
              <w:t xml:space="preserve">のエリア一般化）</w:t>
            </w:r>
          </w:p>
        </w:tc>
      </w:tr>
      <w:tr>
        <w:tc>
          <w:tcPr/>
          <w:p>
            <w:pPr>
              <w:pStyle w:val="Compact"/>
            </w:pPr>
            <w:r>
              <w:rPr>
                <w:rStyle w:val="VerbatimChar"/>
              </w:rPr>
              <w:t xml:space="preserve">12_fit_capacity_series.py</w:t>
            </w:r>
          </w:p>
        </w:tc>
        <w:tc>
          <w:tcPr/>
          <w:p>
            <w:pPr>
              <w:pStyle w:val="Compact"/>
            </w:pPr>
            <w:r>
              <w:t xml:space="preserve">FIT/FIP </w:t>
            </w:r>
            <w:r>
              <w:rPr>
                <w:rFonts w:hint="eastAsia"/>
              </w:rPr>
              <w:t xml:space="preserve">情報公表用ウェブサイト</w:t>
            </w:r>
            <w:r>
              <w:t xml:space="preserve"> </w:t>
            </w:r>
            <w:r>
              <w:rPr>
                <w:rFonts w:hint="eastAsia"/>
              </w:rPr>
              <w:t xml:space="preserve">B表（市町村別導入容量）から都道府県・エリア別の</w:t>
            </w:r>
          </w:p>
        </w:tc>
      </w:tr>
      <w:tr>
        <w:tc>
          <w:tcPr/>
          <w:p>
            <w:pPr>
              <w:pStyle w:val="Compact"/>
            </w:pPr>
            <w:r>
              <w:rPr>
                <w:rStyle w:val="VerbatimChar"/>
              </w:rPr>
              <w:t xml:space="preserve">13_price_process_v1.py</w:t>
            </w:r>
          </w:p>
        </w:tc>
        <w:tc>
          <w:tcPr/>
          <w:p>
            <w:pPr>
              <w:pStyle w:val="Compact"/>
            </w:pPr>
            <w:r>
              <w:t xml:space="preserve">フェーズB: </w:t>
            </w:r>
            <w:r>
              <w:rPr>
                <w:rFonts w:hint="eastAsia"/>
              </w:rPr>
              <w:t xml:space="preserve">北海道の価格過程モデル</w:t>
            </w:r>
            <w:r>
              <w:t xml:space="preserve"> v1</w:t>
            </w:r>
          </w:p>
        </w:tc>
      </w:tr>
      <w:tr>
        <w:tc>
          <w:tcPr/>
          <w:p>
            <w:pPr>
              <w:pStyle w:val="Compact"/>
            </w:pPr>
            <w:r>
              <w:rPr>
                <w:rStyle w:val="VerbatimChar"/>
              </w:rPr>
              <w:t xml:space="preserve">14_export_progress_figures.py</w:t>
            </w:r>
          </w:p>
        </w:tc>
        <w:tc>
          <w:tcPr/>
          <w:p>
            <w:pPr>
              <w:pStyle w:val="Compact"/>
            </w:pPr>
            <w:r>
              <w:rPr>
                <w:rFonts w:hint="eastAsia"/>
              </w:rPr>
              <w:t xml:space="preserve">進捗報告（2026-08-17）デッキの図表データをExcel化（編集可能なネイティブグラフ付き）</w:t>
            </w:r>
          </w:p>
        </w:tc>
      </w:tr>
      <w:tr>
        <w:tc>
          <w:tcPr/>
          <w:p>
            <w:pPr>
              <w:pStyle w:val="Compact"/>
            </w:pPr>
            <w:r>
              <w:rPr>
                <w:rStyle w:val="VerbatimChar"/>
              </w:rPr>
              <w:t xml:space="preserve">15_price_curve_shapes.py</w:t>
            </w:r>
          </w:p>
        </w:tc>
        <w:tc>
          <w:tcPr/>
          <w:p>
            <w:pPr>
              <w:pStyle w:val="Compact"/>
            </w:pPr>
            <w:r>
              <w:rPr>
                <w:rFonts w:hint="eastAsia"/>
              </w:rPr>
              <w:t xml:space="preserve">北海道の時間帯別価格カーブの形状:</w:t>
            </w:r>
            <w:r>
              <w:t xml:space="preserve"> </w:t>
            </w:r>
            <w:r>
              <w:rPr>
                <w:rFonts w:hint="eastAsia"/>
              </w:rPr>
              <w:t xml:space="preserve">3季節</w:t>
            </w:r>
            <w:r>
              <w:t xml:space="preserve"> × </w:t>
            </w:r>
            <w:r>
              <w:rPr>
                <w:rFonts w:hint="eastAsia"/>
              </w:rPr>
              <w:t xml:space="preserve">太陽光の大小（FY2023-25）</w:t>
            </w:r>
          </w:p>
        </w:tc>
      </w:tr>
      <w:tr>
        <w:tc>
          <w:tcPr/>
          <w:p>
            <w:pPr>
              <w:pStyle w:val="Compact"/>
            </w:pPr>
            <w:r>
              <w:rPr>
                <w:rStyle w:val="VerbatimChar"/>
              </w:rPr>
              <w:t xml:space="preserve">16_strategy_decomposition.py</w:t>
            </w:r>
          </w:p>
        </w:tc>
        <w:tc>
          <w:tcPr/>
          <w:p>
            <w:pPr>
              <w:pStyle w:val="Compact"/>
            </w:pPr>
            <w:r>
              <w:rPr>
                <w:rFonts w:hint="eastAsia"/>
              </w:rPr>
              <w:t xml:space="preserve">戦略bの改善の分解:</w:t>
            </w:r>
            <w:r>
              <w:t xml:space="preserve"> </w:t>
            </w:r>
            <w:r>
              <w:rPr>
                <w:rFonts w:hint="eastAsia"/>
              </w:rPr>
              <w:t xml:space="preserve">「予測」か「平均化によるノイズ除去」か（北海道）</w:t>
            </w:r>
          </w:p>
        </w:tc>
      </w:tr>
      <w:tr>
        <w:tc>
          <w:tcPr/>
          <w:p>
            <w:pPr>
              <w:pStyle w:val="Compact"/>
            </w:pPr>
            <w:r>
              <w:rPr>
                <w:rStyle w:val="VerbatimChar"/>
              </w:rPr>
              <w:t xml:space="preserve">17_wind_battery_deepdive.py</w:t>
            </w:r>
          </w:p>
        </w:tc>
        <w:tc>
          <w:tcPr/>
          <w:p>
            <w:pPr>
              <w:pStyle w:val="Compact"/>
            </w:pPr>
            <w:r>
              <w:rPr>
                <w:rFonts w:hint="eastAsia"/>
              </w:rPr>
              <w:t xml:space="preserve">風力×蓄電池の初期分析（北海道、FY2023-25）</w:t>
            </w:r>
          </w:p>
        </w:tc>
      </w:tr>
      <w:tr>
        <w:tc>
          <w:tcPr/>
          <w:p>
            <w:pPr>
              <w:pStyle w:val="Compact"/>
            </w:pPr>
            <w:r>
              <w:rPr>
                <w:rStyle w:val="VerbatimChar"/>
              </w:rPr>
              <w:t xml:space="preserve">18_kwind_sweep.py</w:t>
            </w:r>
          </w:p>
        </w:tc>
        <w:tc>
          <w:tcPr/>
          <w:p>
            <w:pPr>
              <w:pStyle w:val="Compact"/>
            </w:pPr>
            <w:r>
              <w:t xml:space="preserve">K_windスイープ: </w:t>
            </w:r>
            <w:r>
              <w:rPr>
                <w:rFonts w:hint="eastAsia"/>
              </w:rPr>
              <w:t xml:space="preserve">風力導入量を0.5×〜3×に振ったときの蓄電池スポット価値（基本仕様の価格過程）</w:t>
            </w:r>
          </w:p>
        </w:tc>
      </w:tr>
      <w:tr>
        <w:tc>
          <w:tcPr/>
          <w:p>
            <w:pPr>
              <w:pStyle w:val="Compact"/>
            </w:pPr>
            <w:r>
              <w:rPr>
                <w:rStyle w:val="VerbatimChar"/>
              </w:rPr>
              <w:t xml:space="preserve">19_hokkaido_extra_figs.py</w:t>
            </w:r>
          </w:p>
        </w:tc>
        <w:tc>
          <w:tcPr/>
          <w:p>
            <w:pPr>
              <w:pStyle w:val="Compact"/>
            </w:pPr>
            <w:r>
              <w:rPr>
                <w:rFonts w:hint="eastAsia"/>
              </w:rPr>
              <w:t xml:space="preserve">北海道の追加図2点（進捗報告用）</w:t>
            </w:r>
          </w:p>
        </w:tc>
      </w:tr>
      <w:tr>
        <w:tc>
          <w:tcPr/>
          <w:p>
            <w:pPr>
              <w:pStyle w:val="Compact"/>
            </w:pPr>
            <w:r>
              <w:rPr>
                <w:rStyle w:val="VerbatimChar"/>
              </w:rPr>
              <w:t xml:space="preserve">20_btm_case.py</w:t>
            </w:r>
          </w:p>
        </w:tc>
        <w:tc>
          <w:tcPr/>
          <w:p>
            <w:pPr>
              <w:pStyle w:val="Compact"/>
            </w:pPr>
            <w:r>
              <w:rPr>
                <w:rFonts w:hint="eastAsia"/>
              </w:rPr>
              <w:t xml:space="preserve">併設蓄電池を研究対象に加える根拠のデータ整理（北海道・風力）</w:t>
            </w:r>
          </w:p>
        </w:tc>
      </w:tr>
      <w:tr>
        <w:tc>
          <w:tcPr/>
          <w:p>
            <w:pPr>
              <w:pStyle w:val="Compact"/>
            </w:pPr>
            <w:r>
              <w:rPr>
                <w:rStyle w:val="VerbatimChar"/>
              </w:rPr>
              <w:t xml:space="preserve">21_band_comparison.py</w:t>
            </w:r>
          </w:p>
        </w:tc>
        <w:tc>
          <w:tcPr/>
          <w:p>
            <w:pPr>
              <w:pStyle w:val="Compact"/>
            </w:pPr>
            <w:r>
              <w:rPr>
                <w:rFonts w:hint="eastAsia"/>
              </w:rPr>
              <w:t xml:space="preserve">帯域分解の比較:</w:t>
            </w:r>
            <w:r>
              <w:t xml:space="preserve"> </w:t>
            </w:r>
            <w:r>
              <w:rPr>
                <w:rFonts w:hint="eastAsia"/>
              </w:rPr>
              <w:t xml:space="preserve">北海道風力</w:t>
            </w:r>
            <w:r>
              <w:t xml:space="preserve"> vs </w:t>
            </w:r>
            <w:r>
              <w:rPr>
                <w:rFonts w:hint="eastAsia"/>
              </w:rPr>
              <w:t xml:space="preserve">九州太陽光（いずれも制御前出力）</w:t>
            </w:r>
          </w:p>
        </w:tc>
      </w:tr>
      <w:tr>
        <w:tc>
          <w:tcPr/>
          <w:p>
            <w:pPr>
              <w:pStyle w:val="Compact"/>
            </w:pPr>
            <w:r>
              <w:rPr>
                <w:rStyle w:val="VerbatimChar"/>
              </w:rPr>
              <w:t xml:space="preserve">22_wind_vs_price_shape.py</w:t>
            </w:r>
          </w:p>
        </w:tc>
        <w:tc>
          <w:tcPr/>
          <w:p>
            <w:pPr>
              <w:pStyle w:val="Compact"/>
            </w:pPr>
            <w:r>
              <w:rPr>
                <w:rFonts w:hint="eastAsia"/>
              </w:rPr>
              <w:t xml:space="preserve">風力は水準を下げるがスプレッドを広げない</w:t>
            </w:r>
            <w:r>
              <w:t xml:space="preserve"> — </w:t>
            </w:r>
            <w:r>
              <w:rPr>
                <w:rFonts w:hint="eastAsia"/>
              </w:rPr>
              <w:t xml:space="preserve">発電量×価格の関係（季節別、太陽光と対比）</w:t>
            </w:r>
          </w:p>
        </w:tc>
      </w:tr>
      <w:tr>
        <w:tc>
          <w:tcPr/>
          <w:p>
            <w:pPr>
              <w:pStyle w:val="Compact"/>
            </w:pPr>
            <w:r>
              <w:rPr>
                <w:rStyle w:val="VerbatimChar"/>
              </w:rPr>
              <w:t xml:space="preserve">23_pi_k_curve.py</w:t>
            </w:r>
          </w:p>
        </w:tc>
        <w:tc>
          <w:tcPr/>
          <w:p>
            <w:pPr>
              <w:pStyle w:val="Compact"/>
            </w:pPr>
            <w:r>
              <w:t xml:space="preserve">フェーズC v1: </w:t>
            </w:r>
            <w:r>
              <w:rPr>
                <w:rFonts w:hint="eastAsia"/>
              </w:rPr>
              <w:t xml:space="preserve">蓄電池フリートの内生化</w:t>
            </w:r>
            <w:r>
              <w:t xml:space="preserve"> → </w:t>
            </w:r>
            <w:r>
              <w:rPr>
                <w:rFonts w:hint="eastAsia"/>
              </w:rPr>
              <w:t xml:space="preserve">π(K)曲線</w:t>
            </w:r>
            <w:r>
              <w:t xml:space="preserve"> → </w:t>
            </w:r>
            <w:r>
              <w:rPr>
                <w:rFonts w:hint="eastAsia"/>
              </w:rPr>
              <w:t xml:space="preserve">均衡容量K*の初回判定</w:t>
            </w:r>
          </w:p>
        </w:tc>
      </w:tr>
      <w:tr>
        <w:tc>
          <w:tcPr/>
          <w:p>
            <w:pPr>
              <w:pStyle w:val="Compact"/>
            </w:pPr>
            <w:r>
              <w:rPr>
                <w:rStyle w:val="VerbatimChar"/>
              </w:rPr>
              <w:t xml:space="preserve">24_vol_verification.py</w:t>
            </w:r>
          </w:p>
        </w:tc>
        <w:tc>
          <w:tcPr/>
          <w:p>
            <w:pPr>
              <w:pStyle w:val="Compact"/>
            </w:pPr>
            <w:r>
              <w:rPr>
                <w:rFonts w:hint="eastAsia"/>
              </w:rPr>
              <w:t xml:space="preserve">①「再エネ→価格ボラ上昇」の北海道検証（Fuke</w:t>
            </w:r>
            <w:r>
              <w:t xml:space="preserve"> &amp; Ohashi </w:t>
            </w:r>
            <w:r>
              <w:rPr>
                <w:rFonts w:hint="eastAsia"/>
              </w:rPr>
              <w:t xml:space="preserve">型の回帰・風力拡張）</w:t>
            </w:r>
          </w:p>
        </w:tc>
      </w:tr>
      <w:tr>
        <w:tc>
          <w:tcPr/>
          <w:p>
            <w:pPr>
              <w:pStyle w:val="Compact"/>
            </w:pPr>
            <w:r>
              <w:rPr>
                <w:rStyle w:val="VerbatimChar"/>
              </w:rPr>
              <w:t xml:space="preserve">25_fo_replication.py</w:t>
            </w:r>
          </w:p>
        </w:tc>
        <w:tc>
          <w:tcPr/>
          <w:p>
            <w:pPr>
              <w:pStyle w:val="Compact"/>
            </w:pPr>
            <w:r>
              <w:t xml:space="preserve">Fuke &amp; Ohashi (2025) </w:t>
            </w:r>
            <w:r>
              <w:rPr>
                <w:rFonts w:hint="eastAsia"/>
              </w:rPr>
              <w:t xml:space="preserve">仕様の再現と、日内スプレッド（TB4h）との対比（第6章6.5）</w:t>
            </w:r>
          </w:p>
        </w:tc>
      </w:tr>
      <w:tr>
        <w:tc>
          <w:tcPr/>
          <w:p>
            <w:pPr>
              <w:pStyle w:val="Compact"/>
            </w:pPr>
            <w:r>
              <w:rPr>
                <w:rStyle w:val="VerbatimChar"/>
              </w:rPr>
              <w:t xml:space="preserve">26_price_process_v2.py</w:t>
            </w:r>
          </w:p>
        </w:tc>
        <w:tc>
          <w:tcPr/>
          <w:p>
            <w:pPr>
              <w:pStyle w:val="Compact"/>
            </w:pPr>
            <w:r>
              <w:rPr>
                <w:rFonts w:hint="eastAsia"/>
              </w:rPr>
              <w:t xml:space="preserve">供給曲線</w:t>
            </w:r>
            <w:r>
              <w:t xml:space="preserve"> v2: </w:t>
            </w:r>
            <w:r>
              <w:rPr>
                <w:rFonts w:hint="eastAsia"/>
              </w:rPr>
              <w:t xml:space="preserve">上側水準を年度別スケール係数</w:t>
            </w:r>
            <w:r>
              <w:t xml:space="preserve"> θ_FY </w:t>
            </w:r>
            <w:r>
              <w:rPr>
                <w:rFonts w:hint="eastAsia"/>
              </w:rPr>
              <w:t xml:space="preserve">で非定常化した価格過程（北海道）</w:t>
            </w:r>
          </w:p>
        </w:tc>
      </w:tr>
      <w:tr>
        <w:tc>
          <w:tcPr/>
          <w:p>
            <w:pPr>
              <w:pStyle w:val="Compact"/>
            </w:pPr>
            <w:r>
              <w:rPr>
                <w:rStyle w:val="VerbatimChar"/>
              </w:rPr>
              <w:t xml:space="preserve">27_pi_k_curve_v2.py</w:t>
            </w:r>
          </w:p>
        </w:tc>
        <w:tc>
          <w:tcPr/>
          <w:p>
            <w:pPr>
              <w:pStyle w:val="Compact"/>
            </w:pPr>
            <w:r>
              <w:t xml:space="preserve">フェーズC v2: </w:t>
            </w:r>
            <w:r>
              <w:rPr>
                <w:rFonts w:hint="eastAsia"/>
              </w:rPr>
              <w:t xml:space="preserve">供給曲線</w:t>
            </w:r>
            <w:r>
              <w:t xml:space="preserve"> </w:t>
            </w:r>
            <w:r>
              <w:rPr>
                <w:rFonts w:hint="eastAsia"/>
              </w:rPr>
              <w:t xml:space="preserve">v2（26、年度別水準係数</w:t>
            </w:r>
            <w:r>
              <w:t xml:space="preserve"> </w:t>
            </w:r>
            <w:r>
              <w:rPr>
                <w:rFonts w:hint="eastAsia"/>
              </w:rPr>
              <w:t xml:space="preserve">θ）の上で</w:t>
            </w:r>
            <w:r>
              <w:t xml:space="preserve"> π(K) </w:t>
            </w:r>
            <w:r>
              <w:rPr>
                <w:rFonts w:hint="eastAsia"/>
              </w:rPr>
              <w:t xml:space="preserve">と均衡容量</w:t>
            </w:r>
            <w:r>
              <w:t xml:space="preserve"> K* </w:t>
            </w:r>
            <w:r>
              <w:rPr>
                <w:rFonts w:hint="eastAsia"/>
              </w:rPr>
              <w:t xml:space="preserve">を再計算</w:t>
            </w:r>
          </w:p>
        </w:tc>
      </w:tr>
      <w:tr>
        <w:tc>
          <w:tcPr/>
          <w:p>
            <w:pPr>
              <w:pStyle w:val="Compact"/>
            </w:pPr>
            <w:r>
              <w:rPr>
                <w:rStyle w:val="VerbatimChar"/>
              </w:rPr>
              <w:t xml:space="preserve">28_equilibrium_surface.py</w:t>
            </w:r>
          </w:p>
        </w:tc>
        <w:tc>
          <w:tcPr/>
          <w:p>
            <w:pPr>
              <w:pStyle w:val="Compact"/>
            </w:pPr>
            <w:r>
              <w:t xml:space="preserve">8.5 </w:t>
            </w:r>
            <w:r>
              <w:rPr>
                <w:rFonts w:hint="eastAsia"/>
              </w:rPr>
              <w:t xml:space="preserve">2次元の感応度面と</w:t>
            </w:r>
            <w:r>
              <w:t xml:space="preserve"> 9.4 </w:t>
            </w:r>
            <w:r>
              <w:rPr>
                <w:rFonts w:hint="eastAsia"/>
              </w:rPr>
              <w:t xml:space="preserve">損益分岐面（供給曲線</w:t>
            </w:r>
            <w:r>
              <w:t xml:space="preserve"> v2 </w:t>
            </w:r>
            <w:r>
              <w:rPr>
                <w:rFonts w:hint="eastAsia"/>
              </w:rPr>
              <w:t xml:space="preserve">の上で）</w:t>
            </w:r>
          </w:p>
        </w:tc>
      </w:tr>
      <w:tr>
        <w:tc>
          <w:tcPr/>
          <w:p>
            <w:pPr>
              <w:pStyle w:val="Compact"/>
            </w:pPr>
            <w:r>
              <w:rPr>
                <w:rStyle w:val="VerbatimChar"/>
              </w:rPr>
              <w:t xml:space="preserve">29_spatial_dispersion.py</w:t>
            </w:r>
          </w:p>
        </w:tc>
        <w:tc>
          <w:tcPr/>
          <w:p>
            <w:pPr>
              <w:pStyle w:val="Compact"/>
            </w:pPr>
            <w:r>
              <w:t xml:space="preserve">6.4 </w:t>
            </w:r>
            <w:r>
              <w:rPr>
                <w:rFonts w:hint="eastAsia"/>
              </w:rPr>
              <w:t xml:space="preserve">空間分散シミュレーション:</w:t>
            </w:r>
            <w:r>
              <w:t xml:space="preserve"> </w:t>
            </w:r>
            <w:r>
              <w:rPr>
                <w:rFonts w:hint="eastAsia"/>
              </w:rPr>
              <w:t xml:space="preserve">集中立地の反実仮想（日内帯域を</w:t>
            </w:r>
            <w:r>
              <w:t xml:space="preserve"> λ </w:t>
            </w:r>
            <w:r>
              <w:rPr>
                <w:rFonts w:hint="eastAsia"/>
              </w:rPr>
              <w:t xml:space="preserve">倍に増幅）を価格過程</w:t>
            </w:r>
            <w:r>
              <w:t xml:space="preserve"> v2 </w:t>
            </w:r>
            <w:r>
              <w:rPr>
                <w:rFonts w:hint="eastAsia"/>
              </w:rPr>
              <w:t xml:space="preserve">に通す</w:t>
            </w:r>
          </w:p>
        </w:tc>
      </w:tr>
      <w:tr>
        <w:tc>
          <w:tcPr/>
          <w:p>
            <w:pPr>
              <w:pStyle w:val="Compact"/>
            </w:pPr>
            <w:r>
              <w:rPr>
                <w:rStyle w:val="VerbatimChar"/>
              </w:rPr>
              <w:t xml:space="preserve">30_btm_avoidable.py</w:t>
            </w:r>
          </w:p>
        </w:tc>
        <w:tc>
          <w:tcPr/>
          <w:p>
            <w:pPr>
              <w:pStyle w:val="Compact"/>
            </w:pPr>
            <w:r>
              <w:t xml:space="preserve">9.3.2 </w:t>
            </w:r>
            <w:r>
              <w:rPr>
                <w:rFonts w:hint="eastAsia"/>
              </w:rPr>
              <w:t xml:space="preserve">併設蓄電池の容量制約下での抑制回避可能率（北海道風力、2025/4〜2026/6</w:t>
            </w:r>
            <w:r>
              <w:t xml:space="preserve"> </w:t>
            </w:r>
            <w:r>
              <w:rPr>
                <w:rFonts w:hint="eastAsia"/>
              </w:rPr>
              <w:t xml:space="preserve">の時間値）</w:t>
            </w:r>
          </w:p>
        </w:tc>
      </w:tr>
    </w:tbl>
    <w:p>
      <w:pPr>
        <w:pStyle w:val="BodyText"/>
      </w:pPr>
      <w:r>
        <w:rPr>
          <w:rFonts w:hint="eastAsia"/>
        </w:rPr>
        <w:t xml:space="preserve">実行順序の依存:</w:t>
      </w:r>
      <w:r>
        <w:t xml:space="preserve"> </w:t>
      </w:r>
      <w:r>
        <w:rPr>
          <w:rStyle w:val="VerbatimChar"/>
        </w:rPr>
        <w:t xml:space="preserve">01</w:t>
      </w:r>
      <w:r>
        <w:t xml:space="preserve">/</w:t>
      </w:r>
      <w:r>
        <w:rPr>
          <w:rStyle w:val="VerbatimChar"/>
        </w:rPr>
        <w:t xml:space="preserve">11</w:t>
      </w:r>
      <w:r>
        <w:t xml:space="preserve">/</w:t>
      </w:r>
      <w:r>
        <w:rPr>
          <w:rStyle w:val="VerbatimChar"/>
        </w:rPr>
        <w:t xml:space="preserve">12</w:t>
      </w:r>
      <w:r>
        <w:t xml:space="preserve"> </w:t>
      </w:r>
      <w:r>
        <w:t xml:space="preserve">→ </w:t>
      </w:r>
      <w:r>
        <w:rPr>
          <w:rFonts w:hint="eastAsia"/>
        </w:rPr>
        <w:t xml:space="preserve">パネル・容量系列、</w:t>
      </w:r>
      <w:r>
        <w:rPr>
          <w:rStyle w:val="VerbatimChar"/>
        </w:rPr>
        <w:t xml:space="preserve">13</w:t>
      </w:r>
      <w:r>
        <w:t xml:space="preserve"> </w:t>
      </w:r>
      <w:r>
        <w:t xml:space="preserve">→ </w:t>
      </w:r>
      <w:r>
        <w:rPr>
          <w:rFonts w:hint="eastAsia"/>
        </w:rPr>
        <w:t xml:space="preserve">基本仕様の価格過程（</w:t>
      </w:r>
      <w:r>
        <w:rPr>
          <w:rStyle w:val="VerbatimChar"/>
        </w:rPr>
        <w:t xml:space="preserve">18</w:t>
      </w:r>
      <w:r>
        <w:t xml:space="preserve">・</w:t>
      </w:r>
      <w:r>
        <w:rPr>
          <w:rStyle w:val="VerbatimChar"/>
        </w:rPr>
        <w:t xml:space="preserve">23</w:t>
      </w:r>
      <w:r>
        <w:t xml:space="preserve"> </w:t>
      </w:r>
      <w:r>
        <w:t xml:space="preserve">が </w:t>
      </w:r>
      <w:r>
        <w:rPr>
          <w:rFonts w:hint="eastAsia"/>
        </w:rPr>
        <w:t xml:space="preserve">exec）、</w:t>
      </w:r>
      <w:r>
        <w:rPr>
          <w:rStyle w:val="VerbatimChar"/>
        </w:rPr>
        <w:t xml:space="preserve">26</w:t>
      </w:r>
      <w:r>
        <w:t xml:space="preserve"> </w:t>
      </w:r>
      <w:r>
        <w:t xml:space="preserve">→ </w:t>
      </w:r>
      <w:r>
        <w:rPr>
          <w:rFonts w:hint="eastAsia"/>
        </w:rPr>
        <w:t xml:space="preserve">水準係数付き価格過程（</w:t>
      </w:r>
      <w:r>
        <w:rPr>
          <w:rStyle w:val="VerbatimChar"/>
        </w:rPr>
        <w:t xml:space="preserve">27</w:t>
      </w:r>
      <w:r>
        <w:t xml:space="preserve">・</w:t>
      </w:r>
      <w:r>
        <w:rPr>
          <w:rStyle w:val="VerbatimChar"/>
        </w:rPr>
        <w:t xml:space="preserve">28</w:t>
      </w:r>
      <w:r>
        <w:t xml:space="preserve">・</w:t>
      </w:r>
      <w:r>
        <w:rPr>
          <w:rStyle w:val="VerbatimChar"/>
        </w:rPr>
        <w:t xml:space="preserve">29</w:t>
      </w:r>
      <w:r>
        <w:t xml:space="preserve"> </w:t>
      </w:r>
      <w:r>
        <w:t xml:space="preserve">が </w:t>
      </w:r>
      <w:r>
        <w:rPr>
          <w:rFonts w:hint="eastAsia"/>
        </w:rPr>
        <w:t xml:space="preserve">exec）。</w:t>
      </w:r>
      <w:r>
        <w:rPr>
          <w:rStyle w:val="VerbatimChar"/>
        </w:rPr>
        <w:t xml:space="preserve">15</w:t>
      </w:r>
      <w:r>
        <w:t xml:space="preserve">・</w:t>
      </w:r>
      <w:r>
        <w:rPr>
          <w:rStyle w:val="VerbatimChar"/>
        </w:rPr>
        <w:t xml:space="preserve">17</w:t>
      </w:r>
      <w:r>
        <w:t xml:space="preserve">・</w:t>
      </w:r>
      <w:r>
        <w:rPr>
          <w:rStyle w:val="VerbatimChar"/>
        </w:rPr>
        <w:t xml:space="preserve">22</w:t>
      </w:r>
      <w:r>
        <w:t xml:space="preserve"> </w:t>
      </w:r>
      <w:r>
        <w:rPr>
          <w:rFonts w:hint="eastAsia"/>
        </w:rPr>
        <w:t xml:space="preserve">は同じ</w:t>
      </w:r>
      <w:r>
        <w:t xml:space="preserve"> xlsx </w:t>
      </w:r>
      <w:r>
        <w:rPr>
          <w:rFonts w:hint="eastAsia"/>
        </w:rPr>
        <w:t xml:space="preserve">に書くため直列に実行する。</w:t>
      </w:r>
    </w:p>
    <w:p>
      <w:pPr>
        <w:pStyle w:val="BodyText"/>
      </w:pPr>
      <w:r>
        <w:rPr>
          <w:rStyle w:val="VerbatimChar"/>
        </w:rPr>
        <w:t xml:space="preserve">32_negative_price.py</w:t>
      </w:r>
      <w:r>
        <w:t xml:space="preserve"> </w:t>
      </w:r>
      <w:r>
        <w:t xml:space="preserve">| </w:t>
      </w:r>
      <w:r>
        <w:rPr>
          <w:rFonts w:hint="eastAsia"/>
        </w:rPr>
        <w:t xml:space="preserve">下限価格（床）シナリオ:</w:t>
      </w:r>
      <w:r>
        <w:t xml:space="preserve"> </w:t>
      </w:r>
      <w:r>
        <w:rPr>
          <w:rFonts w:hint="eastAsia"/>
        </w:rPr>
        <w:t xml:space="preserve">負価格の導入が蓄電池の裁定価値・均衡容量・再エネ収入に与える影響</w:t>
      </w:r>
      <w:r>
        <w:t xml:space="preserve"> |</w:t>
      </w:r>
    </w:p>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游明朝"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138" Target="media/rId138.png" /><Relationship Type="http://schemas.openxmlformats.org/officeDocument/2006/relationships/image" Id="rId121" Target="media/rId121.png" /><Relationship Type="http://schemas.openxmlformats.org/officeDocument/2006/relationships/image" Id="rId80" Target="media/rId80.png" /><Relationship Type="http://schemas.openxmlformats.org/officeDocument/2006/relationships/image" Id="rId109" Target="media/rId109.png" /><Relationship Type="http://schemas.openxmlformats.org/officeDocument/2006/relationships/image" Id="rId145" Target="media/rId145.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87" Target="media/rId87.png" /><Relationship Type="http://schemas.openxmlformats.org/officeDocument/2006/relationships/image" Id="rId76" Target="media/rId76.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2026-09-30T08:12:33Z</dcterms:created>
  <dcterms:modified xsi:type="dcterms:W3CDTF">2026-09-30T08:12:33Z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目次</vt:lpwstr>
  </property>
</Properties>
</file>