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2B3D4F"/>
          <w:sz w:val="44"/>
        </w:rPr>
        <w:t>DIGITAL FORENSICS &amp; INCIDENT RESPONSE</w:t>
      </w:r>
    </w:p>
    <w:p>
      <w:pPr>
        <w:spacing w:after="480"/>
        <w:jc w:val="center"/>
      </w:pPr>
      <w:r>
        <w:rPr>
          <w:rFonts w:ascii="Arial" w:hAnsi="Arial"/>
          <w:i/>
          <w:color w:val="666666"/>
          <w:sz w:val="24"/>
        </w:rPr>
        <w:t>DFIR Fundamentals Study Guide &amp; Structured Notes</w:t>
      </w:r>
    </w:p>
    <w:p>
      <w:pPr>
        <w:spacing w:after="360"/>
        <w:jc w:val="center"/>
      </w:pPr>
      <w:r>
        <w:rPr>
          <w:color w:val="DC6432"/>
        </w:rPr>
        <w:t>━━━━━━━━━━━━━━━━━━━━━━━━━━━━━━━━━━━━━━━━━━━━━━━━━━</w:t>
      </w:r>
    </w:p>
    <w:p>
      <w:pPr>
        <w:keepNext/>
        <w:spacing w:before="360" w:after="120"/>
      </w:pPr>
      <w:r>
        <w:rPr>
          <w:rFonts w:ascii="Arial" w:hAnsi="Arial"/>
          <w:b/>
          <w:color w:val="2B3D4F"/>
          <w:sz w:val="36"/>
        </w:rPr>
        <w:t>1. Introduction to DFIR</w:t>
      </w:r>
    </w:p>
    <w:p>
      <w:r>
        <w:t>Digital Forensics and Incident Response (DFIR) is a specialized field within cybersecurity that focuses on identifying, investigating, and mitigating cyber threats and breaches. By combining two distinct engineering and analytical branches, DFIR ensures that corporate environments can quickly recover from an active security attack while simultaneously preserving data integrity for legal viability.</w:t>
      </w:r>
    </w:p>
    <w:p>
      <w:pPr>
        <w:ind w:left="360"/>
      </w:pPr>
      <w:r>
        <w:rPr>
          <w:b/>
        </w:rPr>
        <w:t xml:space="preserve">•  Digital Forensics: </w:t>
      </w:r>
      <w:r>
        <w:t>The rigorous scientific discipline centered on the identification, preservation, collection, and presentation of digital evidence in a legally defensible format.</w:t>
      </w:r>
    </w:p>
    <w:p>
      <w:pPr>
        <w:ind w:left="360"/>
      </w:pPr>
      <w:r>
        <w:rPr>
          <w:b/>
        </w:rPr>
        <w:t xml:space="preserve">•  Incident Response: </w:t>
      </w:r>
      <w:r>
        <w:t>The structured, tactical methodology focused on actively detecting, containing, mitigating, and remediating unauthorized live security incidents to avoid extensive operational or financial damages.</w:t>
      </w:r>
    </w:p>
    <w:tbl>
      <w:tblPr>
        <w:tblW w:type="auto" w:w="0"/>
        <w:jc w:val="center"/>
        <w:tblLayout w:type="fixed"/>
        <w:tblLook w:firstColumn="1" w:firstRow="1" w:lastColumn="0" w:lastRow="0" w:noHBand="0" w:noVBand="1" w:val="04A0"/>
      </w:tblPr>
      <w:tblGrid>
        <w:gridCol w:w="9360"/>
      </w:tblGrid>
      <w:tr>
        <w:tc>
          <w:tcPr>
            <w:tcW w:type="dxa" w:w="9749"/>
            <w:shd w:val="clear" w:color="auto" w:fill="FDF0EA"/>
          </w:tcPr>
          <w:p>
            <w:pPr>
              <w:spacing w:before="160" w:after="160"/>
              <w:ind w:left="216" w:right="216"/>
            </w:pPr>
            <w:r>
              <w:rPr>
                <w:b/>
                <w:color w:val="DC6432"/>
              </w:rPr>
              <w:t xml:space="preserve">⚠️ Key Forensic Goal: </w:t>
            </w:r>
            <w:r>
              <w:t>Digital evidence must remain completely authentic, pristine, and verifiable throughout the investigation timeline to maintain legal admissibility in court or internal corporate hearings.</w:t>
            </w:r>
          </w:p>
        </w:tc>
      </w:tr>
    </w:tbl>
    <w:p>
      <w:pPr>
        <w:keepNext/>
        <w:spacing w:before="360" w:after="120"/>
      </w:pPr>
      <w:r>
        <w:rPr>
          <w:rFonts w:ascii="Arial" w:hAnsi="Arial"/>
          <w:b/>
          <w:color w:val="2B3D4F"/>
          <w:sz w:val="36"/>
        </w:rPr>
        <w:t>2. Forensic Investigation Flow</w:t>
      </w:r>
    </w:p>
    <w:p>
      <w:r>
        <w:t>Every valid forensic investigation follows an established, repeatable process. Adherence to this pipeline ensures that your findings can withstand aggressive third-party technical or legal scrutiny.</w:t>
      </w:r>
    </w:p>
    <w:p>
      <w:pPr>
        <w:spacing w:after="80"/>
        <w:ind w:left="360"/>
      </w:pPr>
      <w:r>
        <w:rPr>
          <w:b/>
          <w:color w:val="2B3D4F"/>
        </w:rPr>
        <w:t xml:space="preserve">▪  1. Identification: </w:t>
      </w:r>
      <w:r>
        <w:t>Pinpointing the precise assets, host systems, cloud tenants, and active data pipelines affected by the threat actor.</w:t>
      </w:r>
    </w:p>
    <w:p>
      <w:pPr>
        <w:spacing w:after="80"/>
        <w:ind w:left="360"/>
      </w:pPr>
      <w:r>
        <w:rPr>
          <w:b/>
          <w:color w:val="2B3D4F"/>
        </w:rPr>
        <w:t xml:space="preserve">▪  2. Preservation: </w:t>
      </w:r>
      <w:r>
        <w:t>Securing the perimeter around digital assets, sealing environmental configurations, and isolating active workloads from modification.</w:t>
      </w:r>
    </w:p>
    <w:p>
      <w:pPr>
        <w:spacing w:after="80"/>
        <w:ind w:left="360"/>
      </w:pPr>
      <w:r>
        <w:rPr>
          <w:b/>
          <w:color w:val="2B3D4F"/>
        </w:rPr>
        <w:t xml:space="preserve">▪  3. Acquisition: </w:t>
      </w:r>
      <w:r>
        <w:t>Extracting or cloning relevant logs, drive contents, and memory captures safely using sound forensic procedures.</w:t>
      </w:r>
    </w:p>
    <w:p>
      <w:pPr>
        <w:spacing w:after="80"/>
        <w:ind w:left="360"/>
      </w:pPr>
      <w:r>
        <w:rPr>
          <w:b/>
          <w:color w:val="2B3D4F"/>
        </w:rPr>
        <w:t xml:space="preserve">▪  4. Analysis: </w:t>
      </w:r>
      <w:r>
        <w:t>Deep-dive inspection and reverse-engineering of artifacts to construct timestamps, attack vectors, and lateral movement paths.</w:t>
      </w:r>
    </w:p>
    <w:p>
      <w:pPr>
        <w:spacing w:after="80"/>
        <w:ind w:left="360"/>
      </w:pPr>
      <w:r>
        <w:rPr>
          <w:b/>
          <w:color w:val="2B3D4F"/>
        </w:rPr>
        <w:t xml:space="preserve">▪  5. Reporting: </w:t>
      </w:r>
      <w:r>
        <w:t>Compiling clear, comprehensive, non-repudiable documentation translating highly technical forensics into business and legal insights.</w:t>
      </w:r>
    </w:p>
    <w:p>
      <w:pPr>
        <w:keepNext/>
        <w:spacing w:before="360" w:after="120"/>
      </w:pPr>
      <w:r>
        <w:rPr>
          <w:rFonts w:ascii="Arial" w:hAnsi="Arial"/>
          <w:b/>
          <w:color w:val="2B3D4F"/>
          <w:sz w:val="36"/>
        </w:rPr>
        <w:t>3. Core Evidence Handling Rules</w:t>
      </w:r>
    </w:p>
    <w:p>
      <w:r>
        <w:t>To protect digital artifacts from being discredited or ruled inadmissible, security teams must deploy defensive evidence handling mechanisms:</w:t>
      </w:r>
    </w:p>
    <w:p>
      <w:pPr>
        <w:spacing w:after="80"/>
        <w:ind w:left="360"/>
      </w:pPr>
      <w:r>
        <w:rPr>
          <w:b/>
        </w:rPr>
        <w:t xml:space="preserve">•  Never Alter the Original Source: </w:t>
      </w:r>
      <w:r>
        <w:t>No live response activity or investigative command should write directly to the target system media if it is meant to stand trial.</w:t>
      </w:r>
    </w:p>
    <w:p>
      <w:pPr>
        <w:spacing w:after="80"/>
        <w:ind w:left="360"/>
      </w:pPr>
      <w:r>
        <w:rPr>
          <w:b/>
        </w:rPr>
        <w:t xml:space="preserve">•  Work on Clones and Forensic Images Only: </w:t>
      </w:r>
      <w:r>
        <w:t>Produce explicit bit-stream images of logical or physical drives. Store the original media in a secure vault, and only execute active analysis pipelines on verified copies.</w:t>
      </w:r>
    </w:p>
    <w:p>
      <w:pPr>
        <w:spacing w:after="80"/>
        <w:ind w:left="360"/>
      </w:pPr>
      <w:r>
        <w:rPr>
          <w:b/>
        </w:rPr>
        <w:t xml:space="preserve">•  Cryptographic Hash Verification: </w:t>
      </w:r>
      <w:r>
        <w:t>Generate cryptographic integrity fingerprints (MD5, SHA-256) at the exact millisecond of acquisition. Re-calculate hashes regularly to mathematically prove that evidence has remained untampered.</w:t>
      </w:r>
    </w:p>
    <w:p>
      <w:pPr>
        <w:spacing w:after="80"/>
        <w:ind w:left="360"/>
      </w:pPr>
      <w:r>
        <w:rPr>
          <w:b/>
        </w:rPr>
        <w:t xml:space="preserve">•  Minimize Live System Interaction: </w:t>
      </w:r>
      <w:r>
        <w:t>Avoid running native administrative scripts on infected live target endpoints, as runtime activities alter memory registries and wipe volatile log artifacts.</w:t>
      </w:r>
    </w:p>
    <w:p>
      <w:pPr>
        <w:spacing w:after="80"/>
        <w:ind w:left="360"/>
      </w:pPr>
      <w:r>
        <w:rPr>
          <w:b/>
        </w:rPr>
        <w:t xml:space="preserve">•  Deploy Hardware/Software Write-Blockers: </w:t>
      </w:r>
      <w:r>
        <w:t>Physically or logically isolate storage buses to prevent data modification during the extraction phase.</w:t>
      </w:r>
    </w:p>
    <w:p>
      <w:pPr>
        <w:spacing w:after="80"/>
        <w:ind w:left="360"/>
      </w:pPr>
      <w:r>
        <w:rPr>
          <w:b/>
        </w:rPr>
        <w:t xml:space="preserve">•  Comprehensive Scene Documentation: </w:t>
      </w:r>
      <w:r>
        <w:t>Photograph physical interfaces, cables, and configurations immediately prior to making adjustments or pulling storage volumes.</w:t>
      </w:r>
    </w:p>
    <w:p>
      <w:pPr>
        <w:spacing w:after="80"/>
        <w:ind w:left="360"/>
      </w:pPr>
      <w:r>
        <w:rPr>
          <w:b/>
        </w:rPr>
        <w:t xml:space="preserve">•  Immediate Network Boundary Isolation: </w:t>
      </w:r>
      <w:r>
        <w:t>Disconnect target endpoints from corporate networks and cellular signals to halt automated malware propagation and remote wipe instructions.</w:t>
      </w:r>
    </w:p>
    <w:p>
      <w:pPr>
        <w:spacing w:after="80"/>
        <w:ind w:left="360"/>
      </w:pPr>
      <w:r>
        <w:rPr>
          <w:b/>
        </w:rPr>
        <w:t xml:space="preserve">•  Secure, Managed Climate-Controlled Storage: </w:t>
      </w:r>
      <w:r>
        <w:t>Lock physical media in tamper-evident, static-shielded, logged vaults to prevent physical corruption or unrecorded access.</w:t>
      </w:r>
    </w:p>
    <w:p>
      <w:pPr>
        <w:keepNext/>
        <w:spacing w:before="360" w:after="120"/>
      </w:pPr>
      <w:r>
        <w:rPr>
          <w:rFonts w:ascii="Arial" w:hAnsi="Arial"/>
          <w:b/>
          <w:color w:val="2B3D4F"/>
          <w:sz w:val="36"/>
        </w:rPr>
        <w:t>4. Maintaining Chain of Custody</w:t>
      </w:r>
    </w:p>
    <w:p>
      <w:r>
        <w:t>The Chain of Custody acts as an ironclad, chronologically documented record tracking every dynamic change, transfer, and custody phase an item undergoes.</w:t>
      </w:r>
    </w:p>
    <w:p>
      <w:pPr>
        <w:spacing w:after="60"/>
        <w:ind w:left="576"/>
      </w:pPr>
      <w:r>
        <w:t>1. Collector Identity (Who exactly secured it)</w:t>
      </w:r>
    </w:p>
    <w:p>
      <w:pPr>
        <w:spacing w:after="60"/>
        <w:ind w:left="576"/>
      </w:pPr>
      <w:r>
        <w:t>2. Comprehensive Evidence Descriptions (Serial tags, model names)</w:t>
      </w:r>
    </w:p>
    <w:p>
      <w:pPr>
        <w:spacing w:after="60"/>
        <w:ind w:left="576"/>
      </w:pPr>
      <w:r>
        <w:t>3. Original &amp; Current Cryptographic Fingerprints</w:t>
      </w:r>
    </w:p>
    <w:p>
      <w:pPr>
        <w:spacing w:after="60"/>
        <w:ind w:left="576"/>
      </w:pPr>
      <w:r>
        <w:t>4. Complete Timeline of Transfers (Who, when, why)</w:t>
      </w:r>
    </w:p>
    <w:p>
      <w:pPr>
        <w:spacing w:after="60"/>
        <w:ind w:left="576"/>
      </w:pPr>
      <w:r>
        <w:t>5. Strict Storage Logs &amp; Conditions</w:t>
      </w:r>
    </w:p>
    <w:p>
      <w:pPr>
        <w:spacing w:after="60"/>
        <w:ind w:left="576"/>
      </w:pPr>
      <w:r>
        <w:t>6. Signed and Witnessed Court Presentation Reports</w:t>
      </w:r>
    </w:p>
    <w:tbl>
      <w:tblPr>
        <w:tblW w:type="auto" w:w="0"/>
        <w:jc w:val="center"/>
        <w:tblLayout w:type="fixed"/>
        <w:tblLook w:firstColumn="1" w:firstRow="1" w:lastColumn="0" w:lastRow="0" w:noHBand="0" w:noVBand="1" w:val="04A0"/>
      </w:tblPr>
      <w:tblGrid>
        <w:gridCol w:w="9360"/>
      </w:tblGrid>
      <w:tr>
        <w:tc>
          <w:tcPr>
            <w:tcW w:type="dxa" w:w="9749"/>
            <w:shd w:val="clear" w:color="auto" w:fill="FDF2F2"/>
          </w:tcPr>
          <w:p>
            <w:pPr>
              <w:spacing w:before="160" w:after="160"/>
              <w:ind w:left="216" w:right="216"/>
            </w:pPr>
            <w:r>
              <w:rPr>
                <w:b/>
                <w:color w:val="C81E1E"/>
              </w:rPr>
              <w:t xml:space="preserve">🚨 CRITICAL WARNING: </w:t>
            </w:r>
            <w:r>
              <w:t>If the Chain of Custody record is broken, compromised, or missing key signatures, the evidence is immediately vulnerable to being thrown out of legal or regulatory proceedings, regardless of its technical strength.</w:t>
            </w:r>
          </w:p>
        </w:tc>
      </w:tr>
    </w:tbl>
    <w:p>
      <w:pPr>
        <w:keepNext/>
        <w:spacing w:before="360" w:after="120"/>
      </w:pPr>
      <w:r>
        <w:rPr>
          <w:rFonts w:ascii="Arial" w:hAnsi="Arial"/>
          <w:b/>
          <w:color w:val="2B3D4F"/>
          <w:sz w:val="36"/>
        </w:rPr>
        <w:t>5. Order of Volatility &amp; Evidence Management</w:t>
      </w:r>
    </w:p>
    <w:p>
      <w:r>
        <w:t>Digital evidence is highly perishable. Incident responders must follow the standard Order of Volatility, ensuring that highly fragile artifacts are captured before they evaporate from running infrastructure.</w:t>
      </w:r>
    </w:p>
    <w:tbl>
      <w:tblPr>
        <w:tblStyle w:val="TableGrid"/>
        <w:tblW w:type="auto" w:w="0"/>
        <w:jc w:val="center"/>
        <w:tblLook w:firstColumn="1" w:firstRow="1" w:lastColumn="0" w:lastRow="0" w:noHBand="0" w:noVBand="1" w:val="04A0"/>
      </w:tblPr>
      <w:tblGrid>
        <w:gridCol w:w="3250"/>
        <w:gridCol w:w="3250"/>
        <w:gridCol w:w="3250"/>
      </w:tblGrid>
      <w:tr>
        <w:tc>
          <w:tcPr>
            <w:tcW w:type="dxa" w:w="1728"/>
            <w:shd w:val="clear" w:color="auto" w:fill="2B3D4F"/>
          </w:tcPr>
          <w:p>
            <w:pPr>
              <w:jc w:val="center"/>
            </w:pPr>
            <w:r>
              <w:rPr>
                <w:b/>
                <w:color w:val="FFFFFF"/>
              </w:rPr>
              <w:t>Priority Level</w:t>
            </w:r>
          </w:p>
        </w:tc>
        <w:tc>
          <w:tcPr>
            <w:tcW w:type="dxa" w:w="2592"/>
            <w:shd w:val="clear" w:color="auto" w:fill="2B3D4F"/>
          </w:tcPr>
          <w:p>
            <w:pPr>
              <w:jc w:val="center"/>
            </w:pPr>
            <w:r>
              <w:rPr>
                <w:b/>
                <w:color w:val="FFFFFF"/>
              </w:rPr>
              <w:t>Evidence Layer</w:t>
            </w:r>
          </w:p>
        </w:tc>
        <w:tc>
          <w:tcPr>
            <w:tcW w:type="dxa" w:w="5040"/>
            <w:shd w:val="clear" w:color="auto" w:fill="2B3D4F"/>
          </w:tcPr>
          <w:p>
            <w:pPr>
              <w:jc w:val="center"/>
            </w:pPr>
            <w:r>
              <w:rPr>
                <w:b/>
                <w:color w:val="FFFFFF"/>
              </w:rPr>
              <w:t>Description &amp; Operational Examples</w:t>
            </w:r>
          </w:p>
        </w:tc>
      </w:tr>
      <w:tr>
        <w:tc>
          <w:tcPr>
            <w:tcW w:type="dxa" w:w="1728"/>
          </w:tcPr>
          <w:p>
            <w:pPr>
              <w:spacing w:before="80" w:after="80"/>
              <w:jc w:val="center"/>
            </w:pPr>
            <w:r>
              <w:rPr>
                <w:b/>
              </w:rPr>
              <w:t>5 (Highest Volatility)</w:t>
            </w:r>
          </w:p>
        </w:tc>
        <w:tc>
          <w:tcPr>
            <w:tcW w:type="dxa" w:w="2592"/>
          </w:tcPr>
          <w:p>
            <w:pPr>
              <w:spacing w:before="80" w:after="80"/>
            </w:pPr>
            <w:r>
              <w:t>CPU Cache &amp; Registers</w:t>
            </w:r>
          </w:p>
        </w:tc>
        <w:tc>
          <w:tcPr>
            <w:tcW w:type="dxa" w:w="5040"/>
          </w:tcPr>
          <w:p>
            <w:pPr>
              <w:spacing w:before="80" w:after="80"/>
            </w:pPr>
            <w:r>
              <w:t>Nanosecond-level data. Disappears immediately as active calculations cycle.</w:t>
            </w:r>
          </w:p>
        </w:tc>
      </w:tr>
      <w:tr>
        <w:tc>
          <w:tcPr>
            <w:tcW w:type="dxa" w:w="1728"/>
            <w:shd w:val="clear" w:color="auto" w:fill="F9FAFB"/>
          </w:tcPr>
          <w:p>
            <w:pPr>
              <w:spacing w:before="80" w:after="80"/>
              <w:jc w:val="center"/>
            </w:pPr>
            <w:r>
              <w:rPr>
                <w:b/>
              </w:rPr>
              <w:t>4</w:t>
            </w:r>
          </w:p>
        </w:tc>
        <w:tc>
          <w:tcPr>
            <w:tcW w:type="dxa" w:w="2592"/>
            <w:shd w:val="clear" w:color="auto" w:fill="F9FAFB"/>
          </w:tcPr>
          <w:p>
            <w:pPr>
              <w:spacing w:before="80" w:after="80"/>
            </w:pPr>
            <w:r>
              <w:t>RAM &amp; Live Systems</w:t>
            </w:r>
          </w:p>
        </w:tc>
        <w:tc>
          <w:tcPr>
            <w:tcW w:type="dxa" w:w="5040"/>
            <w:shd w:val="clear" w:color="auto" w:fill="F9FAFB"/>
          </w:tcPr>
          <w:p>
            <w:pPr>
              <w:spacing w:before="80" w:after="80"/>
            </w:pPr>
            <w:r>
              <w:t>Volatile working memory. Contains running processes, unencrypted keys, active logins, and decrypted malware buffers. Destroyed instantly upon loss of power.</w:t>
            </w:r>
          </w:p>
        </w:tc>
      </w:tr>
      <w:tr>
        <w:tc>
          <w:tcPr>
            <w:tcW w:type="dxa" w:w="1728"/>
          </w:tcPr>
          <w:p>
            <w:pPr>
              <w:spacing w:before="80" w:after="80"/>
              <w:jc w:val="center"/>
            </w:pPr>
            <w:r>
              <w:rPr>
                <w:b/>
              </w:rPr>
              <w:t>3</w:t>
            </w:r>
          </w:p>
        </w:tc>
        <w:tc>
          <w:tcPr>
            <w:tcW w:type="dxa" w:w="2592"/>
          </w:tcPr>
          <w:p>
            <w:pPr>
              <w:spacing w:before="80" w:after="80"/>
            </w:pPr>
            <w:r>
              <w:t>Network State</w:t>
            </w:r>
          </w:p>
        </w:tc>
        <w:tc>
          <w:tcPr>
            <w:tcW w:type="dxa" w:w="5040"/>
          </w:tcPr>
          <w:p>
            <w:pPr>
              <w:spacing w:before="80" w:after="80"/>
            </w:pPr>
            <w:r>
              <w:t>Active network connections, live firewall sessions, dynamic ARP entries, and open sockets routing telemetry.</w:t>
            </w:r>
          </w:p>
        </w:tc>
      </w:tr>
      <w:tr>
        <w:tc>
          <w:tcPr>
            <w:tcW w:type="dxa" w:w="1728"/>
            <w:shd w:val="clear" w:color="auto" w:fill="F9FAFB"/>
          </w:tcPr>
          <w:p>
            <w:pPr>
              <w:spacing w:before="80" w:after="80"/>
              <w:jc w:val="center"/>
            </w:pPr>
            <w:r>
              <w:rPr>
                <w:b/>
              </w:rPr>
              <w:t>2</w:t>
            </w:r>
          </w:p>
        </w:tc>
        <w:tc>
          <w:tcPr>
            <w:tcW w:type="dxa" w:w="2592"/>
            <w:shd w:val="clear" w:color="auto" w:fill="F9FAFB"/>
          </w:tcPr>
          <w:p>
            <w:pPr>
              <w:spacing w:before="80" w:after="80"/>
            </w:pPr>
            <w:r>
              <w:t>Disk &amp; Logs</w:t>
            </w:r>
          </w:p>
        </w:tc>
        <w:tc>
          <w:tcPr>
            <w:tcW w:type="dxa" w:w="5040"/>
            <w:shd w:val="clear" w:color="auto" w:fill="F9FAFB"/>
          </w:tcPr>
          <w:p>
            <w:pPr>
              <w:spacing w:before="80" w:after="80"/>
            </w:pPr>
            <w:r>
              <w:t>Persistent hard drives, SSD cells, security event logs, configurations, and registry hives. Semi-permanent, but can be overwritten by normal operational activities.</w:t>
            </w:r>
          </w:p>
        </w:tc>
      </w:tr>
      <w:tr>
        <w:tc>
          <w:tcPr>
            <w:tcW w:type="dxa" w:w="1728"/>
          </w:tcPr>
          <w:p>
            <w:pPr>
              <w:spacing w:before="80" w:after="80"/>
              <w:jc w:val="center"/>
            </w:pPr>
            <w:r>
              <w:rPr>
                <w:b/>
              </w:rPr>
              <w:t>1 (Lowest Volatility)</w:t>
            </w:r>
          </w:p>
        </w:tc>
        <w:tc>
          <w:tcPr>
            <w:tcW w:type="dxa" w:w="2592"/>
          </w:tcPr>
          <w:p>
            <w:pPr>
              <w:spacing w:before="80" w:after="80"/>
            </w:pPr>
            <w:r>
              <w:t>Backups &amp; Archives</w:t>
            </w:r>
          </w:p>
        </w:tc>
        <w:tc>
          <w:tcPr>
            <w:tcW w:type="dxa" w:w="5040"/>
          </w:tcPr>
          <w:p>
            <w:pPr>
              <w:spacing w:before="80" w:after="80"/>
            </w:pPr>
            <w:r>
              <w:t>Cold storage, immutable cloud backup images, and long-term offline snapshots. Safe and static unless target-wiping malicious code strikes.</w:t>
            </w:r>
          </w:p>
        </w:tc>
      </w:tr>
    </w:tbl>
    <w:p>
      <w:pPr>
        <w:keepNext/>
        <w:spacing w:before="280" w:after="80"/>
      </w:pPr>
      <w:r>
        <w:rPr>
          <w:rFonts w:ascii="Arial" w:hAnsi="Arial"/>
          <w:b/>
          <w:color w:val="DC6432"/>
          <w:sz w:val="28"/>
        </w:rPr>
        <w:t>Volatile vs. Non-Volatile Artifact Summaries</w:t>
      </w:r>
    </w:p>
    <w:p>
      <w:pPr>
        <w:ind w:left="360"/>
      </w:pPr>
      <w:r>
        <w:rPr>
          <w:b/>
        </w:rPr>
        <w:t xml:space="preserve">•  Volatile Artifacts: </w:t>
      </w:r>
      <w:r>
        <w:t>Data that exists exclusively while system electricity is flowing. Responders must dump these objects live. Examples include live execution processes, network sockets, ARP tables, and memory dumps.</w:t>
      </w:r>
    </w:p>
    <w:p>
      <w:pPr>
        <w:ind w:left="360"/>
      </w:pPr>
      <w:r>
        <w:rPr>
          <w:b/>
        </w:rPr>
        <w:t xml:space="preserve">•  Non-Volatile Artifacts: </w:t>
      </w:r>
      <w:r>
        <w:t>Information that remains preserved safely when power is cut. Examples include configuration files, operating system logs, registry hives, and non-volatile sector storage drives.</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