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8"/>
        </w:rPr>
        <w:t>Security Operations Center (SOC)</w:t>
      </w:r>
    </w:p>
    <w:p>
      <w:pPr>
        <w:spacing w:after="480"/>
      </w:pPr>
      <w:r>
        <w:rPr>
          <w:rFonts w:ascii="Calibri" w:hAnsi="Calibri"/>
          <w:i/>
          <w:color w:val="4682B4"/>
          <w:sz w:val="24"/>
        </w:rPr>
        <w:t>Structured Study Notes • Reference Source: SOC.pdf</w:t>
      </w:r>
    </w:p>
    <w:p>
      <w:pPr>
        <w:keepNext/>
        <w:spacing w:before="360" w:after="120"/>
      </w:pPr>
      <w:r>
        <w:rPr>
          <w:rFonts w:ascii="Calibri" w:hAnsi="Calibri"/>
          <w:b/>
          <w:color w:val="1B365D"/>
          <w:sz w:val="32"/>
        </w:rPr>
        <w:t>1. Introduction to SOC &amp; Defense in Depth</w:t>
      </w:r>
    </w:p>
    <w:p>
      <w:pPr>
        <w:spacing w:after="160" w:line="276" w:lineRule="auto"/>
      </w:pPr>
      <w:r>
        <w:rPr>
          <w:b/>
        </w:rPr>
        <w:t xml:space="preserve">What is a SOC? </w:t>
      </w:r>
      <w:r>
        <w:t>A Security Operations Center (SOC) is a centralized organizational function that leverages People, Process, and Technology to continuously monitor, detect, analyze, and respond to cybersecurity incidents while proactively improving an organization's overall security posture.</w:t>
      </w:r>
    </w:p>
    <w:p>
      <w:pPr>
        <w:spacing w:before="160" w:after="160"/>
      </w:pPr>
      <w:r>
        <w:rPr>
          <w:b/>
        </w:rPr>
        <w:t xml:space="preserve">Defense in Depth Architecture: </w:t>
      </w:r>
      <w:r>
        <w:t>A layered defensive strategy ensuring that if one boundary fails, secondary layers exist to stop or slow down the threat. The logical framework flows sequentially as follows:</w:t>
      </w:r>
    </w:p>
    <w:p>
      <w:pPr>
        <w:spacing w:before="120" w:after="200"/>
        <w:jc w:val="center"/>
      </w:pPr>
      <w:r>
        <w:rPr>
          <w:b/>
          <w:color w:val="1B365D"/>
        </w:rPr>
        <w:t>Perimeter (Firewall)</w:t>
      </w:r>
      <w:r>
        <w:rPr>
          <w:color w:val="4682B4"/>
        </w:rPr>
        <w:t xml:space="preserve">  ➔  </w:t>
      </w:r>
      <w:r>
        <w:rPr>
          <w:b/>
          <w:color w:val="1B365D"/>
        </w:rPr>
        <w:t>Network (IDS/IPS)</w:t>
      </w:r>
      <w:r>
        <w:rPr>
          <w:color w:val="4682B4"/>
        </w:rPr>
        <w:t xml:space="preserve">  ➔  </w:t>
      </w:r>
      <w:r>
        <w:rPr>
          <w:b/>
          <w:color w:val="1B365D"/>
        </w:rPr>
        <w:t>Endpoint (EDR)</w:t>
      </w:r>
      <w:r>
        <w:rPr>
          <w:color w:val="4682B4"/>
        </w:rPr>
        <w:t xml:space="preserve">  ➔  </w:t>
      </w:r>
      <w:r>
        <w:rPr>
          <w:b/>
          <w:color w:val="1B365D"/>
        </w:rPr>
        <w:t>Application (WAF)</w:t>
      </w:r>
      <w:r>
        <w:rPr>
          <w:color w:val="4682B4"/>
        </w:rPr>
        <w:t xml:space="preserve">  ➔  </w:t>
      </w:r>
      <w:r>
        <w:rPr>
          <w:b/>
          <w:color w:val="1B365D"/>
        </w:rPr>
        <w:t>Data (Encryption)</w:t>
      </w:r>
      <w:r>
        <w:rPr>
          <w:color w:val="4682B4"/>
        </w:rPr>
        <w:t xml:space="preserve">  ➔  </w:t>
      </w:r>
      <w:r>
        <w:rPr>
          <w:b/>
          <w:color w:val="1B365D"/>
        </w:rPr>
        <w:t>User</w:t>
      </w:r>
    </w:p>
    <w:p>
      <w:pPr>
        <w:pStyle w:val="ListBullet"/>
        <w:spacing w:after="60" w:line="276" w:lineRule="auto"/>
      </w:pPr>
      <w:r>
        <w:rPr>
          <w:b/>
          <w:color w:val="333333"/>
        </w:rPr>
        <w:t xml:space="preserve">Perimeter: </w:t>
      </w:r>
      <w:r>
        <w:rPr>
          <w:color w:val="333333"/>
        </w:rPr>
        <w:t>Firewalls regulating initial ingress and egress traffic boundaries.</w:t>
      </w:r>
    </w:p>
    <w:p>
      <w:pPr>
        <w:pStyle w:val="ListBullet"/>
        <w:spacing w:after="60" w:line="276" w:lineRule="auto"/>
      </w:pPr>
      <w:r>
        <w:rPr>
          <w:b/>
          <w:color w:val="333333"/>
        </w:rPr>
        <w:t xml:space="preserve">Network: </w:t>
      </w:r>
      <w:r>
        <w:rPr>
          <w:color w:val="333333"/>
        </w:rPr>
        <w:t>Intrusion Detection Systems (IDS) and Intrusion Prevention Systems (IPS) identifying and blocking network packet anomalies.</w:t>
      </w:r>
    </w:p>
    <w:p>
      <w:pPr>
        <w:pStyle w:val="ListBullet"/>
        <w:spacing w:after="60" w:line="276" w:lineRule="auto"/>
      </w:pPr>
      <w:r>
        <w:rPr>
          <w:b/>
          <w:color w:val="333333"/>
        </w:rPr>
        <w:t xml:space="preserve">Endpoint: </w:t>
      </w:r>
      <w:r>
        <w:rPr>
          <w:color w:val="333333"/>
        </w:rPr>
        <w:t>Endpoint Detection and Response (EDR) active on laptops, servers, and individual workstations.</w:t>
      </w:r>
    </w:p>
    <w:p>
      <w:pPr>
        <w:pStyle w:val="ListBullet"/>
        <w:spacing w:after="60" w:line="276" w:lineRule="auto"/>
      </w:pPr>
      <w:r>
        <w:rPr>
          <w:b/>
          <w:color w:val="333333"/>
        </w:rPr>
        <w:t xml:space="preserve">Application: </w:t>
      </w:r>
      <w:r>
        <w:rPr>
          <w:color w:val="333333"/>
        </w:rPr>
        <w:t>Web Application Firewalls (WAF) filtering malicious exploits targeting exposed web layers.</w:t>
      </w:r>
    </w:p>
    <w:p>
      <w:pPr>
        <w:pStyle w:val="ListBullet"/>
        <w:spacing w:after="60" w:line="276" w:lineRule="auto"/>
      </w:pPr>
      <w:r>
        <w:rPr>
          <w:b/>
          <w:color w:val="333333"/>
        </w:rPr>
        <w:t xml:space="preserve">Data &amp; User: </w:t>
      </w:r>
      <w:r>
        <w:rPr>
          <w:color w:val="333333"/>
        </w:rPr>
        <w:t>Strong structural encryption mechanisms protecting target data assets before reaching the end user.</w:t>
      </w:r>
    </w:p>
    <w:p>
      <w:pPr>
        <w:keepNext/>
        <w:spacing w:before="360" w:after="120"/>
      </w:pPr>
      <w:r>
        <w:rPr>
          <w:rFonts w:ascii="Calibri" w:hAnsi="Calibri"/>
          <w:b/>
          <w:color w:val="1B365D"/>
          <w:sz w:val="32"/>
        </w:rPr>
        <w:t>2. SOC Human Resources, Tiers &amp; Operational Models</w:t>
      </w:r>
    </w:p>
    <w:p>
      <w:pPr>
        <w:keepNext/>
        <w:spacing w:before="240" w:after="80"/>
      </w:pPr>
      <w:r>
        <w:rPr>
          <w:rFonts w:ascii="Calibri" w:hAnsi="Calibri"/>
          <w:b/>
          <w:color w:val="4682B4"/>
          <w:sz w:val="26"/>
        </w:rPr>
        <w:t>SOC Team Roles &amp; Personnel Tiers</w:t>
      </w:r>
    </w:p>
    <w:p>
      <w:pPr>
        <w:pStyle w:val="ListBullet"/>
        <w:spacing w:after="60" w:line="276" w:lineRule="auto"/>
      </w:pPr>
      <w:r>
        <w:rPr>
          <w:b/>
          <w:color w:val="333333"/>
        </w:rPr>
        <w:t xml:space="preserve">Tier 1 (Triage / Alert Analyst): </w:t>
      </w:r>
      <w:r>
        <w:rPr>
          <w:color w:val="333333"/>
        </w:rPr>
        <w:t>Handles the initial alert intake, initial analytical review, verification, and classification of incoming log events.</w:t>
      </w:r>
    </w:p>
    <w:p>
      <w:pPr>
        <w:pStyle w:val="ListBullet"/>
        <w:spacing w:after="60" w:line="276" w:lineRule="auto"/>
      </w:pPr>
      <w:r>
        <w:rPr>
          <w:b/>
          <w:color w:val="333333"/>
        </w:rPr>
        <w:t xml:space="preserve">Tier 2 (Incident Responder): </w:t>
      </w:r>
      <w:r>
        <w:rPr>
          <w:color w:val="333333"/>
        </w:rPr>
        <w:t>Responsible for deep incident context gathering, containment, remediation, and host recovery actions.</w:t>
      </w:r>
    </w:p>
    <w:p>
      <w:pPr>
        <w:pStyle w:val="ListBullet"/>
        <w:spacing w:after="60" w:line="276" w:lineRule="auto"/>
      </w:pPr>
      <w:r>
        <w:rPr>
          <w:b/>
          <w:color w:val="333333"/>
        </w:rPr>
        <w:t xml:space="preserve">Tier 3 (Threat Hunter &amp; Forensic Specialist): </w:t>
      </w:r>
      <w:r>
        <w:rPr>
          <w:color w:val="333333"/>
        </w:rPr>
        <w:t>Proactively hunts through infrastructure data layers for stealthy adversaries that bypass regular alerting logic.</w:t>
      </w:r>
    </w:p>
    <w:p>
      <w:pPr>
        <w:pStyle w:val="ListBullet"/>
        <w:spacing w:after="60" w:line="276" w:lineRule="auto"/>
      </w:pPr>
      <w:r>
        <w:rPr>
          <w:b/>
          <w:color w:val="333333"/>
        </w:rPr>
        <w:t xml:space="preserve">Detection Engineer: </w:t>
      </w:r>
      <w:r>
        <w:rPr>
          <w:color w:val="333333"/>
        </w:rPr>
        <w:t>Builds, tests, and tunes SIEM rulesets, logging pipelines, and use cases to maximize high-fidelity alerts and minimize false positives.</w:t>
      </w:r>
    </w:p>
    <w:p>
      <w:pPr>
        <w:pStyle w:val="ListBullet"/>
        <w:spacing w:after="60" w:line="276" w:lineRule="auto"/>
      </w:pPr>
      <w:r>
        <w:rPr>
          <w:b/>
          <w:color w:val="333333"/>
        </w:rPr>
        <w:t xml:space="preserve">SOC Manager: </w:t>
      </w:r>
      <w:r>
        <w:rPr>
          <w:color w:val="333333"/>
        </w:rPr>
        <w:t>Oversees the organizational unit, manages performance, and tracks compliance targets.</w:t>
      </w:r>
    </w:p>
    <w:p>
      <w:pPr>
        <w:keepNext/>
        <w:spacing w:before="240" w:after="80"/>
      </w:pPr>
      <w:r>
        <w:rPr>
          <w:rFonts w:ascii="Calibri" w:hAnsi="Calibri"/>
          <w:b/>
          <w:color w:val="4682B4"/>
          <w:sz w:val="26"/>
        </w:rPr>
        <w:t>Functional SOC Deployment Models</w:t>
      </w:r>
    </w:p>
    <w:p>
      <w:pPr>
        <w:pStyle w:val="ListBullet"/>
        <w:spacing w:after="60" w:line="276" w:lineRule="auto"/>
      </w:pPr>
      <w:r>
        <w:rPr>
          <w:b/>
          <w:color w:val="333333"/>
        </w:rPr>
        <w:t xml:space="preserve">In-House SOC: </w:t>
      </w:r>
      <w:r>
        <w:rPr>
          <w:color w:val="333333"/>
        </w:rPr>
        <w:t>Built and staffed fully inside the organization, giving complete internal ownership over data and systems.</w:t>
      </w:r>
    </w:p>
    <w:p>
      <w:pPr>
        <w:pStyle w:val="ListBullet"/>
        <w:spacing w:after="60" w:line="276" w:lineRule="auto"/>
      </w:pPr>
      <w:r>
        <w:rPr>
          <w:b/>
          <w:color w:val="333333"/>
        </w:rPr>
        <w:t xml:space="preserve">MSSP (Managed Security Service Provider): </w:t>
      </w:r>
      <w:r>
        <w:rPr>
          <w:color w:val="333333"/>
        </w:rPr>
        <w:t>Outsourced model where third-party providers manage monitoring and response operations.</w:t>
      </w:r>
    </w:p>
    <w:p>
      <w:pPr>
        <w:pStyle w:val="ListBullet"/>
        <w:spacing w:after="60" w:line="276" w:lineRule="auto"/>
      </w:pPr>
      <w:r>
        <w:rPr>
          <w:b/>
          <w:color w:val="333333"/>
        </w:rPr>
        <w:t xml:space="preserve">Hybrid SOC: </w:t>
      </w:r>
      <w:r>
        <w:rPr>
          <w:color w:val="333333"/>
        </w:rPr>
        <w:t>Blends an outsourced MSSP (often for 24/7/365 baseline monitoring) with an internal In-House SOC for deep institutional containment.</w:t>
      </w:r>
    </w:p>
    <w:p>
      <w:pPr>
        <w:pStyle w:val="ListBullet"/>
        <w:spacing w:after="60" w:line="276" w:lineRule="auto"/>
      </w:pPr>
      <w:r>
        <w:rPr>
          <w:b/>
          <w:color w:val="333333"/>
        </w:rPr>
        <w:t xml:space="preserve">Virtual SOC: </w:t>
      </w:r>
      <w:r>
        <w:rPr>
          <w:color w:val="333333"/>
        </w:rPr>
        <w:t>A cloud-native, decentralized operation where engineers operate and capture data completely remotely.</w:t>
      </w:r>
    </w:p>
    <w:p>
      <w:pPr>
        <w:pStyle w:val="ListBullet"/>
        <w:spacing w:after="60" w:line="276" w:lineRule="auto"/>
      </w:pPr>
      <w:r>
        <w:rPr>
          <w:b/>
          <w:color w:val="333333"/>
        </w:rPr>
        <w:t xml:space="preserve">Fusion SOC: </w:t>
      </w:r>
      <w:r>
        <w:rPr>
          <w:color w:val="333333"/>
        </w:rPr>
        <w:t>A modernized tier combining standard security monitoring with real-time threat intelligence, fraud defense, and engineering teams.</w:t>
      </w:r>
    </w:p>
    <w:p>
      <w:pPr>
        <w:keepNext/>
        <w:spacing w:before="360" w:after="120"/>
      </w:pPr>
      <w:r>
        <w:rPr>
          <w:rFonts w:ascii="Calibri" w:hAnsi="Calibri"/>
          <w:b/>
          <w:color w:val="1B365D"/>
          <w:sz w:val="32"/>
        </w:rPr>
        <w:t>3. Technology Architecture &amp; Log Management</w:t>
      </w:r>
    </w:p>
    <w:p>
      <w:pPr>
        <w:keepNext/>
        <w:spacing w:before="240" w:after="80"/>
      </w:pPr>
      <w:r>
        <w:rPr>
          <w:rFonts w:ascii="Calibri" w:hAnsi="Calibri"/>
          <w:b/>
          <w:color w:val="4682B4"/>
          <w:sz w:val="26"/>
        </w:rPr>
        <w:t>Core Engineering Stack</w:t>
      </w:r>
    </w:p>
    <w:p>
      <w:pPr>
        <w:pStyle w:val="ListBullet"/>
        <w:spacing w:after="60" w:line="276" w:lineRule="auto"/>
      </w:pPr>
      <w:r>
        <w:rPr>
          <w:b/>
          <w:color w:val="333333"/>
        </w:rPr>
        <w:t xml:space="preserve">SIEM (Security Information and Event Management): </w:t>
      </w:r>
      <w:r>
        <w:rPr>
          <w:color w:val="333333"/>
        </w:rPr>
        <w:t>A centralized aggregator that parses, indexes, and normalizes log formats across an enterprise to identify anomalies through correlation rules.</w:t>
      </w:r>
    </w:p>
    <w:p>
      <w:pPr>
        <w:pStyle w:val="ListBullet"/>
        <w:spacing w:after="60" w:line="276" w:lineRule="auto"/>
      </w:pPr>
      <w:r>
        <w:rPr>
          <w:b/>
          <w:color w:val="333333"/>
        </w:rPr>
        <w:t xml:space="preserve">SOAR (Security Orchestration, Automation, and Response): </w:t>
      </w:r>
      <w:r>
        <w:rPr>
          <w:color w:val="333333"/>
        </w:rPr>
        <w:t>Programmatic automation architecture utilizing Playbooks (logic paths) and Runbooks (action scripts) to respond to incidents rapidly without human lag.</w:t>
      </w:r>
    </w:p>
    <w:p>
      <w:pPr>
        <w:pStyle w:val="ListBullet"/>
        <w:spacing w:after="60" w:line="276" w:lineRule="auto"/>
      </w:pPr>
      <w:r>
        <w:rPr>
          <w:b/>
          <w:color w:val="333333"/>
        </w:rPr>
        <w:t xml:space="preserve">XDR (Extended Detection and Response): </w:t>
      </w:r>
      <w:r>
        <w:rPr>
          <w:color w:val="333333"/>
        </w:rPr>
        <w:t>Extends single-endpoint telemetry (EDR) to natively unify network, cloud, identity, and server layers.</w:t>
      </w:r>
    </w:p>
    <w:p>
      <w:pPr>
        <w:pStyle w:val="ListBullet"/>
        <w:spacing w:after="60" w:line="276" w:lineRule="auto"/>
      </w:pPr>
      <w:r>
        <w:rPr>
          <w:b/>
          <w:color w:val="333333"/>
        </w:rPr>
        <w:t xml:space="preserve">TIP (Threat Intelligence Platform): </w:t>
      </w:r>
      <w:r>
        <w:rPr>
          <w:color w:val="333333"/>
        </w:rPr>
        <w:t>Collects and normalizes external, global feeds containing indicators of compromise (IOCs) and indicators of attack (IOAs).</w:t>
      </w:r>
    </w:p>
    <w:p>
      <w:pPr>
        <w:keepNext/>
        <w:spacing w:before="240" w:after="80"/>
      </w:pPr>
      <w:r>
        <w:rPr>
          <w:rFonts w:ascii="Calibri" w:hAnsi="Calibri"/>
          <w:b/>
          <w:color w:val="4682B4"/>
          <w:sz w:val="26"/>
        </w:rPr>
        <w:t>The Log Management Lifecycle</w:t>
      </w:r>
    </w:p>
    <w:p>
      <w:pPr>
        <w:spacing w:before="80" w:after="200"/>
        <w:jc w:val="center"/>
      </w:pPr>
      <w:r>
        <w:rPr>
          <w:b/>
          <w:color w:val="1B365D"/>
        </w:rPr>
        <w:t>Collection</w:t>
      </w:r>
      <w:r>
        <w:rPr>
          <w:color w:val="4682B4"/>
        </w:rPr>
        <w:t xml:space="preserve">  ➔  </w:t>
      </w:r>
      <w:r>
        <w:rPr>
          <w:b/>
          <w:color w:val="1B365D"/>
        </w:rPr>
        <w:t>Transport</w:t>
      </w:r>
      <w:r>
        <w:rPr>
          <w:color w:val="4682B4"/>
        </w:rPr>
        <w:t xml:space="preserve">  ➔  </w:t>
      </w:r>
      <w:r>
        <w:rPr>
          <w:b/>
          <w:color w:val="1B365D"/>
        </w:rPr>
        <w:t>Storage</w:t>
      </w:r>
      <w:r>
        <w:rPr>
          <w:color w:val="4682B4"/>
        </w:rPr>
        <w:t xml:space="preserve">  ➔  </w:t>
      </w:r>
      <w:r>
        <w:rPr>
          <w:b/>
          <w:color w:val="1B365D"/>
        </w:rPr>
        <w:t>Retention</w:t>
      </w:r>
      <w:r>
        <w:rPr>
          <w:color w:val="4682B4"/>
        </w:rPr>
        <w:t xml:space="preserve">  ➔  </w:t>
      </w:r>
      <w:r>
        <w:rPr>
          <w:b/>
          <w:color w:val="1B365D"/>
        </w:rPr>
        <w:t>Disposal</w:t>
      </w:r>
    </w:p>
    <w:p>
      <w:pPr>
        <w:pStyle w:val="ListBullet"/>
        <w:spacing w:after="60" w:line="276" w:lineRule="auto"/>
      </w:pPr>
      <w:r>
        <w:rPr>
          <w:b/>
          <w:color w:val="333333"/>
        </w:rPr>
        <w:t xml:space="preserve">Log Integrity: </w:t>
      </w:r>
      <w:r>
        <w:rPr>
          <w:color w:val="333333"/>
        </w:rPr>
        <w:t>Cryptographic or policy validation ensuring log entries remain accurate, verifiable, and untampered with over time.</w:t>
      </w:r>
    </w:p>
    <w:p>
      <w:pPr>
        <w:pStyle w:val="ListBullet"/>
        <w:spacing w:after="60" w:line="276" w:lineRule="auto"/>
      </w:pPr>
      <w:r>
        <w:rPr>
          <w:b/>
          <w:color w:val="333333"/>
        </w:rPr>
        <w:t xml:space="preserve">Log Normalization &amp; Parsing: </w:t>
      </w:r>
      <w:r>
        <w:rPr>
          <w:color w:val="333333"/>
        </w:rPr>
        <w:t>Processing heterogeneous logs coming from many disparate sources (operating systems, firewalls, applications) and splitting raw strings into defined key-value database fields.</w:t>
      </w:r>
    </w:p>
    <w:p>
      <w:pPr>
        <w:spacing w:before="120" w:after="80"/>
      </w:pPr>
      <w:r>
        <w:rPr>
          <w:b/>
        </w:rPr>
        <w:t>Log Ingestion Pathways:</w:t>
      </w:r>
    </w:p>
    <w:p>
      <w:pPr>
        <w:pStyle w:val="ListBullet"/>
        <w:spacing w:after="60" w:line="276" w:lineRule="auto"/>
      </w:pPr>
      <w:r>
        <w:rPr>
          <w:b/>
          <w:color w:val="333333"/>
        </w:rPr>
        <w:t xml:space="preserve">Push Method: </w:t>
      </w:r>
      <w:r>
        <w:rPr>
          <w:color w:val="333333"/>
        </w:rPr>
        <w:t>A local data shipping forwarder or agent pushes log packets to the central SIEM ingestion interface immediately.</w:t>
      </w:r>
    </w:p>
    <w:p>
      <w:pPr>
        <w:pStyle w:val="ListBullet"/>
        <w:spacing w:after="60" w:line="276" w:lineRule="auto"/>
      </w:pPr>
      <w:r>
        <w:rPr>
          <w:b/>
          <w:color w:val="333333"/>
        </w:rPr>
        <w:t xml:space="preserve">Pull Method: </w:t>
      </w:r>
      <w:r>
        <w:rPr>
          <w:color w:val="333333"/>
        </w:rPr>
        <w:t>The ingestion manager regularly reaches out via API or queries to extract logs from file targets, cloud storage buckets (e.g., AWS S3), or application tracking targets (e.g., Oracle DB Audit logs) via ingestion pipelines like Logstash.</w:t>
      </w:r>
    </w:p>
    <w:p>
      <w:pPr>
        <w:keepNext/>
        <w:spacing w:before="360" w:after="120"/>
      </w:pPr>
      <w:r>
        <w:rPr>
          <w:rFonts w:ascii="Calibri" w:hAnsi="Calibri"/>
          <w:b/>
          <w:color w:val="1B365D"/>
          <w:sz w:val="32"/>
        </w:rPr>
        <w:t>4. Key Performance Indicators (KPIs) &amp; Confusion Matrix</w:t>
      </w:r>
    </w:p>
    <w:p>
      <w:pPr>
        <w:keepNext/>
        <w:spacing w:before="240" w:after="80"/>
      </w:pPr>
      <w:r>
        <w:rPr>
          <w:rFonts w:ascii="Calibri" w:hAnsi="Calibri"/>
          <w:b/>
          <w:color w:val="4682B4"/>
          <w:sz w:val="26"/>
        </w:rPr>
        <w:t>Performance Benchmarks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728"/>
            <w:shd w:fill="1B365D"/>
            <w:tcMar>
              <w:top w:w="100" w:type="dxa"/>
              <w:bottom w:w="100" w:type="dxa"/>
              <w:left w:w="150" w:type="dxa"/>
              <w:right w:w="150" w:type="dxa"/>
            </w:tcMar>
          </w:tcPr>
          <w:p>
            <w:r>
              <w:rPr>
                <w:b/>
                <w:color w:val="FFFFFF"/>
              </w:rPr>
              <w:t>Category</w:t>
            </w:r>
          </w:p>
        </w:tc>
        <w:tc>
          <w:tcPr>
            <w:tcW w:type="dxa" w:w="2880"/>
            <w:shd w:fill="1B365D"/>
            <w:tcMar>
              <w:top w:w="100" w:type="dxa"/>
              <w:bottom w:w="100" w:type="dxa"/>
              <w:left w:w="150" w:type="dxa"/>
              <w:right w:w="150" w:type="dxa"/>
            </w:tcMar>
          </w:tcPr>
          <w:p>
            <w:r>
              <w:rPr>
                <w:b/>
                <w:color w:val="FFFFFF"/>
              </w:rPr>
              <w:t>KPI Name</w:t>
            </w:r>
          </w:p>
        </w:tc>
        <w:tc>
          <w:tcPr>
            <w:tcW w:type="dxa" w:w="4752"/>
            <w:shd w:fill="1B365D"/>
            <w:tcMar>
              <w:top w:w="100" w:type="dxa"/>
              <w:bottom w:w="100" w:type="dxa"/>
              <w:left w:w="150" w:type="dxa"/>
              <w:right w:w="150" w:type="dxa"/>
            </w:tcMar>
          </w:tcPr>
          <w:p>
            <w:r>
              <w:rPr>
                <w:b/>
                <w:color w:val="FFFFFF"/>
              </w:rPr>
              <w:t>Definition / Target Benchmarks</w:t>
            </w:r>
          </w:p>
        </w:tc>
      </w:tr>
      <w:tr>
        <w:trPr>
          <w:cantSplit/>
        </w:trPr>
        <w:tc>
          <w:tcPr>
            <w:tcW w:type="dxa" w:w="1728"/>
            <w:tcMar>
              <w:top w:w="100" w:type="dxa"/>
              <w:bottom w:w="100" w:type="dxa"/>
              <w:left w:w="150" w:type="dxa"/>
              <w:right w:w="150" w:type="dxa"/>
            </w:tcMar>
          </w:tcPr>
          <w:p>
            <w:r>
              <w:t>Time-Based</w:t>
            </w:r>
          </w:p>
        </w:tc>
        <w:tc>
          <w:tcPr>
            <w:tcW w:type="dxa" w:w="2880"/>
            <w:tcMar>
              <w:top w:w="100" w:type="dxa"/>
              <w:bottom w:w="100" w:type="dxa"/>
              <w:left w:w="150" w:type="dxa"/>
              <w:right w:w="150" w:type="dxa"/>
            </w:tcMar>
          </w:tcPr>
          <w:p>
            <w:r>
              <w:t>MTTD (Mean Time to Detect)</w:t>
            </w:r>
          </w:p>
        </w:tc>
        <w:tc>
          <w:tcPr>
            <w:tcW w:type="dxa" w:w="4752"/>
            <w:tcMar>
              <w:top w:w="100" w:type="dxa"/>
              <w:bottom w:w="100" w:type="dxa"/>
              <w:left w:w="150" w:type="dxa"/>
              <w:right w:w="150" w:type="dxa"/>
            </w:tcMar>
          </w:tcPr>
          <w:p>
            <w:r>
              <w:t>The total average tracking duration between initial compromise execution and identification by an analytical tool or system.</w:t>
            </w:r>
          </w:p>
        </w:tc>
      </w:tr>
      <w:tr>
        <w:trPr>
          <w:cantSplit/>
        </w:trPr>
        <w:tc>
          <w:tcPr>
            <w:tcW w:type="dxa" w:w="1728"/>
            <w:tcMar>
              <w:top w:w="100" w:type="dxa"/>
              <w:bottom w:w="100" w:type="dxa"/>
              <w:left w:w="150" w:type="dxa"/>
              <w:right w:w="150" w:type="dxa"/>
            </w:tcMar>
            <w:shd w:fill="F4F6F9"/>
          </w:tcPr>
          <w:p>
            <w:r>
              <w:t>Time-Based</w:t>
            </w:r>
          </w:p>
        </w:tc>
        <w:tc>
          <w:tcPr>
            <w:tcW w:type="dxa" w:w="2880"/>
            <w:tcMar>
              <w:top w:w="100" w:type="dxa"/>
              <w:bottom w:w="100" w:type="dxa"/>
              <w:left w:w="150" w:type="dxa"/>
              <w:right w:w="150" w:type="dxa"/>
            </w:tcMar>
            <w:shd w:fill="F4F6F9"/>
          </w:tcPr>
          <w:p>
            <w:r>
              <w:t>MTTA (Mean Time to Acknowledge)</w:t>
            </w:r>
          </w:p>
        </w:tc>
        <w:tc>
          <w:tcPr>
            <w:tcW w:type="dxa" w:w="4752"/>
            <w:tcMar>
              <w:top w:w="100" w:type="dxa"/>
              <w:bottom w:w="100" w:type="dxa"/>
              <w:left w:w="150" w:type="dxa"/>
              <w:right w:w="150" w:type="dxa"/>
            </w:tcMar>
            <w:shd w:fill="F4F6F9"/>
          </w:tcPr>
          <w:p>
            <w:r>
              <w:t>The duration separating alert validation tracking from analytical claim assignments (Standard SLA metrics usually dictate a 5-minute target).</w:t>
            </w:r>
          </w:p>
        </w:tc>
      </w:tr>
      <w:tr>
        <w:trPr>
          <w:cantSplit/>
        </w:trPr>
        <w:tc>
          <w:tcPr>
            <w:tcW w:type="dxa" w:w="1728"/>
            <w:tcMar>
              <w:top w:w="100" w:type="dxa"/>
              <w:bottom w:w="100" w:type="dxa"/>
              <w:left w:w="150" w:type="dxa"/>
              <w:right w:w="150" w:type="dxa"/>
            </w:tcMar>
          </w:tcPr>
          <w:p>
            <w:r>
              <w:t>Time-Based</w:t>
            </w:r>
          </w:p>
        </w:tc>
        <w:tc>
          <w:tcPr>
            <w:tcW w:type="dxa" w:w="2880"/>
            <w:tcMar>
              <w:top w:w="100" w:type="dxa"/>
              <w:bottom w:w="100" w:type="dxa"/>
              <w:left w:w="150" w:type="dxa"/>
              <w:right w:w="150" w:type="dxa"/>
            </w:tcMar>
          </w:tcPr>
          <w:p>
            <w:r>
              <w:t>MTTI (Mean Time to Investigate)</w:t>
            </w:r>
          </w:p>
        </w:tc>
        <w:tc>
          <w:tcPr>
            <w:tcW w:type="dxa" w:w="4752"/>
            <w:tcMar>
              <w:top w:w="100" w:type="dxa"/>
              <w:bottom w:w="100" w:type="dxa"/>
              <w:left w:w="150" w:type="dxa"/>
              <w:right w:w="150" w:type="dxa"/>
            </w:tcMar>
          </w:tcPr>
          <w:p>
            <w:r>
              <w:t>The average operational time window applied directly to the investigation process.</w:t>
            </w:r>
          </w:p>
        </w:tc>
      </w:tr>
      <w:tr>
        <w:trPr>
          <w:cantSplit/>
        </w:trPr>
        <w:tc>
          <w:tcPr>
            <w:tcW w:type="dxa" w:w="1728"/>
            <w:tcMar>
              <w:top w:w="100" w:type="dxa"/>
              <w:bottom w:w="100" w:type="dxa"/>
              <w:left w:w="150" w:type="dxa"/>
              <w:right w:w="150" w:type="dxa"/>
            </w:tcMar>
            <w:shd w:fill="F4F6F9"/>
          </w:tcPr>
          <w:p>
            <w:r>
              <w:t>Time-Based</w:t>
            </w:r>
          </w:p>
        </w:tc>
        <w:tc>
          <w:tcPr>
            <w:tcW w:type="dxa" w:w="2880"/>
            <w:tcMar>
              <w:top w:w="100" w:type="dxa"/>
              <w:bottom w:w="100" w:type="dxa"/>
              <w:left w:w="150" w:type="dxa"/>
              <w:right w:w="150" w:type="dxa"/>
            </w:tcMar>
            <w:shd w:fill="F4F6F9"/>
          </w:tcPr>
          <w:p>
            <w:r>
              <w:t>MTTR (Mean Time to Respond)</w:t>
            </w:r>
          </w:p>
        </w:tc>
        <w:tc>
          <w:tcPr>
            <w:tcW w:type="dxa" w:w="4752"/>
            <w:tcMar>
              <w:top w:w="100" w:type="dxa"/>
              <w:bottom w:w="100" w:type="dxa"/>
              <w:left w:w="150" w:type="dxa"/>
              <w:right w:w="150" w:type="dxa"/>
            </w:tcMar>
            <w:shd w:fill="F4F6F9"/>
          </w:tcPr>
          <w:p>
            <w:r>
              <w:t>The ultimate metric tracking the total duration needed to isolate, fix, and resolve the threat.</w:t>
            </w:r>
          </w:p>
        </w:tc>
      </w:tr>
      <w:tr>
        <w:trPr>
          <w:cantSplit/>
        </w:trPr>
        <w:tc>
          <w:tcPr>
            <w:tcW w:type="dxa" w:w="1728"/>
            <w:tcMar>
              <w:top w:w="100" w:type="dxa"/>
              <w:bottom w:w="100" w:type="dxa"/>
              <w:left w:w="150" w:type="dxa"/>
              <w:right w:w="150" w:type="dxa"/>
            </w:tcMar>
          </w:tcPr>
          <w:p>
            <w:r>
              <w:t>Accuracy</w:t>
            </w:r>
          </w:p>
        </w:tc>
        <w:tc>
          <w:tcPr>
            <w:tcW w:type="dxa" w:w="2880"/>
            <w:tcMar>
              <w:top w:w="100" w:type="dxa"/>
              <w:bottom w:w="100" w:type="dxa"/>
              <w:left w:w="150" w:type="dxa"/>
              <w:right w:w="150" w:type="dxa"/>
            </w:tcMar>
          </w:tcPr>
          <w:p>
            <w:r>
              <w:t>FPR (False Positive Rate)</w:t>
            </w:r>
          </w:p>
        </w:tc>
        <w:tc>
          <w:tcPr>
            <w:tcW w:type="dxa" w:w="4752"/>
            <w:tcMar>
              <w:top w:w="100" w:type="dxa"/>
              <w:bottom w:w="100" w:type="dxa"/>
              <w:left w:w="150" w:type="dxa"/>
              <w:right w:w="150" w:type="dxa"/>
            </w:tcMar>
          </w:tcPr>
          <w:p>
            <w:r>
              <w:t>The frequency tracking benign enterprise software functions that trigger false alert flags, resulting in Alert Fatigue.</w:t>
            </w:r>
          </w:p>
        </w:tc>
      </w:tr>
      <w:tr>
        <w:trPr>
          <w:cantSplit/>
        </w:trPr>
        <w:tc>
          <w:tcPr>
            <w:tcW w:type="dxa" w:w="1728"/>
            <w:tcMar>
              <w:top w:w="100" w:type="dxa"/>
              <w:bottom w:w="100" w:type="dxa"/>
              <w:left w:w="150" w:type="dxa"/>
              <w:right w:w="150" w:type="dxa"/>
            </w:tcMar>
            <w:shd w:fill="F4F6F9"/>
          </w:tcPr>
          <w:p>
            <w:r>
              <w:t>Accuracy</w:t>
            </w:r>
          </w:p>
        </w:tc>
        <w:tc>
          <w:tcPr>
            <w:tcW w:type="dxa" w:w="2880"/>
            <w:tcMar>
              <w:top w:w="100" w:type="dxa"/>
              <w:bottom w:w="100" w:type="dxa"/>
              <w:left w:w="150" w:type="dxa"/>
              <w:right w:w="150" w:type="dxa"/>
            </w:tcMar>
            <w:shd w:fill="F4F6F9"/>
          </w:tcPr>
          <w:p>
            <w:r>
              <w:t>FNR (False Negative Rate)</w:t>
            </w:r>
          </w:p>
        </w:tc>
        <w:tc>
          <w:tcPr>
            <w:tcW w:type="dxa" w:w="4752"/>
            <w:tcMar>
              <w:top w:w="100" w:type="dxa"/>
              <w:bottom w:w="100" w:type="dxa"/>
              <w:left w:w="150" w:type="dxa"/>
              <w:right w:w="150" w:type="dxa"/>
            </w:tcMar>
            <w:shd w:fill="F4F6F9"/>
          </w:tcPr>
          <w:p>
            <w:r>
              <w:t>The metric tracking actual adversarial operations that completely pass through detection arrays undetected.</w:t>
            </w:r>
          </w:p>
        </w:tc>
      </w:tr>
      <w:tr>
        <w:trPr>
          <w:cantSplit/>
        </w:trPr>
        <w:tc>
          <w:tcPr>
            <w:tcW w:type="dxa" w:w="1728"/>
            <w:tcMar>
              <w:top w:w="100" w:type="dxa"/>
              <w:bottom w:w="100" w:type="dxa"/>
              <w:left w:w="150" w:type="dxa"/>
              <w:right w:w="150" w:type="dxa"/>
            </w:tcMar>
          </w:tcPr>
          <w:p>
            <w:r>
              <w:t>Operational</w:t>
            </w:r>
          </w:p>
        </w:tc>
        <w:tc>
          <w:tcPr>
            <w:tcW w:type="dxa" w:w="2880"/>
            <w:tcMar>
              <w:top w:w="100" w:type="dxa"/>
              <w:bottom w:w="100" w:type="dxa"/>
              <w:left w:w="150" w:type="dxa"/>
              <w:right w:w="150" w:type="dxa"/>
            </w:tcMar>
          </w:tcPr>
          <w:p>
            <w:r>
              <w:t>Incident Containment Rate</w:t>
            </w:r>
          </w:p>
        </w:tc>
        <w:tc>
          <w:tcPr>
            <w:tcW w:type="dxa" w:w="4752"/>
            <w:tcMar>
              <w:top w:w="100" w:type="dxa"/>
              <w:bottom w:w="100" w:type="dxa"/>
              <w:left w:w="150" w:type="dxa"/>
              <w:right w:w="150" w:type="dxa"/>
            </w:tcMar>
          </w:tcPr>
          <w:p>
            <w:r>
              <w:t>The comparative percentage of system compromises localized or neutralized without experiencing lateral movement.</w:t>
            </w:r>
          </w:p>
        </w:tc>
      </w:tr>
      <w:tr>
        <w:trPr>
          <w:cantSplit/>
        </w:trPr>
        <w:tc>
          <w:tcPr>
            <w:tcW w:type="dxa" w:w="1728"/>
            <w:tcMar>
              <w:top w:w="100" w:type="dxa"/>
              <w:bottom w:w="100" w:type="dxa"/>
              <w:left w:w="150" w:type="dxa"/>
              <w:right w:w="150" w:type="dxa"/>
            </w:tcMar>
            <w:shd w:fill="F4F6F9"/>
          </w:tcPr>
          <w:p>
            <w:r>
              <w:t>Operational</w:t>
            </w:r>
          </w:p>
        </w:tc>
        <w:tc>
          <w:tcPr>
            <w:tcW w:type="dxa" w:w="2880"/>
            <w:tcMar>
              <w:top w:w="100" w:type="dxa"/>
              <w:bottom w:w="100" w:type="dxa"/>
              <w:left w:w="150" w:type="dxa"/>
              <w:right w:w="150" w:type="dxa"/>
            </w:tcMar>
            <w:shd w:fill="F4F6F9"/>
          </w:tcPr>
          <w:p>
            <w:r>
              <w:t>Alert Escalation Rate</w:t>
            </w:r>
          </w:p>
        </w:tc>
        <w:tc>
          <w:tcPr>
            <w:tcW w:type="dxa" w:w="4752"/>
            <w:tcMar>
              <w:top w:w="100" w:type="dxa"/>
              <w:bottom w:w="100" w:type="dxa"/>
              <w:left w:w="150" w:type="dxa"/>
              <w:right w:w="150" w:type="dxa"/>
            </w:tcMar>
            <w:shd w:fill="F4F6F9"/>
          </w:tcPr>
          <w:p>
            <w:r>
              <w:t>The specific ratio monitoring alerts passed from Tier 1 triage up to advanced engineers.</w:t>
            </w:r>
          </w:p>
        </w:tc>
      </w:tr>
    </w:tbl>
    <w:p>
      <w:pPr>
        <w:spacing w:after="120"/>
      </w:pPr>
    </w:p>
    <w:p>
      <w:pPr>
        <w:keepNext/>
        <w:spacing w:before="240" w:after="80"/>
      </w:pPr>
      <w:r>
        <w:rPr>
          <w:rFonts w:ascii="Calibri" w:hAnsi="Calibri"/>
          <w:b/>
          <w:color w:val="4682B4"/>
          <w:sz w:val="26"/>
        </w:rPr>
        <w:t>The Confusion Matrix Analytical Mechanics</w:t>
      </w:r>
    </w:p>
    <w:p>
      <w:pPr>
        <w:spacing w:after="120"/>
      </w:pPr>
      <w:r>
        <w:t>Used to gauge detection rule accuracy and perform structural analytics tuning:</w:t>
      </w:r>
    </w:p>
    <w:p>
      <w:pPr>
        <w:pStyle w:val="ListBullet"/>
        <w:spacing w:after="60" w:line="276" w:lineRule="auto"/>
      </w:pPr>
      <w:r>
        <w:rPr>
          <w:b/>
          <w:color w:val="333333"/>
        </w:rPr>
        <w:t xml:space="preserve">True Positive (TP): </w:t>
      </w:r>
      <w:r>
        <w:rPr>
          <w:color w:val="333333"/>
        </w:rPr>
        <w:t>Malicious activity correctly flagged as an alert.</w:t>
      </w:r>
    </w:p>
    <w:p>
      <w:pPr>
        <w:pStyle w:val="ListBullet"/>
        <w:spacing w:after="60" w:line="276" w:lineRule="auto"/>
      </w:pPr>
      <w:r>
        <w:rPr>
          <w:b/>
          <w:color w:val="333333"/>
        </w:rPr>
        <w:t xml:space="preserve">False Positive (FP): </w:t>
      </w:r>
      <w:r>
        <w:rPr>
          <w:color w:val="333333"/>
        </w:rPr>
        <w:t>Benign activity incorrectly flagged as an alert.</w:t>
      </w:r>
    </w:p>
    <w:p>
      <w:pPr>
        <w:pStyle w:val="ListBullet"/>
        <w:spacing w:after="60" w:line="276" w:lineRule="auto"/>
      </w:pPr>
      <w:r>
        <w:rPr>
          <w:b/>
          <w:color w:val="333333"/>
        </w:rPr>
        <w:t xml:space="preserve">True Negative (TN): </w:t>
      </w:r>
      <w:r>
        <w:rPr>
          <w:color w:val="333333"/>
        </w:rPr>
        <w:t>Benign traffic accurately ignored.</w:t>
      </w:r>
    </w:p>
    <w:p>
      <w:pPr>
        <w:pStyle w:val="ListBullet"/>
        <w:spacing w:after="60" w:line="276" w:lineRule="auto"/>
      </w:pPr>
      <w:r>
        <w:rPr>
          <w:b/>
          <w:color w:val="333333"/>
        </w:rPr>
        <w:t xml:space="preserve">False Negative (FN): </w:t>
      </w:r>
      <w:r>
        <w:rPr>
          <w:color w:val="333333"/>
        </w:rPr>
        <w:t>Malicious activity completely missed by security systems.</w:t>
      </w:r>
    </w:p>
    <w:p>
      <w:pPr>
        <w:spacing w:before="240" w:after="240"/>
        <w:jc w:val="center"/>
      </w:pPr>
      <w:r>
        <w:rPr>
          <w:b/>
          <w:color w:val="1B365D"/>
        </w:rPr>
        <w:t xml:space="preserve">Precision = </w:t>
      </w:r>
      <w:r>
        <w:rPr>
          <w:b/>
          <w:sz w:val="22"/>
        </w:rPr>
        <w:t>TP / (TP + FP)</w:t>
        <w:br/>
      </w:r>
      <w:r>
        <w:rPr>
          <w:b/>
          <w:color w:val="1B365D"/>
        </w:rPr>
        <w:t xml:space="preserve">Recall = </w:t>
      </w:r>
      <w:r>
        <w:rPr>
          <w:b/>
          <w:sz w:val="22"/>
        </w:rPr>
        <w:t>TP / (TP + FN)</w:t>
        <w:br/>
      </w:r>
      <w:r>
        <w:rPr>
          <w:b/>
          <w:color w:val="1B365D"/>
        </w:rPr>
        <w:t xml:space="preserve">F1-Score = </w:t>
      </w:r>
      <w:r>
        <w:rPr>
          <w:b/>
          <w:sz w:val="22"/>
        </w:rPr>
        <w:t>2 × (Precision × Recall) / (Precision + Recall)</w:t>
        <w:br/>
      </w:r>
    </w:p>
    <w:p>
      <w:pPr>
        <w:keepNext/>
        <w:spacing w:before="360" w:after="120"/>
      </w:pPr>
      <w:r>
        <w:rPr>
          <w:rFonts w:ascii="Calibri" w:hAnsi="Calibri"/>
          <w:b/>
          <w:color w:val="1B365D"/>
          <w:sz w:val="32"/>
        </w:rPr>
        <w:t>5. Incident Response Lifecycle &amp; Adversary Threat Models</w:t>
      </w:r>
    </w:p>
    <w:p>
      <w:pPr>
        <w:keepNext/>
        <w:spacing w:before="240" w:after="80"/>
      </w:pPr>
      <w:r>
        <w:rPr>
          <w:rFonts w:ascii="Calibri" w:hAnsi="Calibri"/>
          <w:b/>
          <w:color w:val="4682B4"/>
          <w:sz w:val="26"/>
        </w:rPr>
        <w:t>NIST Incident Response Framework</w:t>
      </w:r>
    </w:p>
    <w:p>
      <w:pPr>
        <w:pStyle w:val="ListBullet"/>
        <w:spacing w:after="60" w:line="276" w:lineRule="auto"/>
      </w:pPr>
      <w:r>
        <w:rPr>
          <w:b/>
          <w:color w:val="333333"/>
        </w:rPr>
        <w:t xml:space="preserve">Preparation: </w:t>
      </w:r>
      <w:r>
        <w:rPr>
          <w:color w:val="333333"/>
        </w:rPr>
        <w:t>Formulating playbooks, hardening local infrastructure, setting log baselines, and configuring tools.</w:t>
      </w:r>
    </w:p>
    <w:p>
      <w:pPr>
        <w:pStyle w:val="ListBullet"/>
        <w:spacing w:after="60" w:line="276" w:lineRule="auto"/>
      </w:pPr>
      <w:r>
        <w:rPr>
          <w:b/>
          <w:color w:val="333333"/>
        </w:rPr>
        <w:t xml:space="preserve">Detection &amp; Analysis: </w:t>
      </w:r>
      <w:r>
        <w:rPr>
          <w:color w:val="333333"/>
        </w:rPr>
        <w:t>Identifying active compromises, evaluating metrics, scoping context, and assigning priorities.</w:t>
      </w:r>
    </w:p>
    <w:p>
      <w:pPr>
        <w:pStyle w:val="ListBullet"/>
        <w:spacing w:after="60" w:line="276" w:lineRule="auto"/>
      </w:pPr>
      <w:r>
        <w:rPr>
          <w:b/>
          <w:color w:val="333333"/>
        </w:rPr>
        <w:t xml:space="preserve">Containment, Eradication &amp; Recovery: </w:t>
      </w:r>
      <w:r>
        <w:rPr>
          <w:color w:val="333333"/>
        </w:rPr>
        <w:t>Quarantining hosts, removing artifacts, updating firewall lists, and recovering state clean backups.</w:t>
      </w:r>
    </w:p>
    <w:p>
      <w:pPr>
        <w:pStyle w:val="ListBullet"/>
        <w:spacing w:after="60" w:line="276" w:lineRule="auto"/>
      </w:pPr>
      <w:r>
        <w:rPr>
          <w:b/>
          <w:color w:val="333333"/>
        </w:rPr>
        <w:t xml:space="preserve">Post-Incident Activity: </w:t>
      </w:r>
      <w:r>
        <w:rPr>
          <w:color w:val="333333"/>
        </w:rPr>
        <w:t>Post-mortem review to extract "Lessons Learned" and continuously tune active alerts to stop repetition.</w:t>
      </w:r>
    </w:p>
    <w:p>
      <w:pPr>
        <w:keepNext/>
        <w:spacing w:before="240" w:after="80"/>
      </w:pPr>
      <w:r>
        <w:rPr>
          <w:rFonts w:ascii="Calibri" w:hAnsi="Calibri"/>
          <w:b/>
          <w:color w:val="4682B4"/>
          <w:sz w:val="26"/>
        </w:rPr>
        <w:t>Cyber Kill Chain (Lockheed Martin Framework)</w:t>
      </w:r>
    </w:p>
    <w:p>
      <w:pPr>
        <w:pStyle w:val="ListBullet"/>
        <w:spacing w:after="60" w:line="276" w:lineRule="auto"/>
      </w:pPr>
      <w:r>
        <w:rPr>
          <w:b/>
          <w:color w:val="333333"/>
        </w:rPr>
        <w:t xml:space="preserve">1. Reconnaissance: </w:t>
      </w:r>
      <w:r>
        <w:rPr>
          <w:color w:val="333333"/>
        </w:rPr>
        <w:t>Scanning open targets, finding public endpoints, harvesting employee identities.</w:t>
      </w:r>
    </w:p>
    <w:p>
      <w:pPr>
        <w:pStyle w:val="ListBullet"/>
        <w:spacing w:after="60" w:line="276" w:lineRule="auto"/>
      </w:pPr>
      <w:r>
        <w:rPr>
          <w:b/>
          <w:color w:val="333333"/>
        </w:rPr>
        <w:t xml:space="preserve">2. Weaponization: </w:t>
      </w:r>
      <w:r>
        <w:rPr>
          <w:color w:val="333333"/>
        </w:rPr>
        <w:t>Binding malicious payloads with exploits tailored against an identified soft target area.</w:t>
      </w:r>
    </w:p>
    <w:p>
      <w:pPr>
        <w:pStyle w:val="ListBullet"/>
        <w:spacing w:after="60" w:line="276" w:lineRule="auto"/>
      </w:pPr>
      <w:r>
        <w:rPr>
          <w:b/>
          <w:color w:val="333333"/>
        </w:rPr>
        <w:t xml:space="preserve">3. Delivery: </w:t>
      </w:r>
      <w:r>
        <w:rPr>
          <w:color w:val="333333"/>
        </w:rPr>
        <w:t>Launching the weaponized artifact (via phishing email links, compromised USB drives, or web application flaws).</w:t>
      </w:r>
    </w:p>
    <w:p>
      <w:pPr>
        <w:pStyle w:val="ListBullet"/>
        <w:spacing w:after="60" w:line="276" w:lineRule="auto"/>
      </w:pPr>
      <w:r>
        <w:rPr>
          <w:b/>
          <w:color w:val="333333"/>
        </w:rPr>
        <w:t xml:space="preserve">4. Exploitation: </w:t>
      </w:r>
      <w:r>
        <w:rPr>
          <w:color w:val="333333"/>
        </w:rPr>
        <w:t>Executing the malicious code component once inside target environment lines.</w:t>
      </w:r>
    </w:p>
    <w:p>
      <w:pPr>
        <w:pStyle w:val="ListBullet"/>
        <w:spacing w:after="60" w:line="276" w:lineRule="auto"/>
      </w:pPr>
      <w:r>
        <w:rPr>
          <w:b/>
          <w:color w:val="333333"/>
        </w:rPr>
        <w:t xml:space="preserve">5. Installation: </w:t>
      </w:r>
      <w:r>
        <w:rPr>
          <w:color w:val="333333"/>
        </w:rPr>
        <w:t>Building structural backdoor footholds or configuring software persistence.</w:t>
      </w:r>
    </w:p>
    <w:p>
      <w:pPr>
        <w:pStyle w:val="ListBullet"/>
        <w:spacing w:after="60" w:line="276" w:lineRule="auto"/>
      </w:pPr>
      <w:r>
        <w:rPr>
          <w:b/>
          <w:color w:val="333333"/>
        </w:rPr>
        <w:t xml:space="preserve">6. Command and Control (C2): </w:t>
      </w:r>
      <w:r>
        <w:rPr>
          <w:color w:val="333333"/>
        </w:rPr>
        <w:t>Establishing an outbound communication tunnel to receive commands from a remote infrastructure.</w:t>
      </w:r>
    </w:p>
    <w:p>
      <w:pPr>
        <w:pStyle w:val="ListBullet"/>
        <w:spacing w:after="60" w:line="276" w:lineRule="auto"/>
      </w:pPr>
      <w:r>
        <w:rPr>
          <w:b/>
          <w:color w:val="333333"/>
        </w:rPr>
        <w:t xml:space="preserve">7. Actions on Objectives: </w:t>
      </w:r>
      <w:r>
        <w:rPr>
          <w:color w:val="333333"/>
        </w:rPr>
        <w:t>Finalizing the malicious intent, such as data exfiltration or massive ransomware system locking.</w:t>
      </w:r>
    </w:p>
    <w:p>
      <w:pPr>
        <w:keepNext/>
        <w:spacing w:before="240" w:after="80"/>
      </w:pPr>
      <w:r>
        <w:rPr>
          <w:rFonts w:ascii="Calibri" w:hAnsi="Calibri"/>
          <w:b/>
          <w:color w:val="4682B4"/>
          <w:sz w:val="26"/>
        </w:rPr>
        <w:t>The Pyramid of Pain</w:t>
      </w:r>
    </w:p>
    <w:p>
      <w:pPr>
        <w:pStyle w:val="ListBullet"/>
        <w:spacing w:after="60" w:line="276" w:lineRule="auto"/>
      </w:pPr>
      <w:r>
        <w:rPr>
          <w:b/>
          <w:color w:val="333333"/>
        </w:rPr>
        <w:t xml:space="preserve">Hash Values (Trivial): </w:t>
      </w:r>
      <w:r>
        <w:rPr>
          <w:color w:val="333333"/>
        </w:rPr>
        <w:t>Unique indicators; altered immediately by flipping a single character or byte inside the malware payload.</w:t>
      </w:r>
    </w:p>
    <w:p>
      <w:pPr>
        <w:pStyle w:val="ListBullet"/>
        <w:spacing w:after="60" w:line="276" w:lineRule="auto"/>
      </w:pPr>
      <w:r>
        <w:rPr>
          <w:b/>
          <w:color w:val="333333"/>
        </w:rPr>
        <w:t xml:space="preserve">IP Addresses (Easy): </w:t>
      </w:r>
      <w:r>
        <w:rPr>
          <w:color w:val="333333"/>
        </w:rPr>
        <w:t>Attackers quickly shift to alternate routing structures, anonymous proxies, or temporary nodes.</w:t>
      </w:r>
    </w:p>
    <w:p>
      <w:pPr>
        <w:pStyle w:val="ListBullet"/>
        <w:spacing w:after="60" w:line="276" w:lineRule="auto"/>
      </w:pPr>
      <w:r>
        <w:rPr>
          <w:b/>
          <w:color w:val="333333"/>
        </w:rPr>
        <w:t xml:space="preserve">Domain Names (Simple): </w:t>
      </w:r>
      <w:r>
        <w:rPr>
          <w:color w:val="333333"/>
        </w:rPr>
        <w:t>Registering automated DNS values through short-lived domains.</w:t>
      </w:r>
    </w:p>
    <w:p>
      <w:pPr>
        <w:pStyle w:val="ListBullet"/>
        <w:spacing w:after="60" w:line="276" w:lineRule="auto"/>
      </w:pPr>
      <w:r>
        <w:rPr>
          <w:b/>
          <w:color w:val="333333"/>
        </w:rPr>
        <w:t xml:space="preserve">Network / Host Artifacts (Annoying): </w:t>
      </w:r>
      <w:r>
        <w:rPr>
          <w:color w:val="333333"/>
        </w:rPr>
        <w:t>Forcing modification of unique User-Agents, custom URI structures, or execution directories.</w:t>
      </w:r>
    </w:p>
    <w:p>
      <w:pPr>
        <w:pStyle w:val="ListBullet"/>
        <w:spacing w:after="60" w:line="276" w:lineRule="auto"/>
      </w:pPr>
      <w:r>
        <w:rPr>
          <w:b/>
          <w:color w:val="333333"/>
        </w:rPr>
        <w:t xml:space="preserve">Tools (Challenging): </w:t>
      </w:r>
      <w:r>
        <w:rPr>
          <w:color w:val="333333"/>
        </w:rPr>
        <w:t>Forcing the adversary to modify or rewrite major structural code modules within their specialized malware toolsets to evade signature sets.</w:t>
      </w:r>
    </w:p>
    <w:p>
      <w:pPr>
        <w:pStyle w:val="ListBullet"/>
        <w:spacing w:after="60" w:line="276" w:lineRule="auto"/>
      </w:pPr>
      <w:r>
        <w:rPr>
          <w:b/>
          <w:color w:val="333333"/>
        </w:rPr>
        <w:t xml:space="preserve">TTPs (Tough): </w:t>
      </w:r>
      <w:r>
        <w:rPr>
          <w:color w:val="333333"/>
        </w:rPr>
        <w:t>Forcing a complete overhaul of their behavioral Tactics, Techniques, and Procedures.</w:t>
      </w:r>
    </w:p>
    <w:p>
      <w:pPr>
        <w:keepNext/>
        <w:spacing w:before="360" w:after="120"/>
      </w:pPr>
      <w:r>
        <w:rPr>
          <w:rFonts w:ascii="Calibri" w:hAnsi="Calibri"/>
          <w:b/>
          <w:color w:val="1B365D"/>
          <w:sz w:val="32"/>
        </w:rPr>
        <w:t>6. Windows Sysmon Telemetry Reference</w:t>
      </w:r>
    </w:p>
    <w:p>
      <w:pPr>
        <w:spacing w:after="160"/>
      </w:pPr>
      <w:r>
        <w:t>Windows System Monitor (Sysmon) provides highly granular, high-fidelity endpoint monitoring essential for rule engineering and threat detection:</w:t>
      </w:r>
    </w:p>
    <w:tbl>
      <w:tblPr>
        <w:tblW w:type="auto" w:w="0"/>
        <w:jc w:val="center"/>
        <w:tblLayout w:type="fixed"/>
        <w:tblLook w:firstColumn="1" w:firstRow="1" w:lastColumn="0" w:lastRow="0" w:noHBand="0" w:noVBand="1" w:val="04A0"/>
      </w:tblPr>
      <w:tblGrid>
        <w:gridCol w:w="4680"/>
        <w:gridCol w:w="4680"/>
      </w:tblGrid>
      <w:tr>
        <w:trPr>
          <w:tblHeader/>
        </w:trPr>
        <w:tc>
          <w:tcPr>
            <w:tcW w:type="dxa" w:w="3168"/>
            <w:shd w:fill="1B365D"/>
            <w:tcMar>
              <w:top w:w="100" w:type="dxa"/>
              <w:bottom w:w="100" w:type="dxa"/>
              <w:left w:w="150" w:type="dxa"/>
              <w:right w:w="150" w:type="dxa"/>
            </w:tcMar>
          </w:tcPr>
          <w:p>
            <w:r>
              <w:rPr>
                <w:b/>
                <w:color w:val="FFFFFF"/>
              </w:rPr>
              <w:t>Event ID &amp; Type</w:t>
            </w:r>
          </w:p>
        </w:tc>
        <w:tc>
          <w:tcPr>
            <w:tcW w:type="dxa" w:w="6192"/>
            <w:shd w:fill="1B365D"/>
            <w:tcMar>
              <w:top w:w="100" w:type="dxa"/>
              <w:bottom w:w="100" w:type="dxa"/>
              <w:left w:w="150" w:type="dxa"/>
              <w:right w:w="150" w:type="dxa"/>
            </w:tcMar>
          </w:tcPr>
          <w:p>
            <w:r>
              <w:rPr>
                <w:b/>
                <w:color w:val="FFFFFF"/>
              </w:rPr>
              <w:t>Telemetry Description &amp; Detection Purpose</w:t>
            </w:r>
          </w:p>
        </w:tc>
      </w:tr>
      <w:tr>
        <w:trPr>
          <w:cantSplit/>
        </w:trPr>
        <w:tc>
          <w:tcPr>
            <w:tcW w:type="dxa" w:w="3168"/>
            <w:tcMar>
              <w:top w:w="100" w:type="dxa"/>
              <w:bottom w:w="100" w:type="dxa"/>
              <w:left w:w="150" w:type="dxa"/>
              <w:right w:w="150" w:type="dxa"/>
            </w:tcMar>
          </w:tcPr>
          <w:p>
            <w:r>
              <w:rPr>
                <w:b/>
              </w:rPr>
              <w:t>Event ID 1: Process Creation</w:t>
            </w:r>
          </w:p>
        </w:tc>
        <w:tc>
          <w:tcPr>
            <w:tcW w:type="dxa" w:w="6192"/>
            <w:tcMar>
              <w:top w:w="100" w:type="dxa"/>
              <w:bottom w:w="100" w:type="dxa"/>
              <w:left w:w="150" w:type="dxa"/>
              <w:right w:w="150" w:type="dxa"/>
            </w:tcMar>
          </w:tcPr>
          <w:p>
            <w:r>
              <w:t>Tracks command-line arguments, hashes, and parent-child relationships to flag stealth executions.</w:t>
            </w:r>
          </w:p>
        </w:tc>
      </w:tr>
      <w:tr>
        <w:trPr>
          <w:cantSplit/>
        </w:trPr>
        <w:tc>
          <w:tcPr>
            <w:tcW w:type="dxa" w:w="3168"/>
            <w:tcMar>
              <w:top w:w="100" w:type="dxa"/>
              <w:bottom w:w="100" w:type="dxa"/>
              <w:left w:w="150" w:type="dxa"/>
              <w:right w:w="150" w:type="dxa"/>
            </w:tcMar>
            <w:shd w:fill="F4F6F9"/>
          </w:tcPr>
          <w:p>
            <w:r>
              <w:rPr>
                <w:b/>
              </w:rPr>
              <w:t>Event ID 3: Network Connection</w:t>
            </w:r>
          </w:p>
        </w:tc>
        <w:tc>
          <w:tcPr>
            <w:tcW w:type="dxa" w:w="6192"/>
            <w:tcMar>
              <w:top w:w="100" w:type="dxa"/>
              <w:bottom w:w="100" w:type="dxa"/>
              <w:left w:w="150" w:type="dxa"/>
              <w:right w:w="150" w:type="dxa"/>
            </w:tcMar>
            <w:shd w:fill="F4F6F9"/>
          </w:tcPr>
          <w:p>
            <w:r>
              <w:t>Identifies server connection streams, unexpected port use, and active external command-and-control beacons.</w:t>
            </w:r>
          </w:p>
        </w:tc>
      </w:tr>
      <w:tr>
        <w:trPr>
          <w:cantSplit/>
        </w:trPr>
        <w:tc>
          <w:tcPr>
            <w:tcW w:type="dxa" w:w="3168"/>
            <w:tcMar>
              <w:top w:w="100" w:type="dxa"/>
              <w:bottom w:w="100" w:type="dxa"/>
              <w:left w:w="150" w:type="dxa"/>
              <w:right w:w="150" w:type="dxa"/>
            </w:tcMar>
          </w:tcPr>
          <w:p>
            <w:r>
              <w:rPr>
                <w:b/>
              </w:rPr>
              <w:t>Event ID 7: DLL Loaded</w:t>
            </w:r>
          </w:p>
        </w:tc>
        <w:tc>
          <w:tcPr>
            <w:tcW w:type="dxa" w:w="6192"/>
            <w:tcMar>
              <w:top w:w="100" w:type="dxa"/>
              <w:bottom w:w="100" w:type="dxa"/>
              <w:left w:w="150" w:type="dxa"/>
              <w:right w:w="150" w:type="dxa"/>
            </w:tcMar>
          </w:tcPr>
          <w:p>
            <w:r>
              <w:t>Logs binary drivers or system modules loading dynamically into running applications (identifies injection attacks).</w:t>
            </w:r>
          </w:p>
        </w:tc>
      </w:tr>
      <w:tr>
        <w:trPr>
          <w:cantSplit/>
        </w:trPr>
        <w:tc>
          <w:tcPr>
            <w:tcW w:type="dxa" w:w="3168"/>
            <w:tcMar>
              <w:top w:w="100" w:type="dxa"/>
              <w:bottom w:w="100" w:type="dxa"/>
              <w:left w:w="150" w:type="dxa"/>
              <w:right w:w="150" w:type="dxa"/>
            </w:tcMar>
            <w:shd w:fill="F4F6F9"/>
          </w:tcPr>
          <w:p>
            <w:r>
              <w:rPr>
                <w:b/>
              </w:rPr>
              <w:t>Event ID 10: Process Access</w:t>
            </w:r>
          </w:p>
        </w:tc>
        <w:tc>
          <w:tcPr>
            <w:tcW w:type="dxa" w:w="6192"/>
            <w:tcMar>
              <w:top w:w="100" w:type="dxa"/>
              <w:bottom w:w="100" w:type="dxa"/>
              <w:left w:w="150" w:type="dxa"/>
              <w:right w:w="150" w:type="dxa"/>
            </w:tcMar>
            <w:shd w:fill="F4F6F9"/>
          </w:tcPr>
          <w:p>
            <w:r>
              <w:t>Captures cross-process memory boundaries (essential for discovering password scraping like LSASS dumps).</w:t>
            </w:r>
          </w:p>
        </w:tc>
      </w:tr>
      <w:tr>
        <w:trPr>
          <w:cantSplit/>
        </w:trPr>
        <w:tc>
          <w:tcPr>
            <w:tcW w:type="dxa" w:w="3168"/>
            <w:tcMar>
              <w:top w:w="100" w:type="dxa"/>
              <w:bottom w:w="100" w:type="dxa"/>
              <w:left w:w="150" w:type="dxa"/>
              <w:right w:w="150" w:type="dxa"/>
            </w:tcMar>
          </w:tcPr>
          <w:p>
            <w:r>
              <w:rPr>
                <w:b/>
              </w:rPr>
              <w:t>Event ID 11: File Created</w:t>
            </w:r>
          </w:p>
        </w:tc>
        <w:tc>
          <w:tcPr>
            <w:tcW w:type="dxa" w:w="6192"/>
            <w:tcMar>
              <w:top w:w="100" w:type="dxa"/>
              <w:bottom w:w="100" w:type="dxa"/>
              <w:left w:w="150" w:type="dxa"/>
              <w:right w:w="150" w:type="dxa"/>
            </w:tcMar>
          </w:tcPr>
          <w:p>
            <w:r>
              <w:t>Tracks file drop locations where malicious scripts, payloads, or transient malware packages land on disks.</w:t>
            </w:r>
          </w:p>
        </w:tc>
      </w:tr>
      <w:tr>
        <w:trPr>
          <w:cantSplit/>
        </w:trPr>
        <w:tc>
          <w:tcPr>
            <w:tcW w:type="dxa" w:w="3168"/>
            <w:tcMar>
              <w:top w:w="100" w:type="dxa"/>
              <w:bottom w:w="100" w:type="dxa"/>
              <w:left w:w="150" w:type="dxa"/>
              <w:right w:w="150" w:type="dxa"/>
            </w:tcMar>
            <w:shd w:fill="F4F6F9"/>
          </w:tcPr>
          <w:p>
            <w:r>
              <w:rPr>
                <w:b/>
              </w:rPr>
              <w:t>Event ID 12 / 13 / 14: Registry Key Modifications</w:t>
            </w:r>
          </w:p>
        </w:tc>
        <w:tc>
          <w:tcPr>
            <w:tcW w:type="dxa" w:w="6192"/>
            <w:tcMar>
              <w:top w:w="100" w:type="dxa"/>
              <w:bottom w:w="100" w:type="dxa"/>
              <w:left w:w="150" w:type="dxa"/>
              <w:right w:w="150" w:type="dxa"/>
            </w:tcMar>
            <w:shd w:fill="F4F6F9"/>
          </w:tcPr>
          <w:p>
            <w:r>
              <w:t>Monitors additions or deletions targeting specific registry paths (e.g., Run / RunOnce keys) supporting adversary persistence.</w:t>
            </w:r>
          </w:p>
        </w:tc>
      </w:tr>
      <w:tr>
        <w:trPr>
          <w:cantSplit/>
        </w:trPr>
        <w:tc>
          <w:tcPr>
            <w:tcW w:type="dxa" w:w="3168"/>
            <w:tcMar>
              <w:top w:w="100" w:type="dxa"/>
              <w:bottom w:w="100" w:type="dxa"/>
              <w:left w:w="150" w:type="dxa"/>
              <w:right w:w="150" w:type="dxa"/>
            </w:tcMar>
          </w:tcPr>
          <w:p>
            <w:r>
              <w:rPr>
                <w:b/>
              </w:rPr>
              <w:t>Event ID 15: Alternate Data Streams (ADS)</w:t>
            </w:r>
          </w:p>
        </w:tc>
        <w:tc>
          <w:tcPr>
            <w:tcW w:type="dxa" w:w="6192"/>
            <w:tcMar>
              <w:top w:w="100" w:type="dxa"/>
              <w:bottom w:w="100" w:type="dxa"/>
              <w:left w:w="150" w:type="dxa"/>
              <w:right w:w="150" w:type="dxa"/>
            </w:tcMar>
          </w:tcPr>
          <w:p>
            <w:r>
              <w:t>Detects attempts by malware to hide execution scripts inside secondary file system streams.</w:t>
            </w:r>
          </w:p>
        </w:tc>
      </w:tr>
      <w:tr>
        <w:trPr>
          <w:cantSplit/>
        </w:trPr>
        <w:tc>
          <w:tcPr>
            <w:tcW w:type="dxa" w:w="3168"/>
            <w:tcMar>
              <w:top w:w="100" w:type="dxa"/>
              <w:bottom w:w="100" w:type="dxa"/>
              <w:left w:w="150" w:type="dxa"/>
              <w:right w:w="150" w:type="dxa"/>
            </w:tcMar>
            <w:shd w:fill="F4F6F9"/>
          </w:tcPr>
          <w:p>
            <w:r>
              <w:rPr>
                <w:b/>
              </w:rPr>
              <w:t>Event ID 22: DNS Queries</w:t>
            </w:r>
          </w:p>
        </w:tc>
        <w:tc>
          <w:tcPr>
            <w:tcW w:type="dxa" w:w="6192"/>
            <w:tcMar>
              <w:top w:w="100" w:type="dxa"/>
              <w:bottom w:w="100" w:type="dxa"/>
              <w:left w:w="150" w:type="dxa"/>
              <w:right w:w="150" w:type="dxa"/>
            </w:tcMar>
            <w:shd w:fill="F4F6F9"/>
          </w:tcPr>
          <w:p>
            <w:r>
              <w:t>Exposes explicit system domain lookups, tracking target infrastructure reaching out to unknown malicious networks.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