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asdawd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asdawd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B7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4"/>
        <w:gridCol w:w="1487"/>
        <w:gridCol w:w="1426"/>
        <w:gridCol w:w="1571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1ABBE38A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BANGUNAN</w:t>
            </w:r>
          </w:p>
          <w:p w14:paraId="3514F6F5" w14:textId="77777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TOTAL LUAS</w:t>
            </w: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137000000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B7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137000000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1000000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138000000.0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137000000.0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2D21197D" w:rsidR="00033C70" w:rsidRPr="007620E1" w:rsidRDefault="001D7987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2019-02-05</w:t>
            </w: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22361852" w:rsidR="00033C70" w:rsidRPr="001D7987" w:rsidRDefault="001D7987" w:rsidP="001D7987">
            <w:pPr>
              <w:pStyle w:val="ListParagraph"/>
              <w:ind w:left="0"/>
            </w:pPr>
            <w:r>
              <w:rPr>
                <w:rFonts w:cstheme="minorHAnsi"/>
                <w:sz w:val="24"/>
                <w:szCs w:val="24"/>
              </w:rPr>
              <w:t>3500000.0</w:t>
            </w: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1C741D45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7F43DC9B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3500000.0</w:t>
            </w: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41C81692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7DB80E31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3500000.0</w:t>
            </w: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4B9F7A26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7B3C0DDD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3500000.0</w:t>
            </w: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13E8E510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>
        <w:rPr>
          <w:rFonts w:cstheme="minorHAnsi"/>
          <w:sz w:val="24"/>
          <w:szCs w:val="24"/>
        </w:rPr>
        <w:t>3500000.0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5"/>
        <w:gridCol w:w="5741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asdawd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8410EA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ABF65-20DF-478B-B17B-1EE79FCC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2</cp:revision>
  <dcterms:created xsi:type="dcterms:W3CDTF">2019-01-29T13:22:00Z</dcterms:created>
  <dcterms:modified xsi:type="dcterms:W3CDTF">2019-01-29T13:22:00Z</dcterms:modified>
</cp:coreProperties>
</file>