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joni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 guntur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137000000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1000000.0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2500000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A3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137000000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140500000.0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140500000.0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17500000.0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2019-02-06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joni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