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C9" w:rsidRDefault="00113BC9">
      <w:pPr>
        <w:pStyle w:val="Heading2"/>
        <w:numPr>
          <w:ilvl w:val="0"/>
          <w:numId w:val="3"/>
        </w:numPr>
        <w:jc w:val="both"/>
        <w:rPr>
          <w:rFonts w:ascii="Times New Roman" w:hAnsi="Times New Roman" w:cs="Times New Roman"/>
          <w:i w:val="0"/>
        </w:rPr>
      </w:pPr>
      <w:bookmarkStart w:id="0" w:name="_GoBack"/>
      <w:bookmarkEnd w:id="0"/>
      <w:r>
        <w:rPr>
          <w:rFonts w:ascii="Times New Roman" w:hAnsi="Times New Roman" w:cs="Times New Roman"/>
          <w:i w:val="0"/>
        </w:rPr>
        <w:t>Problem Statement</w:t>
      </w:r>
    </w:p>
    <w:p w:rsidR="00113BC9" w:rsidRDefault="00455BBB" w:rsidP="000031E3">
      <w:pPr>
        <w:pStyle w:val="NormalWeb"/>
        <w:ind w:firstLine="720"/>
        <w:jc w:val="both"/>
      </w:pPr>
      <w:r>
        <w:t>Northeast</w:t>
      </w:r>
      <w:r w:rsidR="00113BC9">
        <w:t xml:space="preserve"> Airlines, an airline company that was founded in 1967 as an intrastate airline linking Dallas, Houston and San Antonio, is now the fourth largest domestic carrier in terms of customers boarded and the most profitable airline company in the United States, providing low-fare air transportation service among 65 </w:t>
      </w:r>
      <w:r w:rsidR="00E97F42">
        <w:t xml:space="preserve">cities in more than 30 states. </w:t>
      </w:r>
      <w:r>
        <w:t>Northeast</w:t>
      </w:r>
      <w:r w:rsidR="00EE30CD">
        <w:t>’s</w:t>
      </w:r>
      <w:r w:rsidR="00113BC9">
        <w:t xml:space="preserve"> success is due to </w:t>
      </w:r>
      <w:r w:rsidR="00EE30CD">
        <w:t>its</w:t>
      </w:r>
      <w:r w:rsidR="00113BC9">
        <w:t xml:space="preserve"> low-cost strategy.</w:t>
      </w:r>
      <w:r w:rsidR="00E97F42">
        <w:t xml:space="preserve"> </w:t>
      </w:r>
      <w:r>
        <w:t>Northeast</w:t>
      </w:r>
      <w:r w:rsidR="00113BC9">
        <w:t xml:space="preserve"> operate</w:t>
      </w:r>
      <w:r w:rsidR="00EE30CD">
        <w:t>s</w:t>
      </w:r>
      <w:r w:rsidR="00113BC9">
        <w:t xml:space="preserve"> solely Boeing 737s and offer</w:t>
      </w:r>
      <w:r w:rsidR="00EE30CD">
        <w:t>s only coach seats.</w:t>
      </w:r>
      <w:r w:rsidR="00E97F42">
        <w:t xml:space="preserve"> </w:t>
      </w:r>
      <w:r w:rsidR="00EE30CD">
        <w:t>The company</w:t>
      </w:r>
      <w:r w:rsidR="00113BC9">
        <w:t xml:space="preserve"> primarily provide</w:t>
      </w:r>
      <w:r w:rsidR="00EE30CD">
        <w:t>s</w:t>
      </w:r>
      <w:r w:rsidR="00113BC9">
        <w:t xml:space="preserve"> short haul, high frequency, point-to-point air transportation where in-flight meals or advanced seating are not offered. </w:t>
      </w:r>
      <w:r>
        <w:t>Northeast</w:t>
      </w:r>
      <w:r w:rsidR="00113BC9">
        <w:t xml:space="preserve"> has been able to differentiate itself from </w:t>
      </w:r>
      <w:r w:rsidR="00EE30CD">
        <w:t>its</w:t>
      </w:r>
      <w:r w:rsidR="00113BC9">
        <w:t xml:space="preserve"> competitors by offering the lowest prices.</w:t>
      </w:r>
    </w:p>
    <w:p w:rsidR="00113BC9" w:rsidRDefault="00113BC9" w:rsidP="000031E3">
      <w:pPr>
        <w:ind w:firstLine="720"/>
        <w:jc w:val="both"/>
      </w:pPr>
      <w:r>
        <w:t xml:space="preserve">One of the leading reasons for the success of </w:t>
      </w:r>
      <w:r w:rsidR="00455BBB">
        <w:t>Northeast</w:t>
      </w:r>
      <w:r>
        <w:t xml:space="preserve"> is its focus on customers. Its mission statement has not changed since 1988, and is: “The mission of </w:t>
      </w:r>
      <w:r w:rsidR="00455BBB">
        <w:t>Northeast</w:t>
      </w:r>
      <w:r>
        <w:t xml:space="preserve"> Airlines is dedication to the highest quality of Customer Service delivered with a sense of warmth, friendliness, individual pride, and Company Spirit” (http://www.</w:t>
      </w:r>
      <w:r w:rsidR="00455BBB">
        <w:t>northeast</w:t>
      </w:r>
      <w:r>
        <w:t>.com/about_swa/mission.html).</w:t>
      </w:r>
    </w:p>
    <w:p w:rsidR="00113BC9" w:rsidRDefault="00113BC9" w:rsidP="000031E3">
      <w:pPr>
        <w:pStyle w:val="NormalWeb"/>
        <w:ind w:firstLine="720"/>
        <w:jc w:val="both"/>
      </w:pPr>
      <w:r>
        <w:t xml:space="preserve">While </w:t>
      </w:r>
      <w:r w:rsidR="00455BBB">
        <w:t>Northeast</w:t>
      </w:r>
      <w:r>
        <w:t xml:space="preserve"> </w:t>
      </w:r>
      <w:r w:rsidR="00435BE5">
        <w:t>has</w:t>
      </w:r>
      <w:r w:rsidR="00EE30CD">
        <w:t xml:space="preserve"> been able to enjoy both </w:t>
      </w:r>
      <w:r>
        <w:t xml:space="preserve">profits and success in the past years, </w:t>
      </w:r>
      <w:r w:rsidR="00455BBB">
        <w:t>historical</w:t>
      </w:r>
      <w:r>
        <w:t xml:space="preserve"> events such as the terrorist attacks of September 11, 2001 and poor economic conditions have made competition more intense.</w:t>
      </w:r>
      <w:r w:rsidR="00E97F42">
        <w:t xml:space="preserve"> </w:t>
      </w:r>
      <w:r>
        <w:t xml:space="preserve">Bigger companies are trying to emulate </w:t>
      </w:r>
      <w:r w:rsidR="00455BBB">
        <w:t>Northeast</w:t>
      </w:r>
      <w:r>
        <w:t xml:space="preserve"> Airlines’ strategy by lowering their price of tickets while </w:t>
      </w:r>
      <w:r w:rsidR="00EE30CD">
        <w:t xml:space="preserve">still </w:t>
      </w:r>
      <w:r>
        <w:t xml:space="preserve">offering more luxurious services than </w:t>
      </w:r>
      <w:r w:rsidR="00455BBB">
        <w:t>Northeast</w:t>
      </w:r>
      <w:r>
        <w:t xml:space="preserve"> does. This could result in competitors offering low rates to areas not </w:t>
      </w:r>
      <w:r w:rsidR="00EE30CD">
        <w:t>also</w:t>
      </w:r>
      <w:r>
        <w:t xml:space="preserve"> covered by </w:t>
      </w:r>
      <w:r w:rsidR="00455BBB">
        <w:t>Northeast</w:t>
      </w:r>
      <w:r>
        <w:t xml:space="preserve">, but to all the other destinations </w:t>
      </w:r>
      <w:r w:rsidR="00EE30CD">
        <w:t xml:space="preserve">where </w:t>
      </w:r>
      <w:r w:rsidR="00455BBB">
        <w:t>Northeast</w:t>
      </w:r>
      <w:r w:rsidR="00EE30CD">
        <w:t xml:space="preserve"> doesn</w:t>
      </w:r>
      <w:r>
        <w:t xml:space="preserve">’t fly. Could this be an indication that </w:t>
      </w:r>
      <w:r w:rsidR="00455BBB">
        <w:t>Northeast</w:t>
      </w:r>
      <w:r>
        <w:t xml:space="preserve"> need</w:t>
      </w:r>
      <w:r w:rsidR="00EE30CD">
        <w:t>s</w:t>
      </w:r>
      <w:r>
        <w:t xml:space="preserve"> to make a few changes in </w:t>
      </w:r>
      <w:r w:rsidR="00EE30CD">
        <w:t>its</w:t>
      </w:r>
      <w:r>
        <w:t xml:space="preserve"> strategy and upgrade the seats and services </w:t>
      </w:r>
      <w:r w:rsidR="00EE30CD">
        <w:t xml:space="preserve">it offers </w:t>
      </w:r>
      <w:r>
        <w:t xml:space="preserve">to </w:t>
      </w:r>
      <w:r w:rsidR="00EE30CD">
        <w:t>its</w:t>
      </w:r>
      <w:r>
        <w:t xml:space="preserve"> customers? Should it expand to greater regions domestically and internationally?</w:t>
      </w:r>
      <w:r w:rsidR="00E97F42">
        <w:t xml:space="preserve"> </w:t>
      </w:r>
      <w:r w:rsidR="00EE30CD">
        <w:t xml:space="preserve">If </w:t>
      </w:r>
      <w:r w:rsidR="00455BBB">
        <w:t>Northeast</w:t>
      </w:r>
      <w:r w:rsidR="00EE30CD">
        <w:t xml:space="preserve"> doesn’t pay attention to the future and its strategy another competitor could certainly come along and knock t</w:t>
      </w:r>
      <w:r w:rsidR="00911151">
        <w:t>he company out of the top spot.</w:t>
      </w:r>
    </w:p>
    <w:p w:rsidR="00113BC9" w:rsidRDefault="00113BC9">
      <w:pPr>
        <w:pStyle w:val="Heading2"/>
        <w:numPr>
          <w:ilvl w:val="0"/>
          <w:numId w:val="3"/>
        </w:numPr>
        <w:jc w:val="both"/>
        <w:rPr>
          <w:rFonts w:ascii="Times New Roman" w:hAnsi="Times New Roman"/>
          <w:i w:val="0"/>
          <w:iCs w:val="0"/>
        </w:rPr>
      </w:pPr>
      <w:r>
        <w:rPr>
          <w:rFonts w:ascii="Times New Roman" w:hAnsi="Times New Roman"/>
          <w:i w:val="0"/>
          <w:iCs w:val="0"/>
        </w:rPr>
        <w:t>Situational Analysis</w:t>
      </w:r>
    </w:p>
    <w:p w:rsidR="00113BC9" w:rsidRDefault="00113BC9">
      <w:pPr>
        <w:pStyle w:val="Heading3"/>
        <w:numPr>
          <w:ilvl w:val="1"/>
          <w:numId w:val="3"/>
        </w:numPr>
        <w:tabs>
          <w:tab w:val="clear" w:pos="1080"/>
          <w:tab w:val="num" w:pos="360"/>
        </w:tabs>
        <w:ind w:hanging="1080"/>
        <w:jc w:val="both"/>
        <w:rPr>
          <w:rFonts w:ascii="Times New Roman" w:hAnsi="Times New Roman" w:cs="Times New Roman"/>
        </w:rPr>
      </w:pPr>
      <w:r>
        <w:rPr>
          <w:rFonts w:ascii="Times New Roman" w:hAnsi="Times New Roman" w:cs="Times New Roman"/>
        </w:rPr>
        <w:t>Industry:</w:t>
      </w:r>
    </w:p>
    <w:p w:rsidR="00113BC9" w:rsidRDefault="00113BC9" w:rsidP="000031E3">
      <w:pPr>
        <w:ind w:firstLine="720"/>
        <w:jc w:val="both"/>
      </w:pPr>
      <w:r>
        <w:t>The US airline industry consists of about 3,000 companies, with combined annual revenue of $120 billion.</w:t>
      </w:r>
      <w:r w:rsidR="00E97F42">
        <w:t xml:space="preserve"> </w:t>
      </w:r>
      <w:r>
        <w:t>The industry is highly concentrated; almost 90 percent of the revenues come from the top 12 companies.</w:t>
      </w:r>
    </w:p>
    <w:p w:rsidR="00113BC9" w:rsidRDefault="00113BC9" w:rsidP="000031E3">
      <w:pPr>
        <w:ind w:firstLine="720"/>
        <w:jc w:val="both"/>
      </w:pPr>
      <w:r>
        <w:t xml:space="preserve">Airlines depend </w:t>
      </w:r>
      <w:r w:rsidR="00255D48">
        <w:t>heavily</w:t>
      </w:r>
      <w:r>
        <w:t xml:space="preserve"> on the health of the US economy, which affects air travel.</w:t>
      </w:r>
      <w:r w:rsidR="00E97F42">
        <w:t xml:space="preserve"> </w:t>
      </w:r>
      <w:r>
        <w:t>Because many of the airlines’ costs are fixed, the profitability of individual companies depends on the efficiency of its operations and on favorable fuel and labor costs.</w:t>
      </w:r>
      <w:r w:rsidR="00E97F42">
        <w:t xml:space="preserve"> </w:t>
      </w:r>
      <w:r>
        <w:t>In addition, flight equipment that a company uses is crucial to efficient operations since the cost, capacity, and fuel efficiency of airplanes vary substantially.</w:t>
      </w:r>
      <w:r w:rsidR="00E97F42">
        <w:t xml:space="preserve"> </w:t>
      </w:r>
      <w:r>
        <w:t xml:space="preserve">For example, a large plane like the Boeing 747 consumes 3,500 gallons of fuel per hour, while a midsize one like the Boeing 737 that </w:t>
      </w:r>
      <w:r w:rsidR="00455BBB">
        <w:t>Northeast</w:t>
      </w:r>
      <w:r>
        <w:t xml:space="preserve"> uses, only consumes about 800 gallons per hour.</w:t>
      </w:r>
      <w:r w:rsidR="00E97F42">
        <w:t xml:space="preserve"> </w:t>
      </w:r>
      <w:r>
        <w:t>Moreover, the list price of a new Boeing 737-700 is close to $50 million, while for a 747-400 is $200 million.</w:t>
      </w:r>
      <w:r w:rsidR="00EE30CD" w:rsidRPr="00EE30CD">
        <w:t xml:space="preserve"> </w:t>
      </w:r>
      <w:r w:rsidR="00EE30CD">
        <w:t xml:space="preserve">Additionally, high fuel costs have also been a big issue for the airline industry. The unpredictability of fuel costs has had a </w:t>
      </w:r>
      <w:r w:rsidR="002978AC">
        <w:t>major effect</w:t>
      </w:r>
      <w:r w:rsidR="00EE30CD">
        <w:t xml:space="preserve"> on the profitability of many US airline companies.</w:t>
      </w:r>
    </w:p>
    <w:p w:rsidR="00113BC9" w:rsidRDefault="00113BC9" w:rsidP="000031E3">
      <w:pPr>
        <w:ind w:firstLine="720"/>
        <w:jc w:val="both"/>
      </w:pPr>
      <w:r>
        <w:lastRenderedPageBreak/>
        <w:t xml:space="preserve">According to the </w:t>
      </w:r>
      <w:r w:rsidR="00455BBB">
        <w:t>JetWay</w:t>
      </w:r>
      <w:r>
        <w:t xml:space="preserve"> Airways case in the textbook </w:t>
      </w:r>
      <w:r>
        <w:rPr>
          <w:i/>
        </w:rPr>
        <w:t>Strategic Management</w:t>
      </w:r>
      <w:r w:rsidR="00455BBB">
        <w:t>, as of April 2012</w:t>
      </w:r>
      <w:r>
        <w:t>, “U.S. passenger airlines employed a total of 451,915 workers”, and the major problem airline companies</w:t>
      </w:r>
      <w:r w:rsidR="00911151">
        <w:t xml:space="preserve"> face is union labor contracts.</w:t>
      </w:r>
    </w:p>
    <w:p w:rsidR="00113BC9" w:rsidRDefault="00113BC9" w:rsidP="000031E3">
      <w:pPr>
        <w:ind w:firstLine="720"/>
        <w:jc w:val="both"/>
      </w:pPr>
      <w:r>
        <w:t>Code-sharing agreements have become common ways for airlines to effectively expand the number of markets they serve.</w:t>
      </w:r>
      <w:r w:rsidR="00E97F42">
        <w:t xml:space="preserve"> </w:t>
      </w:r>
      <w:r>
        <w:t>Code-sharing allows a ticketing airline to use the operating airline’s flight code to book flights on that airline’s planes.</w:t>
      </w:r>
    </w:p>
    <w:p w:rsidR="00113BC9" w:rsidRDefault="00113BC9">
      <w:pPr>
        <w:pStyle w:val="Heading3"/>
        <w:numPr>
          <w:ilvl w:val="1"/>
          <w:numId w:val="3"/>
        </w:numPr>
        <w:tabs>
          <w:tab w:val="clear" w:pos="1080"/>
          <w:tab w:val="num" w:pos="360"/>
        </w:tabs>
        <w:ind w:left="360"/>
        <w:jc w:val="both"/>
        <w:rPr>
          <w:rFonts w:ascii="Times New Roman" w:hAnsi="Times New Roman"/>
        </w:rPr>
      </w:pPr>
      <w:r>
        <w:rPr>
          <w:rFonts w:ascii="Times New Roman" w:hAnsi="Times New Roman"/>
        </w:rPr>
        <w:t>Competitive Analysis:</w:t>
      </w:r>
    </w:p>
    <w:p w:rsidR="00113BC9" w:rsidRDefault="00455BBB" w:rsidP="000031E3">
      <w:pPr>
        <w:ind w:firstLine="720"/>
        <w:jc w:val="both"/>
      </w:pPr>
      <w:r>
        <w:t>Northeast</w:t>
      </w:r>
      <w:r w:rsidR="00EE30CD">
        <w:t>’s</w:t>
      </w:r>
      <w:r w:rsidR="00113BC9">
        <w:t xml:space="preserve"> top competitors are </w:t>
      </w:r>
      <w:r>
        <w:t>Coastal</w:t>
      </w:r>
      <w:r w:rsidR="00113BC9">
        <w:t xml:space="preserve"> Airlines, </w:t>
      </w:r>
      <w:r>
        <w:t>Airways</w:t>
      </w:r>
      <w:r w:rsidR="00113BC9">
        <w:t xml:space="preserve">, and </w:t>
      </w:r>
      <w:r>
        <w:t>JetWay</w:t>
      </w:r>
      <w:r w:rsidR="00113BC9">
        <w:t>.</w:t>
      </w:r>
      <w:r w:rsidR="00E97F42">
        <w:t xml:space="preserve"> </w:t>
      </w:r>
      <w:r w:rsidR="00113BC9">
        <w:t xml:space="preserve">Other competitors include </w:t>
      </w:r>
      <w:r>
        <w:t>Dunlap</w:t>
      </w:r>
      <w:r w:rsidR="00113BC9">
        <w:t>, and Northwest.</w:t>
      </w:r>
      <w:r w:rsidR="00E97F42">
        <w:t xml:space="preserve"> </w:t>
      </w:r>
      <w:r w:rsidR="00113BC9">
        <w:t>Substitute products include train (</w:t>
      </w:r>
      <w:r>
        <w:t>KSC</w:t>
      </w:r>
      <w:r w:rsidR="00113BC9">
        <w:t>) and bus (</w:t>
      </w:r>
      <w:r>
        <w:t>Trammel</w:t>
      </w:r>
      <w:r w:rsidR="00113BC9">
        <w:t>) transportation, which cannot match the speed of travel that air transportation offers.</w:t>
      </w:r>
    </w:p>
    <w:p w:rsidR="00113BC9" w:rsidRDefault="00113BC9" w:rsidP="000031E3">
      <w:pPr>
        <w:ind w:firstLine="720"/>
        <w:jc w:val="both"/>
      </w:pPr>
      <w:r>
        <w:t xml:space="preserve">Big air carriers such as </w:t>
      </w:r>
      <w:r w:rsidR="00455BBB">
        <w:t>Coastal</w:t>
      </w:r>
      <w:r>
        <w:t xml:space="preserve"> A</w:t>
      </w:r>
      <w:r w:rsidR="00EE30CD">
        <w:t xml:space="preserve">irlines and </w:t>
      </w:r>
      <w:r w:rsidR="00455BBB">
        <w:t>Dunlap</w:t>
      </w:r>
      <w:r w:rsidR="00EE30CD">
        <w:t xml:space="preserve"> have strength</w:t>
      </w:r>
      <w:r>
        <w:t xml:space="preserve"> in terms of size, passenger volume, and marketing power; however, they experience a number of weaknesses related to internal efficiency, labor relations, and outdated business models that are not aligned with changes in customers preferences.</w:t>
      </w:r>
      <w:r w:rsidR="00E97F42">
        <w:t xml:space="preserve"> </w:t>
      </w:r>
      <w:r>
        <w:t xml:space="preserve">These weaknesses </w:t>
      </w:r>
      <w:r w:rsidR="005B7BF4">
        <w:t>are</w:t>
      </w:r>
      <w:r>
        <w:t xml:space="preserve"> even more </w:t>
      </w:r>
      <w:r w:rsidR="005B7BF4">
        <w:t xml:space="preserve">evident </w:t>
      </w:r>
      <w:r>
        <w:t xml:space="preserve">when compared to low-cost airlines such as </w:t>
      </w:r>
      <w:r w:rsidR="00455BBB">
        <w:t>Northeast</w:t>
      </w:r>
      <w:r>
        <w:t xml:space="preserve"> and </w:t>
      </w:r>
      <w:r w:rsidR="00455BBB">
        <w:t>JetWay</w:t>
      </w:r>
      <w:r>
        <w:t>.</w:t>
      </w:r>
      <w:r w:rsidR="00E97F42">
        <w:t xml:space="preserve"> </w:t>
      </w:r>
      <w:r>
        <w:t>Initially, these carriers offered low-cost service in routes ignored by the big carriers.</w:t>
      </w:r>
      <w:r w:rsidR="00E97F42">
        <w:t xml:space="preserve"> </w:t>
      </w:r>
      <w:r>
        <w:t>Their strengths in terms of internal efficiency, flexible operations, and lower cost equipment gave these low-cost carriers a major advantage with respect to cost.</w:t>
      </w:r>
      <w:r w:rsidR="00E97F42">
        <w:t xml:space="preserve"> </w:t>
      </w:r>
      <w:r>
        <w:t>The ability of low-cost carriers to operate more efficiently and at reduced costs has changed the way customers look at air travel.</w:t>
      </w:r>
      <w:r w:rsidR="00E97F42">
        <w:t xml:space="preserve"> </w:t>
      </w:r>
      <w:r>
        <w:t xml:space="preserve">Today, most customers see air travel as a commodity product, with price being the only real distinguishing feature among competing brands. This notion has contributed to </w:t>
      </w:r>
      <w:r w:rsidR="00455BBB">
        <w:t>Northeast</w:t>
      </w:r>
      <w:r w:rsidR="00911151">
        <w:t xml:space="preserve"> success.</w:t>
      </w:r>
    </w:p>
    <w:p w:rsidR="00113BC9" w:rsidRDefault="00113BC9" w:rsidP="000031E3">
      <w:pPr>
        <w:ind w:firstLine="720"/>
        <w:jc w:val="both"/>
      </w:pPr>
      <w:r>
        <w:t xml:space="preserve">In 2007, relative to </w:t>
      </w:r>
      <w:r w:rsidR="00EE30CD">
        <w:t>other</w:t>
      </w:r>
      <w:r>
        <w:t xml:space="preserve"> major competitors, </w:t>
      </w:r>
      <w:r w:rsidR="00455BBB">
        <w:t>Northeast</w:t>
      </w:r>
      <w:r>
        <w:t xml:space="preserve"> also enjoyed of the largest market share, 35%, followed by </w:t>
      </w:r>
      <w:r w:rsidR="00455BBB">
        <w:t>Dunlap</w:t>
      </w:r>
      <w:r>
        <w:t xml:space="preserve">, Northwest, and </w:t>
      </w:r>
      <w:r w:rsidR="00455BBB">
        <w:t>Coastal</w:t>
      </w:r>
      <w:r>
        <w:t xml:space="preserve"> Airlines. </w:t>
      </w:r>
      <w:r w:rsidR="00455BBB">
        <w:t>Northeast</w:t>
      </w:r>
      <w:r>
        <w:t xml:space="preserve"> maintains a cost-based competitive advantage over its rivals due to its no-frills strategy of high efficiency –no meals or advanced seating, limited routes, a uniform fleet of airplanes (Boeing 737), online reservation system, low pricing, and dedicated employees.</w:t>
      </w:r>
      <w:r w:rsidR="00E97F42">
        <w:t xml:space="preserve"> </w:t>
      </w:r>
      <w:r w:rsidR="00455BBB">
        <w:t>Northeast</w:t>
      </w:r>
      <w:r>
        <w:t>’s marketing strategy has allowed the company to remain profitable for over 34 years.</w:t>
      </w:r>
    </w:p>
    <w:p w:rsidR="00113BC9" w:rsidRDefault="00113BC9">
      <w:pPr>
        <w:pStyle w:val="Heading3"/>
        <w:numPr>
          <w:ilvl w:val="1"/>
          <w:numId w:val="3"/>
        </w:numPr>
        <w:tabs>
          <w:tab w:val="clear" w:pos="1080"/>
          <w:tab w:val="num" w:pos="360"/>
        </w:tabs>
        <w:ind w:left="360"/>
        <w:jc w:val="both"/>
        <w:rPr>
          <w:rFonts w:ascii="Times New Roman" w:hAnsi="Times New Roman"/>
        </w:rPr>
      </w:pPr>
      <w:r>
        <w:rPr>
          <w:rFonts w:ascii="Times New Roman" w:hAnsi="Times New Roman"/>
        </w:rPr>
        <w:t>SWOT Analysis:</w:t>
      </w:r>
    </w:p>
    <w:p w:rsidR="00113BC9" w:rsidRDefault="00455BBB" w:rsidP="000031E3">
      <w:pPr>
        <w:ind w:firstLine="720"/>
        <w:jc w:val="both"/>
      </w:pPr>
      <w:r>
        <w:t>Northeast</w:t>
      </w:r>
      <w:r w:rsidR="00113BC9">
        <w:t xml:space="preserve"> has a number of strengths to its name.</w:t>
      </w:r>
      <w:r w:rsidR="00E97F42">
        <w:t xml:space="preserve"> </w:t>
      </w:r>
      <w:r w:rsidR="00113BC9">
        <w:t>While not the largest airline, it has maintained profitability in all of its years in business.</w:t>
      </w:r>
      <w:r w:rsidR="00E97F42">
        <w:t xml:space="preserve"> </w:t>
      </w:r>
      <w:r w:rsidR="00113BC9">
        <w:t>The company’s low-cost strategy is supported by an intelligent service delivery system.</w:t>
      </w:r>
      <w:r w:rsidR="00E97F42">
        <w:t xml:space="preserve"> </w:t>
      </w:r>
      <w:r w:rsidR="00113BC9">
        <w:t>The airline uses the Boeing 737 for all flights making it easier to maintain the fleet.</w:t>
      </w:r>
      <w:r w:rsidR="00E97F42">
        <w:t xml:space="preserve"> </w:t>
      </w:r>
      <w:r w:rsidR="00113BC9">
        <w:t>Mechanics need to know only one type of plane and the company only has to have a single parts inventory.</w:t>
      </w:r>
      <w:r w:rsidR="00E97F42">
        <w:t xml:space="preserve"> </w:t>
      </w:r>
      <w:r>
        <w:t>Northeast</w:t>
      </w:r>
      <w:r w:rsidR="00113BC9">
        <w:t xml:space="preserve"> flies out of smaller, underserved hubs so as not to compete directly with many of the larger airlines.</w:t>
      </w:r>
      <w:r w:rsidR="00E97F42">
        <w:t xml:space="preserve"> </w:t>
      </w:r>
      <w:r w:rsidR="00113BC9">
        <w:t>These smaller hubs also make it possible for higher on-time performance.</w:t>
      </w:r>
      <w:r w:rsidR="00E97F42">
        <w:t xml:space="preserve">  </w:t>
      </w:r>
      <w:r w:rsidR="00113BC9">
        <w:t>The routes are usually short segments making in-flight meals unnecessary.</w:t>
      </w:r>
      <w:r w:rsidR="00E97F42">
        <w:t xml:space="preserve"> </w:t>
      </w:r>
      <w:r w:rsidR="00113BC9">
        <w:t xml:space="preserve"> The company has a different approach to ticketing as well.</w:t>
      </w:r>
      <w:r w:rsidR="00E97F42">
        <w:t xml:space="preserve"> </w:t>
      </w:r>
      <w:r w:rsidR="00113BC9">
        <w:t>Passengers are not assigned seats but are assigned to groups.</w:t>
      </w:r>
      <w:r w:rsidR="00E97F42">
        <w:t xml:space="preserve"> </w:t>
      </w:r>
      <w:r w:rsidR="00113BC9">
        <w:t>The lack of seat assignments makes it easier to get passengers on the plane and into the air.</w:t>
      </w:r>
      <w:r w:rsidR="00E97F42">
        <w:t xml:space="preserve"> </w:t>
      </w:r>
      <w:r w:rsidR="00113BC9">
        <w:t>Employees play a big role in the company’s strategy.</w:t>
      </w:r>
      <w:r w:rsidR="00E97F42">
        <w:t xml:space="preserve"> </w:t>
      </w:r>
      <w:r w:rsidR="00113BC9">
        <w:t>Employees are hand-picked and well-trained.</w:t>
      </w:r>
      <w:r w:rsidR="00E97F42">
        <w:t xml:space="preserve"> </w:t>
      </w:r>
      <w:r w:rsidR="00113BC9">
        <w:t>The company ensures that they are happy so that customers will be treated well and will in turn be happy.</w:t>
      </w:r>
      <w:r w:rsidR="00E97F42">
        <w:t xml:space="preserve"> </w:t>
      </w:r>
      <w:r>
        <w:t>Northeast</w:t>
      </w:r>
      <w:r w:rsidR="00113BC9">
        <w:t xml:space="preserve"> provides profit-sharing opportunities to its employees and employees are given a say in how the company is run.</w:t>
      </w:r>
      <w:r w:rsidR="00E97F42">
        <w:t xml:space="preserve"> </w:t>
      </w:r>
      <w:r>
        <w:t>Northeast</w:t>
      </w:r>
      <w:r w:rsidR="00113BC9">
        <w:t xml:space="preserve"> has some union employees, however their contracts are relatively flexible allowing the employees to work more hours when needed to ensure customers are taken care of.</w:t>
      </w:r>
      <w:r w:rsidR="00E97F42">
        <w:t xml:space="preserve"> </w:t>
      </w:r>
      <w:r w:rsidR="00113BC9">
        <w:t xml:space="preserve">Pilots are non-union (unlike many of the large airlines) which allows them to fly more hours per month if </w:t>
      </w:r>
      <w:r w:rsidR="00113BC9">
        <w:lastRenderedPageBreak/>
        <w:t>needed.</w:t>
      </w:r>
      <w:r w:rsidR="00E97F42">
        <w:t xml:space="preserve"> </w:t>
      </w:r>
      <w:r w:rsidR="00113BC9">
        <w:t>The company has been able to survive much of the gas price increases due to the fac</w:t>
      </w:r>
      <w:r w:rsidR="00911151">
        <w:t>t that it hedges on oil prices.</w:t>
      </w:r>
    </w:p>
    <w:p w:rsidR="00113BC9" w:rsidRDefault="00113BC9" w:rsidP="000031E3">
      <w:pPr>
        <w:ind w:firstLine="720"/>
        <w:jc w:val="both"/>
      </w:pPr>
      <w:r>
        <w:t xml:space="preserve">The strength of </w:t>
      </w:r>
      <w:r w:rsidR="00455BBB">
        <w:t>Northeast</w:t>
      </w:r>
      <w:r>
        <w:t xml:space="preserve"> is very apparent in its reputation and profitability but it is not without its weaknesses.</w:t>
      </w:r>
      <w:r w:rsidR="00E97F42">
        <w:t xml:space="preserve"> </w:t>
      </w:r>
      <w:r>
        <w:t xml:space="preserve"> Some of the methods the company employs are not appealing to everyone.</w:t>
      </w:r>
      <w:r w:rsidR="00E97F42">
        <w:t xml:space="preserve"> </w:t>
      </w:r>
      <w:r>
        <w:t>Unassigned seating, no-frills are not popular with all audiences.</w:t>
      </w:r>
      <w:r w:rsidR="00E97F42">
        <w:t xml:space="preserve"> </w:t>
      </w:r>
      <w:r>
        <w:t>The company does not offer service to many areas of the country and does not offer international flights.</w:t>
      </w:r>
      <w:r w:rsidR="00E97F42">
        <w:t xml:space="preserve"> </w:t>
      </w:r>
      <w:r w:rsidR="00455BBB">
        <w:t>Northeast</w:t>
      </w:r>
      <w:r>
        <w:t xml:space="preserve"> does not offer its tickets on travel websites such as Expedia.</w:t>
      </w:r>
    </w:p>
    <w:p w:rsidR="00113BC9" w:rsidRDefault="00455BBB" w:rsidP="000031E3">
      <w:pPr>
        <w:ind w:firstLine="720"/>
        <w:jc w:val="both"/>
      </w:pPr>
      <w:r>
        <w:t>Northeast</w:t>
      </w:r>
      <w:r w:rsidR="00113BC9">
        <w:t xml:space="preserve"> has a few opportunities it can take advantage of.</w:t>
      </w:r>
      <w:r w:rsidR="00E97F42">
        <w:t xml:space="preserve"> </w:t>
      </w:r>
      <w:r w:rsidR="00113BC9">
        <w:t>First, the company should utilize some of the travel websites such as Expedia for booking.</w:t>
      </w:r>
      <w:r w:rsidR="00E97F42">
        <w:t xml:space="preserve"> </w:t>
      </w:r>
      <w:r w:rsidR="00113BC9">
        <w:t>It could employ a strategy like that of Northwest where it offers the tickets for a slightly higher price when booked through a travel site.</w:t>
      </w:r>
      <w:r w:rsidR="00E97F42">
        <w:t xml:space="preserve"> </w:t>
      </w:r>
      <w:r w:rsidR="00113BC9">
        <w:t>The price would be slightly higher but it would allow potential customers to see its low prices side-by-side with those of its competitors.</w:t>
      </w:r>
      <w:r w:rsidR="00E97F42">
        <w:t xml:space="preserve"> </w:t>
      </w:r>
      <w:r w:rsidR="00113BC9">
        <w:t xml:space="preserve"> </w:t>
      </w:r>
      <w:r>
        <w:t>Northeast</w:t>
      </w:r>
      <w:r w:rsidR="00113BC9">
        <w:t xml:space="preserve"> could create strategic partnerships with entertainment companies to provide some sort of in-flight entertainment at low, or no-cost.</w:t>
      </w:r>
      <w:r w:rsidR="00E97F42">
        <w:t xml:space="preserve"> </w:t>
      </w:r>
      <w:r w:rsidR="00113BC9">
        <w:t xml:space="preserve">A partnership with Sirius Satellite television for instance may entice some customers to purchase tickets on </w:t>
      </w:r>
      <w:r>
        <w:t>Northeast</w:t>
      </w:r>
      <w:r w:rsidR="00113BC9">
        <w:t>.</w:t>
      </w:r>
      <w:r w:rsidR="00E97F42">
        <w:t xml:space="preserve"> </w:t>
      </w:r>
      <w:r w:rsidR="00113BC9">
        <w:t xml:space="preserve">Additionally, </w:t>
      </w:r>
      <w:r>
        <w:t>Northeast</w:t>
      </w:r>
      <w:r w:rsidR="00113BC9">
        <w:t xml:space="preserve"> could offer routes in areas it doesn’t presently serve.</w:t>
      </w:r>
      <w:r w:rsidR="00E97F42">
        <w:t xml:space="preserve"> </w:t>
      </w:r>
      <w:r w:rsidR="00113BC9">
        <w:t>Careful consideration would have to be given to the location so that it aligns with the strategy.</w:t>
      </w:r>
      <w:r w:rsidR="00E97F42">
        <w:t xml:space="preserve"> </w:t>
      </w:r>
      <w:r w:rsidR="00113BC9">
        <w:t xml:space="preserve"> </w:t>
      </w:r>
      <w:r>
        <w:t>Northeast</w:t>
      </w:r>
      <w:r w:rsidR="00113BC9">
        <w:t xml:space="preserve"> could even partner with airline maker Boeing to be one of the first airlines to employ a more</w:t>
      </w:r>
      <w:r w:rsidR="00911151">
        <w:t xml:space="preserve"> fuel-efficient line of planes.</w:t>
      </w:r>
    </w:p>
    <w:p w:rsidR="00113BC9" w:rsidRDefault="00455BBB" w:rsidP="000031E3">
      <w:pPr>
        <w:ind w:firstLine="720"/>
        <w:jc w:val="both"/>
      </w:pPr>
      <w:r>
        <w:t>Northeast</w:t>
      </w:r>
      <w:r w:rsidR="00113BC9">
        <w:t>, like many of its competitors, is not impervious to threats.</w:t>
      </w:r>
      <w:r w:rsidR="00E97F42">
        <w:t xml:space="preserve"> </w:t>
      </w:r>
      <w:r w:rsidR="00113BC9">
        <w:t xml:space="preserve">One of the largest threats to the company would be that another competitor is able to model itself after </w:t>
      </w:r>
      <w:r>
        <w:t>Northeast</w:t>
      </w:r>
      <w:r w:rsidR="00113BC9">
        <w:t xml:space="preserve"> on both price and cost.</w:t>
      </w:r>
      <w:r w:rsidR="00E97F42">
        <w:t xml:space="preserve"> </w:t>
      </w:r>
      <w:r w:rsidR="00113BC9">
        <w:t xml:space="preserve"> The company too could be easily affected by the rising gas prices.</w:t>
      </w:r>
      <w:r w:rsidR="00E97F42">
        <w:t xml:space="preserve"> </w:t>
      </w:r>
      <w:r w:rsidR="00113BC9">
        <w:t>Also, a sharp increase in passengers (supply) could affect the company’s reputation if it were not able to meet the demand.</w:t>
      </w:r>
      <w:r w:rsidR="00E97F42">
        <w:t xml:space="preserve"> </w:t>
      </w:r>
      <w:r w:rsidR="00113BC9">
        <w:t xml:space="preserve"> A few of the company’s strengths could easily become its weakness. For example, if the 737 model were to have a significant flaw it could cripple the fleet and cost the company a lot of money in time lost, parts and labor.</w:t>
      </w:r>
      <w:r w:rsidR="00E97F42">
        <w:t xml:space="preserve"> </w:t>
      </w:r>
      <w:r w:rsidR="00113BC9">
        <w:t>Additionally, the un-unionized pilots could unionize or the unionized employees could require more stringent agreements with the company.</w:t>
      </w:r>
    </w:p>
    <w:p w:rsidR="00113BC9" w:rsidRDefault="00113BC9">
      <w:pPr>
        <w:pStyle w:val="Heading3"/>
        <w:numPr>
          <w:ilvl w:val="1"/>
          <w:numId w:val="3"/>
        </w:numPr>
        <w:tabs>
          <w:tab w:val="clear" w:pos="1080"/>
          <w:tab w:val="num" w:pos="360"/>
        </w:tabs>
        <w:ind w:left="360"/>
        <w:jc w:val="both"/>
        <w:rPr>
          <w:rFonts w:ascii="Times New Roman" w:hAnsi="Times New Roman"/>
        </w:rPr>
      </w:pPr>
      <w:r>
        <w:rPr>
          <w:rFonts w:ascii="Times New Roman" w:hAnsi="Times New Roman"/>
        </w:rPr>
        <w:t>Economic Product Life Cycle:</w:t>
      </w:r>
    </w:p>
    <w:p w:rsidR="00113BC9" w:rsidRDefault="00113BC9" w:rsidP="000031E3">
      <w:pPr>
        <w:ind w:firstLine="720"/>
        <w:jc w:val="both"/>
        <w:rPr>
          <w:lang w:val="en"/>
        </w:rPr>
      </w:pPr>
      <w:r>
        <w:rPr>
          <w:lang w:val="en"/>
        </w:rPr>
        <w:t>Products and services pass through various stages of development or growth, known as the economic product life cycle.</w:t>
      </w:r>
      <w:r w:rsidR="00E97F42">
        <w:rPr>
          <w:lang w:val="en"/>
        </w:rPr>
        <w:t xml:space="preserve"> </w:t>
      </w:r>
      <w:r>
        <w:rPr>
          <w:lang w:val="en"/>
        </w:rPr>
        <w:t>The first stage is the introductory stage, where marketers present their product to potential customers.</w:t>
      </w:r>
      <w:r w:rsidR="00E97F42">
        <w:rPr>
          <w:lang w:val="en"/>
        </w:rPr>
        <w:t xml:space="preserve"> </w:t>
      </w:r>
      <w:r>
        <w:rPr>
          <w:lang w:val="en"/>
        </w:rPr>
        <w:t>The next stage is the growth and acceptance stage which is characterized by large sales and rise in profits. Following to this stage is the maturity and competition stage, where sales volume continues to rise but profit margins begin to fall due to competitors entering the market.</w:t>
      </w:r>
      <w:r w:rsidR="00E97F42">
        <w:rPr>
          <w:lang w:val="en"/>
        </w:rPr>
        <w:t xml:space="preserve"> </w:t>
      </w:r>
      <w:r>
        <w:rPr>
          <w:lang w:val="en"/>
        </w:rPr>
        <w:t>The market saturation stage comes next.</w:t>
      </w:r>
      <w:r w:rsidR="00E97F42">
        <w:rPr>
          <w:lang w:val="en"/>
        </w:rPr>
        <w:t xml:space="preserve"> </w:t>
      </w:r>
      <w:r>
        <w:rPr>
          <w:lang w:val="en"/>
        </w:rPr>
        <w:t>In this stage, sales begin to decline.</w:t>
      </w:r>
      <w:r w:rsidR="00E97F42">
        <w:rPr>
          <w:lang w:val="en"/>
        </w:rPr>
        <w:t xml:space="preserve"> </w:t>
      </w:r>
      <w:r>
        <w:rPr>
          <w:lang w:val="en"/>
        </w:rPr>
        <w:t>The last stage of the product life cycle is the product decline stage. In this stage sales continue to drop and profit margins fall drastically.</w:t>
      </w:r>
    </w:p>
    <w:p w:rsidR="00113BC9" w:rsidRDefault="00113BC9" w:rsidP="000031E3">
      <w:pPr>
        <w:ind w:firstLine="720"/>
        <w:jc w:val="both"/>
      </w:pPr>
      <w:r>
        <w:rPr>
          <w:lang w:val="en"/>
        </w:rPr>
        <w:t>Based on this economic product life cycle we can determine that the airline industry is in the maturity and competition stage. Growth has been slow in the last years and with so many competitors competing for the same market share, many weak airline companies have passed through terrible financial situations and even filed for bankruptcy.</w:t>
      </w:r>
      <w:r w:rsidR="00E97F42">
        <w:rPr>
          <w:lang w:val="en"/>
        </w:rPr>
        <w:t xml:space="preserve"> </w:t>
      </w:r>
      <w:r>
        <w:rPr>
          <w:lang w:val="en"/>
        </w:rPr>
        <w:t xml:space="preserve">Competition is so </w:t>
      </w:r>
      <w:r>
        <w:t xml:space="preserve">arduous that many of the airline companies are trying to change their strategies to try to make a profit, meaning that some are trying to emulate </w:t>
      </w:r>
      <w:r w:rsidR="00455BBB">
        <w:t>Northeast</w:t>
      </w:r>
      <w:r>
        <w:t xml:space="preserve"> Airlines low-cost strategy since it is the only airline that has been able to make a profit for the last 34 years.</w:t>
      </w:r>
    </w:p>
    <w:p w:rsidR="00113BC9" w:rsidRDefault="00113BC9">
      <w:pPr>
        <w:pStyle w:val="Heading2"/>
        <w:numPr>
          <w:ilvl w:val="0"/>
          <w:numId w:val="3"/>
        </w:numPr>
        <w:jc w:val="both"/>
        <w:rPr>
          <w:rFonts w:ascii="Times New Roman" w:hAnsi="Times New Roman"/>
          <w:i w:val="0"/>
          <w:iCs w:val="0"/>
        </w:rPr>
      </w:pPr>
      <w:r>
        <w:rPr>
          <w:rFonts w:ascii="Times New Roman" w:hAnsi="Times New Roman"/>
          <w:i w:val="0"/>
          <w:iCs w:val="0"/>
        </w:rPr>
        <w:lastRenderedPageBreak/>
        <w:t>Alternatives</w:t>
      </w:r>
    </w:p>
    <w:p w:rsidR="00113BC9" w:rsidRDefault="00113BC9" w:rsidP="000031E3">
      <w:pPr>
        <w:ind w:firstLine="720"/>
        <w:jc w:val="both"/>
      </w:pPr>
      <w:r>
        <w:t xml:space="preserve">In order </w:t>
      </w:r>
      <w:r w:rsidR="00455BBB">
        <w:t>for</w:t>
      </w:r>
      <w:r>
        <w:t xml:space="preserve"> </w:t>
      </w:r>
      <w:r w:rsidR="00455BBB">
        <w:t>Northeast</w:t>
      </w:r>
      <w:r>
        <w:t xml:space="preserve"> to maintain its cost-based competitive advantage and keep being a leader in market share and profits, some changes to its strategy may be necessary.</w:t>
      </w:r>
      <w:r w:rsidR="00E97F42">
        <w:t xml:space="preserve"> </w:t>
      </w:r>
      <w:r>
        <w:t xml:space="preserve">Some of the alternatives available to </w:t>
      </w:r>
      <w:r w:rsidR="00455BBB">
        <w:t>Northeast</w:t>
      </w:r>
      <w:r>
        <w:t xml:space="preserve"> for the next 3-5 years are: </w:t>
      </w:r>
    </w:p>
    <w:p w:rsidR="00113BC9" w:rsidRDefault="00113BC9">
      <w:pPr>
        <w:numPr>
          <w:ilvl w:val="1"/>
          <w:numId w:val="3"/>
        </w:numPr>
        <w:tabs>
          <w:tab w:val="num" w:pos="840"/>
        </w:tabs>
        <w:ind w:hanging="312"/>
        <w:jc w:val="both"/>
      </w:pPr>
      <w:r>
        <w:t xml:space="preserve">Expand their services to more cities domestically. Currently, </w:t>
      </w:r>
      <w:r w:rsidR="00455BBB">
        <w:t>Northeast</w:t>
      </w:r>
      <w:r>
        <w:t xml:space="preserve"> offers service to 65 cities in more than 30 states in the United States including Hawaii which is operated by ATA Airlines through a code-share agreement they have.</w:t>
      </w:r>
      <w:r w:rsidR="00E97F42">
        <w:t xml:space="preserve"> </w:t>
      </w:r>
      <w:r>
        <w:t xml:space="preserve">Please refer the map bellow. By offering service to more destinations, even if it is through a code-share agreement, </w:t>
      </w:r>
      <w:r w:rsidR="00455BBB">
        <w:t>Northeast</w:t>
      </w:r>
      <w:r w:rsidR="00812B4E">
        <w:t xml:space="preserve"> will be able to reach </w:t>
      </w:r>
      <w:r>
        <w:t xml:space="preserve">a greater number of customers, will force their competitors to lower their fares to the cities </w:t>
      </w:r>
      <w:r w:rsidR="00455BBB">
        <w:t>Northeast</w:t>
      </w:r>
      <w:r>
        <w:t xml:space="preserve"> will enter, which could ultimately may make them go out of business.</w:t>
      </w:r>
      <w:r w:rsidR="00E97F42">
        <w:t xml:space="preserve"> </w:t>
      </w:r>
      <w:r>
        <w:t xml:space="preserve">Cons to this alternative include new costs to </w:t>
      </w:r>
      <w:r w:rsidR="00455BBB">
        <w:t>Northeast</w:t>
      </w:r>
      <w:r>
        <w:t>, including a possible major investment in more airplanes, and lower profit margins for at least the first years of expansion.</w:t>
      </w:r>
    </w:p>
    <w:p w:rsidR="00113BC9" w:rsidRDefault="00113BC9">
      <w:pPr>
        <w:ind w:left="480"/>
        <w:jc w:val="both"/>
      </w:pPr>
    </w:p>
    <w:p w:rsidR="00113BC9" w:rsidRDefault="005948CD">
      <w:pPr>
        <w:jc w:val="both"/>
      </w:pPr>
      <w:r>
        <w:rPr>
          <w:noProof/>
        </w:rPr>
        <w:drawing>
          <wp:inline distT="0" distB="0" distL="0" distR="0">
            <wp:extent cx="5934710" cy="3286760"/>
            <wp:effectExtent l="0" t="0" r="8890" b="8890"/>
            <wp:docPr id="3" name="Picture 3" descr="Southwes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west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286760"/>
                    </a:xfrm>
                    <a:prstGeom prst="rect">
                      <a:avLst/>
                    </a:prstGeom>
                    <a:noFill/>
                    <a:ln>
                      <a:noFill/>
                    </a:ln>
                  </pic:spPr>
                </pic:pic>
              </a:graphicData>
            </a:graphic>
          </wp:inline>
        </w:drawing>
      </w:r>
    </w:p>
    <w:p w:rsidR="00113BC9" w:rsidRDefault="00113BC9">
      <w:pPr>
        <w:tabs>
          <w:tab w:val="num" w:pos="1200"/>
        </w:tabs>
        <w:ind w:left="720"/>
        <w:jc w:val="both"/>
      </w:pPr>
    </w:p>
    <w:p w:rsidR="00812B4E" w:rsidRDefault="00113BC9">
      <w:pPr>
        <w:numPr>
          <w:ilvl w:val="1"/>
          <w:numId w:val="3"/>
        </w:numPr>
        <w:tabs>
          <w:tab w:val="num" w:pos="840"/>
        </w:tabs>
        <w:ind w:hanging="312"/>
        <w:jc w:val="both"/>
      </w:pPr>
      <w:r>
        <w:t>Expand their services to international destinations.</w:t>
      </w:r>
      <w:r w:rsidR="00E97F42">
        <w:t xml:space="preserve"> </w:t>
      </w:r>
      <w:r w:rsidR="00812B4E">
        <w:t xml:space="preserve">Currently </w:t>
      </w:r>
      <w:r w:rsidR="00455BBB">
        <w:t>Northeast</w:t>
      </w:r>
      <w:r w:rsidR="00812B4E">
        <w:t xml:space="preserve"> does not offer service to any international destination.</w:t>
      </w:r>
      <w:r w:rsidR="00E97F42">
        <w:t xml:space="preserve"> </w:t>
      </w:r>
      <w:r w:rsidR="00455BBB">
        <w:t>Northeast</w:t>
      </w:r>
      <w:r w:rsidR="00812B4E">
        <w:t xml:space="preserve"> could do this via code sharing agreements with other airlines at first. They currently offer flights to Hawaii via a code sharing agreement with ATA.</w:t>
      </w:r>
      <w:r w:rsidR="00E97F42">
        <w:t xml:space="preserve"> </w:t>
      </w:r>
      <w:r w:rsidR="00455BBB">
        <w:t>Northeast</w:t>
      </w:r>
      <w:r w:rsidR="00812B4E">
        <w:t xml:space="preserve"> must ensure that its choice for code sharing partner will not degrade the image of the company.</w:t>
      </w:r>
    </w:p>
    <w:p w:rsidR="00113BC9" w:rsidRDefault="00812B4E">
      <w:pPr>
        <w:numPr>
          <w:ilvl w:val="1"/>
          <w:numId w:val="3"/>
        </w:numPr>
        <w:tabs>
          <w:tab w:val="num" w:pos="840"/>
        </w:tabs>
        <w:ind w:hanging="312"/>
        <w:jc w:val="both"/>
      </w:pPr>
      <w:r>
        <w:t xml:space="preserve">If </w:t>
      </w:r>
      <w:r w:rsidR="00455BBB">
        <w:t>Northeast</w:t>
      </w:r>
      <w:r>
        <w:t xml:space="preserve"> were to expand into additional US or international markets it would have to rethink its no frills </w:t>
      </w:r>
      <w:r w:rsidR="002978AC">
        <w:t>strategy</w:t>
      </w:r>
      <w:r>
        <w:t>. Passengers don’t mind no frills for short-hauls, however for longer flights they would certainly choose an airline that had more roomy seats and in-flight entertainment.</w:t>
      </w:r>
      <w:r w:rsidR="00E97F42">
        <w:t xml:space="preserve"> </w:t>
      </w:r>
      <w:r>
        <w:t xml:space="preserve">In this respect, </w:t>
      </w:r>
      <w:r w:rsidR="00455BBB">
        <w:t>JetWay</w:t>
      </w:r>
      <w:r>
        <w:t xml:space="preserve"> is a direct competitor. </w:t>
      </w:r>
      <w:r w:rsidR="00113BC9">
        <w:t xml:space="preserve">The carrier offers one−class service −−with leather seats, satellite TV (with programming from DIRECTV), satellite radio (from XM), and movies (from FOX InFlight) −− to about 55 cities in more than 20 states and in Mexico and the </w:t>
      </w:r>
      <w:r w:rsidR="00113BC9">
        <w:lastRenderedPageBreak/>
        <w:t>Caribbean (including Puerto Rico and the Dominican Republic). Nearly all of its flights arrive or depart from one of four key markets: New York, Los Angeles, Boston, and Washington, DC.</w:t>
      </w:r>
      <w:r w:rsidR="00E97F42">
        <w:t xml:space="preserve"> </w:t>
      </w:r>
      <w:r w:rsidR="00455BBB">
        <w:t>Northeast</w:t>
      </w:r>
      <w:r>
        <w:t xml:space="preserve"> could offer similar amenities on longer flights so as to compete directly with such airlines.</w:t>
      </w:r>
    </w:p>
    <w:p w:rsidR="00113BC9" w:rsidRDefault="00113BC9">
      <w:pPr>
        <w:numPr>
          <w:ilvl w:val="1"/>
          <w:numId w:val="3"/>
        </w:numPr>
        <w:tabs>
          <w:tab w:val="num" w:pos="840"/>
        </w:tabs>
        <w:ind w:hanging="312"/>
        <w:jc w:val="both"/>
      </w:pPr>
      <w:r>
        <w:t xml:space="preserve">Upgrade </w:t>
      </w:r>
      <w:r w:rsidR="00812B4E">
        <w:t>its</w:t>
      </w:r>
      <w:r>
        <w:t xml:space="preserve"> aesthetics and offer more comfortable seats and different types of classes for customers that prefer a more upscale service, such as the one offered in business class.</w:t>
      </w:r>
      <w:r w:rsidR="000C40EA">
        <w:t xml:space="preserve"> AirTran A</w:t>
      </w:r>
      <w:r w:rsidR="00812B4E">
        <w:t>irlines, a smaller competitor, offer $40 upgrades to its Business class seats.</w:t>
      </w:r>
      <w:r w:rsidR="00E97F42">
        <w:t xml:space="preserve"> </w:t>
      </w:r>
      <w:r w:rsidR="00812B4E">
        <w:t xml:space="preserve">Customers can choose to be upgraded even at the gate prior to departure. </w:t>
      </w:r>
    </w:p>
    <w:p w:rsidR="00113BC9" w:rsidRDefault="00113BC9">
      <w:pPr>
        <w:numPr>
          <w:ilvl w:val="1"/>
          <w:numId w:val="3"/>
        </w:numPr>
        <w:tabs>
          <w:tab w:val="num" w:pos="840"/>
        </w:tabs>
        <w:ind w:hanging="312"/>
        <w:jc w:val="both"/>
      </w:pPr>
      <w:r>
        <w:t>Utilize some of the travel websites such as Expedia for booking. The cost would be slightly higher but it would allow potential customers to see its low prices side-by-side with those of its competitors.</w:t>
      </w:r>
    </w:p>
    <w:p w:rsidR="00113BC9" w:rsidRDefault="00113BC9">
      <w:pPr>
        <w:numPr>
          <w:ilvl w:val="1"/>
          <w:numId w:val="3"/>
        </w:numPr>
        <w:tabs>
          <w:tab w:val="num" w:pos="840"/>
        </w:tabs>
        <w:ind w:hanging="312"/>
        <w:jc w:val="both"/>
      </w:pPr>
      <w:r>
        <w:t>Create strategic partnerships with entertainment companies to provide some sort of in-flight entertainment at low, or no-cost.</w:t>
      </w:r>
      <w:r w:rsidR="00E97F42">
        <w:t xml:space="preserve"> </w:t>
      </w:r>
      <w:r>
        <w:t xml:space="preserve">A partnership with Sirius Satellite television for instance may entice some customers to purchase tickets on </w:t>
      </w:r>
      <w:r w:rsidR="00455BBB">
        <w:t>Northeast</w:t>
      </w:r>
      <w:r>
        <w:t>.</w:t>
      </w:r>
    </w:p>
    <w:p w:rsidR="00113BC9" w:rsidRDefault="00113BC9">
      <w:pPr>
        <w:pStyle w:val="Heading2"/>
        <w:numPr>
          <w:ilvl w:val="0"/>
          <w:numId w:val="3"/>
        </w:numPr>
        <w:jc w:val="both"/>
        <w:rPr>
          <w:rFonts w:ascii="Times New Roman" w:hAnsi="Times New Roman"/>
          <w:i w:val="0"/>
          <w:iCs w:val="0"/>
        </w:rPr>
      </w:pPr>
      <w:r>
        <w:rPr>
          <w:rFonts w:ascii="Times New Roman" w:hAnsi="Times New Roman"/>
          <w:i w:val="0"/>
          <w:iCs w:val="0"/>
        </w:rPr>
        <w:t>Financial Analysis</w:t>
      </w:r>
    </w:p>
    <w:p w:rsidR="00113BC9" w:rsidRDefault="00113BC9"/>
    <w:p w:rsidR="00113BC9" w:rsidRDefault="005948CD" w:rsidP="00255D48">
      <w:pPr>
        <w:jc w:val="center"/>
      </w:pPr>
      <w:r>
        <w:rPr>
          <w:noProof/>
        </w:rPr>
        <w:drawing>
          <wp:inline distT="0" distB="0" distL="0" distR="0">
            <wp:extent cx="4684395" cy="2717165"/>
            <wp:effectExtent l="0" t="0" r="0" b="0"/>
            <wp:docPr id="4" name="Objec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2B4E" w:rsidRDefault="00812B4E"/>
    <w:p w:rsidR="00113BC9" w:rsidRDefault="00113BC9" w:rsidP="000031E3">
      <w:pPr>
        <w:ind w:firstLine="720"/>
      </w:pPr>
      <w:r>
        <w:t xml:space="preserve">There </w:t>
      </w:r>
      <w:r w:rsidR="00812B4E">
        <w:t>has been</w:t>
      </w:r>
      <w:r>
        <w:t xml:space="preserve"> a continuous increase in the total operating revenues of </w:t>
      </w:r>
      <w:r w:rsidR="00455BBB">
        <w:t>Northeast</w:t>
      </w:r>
      <w:r w:rsidR="00812B4E">
        <w:t xml:space="preserve"> Airlines since 2002. Growing on past performance, the </w:t>
      </w:r>
      <w:r>
        <w:t>trend line in the above chart is indicative of a further increase in the next three years.</w:t>
      </w:r>
    </w:p>
    <w:p w:rsidR="00113BC9" w:rsidRDefault="00113BC9"/>
    <w:p w:rsidR="00113BC9" w:rsidRDefault="005948CD" w:rsidP="00255D48">
      <w:pPr>
        <w:jc w:val="center"/>
      </w:pPr>
      <w:r>
        <w:rPr>
          <w:noProof/>
        </w:rPr>
        <w:lastRenderedPageBreak/>
        <w:drawing>
          <wp:inline distT="0" distB="0" distL="0" distR="0">
            <wp:extent cx="4684395" cy="2717165"/>
            <wp:effectExtent l="0" t="0" r="0" b="0"/>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3BC9" w:rsidRDefault="00113BC9"/>
    <w:p w:rsidR="00113BC9" w:rsidRDefault="00113BC9" w:rsidP="000031E3">
      <w:pPr>
        <w:ind w:firstLine="720"/>
      </w:pPr>
      <w:r>
        <w:t xml:space="preserve">The gross profit is the total revenue subtracted by the cost of generating that revenue. It tells you how much money a business would have made if it didn’t pay any other expenses such as salary, income taxes, etc. There is a continuous increase in the Gross profit of </w:t>
      </w:r>
      <w:r w:rsidR="00455BBB">
        <w:t>Northeast</w:t>
      </w:r>
      <w:r>
        <w:t xml:space="preserve"> Airlines since 2002. Also, the trend line in the above chart is indicative of a further increase in the next three years.</w:t>
      </w:r>
    </w:p>
    <w:p w:rsidR="00113BC9" w:rsidRDefault="00113BC9"/>
    <w:p w:rsidR="00113BC9" w:rsidRDefault="005948CD" w:rsidP="00255D48">
      <w:pPr>
        <w:jc w:val="center"/>
      </w:pPr>
      <w:r>
        <w:rPr>
          <w:noProof/>
        </w:rPr>
        <w:drawing>
          <wp:inline distT="0" distB="0" distL="0" distR="0">
            <wp:extent cx="4675505"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2708910"/>
                    </a:xfrm>
                    <a:prstGeom prst="rect">
                      <a:avLst/>
                    </a:prstGeom>
                    <a:noFill/>
                    <a:ln>
                      <a:noFill/>
                    </a:ln>
                  </pic:spPr>
                </pic:pic>
              </a:graphicData>
            </a:graphic>
          </wp:inline>
        </w:drawing>
      </w:r>
    </w:p>
    <w:p w:rsidR="00113BC9" w:rsidRDefault="00113BC9"/>
    <w:p w:rsidR="00113BC9" w:rsidRDefault="00113BC9" w:rsidP="000031E3">
      <w:pPr>
        <w:pStyle w:val="HTMLPreformatted"/>
        <w:ind w:firstLine="922"/>
      </w:pPr>
      <w:r>
        <w:rPr>
          <w:rFonts w:ascii="Times New Roman" w:eastAsia="Times New Roman" w:hAnsi="Times New Roman" w:cs="Times New Roman"/>
          <w:color w:val="auto"/>
          <w:sz w:val="24"/>
          <w:szCs w:val="24"/>
        </w:rPr>
        <w:t xml:space="preserve">The cash and cash equivalents </w:t>
      </w:r>
      <w:r w:rsidR="00E519F1">
        <w:rPr>
          <w:rFonts w:ascii="Times New Roman" w:eastAsia="Times New Roman" w:hAnsi="Times New Roman" w:cs="Times New Roman"/>
          <w:color w:val="auto"/>
          <w:sz w:val="24"/>
          <w:szCs w:val="24"/>
        </w:rPr>
        <w:t>at end of period is the sum of n</w:t>
      </w:r>
      <w:r>
        <w:rPr>
          <w:rFonts w:ascii="Times New Roman" w:eastAsia="Times New Roman" w:hAnsi="Times New Roman" w:cs="Times New Roman"/>
          <w:color w:val="auto"/>
          <w:sz w:val="24"/>
          <w:szCs w:val="24"/>
        </w:rPr>
        <w:t>et increase (decrease) in cash / cash equivalents and cash and cash equivalents at the beginning of period</w:t>
      </w:r>
      <w:r>
        <w:t>.</w:t>
      </w:r>
      <w:r w:rsidR="00E97F42">
        <w:t xml:space="preserve"> </w:t>
      </w:r>
    </w:p>
    <w:p w:rsidR="00113BC9" w:rsidRDefault="005948CD" w:rsidP="00255D48">
      <w:pPr>
        <w:jc w:val="center"/>
      </w:pPr>
      <w:r>
        <w:rPr>
          <w:noProof/>
        </w:rPr>
        <w:lastRenderedPageBreak/>
        <w:drawing>
          <wp:inline distT="0" distB="0" distL="0" distR="0">
            <wp:extent cx="4684395" cy="2717165"/>
            <wp:effectExtent l="0" t="0" r="0" b="0"/>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3BC9" w:rsidRDefault="00113BC9"/>
    <w:p w:rsidR="00113BC9" w:rsidRDefault="00113BC9" w:rsidP="000031E3">
      <w:pPr>
        <w:ind w:firstLine="720"/>
      </w:pPr>
      <w:r>
        <w:t xml:space="preserve">The total equity is the sum of stockholders equity and the preferred stock equity. The total equity for </w:t>
      </w:r>
      <w:r w:rsidR="000031E3">
        <w:t>N</w:t>
      </w:r>
      <w:r w:rsidR="00455BBB">
        <w:t>ortheast</w:t>
      </w:r>
      <w:r>
        <w:t xml:space="preserve"> Airlines for the year 2006 is $6,449M. The trend line is also shown in the above chart. The trend until the year 2010 is upward, showing tremendous growth and shareholders confidence.</w:t>
      </w:r>
    </w:p>
    <w:p w:rsidR="00113BC9" w:rsidRDefault="00113BC9"/>
    <w:p w:rsidR="00113BC9" w:rsidRDefault="005948CD" w:rsidP="00255D48">
      <w:pPr>
        <w:jc w:val="center"/>
      </w:pPr>
      <w:r>
        <w:rPr>
          <w:noProof/>
        </w:rPr>
        <w:drawing>
          <wp:inline distT="0" distB="0" distL="0" distR="0">
            <wp:extent cx="4675505" cy="2708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505" cy="2708910"/>
                    </a:xfrm>
                    <a:prstGeom prst="rect">
                      <a:avLst/>
                    </a:prstGeom>
                    <a:noFill/>
                    <a:ln>
                      <a:noFill/>
                    </a:ln>
                  </pic:spPr>
                </pic:pic>
              </a:graphicData>
            </a:graphic>
          </wp:inline>
        </w:drawing>
      </w:r>
    </w:p>
    <w:p w:rsidR="00113BC9" w:rsidRDefault="00113BC9"/>
    <w:p w:rsidR="00113BC9" w:rsidRDefault="00113BC9" w:rsidP="000031E3">
      <w:pPr>
        <w:ind w:firstLine="720"/>
      </w:pPr>
      <w:r>
        <w:t>The above chart depicts the debt an</w:t>
      </w:r>
      <w:r w:rsidR="000C1547">
        <w:t xml:space="preserve">d equity of </w:t>
      </w:r>
      <w:r w:rsidR="00455BBB">
        <w:t>Northeast</w:t>
      </w:r>
      <w:r w:rsidR="000C1547">
        <w:t xml:space="preserve"> Airline, which is a </w:t>
      </w:r>
      <w:r>
        <w:t xml:space="preserve">measure of a company's financial leverage calculated by dividing its total liabilities by stockholders' equity. It indicates what proportion of equity and </w:t>
      </w:r>
      <w:hyperlink r:id="rId13" w:tgtFrame="_blank" w:history="1">
        <w:r>
          <w:t>debt</w:t>
        </w:r>
      </w:hyperlink>
      <w:r>
        <w:t xml:space="preserve"> the company is using to finance its assets. A high debt/equity ratio generally means that a company has been aggressive in financing its growth with debt</w:t>
      </w:r>
      <w:r>
        <w:rPr>
          <w:rFonts w:ascii="Arial" w:hAnsi="Arial" w:cs="Arial"/>
          <w:sz w:val="18"/>
          <w:szCs w:val="18"/>
        </w:rPr>
        <w:t>.</w:t>
      </w:r>
    </w:p>
    <w:p w:rsidR="00113BC9" w:rsidRDefault="00113BC9">
      <w:pPr>
        <w:pStyle w:val="Heading2"/>
        <w:numPr>
          <w:ilvl w:val="0"/>
          <w:numId w:val="3"/>
        </w:numPr>
        <w:jc w:val="both"/>
        <w:rPr>
          <w:rFonts w:ascii="Times New Roman" w:hAnsi="Times New Roman"/>
          <w:i w:val="0"/>
          <w:iCs w:val="0"/>
        </w:rPr>
      </w:pPr>
      <w:r>
        <w:rPr>
          <w:rFonts w:ascii="Times New Roman" w:hAnsi="Times New Roman"/>
          <w:i w:val="0"/>
          <w:iCs w:val="0"/>
        </w:rPr>
        <w:lastRenderedPageBreak/>
        <w:t>Conclusion</w:t>
      </w:r>
    </w:p>
    <w:p w:rsidR="00113BC9" w:rsidRDefault="00455BBB" w:rsidP="000031E3">
      <w:pPr>
        <w:ind w:firstLine="720"/>
        <w:jc w:val="both"/>
      </w:pPr>
      <w:r>
        <w:t>Northeast</w:t>
      </w:r>
      <w:r w:rsidR="000C1547">
        <w:t xml:space="preserve"> has held a strong position in the market </w:t>
      </w:r>
      <w:r w:rsidR="007262FF">
        <w:t xml:space="preserve">both in terms of market share </w:t>
      </w:r>
      <w:r w:rsidR="000C1547">
        <w:t>as well as financially for many years and it appears that it has the opportunity to do so for many more to come. Its current strategies are working but for how long? The company must not get too comfortable, like so many of its competitors were prior to 2001.</w:t>
      </w:r>
      <w:r w:rsidR="00E97F42">
        <w:t xml:space="preserve"> </w:t>
      </w:r>
      <w:r>
        <w:t>Northeast</w:t>
      </w:r>
      <w:r w:rsidR="000C1547">
        <w:t xml:space="preserve"> still needs to pay strict attention to the ever-changing market, customer demands, and surrounding environment such as oil prices and government regulation. It should</w:t>
      </w:r>
      <w:r w:rsidR="00C47A49">
        <w:t xml:space="preserve"> (and needs to)</w:t>
      </w:r>
      <w:r w:rsidR="000C1547">
        <w:t xml:space="preserve"> try new things and expand into additional but not at the expense o</w:t>
      </w:r>
      <w:r w:rsidR="005948CD">
        <w:t>f the rest of the organization.</w:t>
      </w:r>
    </w:p>
    <w:sectPr w:rsidR="00113BC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15F" w:rsidRDefault="005D015F">
      <w:r>
        <w:separator/>
      </w:r>
    </w:p>
  </w:endnote>
  <w:endnote w:type="continuationSeparator" w:id="0">
    <w:p w:rsidR="005D015F" w:rsidRDefault="005D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15F" w:rsidRDefault="005D015F">
      <w:r>
        <w:separator/>
      </w:r>
    </w:p>
  </w:footnote>
  <w:footnote w:type="continuationSeparator" w:id="0">
    <w:p w:rsidR="005D015F" w:rsidRDefault="005D01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786D"/>
    <w:multiLevelType w:val="hybridMultilevel"/>
    <w:tmpl w:val="67CEAE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21F330B"/>
    <w:multiLevelType w:val="hybridMultilevel"/>
    <w:tmpl w:val="7E2CE2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27686C"/>
    <w:multiLevelType w:val="hybridMultilevel"/>
    <w:tmpl w:val="D5AE0B46"/>
    <w:lvl w:ilvl="0" w:tplc="0409000F">
      <w:start w:val="1"/>
      <w:numFmt w:val="decimal"/>
      <w:lvlText w:val="%1."/>
      <w:lvlJc w:val="left"/>
      <w:pPr>
        <w:tabs>
          <w:tab w:val="num" w:pos="360"/>
        </w:tabs>
        <w:ind w:left="360" w:hanging="360"/>
      </w:pPr>
    </w:lvl>
    <w:lvl w:ilvl="1" w:tplc="96BC2F80">
      <w:start w:val="1"/>
      <w:numFmt w:val="lowerLetter"/>
      <w:lvlText w:val="%2."/>
      <w:lvlJc w:val="left"/>
      <w:pPr>
        <w:tabs>
          <w:tab w:val="num" w:pos="1080"/>
        </w:tabs>
        <w:ind w:left="1080" w:hanging="360"/>
      </w:pPr>
      <w:rPr>
        <w:rFonts w:hint="default"/>
      </w:rPr>
    </w:lvl>
    <w:lvl w:ilvl="2" w:tplc="29A4FB3E">
      <w:start w:val="1"/>
      <w:numFmt w:val="bullet"/>
      <w:lvlText w:val=""/>
      <w:lvlJc w:val="left"/>
      <w:pPr>
        <w:tabs>
          <w:tab w:val="num" w:pos="1692"/>
        </w:tabs>
        <w:ind w:left="1692" w:hanging="72"/>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C5426D1"/>
    <w:multiLevelType w:val="multilevel"/>
    <w:tmpl w:val="CE5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5018F"/>
    <w:multiLevelType w:val="multilevel"/>
    <w:tmpl w:val="97CAB906"/>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72"/>
      </w:pPr>
      <w:rPr>
        <w:rFonts w:ascii="Symbol" w:hAnsi="Symbol" w:hint="default"/>
      </w:rPr>
    </w:lvl>
    <w:lvl w:ilvl="2">
      <w:start w:val="1"/>
      <w:numFmt w:val="bullet"/>
      <w:lvlText w:val=""/>
      <w:lvlJc w:val="left"/>
      <w:pPr>
        <w:tabs>
          <w:tab w:val="num" w:pos="1692"/>
        </w:tabs>
        <w:ind w:left="1692" w:hanging="72"/>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63353577"/>
    <w:multiLevelType w:val="multilevel"/>
    <w:tmpl w:val="B8203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692"/>
        </w:tabs>
        <w:ind w:left="1692" w:hanging="72"/>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CD"/>
    <w:rsid w:val="000031E3"/>
    <w:rsid w:val="000C1547"/>
    <w:rsid w:val="000C40EA"/>
    <w:rsid w:val="00113BC9"/>
    <w:rsid w:val="00255D48"/>
    <w:rsid w:val="002978AC"/>
    <w:rsid w:val="00435BE5"/>
    <w:rsid w:val="0044564C"/>
    <w:rsid w:val="00455BBB"/>
    <w:rsid w:val="005948CD"/>
    <w:rsid w:val="005B7BF4"/>
    <w:rsid w:val="005D015F"/>
    <w:rsid w:val="00650765"/>
    <w:rsid w:val="007262FF"/>
    <w:rsid w:val="007D09FA"/>
    <w:rsid w:val="00812B4E"/>
    <w:rsid w:val="008C5A3D"/>
    <w:rsid w:val="00911151"/>
    <w:rsid w:val="009F5D36"/>
    <w:rsid w:val="00C47A49"/>
    <w:rsid w:val="00E519F1"/>
    <w:rsid w:val="00E97F42"/>
    <w:rsid w:val="00EB4E1D"/>
    <w:rsid w:val="00EE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91C2486-1D38-451D-9DC5-0CC9705B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Strong">
    <w:name w:val="Strong"/>
    <w:qFormat/>
    <w:rPr>
      <w:b/>
      <w:bCs/>
    </w:rPr>
  </w:style>
  <w:style w:type="character" w:styleId="Hyperlink">
    <w:name w:val="Hyperlink"/>
    <w:semiHidden/>
    <w:rPr>
      <w:strike w:val="0"/>
      <w:dstrike w:val="0"/>
      <w:color w:val="000099"/>
      <w:u w:val="none"/>
      <w:effect w:val="none"/>
    </w:r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Courier New" w:hAnsi="Arial" w:cs="Arial"/>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investopedia.com/terms/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Total Operating Revenues</a:t>
            </a:r>
          </a:p>
        </c:rich>
      </c:tx>
      <c:layout>
        <c:manualLayout>
          <c:xMode val="edge"/>
          <c:yMode val="edge"/>
          <c:x val="0.28017241379310343"/>
          <c:y val="1.9455252918287938E-2"/>
        </c:manualLayout>
      </c:layout>
      <c:overlay val="0"/>
      <c:spPr>
        <a:noFill/>
        <a:ln w="25389">
          <a:noFill/>
        </a:ln>
      </c:spPr>
    </c:title>
    <c:autoTitleDeleted val="0"/>
    <c:plotArea>
      <c:layout>
        <c:manualLayout>
          <c:layoutTarget val="inner"/>
          <c:xMode val="edge"/>
          <c:yMode val="edge"/>
          <c:x val="0.17456896551724138"/>
          <c:y val="0.23735408560311283"/>
          <c:w val="0.80603448275862066"/>
          <c:h val="0.51750972762645919"/>
        </c:manualLayout>
      </c:layout>
      <c:lineChart>
        <c:grouping val="standard"/>
        <c:varyColors val="0"/>
        <c:ser>
          <c:idx val="1"/>
          <c:order val="0"/>
          <c:tx>
            <c:v>Total Operating Revenues</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Main!$B$74:$J$74</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Main!$B$75:$G$75</c:f>
              <c:numCache>
                <c:formatCode>General</c:formatCode>
                <c:ptCount val="6"/>
                <c:pt idx="0">
                  <c:v>5521.8</c:v>
                </c:pt>
                <c:pt idx="1">
                  <c:v>5937</c:v>
                </c:pt>
                <c:pt idx="2">
                  <c:v>6530</c:v>
                </c:pt>
                <c:pt idx="3" formatCode="#,##0">
                  <c:v>7584</c:v>
                </c:pt>
                <c:pt idx="4" formatCode="#,##0">
                  <c:v>9086</c:v>
                </c:pt>
                <c:pt idx="5" formatCode="#,##0">
                  <c:v>9861</c:v>
                </c:pt>
              </c:numCache>
            </c:numRef>
          </c:val>
          <c:smooth val="0"/>
        </c:ser>
        <c:dLbls>
          <c:showLegendKey val="0"/>
          <c:showVal val="0"/>
          <c:showCatName val="0"/>
          <c:showSerName val="0"/>
          <c:showPercent val="0"/>
          <c:showBubbleSize val="0"/>
        </c:dLbls>
        <c:marker val="1"/>
        <c:smooth val="0"/>
        <c:axId val="297139240"/>
        <c:axId val="296434224"/>
      </c:lineChart>
      <c:catAx>
        <c:axId val="297139240"/>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4081696930740797"/>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96434224"/>
        <c:crosses val="autoZero"/>
        <c:auto val="1"/>
        <c:lblAlgn val="ctr"/>
        <c:lblOffset val="100"/>
        <c:tickLblSkip val="1"/>
        <c:tickMarkSkip val="1"/>
        <c:noMultiLvlLbl val="0"/>
      </c:catAx>
      <c:valAx>
        <c:axId val="296434224"/>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97139240"/>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Gross Profit</a:t>
            </a:r>
          </a:p>
        </c:rich>
      </c:tx>
      <c:layout>
        <c:manualLayout>
          <c:xMode val="edge"/>
          <c:yMode val="edge"/>
          <c:x val="0.39655172413793105"/>
          <c:y val="1.9455252918287938E-2"/>
        </c:manualLayout>
      </c:layout>
      <c:overlay val="0"/>
      <c:spPr>
        <a:noFill/>
        <a:ln w="25389">
          <a:noFill/>
        </a:ln>
      </c:spPr>
    </c:title>
    <c:autoTitleDeleted val="0"/>
    <c:plotArea>
      <c:layout>
        <c:manualLayout>
          <c:layoutTarget val="inner"/>
          <c:xMode val="edge"/>
          <c:yMode val="edge"/>
          <c:x val="0.16163793103448276"/>
          <c:y val="0.23735408560311283"/>
          <c:w val="0.81896551724137934"/>
          <c:h val="0.51361867704280151"/>
        </c:manualLayout>
      </c:layout>
      <c:lineChart>
        <c:grouping val="standard"/>
        <c:varyColors val="0"/>
        <c:ser>
          <c:idx val="1"/>
          <c:order val="0"/>
          <c:tx>
            <c:v>Gross Profit</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Main!$B$95:$J$95</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Main!$B$96:$F$96</c:f>
              <c:numCache>
                <c:formatCode>General</c:formatCode>
                <c:ptCount val="5"/>
                <c:pt idx="0">
                  <c:v>1845.3</c:v>
                </c:pt>
                <c:pt idx="1">
                  <c:v>1900</c:v>
                </c:pt>
                <c:pt idx="2">
                  <c:v>2042</c:v>
                </c:pt>
                <c:pt idx="3">
                  <c:v>2493</c:v>
                </c:pt>
                <c:pt idx="4" formatCode="#,##0.00">
                  <c:v>2775</c:v>
                </c:pt>
              </c:numCache>
            </c:numRef>
          </c:val>
          <c:smooth val="0"/>
        </c:ser>
        <c:dLbls>
          <c:showLegendKey val="0"/>
          <c:showVal val="0"/>
          <c:showCatName val="0"/>
          <c:showSerName val="0"/>
          <c:showPercent val="0"/>
          <c:showBubbleSize val="0"/>
        </c:dLbls>
        <c:marker val="1"/>
        <c:smooth val="0"/>
        <c:axId val="296006752"/>
        <c:axId val="296007144"/>
      </c:lineChart>
      <c:catAx>
        <c:axId val="296006752"/>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326534897423536"/>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96007144"/>
        <c:crosses val="autoZero"/>
        <c:auto val="1"/>
        <c:lblAlgn val="ctr"/>
        <c:lblOffset val="100"/>
        <c:tickLblSkip val="1"/>
        <c:tickMarkSkip val="1"/>
        <c:noMultiLvlLbl val="0"/>
      </c:catAx>
      <c:valAx>
        <c:axId val="296007144"/>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96006752"/>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US"/>
              <a:t>Total Equity</a:t>
            </a:r>
          </a:p>
        </c:rich>
      </c:tx>
      <c:layout>
        <c:manualLayout>
          <c:xMode val="edge"/>
          <c:yMode val="edge"/>
          <c:x val="0.39655172413793105"/>
          <c:y val="1.9455252918287938E-2"/>
        </c:manualLayout>
      </c:layout>
      <c:overlay val="0"/>
      <c:spPr>
        <a:noFill/>
        <a:ln w="25389">
          <a:noFill/>
        </a:ln>
      </c:spPr>
    </c:title>
    <c:autoTitleDeleted val="0"/>
    <c:plotArea>
      <c:layout>
        <c:manualLayout>
          <c:layoutTarget val="inner"/>
          <c:xMode val="edge"/>
          <c:yMode val="edge"/>
          <c:x val="0.17672413793103448"/>
          <c:y val="0.23735408560311283"/>
          <c:w val="0.80387931034482762"/>
          <c:h val="0.51361867704280151"/>
        </c:manualLayout>
      </c:layout>
      <c:lineChart>
        <c:grouping val="standard"/>
        <c:varyColors val="0"/>
        <c:ser>
          <c:idx val="1"/>
          <c:order val="0"/>
          <c:tx>
            <c:v>Total Equity</c:v>
          </c:tx>
          <c:spPr>
            <a:ln w="12694">
              <a:solidFill>
                <a:srgbClr val="FF00FF"/>
              </a:solidFill>
              <a:prstDash val="solid"/>
            </a:ln>
          </c:spPr>
          <c:marker>
            <c:symbol val="square"/>
            <c:size val="4"/>
            <c:spPr>
              <a:solidFill>
                <a:srgbClr val="FF00FF"/>
              </a:solidFill>
              <a:ln>
                <a:solidFill>
                  <a:srgbClr val="FF00FF"/>
                </a:solidFill>
                <a:prstDash val="solid"/>
              </a:ln>
            </c:spPr>
          </c:marker>
          <c:trendline>
            <c:spPr>
              <a:ln w="25389">
                <a:solidFill>
                  <a:srgbClr val="00FF00"/>
                </a:solidFill>
                <a:prstDash val="sysDash"/>
              </a:ln>
            </c:spPr>
            <c:trendlineType val="linear"/>
            <c:forward val="3"/>
            <c:dispRSqr val="0"/>
            <c:dispEq val="0"/>
          </c:trendline>
          <c:cat>
            <c:numRef>
              <c:f>Main!$B$138:$J$138</c:f>
              <c:numCache>
                <c:formatCode>General</c:formatCode>
                <c:ptCount val="9"/>
                <c:pt idx="0">
                  <c:v>2002</c:v>
                </c:pt>
                <c:pt idx="1">
                  <c:v>2003</c:v>
                </c:pt>
                <c:pt idx="2">
                  <c:v>2004</c:v>
                </c:pt>
                <c:pt idx="3">
                  <c:v>2005</c:v>
                </c:pt>
                <c:pt idx="4">
                  <c:v>2006</c:v>
                </c:pt>
                <c:pt idx="5">
                  <c:v>2007</c:v>
                </c:pt>
                <c:pt idx="6">
                  <c:v>2008</c:v>
                </c:pt>
                <c:pt idx="7">
                  <c:v>2009</c:v>
                </c:pt>
                <c:pt idx="8">
                  <c:v>2010</c:v>
                </c:pt>
              </c:numCache>
            </c:numRef>
          </c:cat>
          <c:val>
            <c:numRef>
              <c:f>Main!$B$139:$G$139</c:f>
              <c:numCache>
                <c:formatCode>General</c:formatCode>
                <c:ptCount val="6"/>
                <c:pt idx="0">
                  <c:v>4421.6000000000004</c:v>
                </c:pt>
                <c:pt idx="1">
                  <c:v>5052</c:v>
                </c:pt>
                <c:pt idx="2">
                  <c:v>5524</c:v>
                </c:pt>
                <c:pt idx="3">
                  <c:v>6675</c:v>
                </c:pt>
                <c:pt idx="4">
                  <c:v>6449</c:v>
                </c:pt>
                <c:pt idx="5">
                  <c:v>6941</c:v>
                </c:pt>
              </c:numCache>
            </c:numRef>
          </c:val>
          <c:smooth val="0"/>
        </c:ser>
        <c:dLbls>
          <c:showLegendKey val="0"/>
          <c:showVal val="0"/>
          <c:showCatName val="0"/>
          <c:showSerName val="0"/>
          <c:showPercent val="0"/>
          <c:showBubbleSize val="0"/>
        </c:dLbls>
        <c:marker val="1"/>
        <c:smooth val="0"/>
        <c:axId val="289327712"/>
        <c:axId val="289335200"/>
      </c:lineChart>
      <c:catAx>
        <c:axId val="289327712"/>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Year</a:t>
                </a:r>
              </a:p>
            </c:rich>
          </c:tx>
          <c:layout>
            <c:manualLayout>
              <c:xMode val="edge"/>
              <c:yMode val="edge"/>
              <c:x val="0.5326534897423536"/>
              <c:y val="0.86572586553889241"/>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89335200"/>
        <c:crosses val="autoZero"/>
        <c:auto val="1"/>
        <c:lblAlgn val="ctr"/>
        <c:lblOffset val="100"/>
        <c:tickLblSkip val="1"/>
        <c:tickMarkSkip val="1"/>
        <c:noMultiLvlLbl val="0"/>
      </c:catAx>
      <c:valAx>
        <c:axId val="289335200"/>
        <c:scaling>
          <c:orientation val="minMax"/>
        </c:scaling>
        <c:delete val="0"/>
        <c:axPos val="l"/>
        <c:majorGridlines>
          <c:spPr>
            <a:ln w="3174">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USD Millions</a:t>
                </a:r>
              </a:p>
            </c:rich>
          </c:tx>
          <c:layout>
            <c:manualLayout>
              <c:xMode val="edge"/>
              <c:yMode val="edge"/>
              <c:x val="3.2653061224489799E-2"/>
              <c:y val="0.33568978789312109"/>
            </c:manualLayout>
          </c:layout>
          <c:overlay val="0"/>
          <c:spPr>
            <a:noFill/>
            <a:ln w="25389">
              <a:noFill/>
            </a:ln>
          </c:spPr>
        </c:title>
        <c:numFmt formatCode="General" sourceLinked="1"/>
        <c:majorTickMark val="out"/>
        <c:minorTickMark val="none"/>
        <c:tickLblPos val="nextTo"/>
        <c:spPr>
          <a:ln w="3174">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89327712"/>
        <c:crosses val="autoZero"/>
        <c:crossBetween val="between"/>
      </c:valAx>
      <c:spPr>
        <a:solidFill>
          <a:srgbClr val="C0C0C0"/>
        </a:solid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Southwest Airlines</vt:lpstr>
    </vt:vector>
  </TitlesOfParts>
  <Company>Microsoft</Company>
  <LinksUpToDate>false</LinksUpToDate>
  <CharactersWithSpaces>15955</CharactersWithSpaces>
  <SharedDoc>false</SharedDoc>
  <HLinks>
    <vt:vector size="6" baseType="variant">
      <vt:variant>
        <vt:i4>4325445</vt:i4>
      </vt:variant>
      <vt:variant>
        <vt:i4>12</vt:i4>
      </vt:variant>
      <vt:variant>
        <vt:i4>0</vt:i4>
      </vt:variant>
      <vt:variant>
        <vt:i4>5</vt:i4>
      </vt:variant>
      <vt:variant>
        <vt:lpwstr>http://www.investopedia.com/terms/d/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dc:title>
  <dc:creator>Amy, Maria, Sathy</dc:creator>
  <cp:lastModifiedBy>Exploring Series</cp:lastModifiedBy>
  <cp:revision>2</cp:revision>
  <dcterms:created xsi:type="dcterms:W3CDTF">2012-12-11T03:25:00Z</dcterms:created>
  <dcterms:modified xsi:type="dcterms:W3CDTF">2012-12-11T03:25:00Z</dcterms:modified>
</cp:coreProperties>
</file>