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4"/>
          <w:szCs w:val="44"/>
        </w:rPr>
        <w:t xml:space="preserve">ChronoNet — Demo Day Runbook</w:t>
      </w:r>
    </w:p>
    <w:p>
      <w:pPr>
        <w:spacing w:after="300"/>
      </w:pPr>
      <w:r>
        <w:rPr>
          <w:i/>
          <w:iCs/>
          <w:color w:val="555555"/>
        </w:rPr>
        <w:t xml:space="preserve">AI-Driven Predictive Spot VM Migration Framework — live demo script, rehearsal checklist, and fallback plan.</w:t>
      </w:r>
    </w:p>
    <w:p>
      <w:pPr>
        <w:pStyle w:val="Heading1"/>
        <w:spacing w:after="150" w:before="300"/>
      </w:pPr>
      <w:r>
        <w:t xml:space="preserve">1. Measured Results (cite these on stage)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500"/>
      </w:tblGrid>
      <w:tr>
        <w:tc>
          <w:tcPr>
            <w:tcW w:type="dxa" w:w="45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5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t xml:space="preserve">Real migration downtime (live AWS E2E)</w:t>
            </w:r>
          </w:p>
        </w:tc>
        <w:tc>
          <w:tcPr>
            <w:tcW w:type="dxa" w:w="5500"/>
            <w:shd w:fill="FFFFFF" w:color="auto" w:val="clear"/>
          </w:tcPr>
          <w:p>
            <w:r>
              <w:t xml:space="preserve">6.906 s (trigger receipt → step-6 resume complete)</w:t>
            </w:r>
          </w:p>
        </w:tc>
      </w:tr>
      <w:tr>
        <w:tc>
          <w:tcPr>
            <w:tcW w:type="dxa" w:w="4500"/>
            <w:shd w:fill="DCE6F1" w:color="auto" w:val="clear"/>
          </w:tcPr>
          <w:p>
            <w:r>
              <w:t xml:space="preserve">Dataset</w:t>
            </w:r>
          </w:p>
        </w:tc>
        <w:tc>
          <w:tcPr>
            <w:tcW w:type="dxa" w:w="5500"/>
            <w:shd w:fill="DCE6F1" w:color="auto" w:val="clear"/>
          </w:tcPr>
          <w:p>
            <w:r>
              <w:t xml:space="preserve">2,536 real spot price rows, 34 regions / 1,155 instance types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t xml:space="preserve">Cleaned training set</w:t>
            </w:r>
          </w:p>
        </w:tc>
        <w:tc>
          <w:tcPr>
            <w:tcW w:type="dxa" w:w="5500"/>
            <w:shd w:fill="FFFFFF" w:color="auto" w:val="clear"/>
          </w:tcPr>
          <w:p>
            <w:r>
              <w:t xml:space="preserve">400 rows — 0 NaN, 0 negative, 0 duplicate values (seed-42 split)</w:t>
            </w:r>
          </w:p>
        </w:tc>
      </w:tr>
      <w:tr>
        <w:tc>
          <w:tcPr>
            <w:tcW w:type="dxa" w:w="4500"/>
            <w:shd w:fill="DCE6F1" w:color="auto" w:val="clear"/>
          </w:tcPr>
          <w:p>
            <w:r>
              <w:t xml:space="preserve">Model accuracy</w:t>
            </w:r>
          </w:p>
        </w:tc>
        <w:tc>
          <w:tcPr>
            <w:tcW w:type="dxa" w:w="5500"/>
            <w:shd w:fill="DCE6F1" w:color="auto" w:val="clear"/>
          </w:tcPr>
          <w:p>
            <w:r>
              <w:t xml:space="preserve">MAE 0.0207 / R² 0.8828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t xml:space="preserve">Docker build size</w:t>
            </w:r>
          </w:p>
        </w:tc>
        <w:tc>
          <w:tcPr>
            <w:tcW w:type="dxa" w:w="5500"/>
            <w:shd w:fill="FFFFFF" w:color="auto" w:val="clear"/>
          </w:tcPr>
          <w:p>
            <w:r>
              <w:t xml:space="preserve">258 MB</w:t>
            </w:r>
          </w:p>
        </w:tc>
      </w:tr>
      <w:tr>
        <w:tc>
          <w:tcPr>
            <w:tcW w:type="dxa" w:w="4500"/>
            <w:shd w:fill="DCE6F1" w:color="auto" w:val="clear"/>
          </w:tcPr>
          <w:p>
            <w:r>
              <w:t xml:space="preserve">Real E2E instances</w:t>
            </w:r>
          </w:p>
        </w:tc>
        <w:tc>
          <w:tcPr>
            <w:tcW w:type="dxa" w:w="5500"/>
            <w:shd w:fill="DCE6F1" w:color="auto" w:val="clear"/>
          </w:tcPr>
          <w:p>
            <w:r>
              <w:t xml:space="preserve">Original i-0669a3f5474513ba2 → replacement i-0f9c1e24f72a89e74 (both Spot)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t xml:space="preserve">Resume correctness</w:t>
            </w:r>
          </w:p>
        </w:tc>
        <w:tc>
          <w:tcPr>
            <w:tcW w:type="dxa" w:w="5500"/>
            <w:shd w:fill="FFFFFF" w:color="auto" w:val="clear"/>
          </w:tcPr>
          <w:p>
            <w:r>
              <w:t xml:space="preserve">Resumed at index 30027 — real instance progress, not 0, not the hub's forced checkpoint value of 2</w:t>
            </w:r>
          </w:p>
        </w:tc>
      </w:tr>
      <w:tr>
        <w:tc>
          <w:tcPr>
            <w:tcW w:type="dxa" w:w="4500"/>
            <w:shd w:fill="DCE6F1" w:color="auto" w:val="clear"/>
          </w:tcPr>
          <w:p>
            <w:r>
              <w:t xml:space="preserve">Alerting</w:t>
            </w:r>
          </w:p>
        </w:tc>
        <w:tc>
          <w:tcPr>
            <w:tcW w:type="dxa" w:w="5500"/>
            <w:shd w:fill="DCE6F1" w:color="auto" w:val="clear"/>
          </w:tcPr>
          <w:p>
            <w:r>
              <w:t xml:space="preserve">SNS alert published to chrononet-alerts on migration completion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Edge case found + fixed (good talking point):</w:t>
      </w:r>
    </w:p>
    <w:p>
      <w:pPr>
        <w:spacing w:after="120"/>
      </w:pPr>
      <w:r>
        <w:t xml:space="preserve">load_latest_checkpoint_from_s3 originally picked the lexicographically max S3 key under a run's prefix and blindly parsed it as JSON. A non-checkpoint artifact (probe logs under the same prefix) crashed recovery with a JSONDecodeError. Fixed by filtering to *.json keys only before selecting “latest.”</w:t>
      </w:r>
    </w:p>
    <w:p>
      <w:pPr>
        <w:pStyle w:val="Heading1"/>
        <w:spacing w:after="150" w:before="300"/>
      </w:pPr>
      <w:r>
        <w:t xml:space="preserve">2. Demo Script — Order of Operations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300"/>
        <w:gridCol w:w="6000"/>
      </w:tblGrid>
      <w:tr>
        <w:tc>
          <w:tcPr>
            <w:tcW w:type="dxa" w:w="5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2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3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6000"/>
            <w:shd w:fill="1F4E78" w:color="auto" w:val="clear"/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r>
              <w:t xml:space="preserve">1</w:t>
            </w:r>
          </w:p>
        </w:tc>
        <w:tc>
          <w:tcPr>
            <w:tcW w:type="dxa" w:w="2200"/>
            <w:shd w:fill="FFFFFF" w:color="auto" w:val="clear"/>
          </w:tcPr>
          <w:p>
            <w:r>
              <w:t xml:space="preserve">Architecture overview</w:t>
            </w:r>
          </w:p>
        </w:tc>
        <w:tc>
          <w:tcPr>
            <w:tcW w:type="dxa" w:w="1300"/>
            <w:shd w:fill="FFFFFF" w:color="auto" w:val="clear"/>
          </w:tcPr>
          <w:p>
            <w:r>
              <w:t xml:space="preserve">1 min</w:t>
            </w:r>
          </w:p>
        </w:tc>
        <w:tc>
          <w:tcPr>
            <w:tcW w:type="dxa" w:w="6000"/>
            <w:shd w:fill="FFFFFF" w:color="auto" w:val="clear"/>
          </w:tcPr>
          <w:p>
            <w:r>
              <w:t xml:space="preserve">One slide: app (workload) → monitoring (IMDS watcher) → prediction (risk model) → orchestration (recovery flow) → data_backend (API) → dashboard</w:t>
            </w:r>
          </w:p>
        </w:tc>
      </w:tr>
      <w:tr>
        <w:tc>
          <w:tcPr>
            <w:tcW w:type="dxa" w:w="500"/>
            <w:shd w:fill="DCE6F1" w:color="auto" w:val="clear"/>
          </w:tcPr>
          <w:p>
            <w:r>
              <w:t xml:space="preserve">2</w:t>
            </w:r>
          </w:p>
        </w:tc>
        <w:tc>
          <w:tcPr>
            <w:tcW w:type="dxa" w:w="2200"/>
            <w:shd w:fill="DCE6F1" w:color="auto" w:val="clear"/>
          </w:tcPr>
          <w:p>
            <w:r>
              <w:t xml:space="preserve">Show idle state</w:t>
            </w:r>
          </w:p>
        </w:tc>
        <w:tc>
          <w:tcPr>
            <w:tcW w:type="dxa" w:w="1300"/>
            <w:shd w:fill="DCE6F1" w:color="auto" w:val="clear"/>
          </w:tcPr>
          <w:p>
            <w:r>
              <w:t xml:space="preserve">1 min</w:t>
            </w:r>
          </w:p>
        </w:tc>
        <w:tc>
          <w:tcPr>
            <w:tcW w:type="dxa" w:w="6000"/>
            <w:shd w:fill="DCE6F1" w:color="auto" w:val="clear"/>
          </w:tcPr>
          <w:p>
            <w:r>
              <w:t xml:space="preserve">Dashboard /overview — all green, low risk, live telemetry ticking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r>
              <w:t xml:space="preserve">3</w:t>
            </w:r>
          </w:p>
        </w:tc>
        <w:tc>
          <w:tcPr>
            <w:tcW w:type="dxa" w:w="2200"/>
            <w:shd w:fill="FFFFFF" w:color="auto" w:val="clear"/>
          </w:tcPr>
          <w:p>
            <w:r>
              <w:t xml:space="preserve">Trigger interruption</w:t>
            </w:r>
          </w:p>
        </w:tc>
        <w:tc>
          <w:tcPr>
            <w:tcW w:type="dxa" w:w="1300"/>
            <w:shd w:fill="FFFFFF" w:color="auto" w:val="clear"/>
          </w:tcPr>
          <w:p>
            <w:r>
              <w:t xml:space="preserve">2–3 min</w:t>
            </w:r>
          </w:p>
        </w:tc>
        <w:tc>
          <w:tcPr>
            <w:tcW w:type="dxa" w:w="6000"/>
            <w:shd w:fill="FFFFFF" w:color="auto" w:val="clear"/>
          </w:tcPr>
          <w:p>
            <w:r>
              <w:t xml:space="preserve">Go to /simulate, hit trigger, narrate the 7-step stepper live as each step fires (checkpoint → S3, provision replacement, restore checkpoint, health check, terminate old instance, SNS alert)</w:t>
            </w:r>
          </w:p>
        </w:tc>
      </w:tr>
      <w:tr>
        <w:tc>
          <w:tcPr>
            <w:tcW w:type="dxa" w:w="500"/>
            <w:shd w:fill="DCE6F1" w:color="auto" w:val="clear"/>
          </w:tcPr>
          <w:p>
            <w:r>
              <w:t xml:space="preserve">4</w:t>
            </w:r>
          </w:p>
        </w:tc>
        <w:tc>
          <w:tcPr>
            <w:tcW w:type="dxa" w:w="2200"/>
            <w:shd w:fill="DCE6F1" w:color="auto" w:val="clear"/>
          </w:tcPr>
          <w:p>
            <w:r>
              <w:t xml:space="preserve">Show results</w:t>
            </w:r>
          </w:p>
        </w:tc>
        <w:tc>
          <w:tcPr>
            <w:tcW w:type="dxa" w:w="1300"/>
            <w:shd w:fill="DCE6F1" w:color="auto" w:val="clear"/>
          </w:tcPr>
          <w:p>
            <w:r>
              <w:t xml:space="preserve">1–2 min</w:t>
            </w:r>
          </w:p>
        </w:tc>
        <w:tc>
          <w:tcPr>
            <w:tcW w:type="dxa" w:w="6000"/>
            <w:shd w:fill="DCE6F1" w:color="auto" w:val="clear"/>
          </w:tcPr>
          <w:p>
            <w:r>
              <w:t xml:space="preserve">/migrations history row for this run; /checkpoints page showing resumed index; downtime number on screen</w:t>
            </w:r>
          </w:p>
        </w:tc>
      </w:tr>
      <w:tr>
        <w:tc>
          <w:tcPr>
            <w:tcW w:type="dxa" w:w="500"/>
            <w:shd w:fill="FFFFFF" w:color="auto" w:val="clear"/>
          </w:tcPr>
          <w:p>
            <w:r>
              <w:t xml:space="preserve">5</w:t>
            </w:r>
          </w:p>
        </w:tc>
        <w:tc>
          <w:tcPr>
            <w:tcW w:type="dxa" w:w="2200"/>
            <w:shd w:fill="FFFFFF" w:color="auto" w:val="clear"/>
          </w:tcPr>
          <w:p>
            <w:r>
              <w:t xml:space="preserve">Close</w:t>
            </w:r>
          </w:p>
        </w:tc>
        <w:tc>
          <w:tcPr>
            <w:tcW w:type="dxa" w:w="1300"/>
            <w:shd w:fill="FFFFFF" w:color="auto" w:val="clear"/>
          </w:tcPr>
          <w:p>
            <w:r>
              <w:t xml:space="preserve">1 min</w:t>
            </w:r>
          </w:p>
        </w:tc>
        <w:tc>
          <w:tcPr>
            <w:tcW w:type="dxa" w:w="6000"/>
            <w:shd w:fill="FFFFFF" w:color="auto" w:val="clear"/>
          </w:tcPr>
          <w:p>
            <w:r>
              <w:t xml:space="preserve">State the measured downtime, model accuracy, and that this was validated against live AWS, not just simulation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Total: ~7–8 minutes.</w:t>
      </w:r>
    </w:p>
    <w:p>
      <w:pPr>
        <w:pStyle w:val="Heading1"/>
        <w:spacing w:after="150" w:before="300"/>
      </w:pPr>
      <w:r>
        <w:t xml:space="preserve">3. Rehearsal Checklist</w:t>
      </w:r>
    </w:p>
    <w:p>
      <w:pPr>
        <w:spacing w:after="80"/>
        <w:ind w:left="360"/>
      </w:pPr>
      <w:r>
        <w:t xml:space="preserve">☐  Assign one segment per team member (4 segments above, or split as fits your team of 4)</w:t>
      </w:r>
    </w:p>
    <w:p>
      <w:pPr>
        <w:spacing w:after="80"/>
        <w:ind w:left="360"/>
      </w:pPr>
      <w:r>
        <w:t xml:space="preserve">☐  Full dry run, timed with a stopwatch, start to finish</w:t>
      </w:r>
    </w:p>
    <w:p>
      <w:pPr>
        <w:spacing w:after="80"/>
        <w:ind w:left="360"/>
      </w:pPr>
      <w:r>
        <w:t xml:space="preserve">☐  Every member knows their exact cue to start/stop talking</w:t>
      </w:r>
    </w:p>
    <w:p>
      <w:pPr>
        <w:spacing w:after="80"/>
        <w:ind w:left="360"/>
      </w:pPr>
      <w:r>
        <w:t xml:space="preserve">☐  Confirm laptop/screen-share setup works with the actual demo machine beforehand</w:t>
      </w:r>
    </w:p>
    <w:p>
      <w:pPr>
        <w:spacing w:after="80"/>
        <w:ind w:left="360"/>
      </w:pPr>
      <w:r>
        <w:t xml:space="preserve">☐  Confirm dashboard is reachable at http://localhost:5173 and backend at http://127.0.0.1:8000 on the demo machine</w:t>
      </w:r>
    </w:p>
    <w:p>
      <w:pPr>
        <w:spacing w:after="80"/>
        <w:ind w:left="360"/>
      </w:pPr>
      <w:r>
        <w:t xml:space="preserve">☐  Decide in advance: real AWS trigger, or Demo Data toggle, or recorded video — and make sure everyone knows which</w:t>
      </w:r>
    </w:p>
    <w:p>
      <w:pPr>
        <w:pStyle w:val="Heading1"/>
        <w:spacing w:after="150" w:before="300"/>
      </w:pPr>
      <w:r>
        <w:t xml:space="preserve">4. Fallback Plan</w:t>
      </w:r>
    </w:p>
    <w:p>
      <w:pPr>
        <w:spacing w:after="80"/>
        <w:ind w:left="360"/>
      </w:pPr>
      <w:r>
        <w:t xml:space="preserve">☐  Record a full successful run now, while things are working — screen-record the entire demo script end-to-end, narrated, as a backup video</w:t>
      </w:r>
    </w:p>
    <w:p>
      <w:pPr>
        <w:spacing w:after="80"/>
        <w:ind w:left="360"/>
      </w:pPr>
      <w:r>
        <w:t xml:space="preserve">☐  If live AWS misbehaves on stage: switch to the recorded video and narrate over it</w:t>
      </w:r>
    </w:p>
    <w:p>
      <w:pPr>
        <w:spacing w:after="80"/>
        <w:ind w:left="360"/>
      </w:pPr>
      <w:r>
        <w:t xml:space="preserve">☐  If only the dashboard's live data looks broken (e.g., DynamoDB/S3 permission issues): toggle Demo Data in dashboard Settings — same UI, synthetic-but-realistic data, always shown with a visible “Demo data” badge</w:t>
      </w:r>
    </w:p>
    <w:p>
      <w:pPr>
        <w:spacing w:after="80"/>
        <w:ind w:left="360"/>
      </w:pPr>
      <w:r>
        <w:t xml:space="preserve">☐  Known current risk: IAM user chrononet-cli is missing dynamodb:DescribeTable (and likely other DynamoDB actions) — either fix this permission before demo day, or plan to lean on Demo Data / the recorded video for that segment</w:t>
      </w:r>
    </w:p>
    <w:p>
      <w:pPr>
        <w:pStyle w:val="Heading1"/>
        <w:spacing w:after="150" w:before="300"/>
      </w:pPr>
      <w:r>
        <w:t xml:space="preserve">5. Requirements Doc / Report — Deviations to Document</w:t>
      </w:r>
    </w:p>
    <w:p>
      <w:pPr>
        <w:spacing w:after="120"/>
      </w:pPr>
      <w:r>
        <w:t xml:space="preserve">Pulled directly from the project's own phase audit — document these as intentional, explained trade-offs, not unexplained gaps: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IAM scope: chrononet-ec2-role uses AWS-managed policies (AmazonS3FullAccess, AmazonDynamoDBFullAccess, AmazonSNSFullAccess, CloudWatchReadOnlyAccess) rather than a custom resource-scoped policy. Least privilege was targeted at the service level (no EC2/EventBridge access) but not the resource level. Left as-is to avoid destabilizing a working, tested role close to demo day — documented as a future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Docker: docker-compose.yml is aspirational — only app/ has a working Dockerfile. data_backend and dashboard are run directly (uvicorn, npm run dev), not containerized.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Stubs out of scope: metrics_buffer.py and prediction/evaluate.py remain one-line stubs.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Minor: AWS_REGION is defined twice in shared/constants.py (harmless duplication); root README.md is stale (still says “Phase 1 complete”).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2"/>
        <w:spacing w:after="120" w:before="240"/>
      </w:pPr>
      <w:r>
        <w:t xml:space="preserve">Final Checkpoint</w:t>
      </w:r>
    </w:p>
    <w:p>
      <w:pPr>
        <w:spacing w:after="80"/>
        <w:ind w:left="360"/>
      </w:pPr>
      <w:r>
        <w:t xml:space="preserve">☐  Full demo rehearsed at least once, start to finish, by all 4 members</w:t>
      </w:r>
    </w:p>
    <w:p>
      <w:pPr>
        <w:spacing w:after="80"/>
        <w:ind w:left="360"/>
      </w:pPr>
      <w:r>
        <w:t xml:space="preserve">☐  Backup video recorded and accessible offline (not dependent on live AWS or wifi)</w:t>
      </w:r>
    </w:p>
    <w:p>
      <w:pPr>
        <w:spacing w:after="80"/>
        <w:ind w:left="360"/>
      </w:pPr>
      <w:r>
        <w:t xml:space="preserve">☐  Requirements doc updated with the deviations above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2026-09-27T07:02:07.854Z</dcterms:created>
  <dcterms:modified xsi:type="dcterms:W3CDTF">2026-09-27T07:02:07.866Z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