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w:t>
      </w:r>
    </w:p>
    <w:p>
      <w:pPr>
        <w:spacing w:after="300"/>
      </w:pPr>
      <w:r>
        <w:rPr>
          <w:color w:val="5B6573"/>
          <w:sz w:val="24"/>
        </w:rPr>
        <w:t>A focused first release for coordinating local surplus-food donations</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EAF2F8"/>
            <w:vAlign w:val="center"/>
          </w:tcPr>
          <w:p>
            <w:r>
              <w:rPr>
                <w:color w:val="17365D"/>
                <w:sz w:val="16"/>
              </w:rPr>
              <w:t>Waste Food Management System</w:t>
            </w:r>
          </w:p>
        </w:tc>
        <w:tc>
          <w:tcPr>
            <w:tcW w:type="dxa" w:w="3312"/>
            <w:shd w:fill="EAF2F8"/>
            <w:vAlign w:val="center"/>
          </w:tcPr>
          <w:p>
            <w:r>
              <w:rPr>
                <w:color w:val="17365D"/>
                <w:sz w:val="16"/>
              </w:rPr>
              <w:t>Version 1.0 MVP</w:t>
            </w:r>
          </w:p>
        </w:tc>
        <w:tc>
          <w:tcPr>
            <w:tcW w:type="dxa" w:w="3312"/>
            <w:shd w:fill="EAF2F8"/>
            <w:vAlign w:val="center"/>
          </w:tcPr>
          <w:p>
            <w:r>
              <w:rPr>
                <w:color w:val="17365D"/>
                <w:sz w:val="16"/>
              </w:rPr>
              <w:t>Prepared 29 September 2026</w:t>
            </w:r>
          </w:p>
        </w:tc>
      </w:tr>
    </w:tbl>
    <w:p/>
    <w:p>
      <w:pPr>
        <w:pStyle w:val="Heading1"/>
      </w:pPr>
      <w:r>
        <w:t>1. Product overview</w:t>
      </w:r>
    </w:p>
    <w:p>
      <w:r>
        <w:t>The Waste Food Management System helps food donors offer surplus food to recipients through a simple web application. Donors publish food listings, recipients browse and request them, and an administrator handles accounts and invalid records. The first release focuses on this end-to-end workflow and basic activity counts.</w:t>
      </w:r>
    </w:p>
    <w:p>
      <w:pPr>
        <w:pStyle w:val="Heading1"/>
      </w:pPr>
      <w:r>
        <w:t>2. Problem and product outcome</w:t>
      </w:r>
    </w:p>
    <w:p>
      <w:r>
        <w:t>Surplus food can go unused while nearby people or organizations need it. The product provides one shared place to post available food and record who requested it. The v1 outcome is a reliable, understandable record of listings and requests; it does not claim to guarantee food safety, delivery, or successful collection.</w:t>
      </w:r>
    </w:p>
    <w:p>
      <w:pPr>
        <w:pStyle w:val="Heading1"/>
      </w:pPr>
      <w:r>
        <w:t>3. Users and needs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User</w:t>
            </w:r>
          </w:p>
        </w:tc>
        <w:tc>
          <w:tcPr>
            <w:tcW w:type="dxa" w:w="4968"/>
            <w:shd w:fill="17365D"/>
          </w:tcPr>
          <w:p>
            <w:r>
              <w:rPr>
                <w:b/>
                <w:color w:val="FFFFFF"/>
                <w:sz w:val="18"/>
              </w:rPr>
              <w:t>Primary need</w:t>
            </w:r>
          </w:p>
        </w:tc>
      </w:tr>
      <w:tr>
        <w:tc>
          <w:tcPr>
            <w:tcW w:type="dxa" w:w="4968"/>
            <w:vAlign w:val="top"/>
          </w:tcPr>
          <w:p>
            <w:r>
              <w:rPr>
                <w:sz w:val="18"/>
              </w:rPr>
              <w:t>Donor</w:t>
            </w:r>
          </w:p>
        </w:tc>
        <w:tc>
          <w:tcPr>
            <w:tcW w:type="dxa" w:w="4968"/>
            <w:vAlign w:val="top"/>
          </w:tcPr>
          <w:p>
            <w:r>
              <w:rPr>
                <w:sz w:val="18"/>
              </w:rPr>
              <w:t>Create and maintain food offers; review incoming requests and decide whether to approve or reject them.</w:t>
            </w:r>
          </w:p>
        </w:tc>
      </w:tr>
      <w:tr>
        <w:tc>
          <w:tcPr>
            <w:tcW w:type="dxa" w:w="4968"/>
            <w:vAlign w:val="top"/>
          </w:tcPr>
          <w:p>
            <w:r>
              <w:rPr>
                <w:sz w:val="18"/>
              </w:rPr>
              <w:t>Recipient</w:t>
            </w:r>
          </w:p>
        </w:tc>
        <w:tc>
          <w:tcPr>
            <w:tcW w:type="dxa" w:w="4968"/>
            <w:vAlign w:val="top"/>
          </w:tcPr>
          <w:p>
            <w:r>
              <w:rPr>
                <w:sz w:val="18"/>
              </w:rPr>
              <w:t>Find currently available offers, request a suitable offer, and check the resulting status.</w:t>
            </w:r>
          </w:p>
        </w:tc>
      </w:tr>
      <w:tr>
        <w:tc>
          <w:tcPr>
            <w:tcW w:type="dxa" w:w="4968"/>
            <w:vAlign w:val="top"/>
          </w:tcPr>
          <w:p>
            <w:r>
              <w:rPr>
                <w:sz w:val="18"/>
              </w:rPr>
              <w:t>Administrator</w:t>
            </w:r>
          </w:p>
        </w:tc>
        <w:tc>
          <w:tcPr>
            <w:tcW w:type="dxa" w:w="4968"/>
            <w:vAlign w:val="top"/>
          </w:tcPr>
          <w:p>
            <w:r>
              <w:rPr>
                <w:sz w:val="18"/>
              </w:rPr>
              <w:t>Review users, listings, and requests; disable accounts or remove invalid or expired records.</w:t>
            </w:r>
          </w:p>
        </w:tc>
      </w:tr>
    </w:tbl>
    <w:p/>
    <w:p>
      <w:pPr>
        <w:pStyle w:val="Heading1"/>
      </w:pPr>
      <w:r>
        <w:t>4. Release scope</w:t>
      </w:r>
    </w:p>
    <w:p>
      <w:pPr>
        <w:pStyle w:val="Heading2"/>
      </w:pPr>
      <w:r>
        <w:t>Included in v1.0 MVP</w:t>
      </w:r>
    </w:p>
    <w:p>
      <w:pPr>
        <w:pStyle w:val="ListBullet"/>
      </w:pPr>
      <w:r>
        <w:t>Donor and recipient registration, login, logout, and basic profile editing.</w:t>
      </w:r>
    </w:p>
    <w:p>
      <w:pPr>
        <w:pStyle w:val="ListBullet"/>
      </w:pPr>
      <w:r>
        <w:t>Role-based access: donor, recipient, and administrator. Admin accounts are provisioned outside public self-registration.</w:t>
      </w:r>
    </w:p>
    <w:p>
      <w:pPr>
        <w:pStyle w:val="ListBullet"/>
      </w:pPr>
      <w:r>
        <w:t>Donors create, edit, view, and delete their own listings. Listing fields: title, description, quantity, unit, preparation/expiry date and time where applicable, pickup location text, and status.</w:t>
      </w:r>
    </w:p>
    <w:p>
      <w:pPr>
        <w:pStyle w:val="ListBullet"/>
      </w:pPr>
      <w:r>
        <w:t>Recipients browse active, non-expired listings and open a detail view.</w:t>
      </w:r>
    </w:p>
    <w:p>
      <w:pPr>
        <w:pStyle w:val="ListBullet"/>
      </w:pPr>
      <w:r>
        <w:t>Recipients submit one request per listing; donors can approve or reject requests. Recipients can cancel a pending request.</w:t>
      </w:r>
    </w:p>
    <w:p>
      <w:pPr>
        <w:pStyle w:val="ListBullet"/>
      </w:pPr>
      <w:r>
        <w:t>Statuses are visible to the appropriate users; approved requests reserve the listing and prevent competing approvals.</w:t>
      </w:r>
    </w:p>
    <w:p>
      <w:pPr>
        <w:pStyle w:val="ListBullet"/>
      </w:pPr>
      <w:r>
        <w:t>Administrator views users, listings, and requests; can deactivate users and remove invalid/expired records.</w:t>
      </w:r>
    </w:p>
    <w:p>
      <w:pPr>
        <w:pStyle w:val="ListBullet"/>
      </w:pPr>
      <w:r>
        <w:t>Basic dashboard counts for donations/listings and request records, with simple filtered lists.</w:t>
      </w:r>
    </w:p>
    <w:p>
      <w:pPr>
        <w:pStyle w:val="ListBullet"/>
      </w:pPr>
      <w:r>
        <w:t>English-only responsive web pages, server-side validation, and clear success/error messages.</w:t>
      </w:r>
    </w:p>
    <w:p>
      <w:pPr>
        <w:pStyle w:val="Heading2"/>
      </w:pPr>
      <w:r>
        <w:t>Deferred from v1.0</w:t>
      </w:r>
    </w:p>
    <w:p>
      <w:pPr>
        <w:pStyle w:val="ListBullet"/>
      </w:pPr>
      <w:r>
        <w:t>Email or SMS notifications, live chat, maps/GPS, delivery coordination, live collection tracking, mobile apps, multilingual support, payments, ratings, analytics exports, and automated food-safety certification.</w:t>
      </w:r>
    </w:p>
    <w:p>
      <w:pPr>
        <w:pStyle w:val="Heading2"/>
      </w:pPr>
      <w:r>
        <w:t>v1.5 candidate improvements</w:t>
      </w:r>
    </w:p>
    <w:p>
      <w:r>
        <w:t>After the MVP is in use, consider email notifications for new requests and request decisions, searchable/filterable listings, pagination, and a simple export of admin reports. Prioritize these only after observing real use and confirming the core workflow is stable.</w:t>
      </w:r>
    </w:p>
    <w:p>
      <w:pPr>
        <w:pStyle w:val="Heading1"/>
      </w:pPr>
      <w:r>
        <w:t>5. Core user journeys</w:t>
      </w:r>
    </w:p>
    <w:p>
      <w:pPr>
        <w:pStyle w:val="Heading2"/>
      </w:pPr>
      <w:r>
        <w:t>Donor</w:t>
      </w:r>
    </w:p>
    <w:p>
      <w:pPr>
        <w:pStyle w:val="ListNumber"/>
      </w:pPr>
      <w:r>
        <w:t>Register and sign in.</w:t>
      </w:r>
    </w:p>
    <w:p>
      <w:pPr>
        <w:pStyle w:val="ListNumber"/>
      </w:pPr>
      <w:r>
        <w:t>Create a listing with quantity, pickup details, and an availability end time.</w:t>
      </w:r>
    </w:p>
    <w:p>
      <w:pPr>
        <w:pStyle w:val="ListNumber"/>
      </w:pPr>
      <w:r>
        <w:t>Review incoming requests and approve one or reject others.</w:t>
      </w:r>
    </w:p>
    <w:p>
      <w:pPr>
        <w:pStyle w:val="ListNumber"/>
      </w:pPr>
      <w:r>
        <w:t>Mark the listing unavailable or remove it when no longer offered.</w:t>
      </w:r>
    </w:p>
    <w:p>
      <w:pPr>
        <w:pStyle w:val="Heading2"/>
      </w:pPr>
      <w:r>
        <w:t>Recipient</w:t>
      </w:r>
    </w:p>
    <w:p>
      <w:pPr>
        <w:pStyle w:val="ListNumber"/>
      </w:pPr>
      <w:r>
        <w:t>Register and sign in.</w:t>
      </w:r>
    </w:p>
    <w:p>
      <w:pPr>
        <w:pStyle w:val="ListNumber"/>
      </w:pPr>
      <w:r>
        <w:t>Browse active listings and read the details.</w:t>
      </w:r>
    </w:p>
    <w:p>
      <w:pPr>
        <w:pStyle w:val="ListNumber"/>
      </w:pPr>
      <w:r>
        <w:t>Submit a request and view its pending, approved, rejected, or cancelled status.</w:t>
      </w:r>
    </w:p>
    <w:p>
      <w:pPr>
        <w:pStyle w:val="ListNumber"/>
      </w:pPr>
      <w:r>
        <w:t>Coordinate collection using the displayed pickup instructions outside the system.</w:t>
      </w:r>
    </w:p>
    <w:p>
      <w:pPr>
        <w:pStyle w:val="Heading2"/>
      </w:pPr>
      <w:r>
        <w:t>Administrator</w:t>
      </w:r>
    </w:p>
    <w:p>
      <w:pPr>
        <w:pStyle w:val="ListNumber"/>
      </w:pPr>
      <w:r>
        <w:t>Sign in to the protected admin area.</w:t>
      </w:r>
    </w:p>
    <w:p>
      <w:pPr>
        <w:pStyle w:val="ListNumber"/>
      </w:pPr>
      <w:r>
        <w:t>Review account, listing, and request records.</w:t>
      </w:r>
    </w:p>
    <w:p>
      <w:pPr>
        <w:pStyle w:val="ListNumber"/>
      </w:pPr>
      <w:r>
        <w:t>Deactivate an account or remove invalid/expired content when necessary.</w:t>
      </w:r>
    </w:p>
    <w:p>
      <w:pPr>
        <w:pStyle w:val="ListNumber"/>
      </w:pPr>
      <w:r>
        <w:t>Review aggregate listing and request counts.</w:t>
      </w:r>
    </w:p>
    <w:p>
      <w:pPr>
        <w:pStyle w:val="Heading1"/>
      </w:pPr>
      <w:r>
        <w:t>6. Product requirements and acceptance criteria</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8"/>
              </w:rPr>
              <w:t>ID</w:t>
            </w:r>
          </w:p>
        </w:tc>
        <w:tc>
          <w:tcPr>
            <w:tcW w:type="dxa" w:w="3312"/>
            <w:shd w:fill="17365D"/>
          </w:tcPr>
          <w:p>
            <w:r>
              <w:rPr>
                <w:b/>
                <w:color w:val="FFFFFF"/>
                <w:sz w:val="18"/>
              </w:rPr>
              <w:t>Requirement</w:t>
            </w:r>
          </w:p>
        </w:tc>
        <w:tc>
          <w:tcPr>
            <w:tcW w:type="dxa" w:w="3312"/>
            <w:shd w:fill="17365D"/>
          </w:tcPr>
          <w:p>
            <w:r>
              <w:rPr>
                <w:b/>
                <w:color w:val="FFFFFF"/>
                <w:sz w:val="18"/>
              </w:rPr>
              <w:t>Acceptance check</w:t>
            </w:r>
          </w:p>
        </w:tc>
      </w:tr>
      <w:tr>
        <w:tc>
          <w:tcPr>
            <w:tcW w:type="dxa" w:w="3312"/>
            <w:vAlign w:val="top"/>
          </w:tcPr>
          <w:p>
            <w:r>
              <w:rPr>
                <w:sz w:val="18"/>
              </w:rPr>
              <w:t>PR-01</w:t>
            </w:r>
          </w:p>
        </w:tc>
        <w:tc>
          <w:tcPr>
            <w:tcW w:type="dxa" w:w="3312"/>
            <w:vAlign w:val="top"/>
          </w:tcPr>
          <w:p>
            <w:r>
              <w:rPr>
                <w:sz w:val="18"/>
              </w:rPr>
              <w:t>Users register and authenticate with role-appropriate accounts.</w:t>
            </w:r>
          </w:p>
        </w:tc>
        <w:tc>
          <w:tcPr>
            <w:tcW w:type="dxa" w:w="3312"/>
            <w:vAlign w:val="top"/>
          </w:tcPr>
          <w:p>
            <w:r>
              <w:rPr>
                <w:sz w:val="18"/>
              </w:rPr>
              <w:t>Invalid credentials fail with a clear message; protected pages require login; public registration cannot create an admin.</w:t>
            </w:r>
          </w:p>
        </w:tc>
      </w:tr>
      <w:tr>
        <w:tc>
          <w:tcPr>
            <w:tcW w:type="dxa" w:w="3312"/>
            <w:vAlign w:val="top"/>
          </w:tcPr>
          <w:p>
            <w:r>
              <w:rPr>
                <w:sz w:val="18"/>
              </w:rPr>
              <w:t>PR-02</w:t>
            </w:r>
          </w:p>
        </w:tc>
        <w:tc>
          <w:tcPr>
            <w:tcW w:type="dxa" w:w="3312"/>
            <w:vAlign w:val="top"/>
          </w:tcPr>
          <w:p>
            <w:r>
              <w:rPr>
                <w:sz w:val="18"/>
              </w:rPr>
              <w:t>Users can update permitted profile fields.</w:t>
            </w:r>
          </w:p>
        </w:tc>
        <w:tc>
          <w:tcPr>
            <w:tcW w:type="dxa" w:w="3312"/>
            <w:vAlign w:val="top"/>
          </w:tcPr>
          <w:p>
            <w:r>
              <w:rPr>
                <w:sz w:val="18"/>
              </w:rPr>
              <w:t>Saved changes appear on the profile; one account cannot edit another account.</w:t>
            </w:r>
          </w:p>
        </w:tc>
      </w:tr>
      <w:tr>
        <w:tc>
          <w:tcPr>
            <w:tcW w:type="dxa" w:w="3312"/>
            <w:vAlign w:val="top"/>
          </w:tcPr>
          <w:p>
            <w:r>
              <w:rPr>
                <w:sz w:val="18"/>
              </w:rPr>
              <w:t>PR-03</w:t>
            </w:r>
          </w:p>
        </w:tc>
        <w:tc>
          <w:tcPr>
            <w:tcW w:type="dxa" w:w="3312"/>
            <w:vAlign w:val="top"/>
          </w:tcPr>
          <w:p>
            <w:r>
              <w:rPr>
                <w:sz w:val="18"/>
              </w:rPr>
              <w:t>Donors manage their own listings.</w:t>
            </w:r>
          </w:p>
        </w:tc>
        <w:tc>
          <w:tcPr>
            <w:tcW w:type="dxa" w:w="3312"/>
            <w:vAlign w:val="top"/>
          </w:tcPr>
          <w:p>
            <w:r>
              <w:rPr>
                <w:sz w:val="18"/>
              </w:rPr>
              <w:t>Create/read/update/delete works for the owner; other donors cannot edit the listing.</w:t>
            </w:r>
          </w:p>
        </w:tc>
      </w:tr>
      <w:tr>
        <w:tc>
          <w:tcPr>
            <w:tcW w:type="dxa" w:w="3312"/>
            <w:vAlign w:val="top"/>
          </w:tcPr>
          <w:p>
            <w:r>
              <w:rPr>
                <w:sz w:val="18"/>
              </w:rPr>
              <w:t>PR-04</w:t>
            </w:r>
          </w:p>
        </w:tc>
        <w:tc>
          <w:tcPr>
            <w:tcW w:type="dxa" w:w="3312"/>
            <w:vAlign w:val="top"/>
          </w:tcPr>
          <w:p>
            <w:r>
              <w:rPr>
                <w:sz w:val="18"/>
              </w:rPr>
              <w:t>Recipients browse currently available offers.</w:t>
            </w:r>
          </w:p>
        </w:tc>
        <w:tc>
          <w:tcPr>
            <w:tcW w:type="dxa" w:w="3312"/>
            <w:vAlign w:val="top"/>
          </w:tcPr>
          <w:p>
            <w:r>
              <w:rPr>
                <w:sz w:val="18"/>
              </w:rPr>
              <w:t>Only active, non-expired offers appear in the default browse view; details show quantity and pickup information.</w:t>
            </w:r>
          </w:p>
        </w:tc>
      </w:tr>
      <w:tr>
        <w:tc>
          <w:tcPr>
            <w:tcW w:type="dxa" w:w="3312"/>
            <w:vAlign w:val="top"/>
          </w:tcPr>
          <w:p>
            <w:r>
              <w:rPr>
                <w:sz w:val="18"/>
              </w:rPr>
              <w:t>PR-05</w:t>
            </w:r>
          </w:p>
        </w:tc>
        <w:tc>
          <w:tcPr>
            <w:tcW w:type="dxa" w:w="3312"/>
            <w:vAlign w:val="top"/>
          </w:tcPr>
          <w:p>
            <w:r>
              <w:rPr>
                <w:sz w:val="18"/>
              </w:rPr>
              <w:t>Recipients request an offer and follow status.</w:t>
            </w:r>
          </w:p>
        </w:tc>
        <w:tc>
          <w:tcPr>
            <w:tcW w:type="dxa" w:w="3312"/>
            <w:vAlign w:val="top"/>
          </w:tcPr>
          <w:p>
            <w:r>
              <w:rPr>
                <w:sz w:val="18"/>
              </w:rPr>
              <w:t>A request is recorded as pending; duplicate active requests are prevented; status changes are visible to the recipient.</w:t>
            </w:r>
          </w:p>
        </w:tc>
      </w:tr>
      <w:tr>
        <w:tc>
          <w:tcPr>
            <w:tcW w:type="dxa" w:w="3312"/>
            <w:vAlign w:val="top"/>
          </w:tcPr>
          <w:p>
            <w:r>
              <w:rPr>
                <w:sz w:val="18"/>
              </w:rPr>
              <w:t>PR-06</w:t>
            </w:r>
          </w:p>
        </w:tc>
        <w:tc>
          <w:tcPr>
            <w:tcW w:type="dxa" w:w="3312"/>
            <w:vAlign w:val="top"/>
          </w:tcPr>
          <w:p>
            <w:r>
              <w:rPr>
                <w:sz w:val="18"/>
              </w:rPr>
              <w:t>Donors decide incoming requests.</w:t>
            </w:r>
          </w:p>
        </w:tc>
        <w:tc>
          <w:tcPr>
            <w:tcW w:type="dxa" w:w="3312"/>
            <w:vAlign w:val="top"/>
          </w:tcPr>
          <w:p>
            <w:r>
              <w:rPr>
                <w:sz w:val="18"/>
              </w:rPr>
              <w:t>Only the owner can approve/reject; approving reserves the offer and blocks another approval.</w:t>
            </w:r>
          </w:p>
        </w:tc>
      </w:tr>
      <w:tr>
        <w:tc>
          <w:tcPr>
            <w:tcW w:type="dxa" w:w="3312"/>
            <w:vAlign w:val="top"/>
          </w:tcPr>
          <w:p>
            <w:r>
              <w:rPr>
                <w:sz w:val="18"/>
              </w:rPr>
              <w:t>PR-07</w:t>
            </w:r>
          </w:p>
        </w:tc>
        <w:tc>
          <w:tcPr>
            <w:tcW w:type="dxa" w:w="3312"/>
            <w:vAlign w:val="top"/>
          </w:tcPr>
          <w:p>
            <w:r>
              <w:rPr>
                <w:sz w:val="18"/>
              </w:rPr>
              <w:t>Administrators manage records.</w:t>
            </w:r>
          </w:p>
        </w:tc>
        <w:tc>
          <w:tcPr>
            <w:tcW w:type="dxa" w:w="3312"/>
            <w:vAlign w:val="top"/>
          </w:tcPr>
          <w:p>
            <w:r>
              <w:rPr>
                <w:sz w:val="18"/>
              </w:rPr>
              <w:t>Only an admin can access admin pages and perform admin actions; actions are confirmed before destructive removal.</w:t>
            </w:r>
          </w:p>
        </w:tc>
      </w:tr>
      <w:tr>
        <w:tc>
          <w:tcPr>
            <w:tcW w:type="dxa" w:w="3312"/>
            <w:vAlign w:val="top"/>
          </w:tcPr>
          <w:p>
            <w:r>
              <w:rPr>
                <w:sz w:val="18"/>
              </w:rPr>
              <w:t>PR-08</w:t>
            </w:r>
          </w:p>
        </w:tc>
        <w:tc>
          <w:tcPr>
            <w:tcW w:type="dxa" w:w="3312"/>
            <w:vAlign w:val="top"/>
          </w:tcPr>
          <w:p>
            <w:r>
              <w:rPr>
                <w:sz w:val="18"/>
              </w:rPr>
              <w:t>The system shows basic activity totals.</w:t>
            </w:r>
          </w:p>
        </w:tc>
        <w:tc>
          <w:tcPr>
            <w:tcW w:type="dxa" w:w="3312"/>
            <w:vAlign w:val="top"/>
          </w:tcPr>
          <w:p>
            <w:r>
              <w:rPr>
                <w:sz w:val="18"/>
              </w:rPr>
              <w:t>Dashboard totals are calculated from stored records and agree with the visible records under the same filters.</w:t>
            </w:r>
          </w:p>
        </w:tc>
      </w:tr>
      <w:tr>
        <w:tc>
          <w:tcPr>
            <w:tcW w:type="dxa" w:w="3312"/>
            <w:vAlign w:val="top"/>
          </w:tcPr>
          <w:p>
            <w:r>
              <w:rPr>
                <w:sz w:val="18"/>
              </w:rPr>
              <w:t>PR-09</w:t>
            </w:r>
          </w:p>
        </w:tc>
        <w:tc>
          <w:tcPr>
            <w:tcW w:type="dxa" w:w="3312"/>
            <w:vAlign w:val="top"/>
          </w:tcPr>
          <w:p>
            <w:r>
              <w:rPr>
                <w:sz w:val="18"/>
              </w:rPr>
              <w:t>The interface works on common desktop and mobile browser widths.</w:t>
            </w:r>
          </w:p>
        </w:tc>
        <w:tc>
          <w:tcPr>
            <w:tcW w:type="dxa" w:w="3312"/>
            <w:vAlign w:val="top"/>
          </w:tcPr>
          <w:p>
            <w:r>
              <w:rPr>
                <w:sz w:val="18"/>
              </w:rPr>
              <w:t>Primary forms and lists remain readable and usable without horizontal scrolling at typical phone width.</w:t>
            </w:r>
          </w:p>
        </w:tc>
      </w:tr>
      <w:tr>
        <w:tc>
          <w:tcPr>
            <w:tcW w:type="dxa" w:w="3312"/>
            <w:vAlign w:val="top"/>
          </w:tcPr>
          <w:p>
            <w:r>
              <w:rPr>
                <w:sz w:val="18"/>
              </w:rPr>
              <w:t>PR-10</w:t>
            </w:r>
          </w:p>
        </w:tc>
        <w:tc>
          <w:tcPr>
            <w:tcW w:type="dxa" w:w="3312"/>
            <w:vAlign w:val="top"/>
          </w:tcPr>
          <w:p>
            <w:r>
              <w:rPr>
                <w:sz w:val="18"/>
              </w:rPr>
              <w:t>Pages respond promptly under expected classroom/demo usage.</w:t>
            </w:r>
          </w:p>
        </w:tc>
        <w:tc>
          <w:tcPr>
            <w:tcW w:type="dxa" w:w="3312"/>
            <w:vAlign w:val="top"/>
          </w:tcPr>
          <w:p>
            <w:r>
              <w:rPr>
                <w:sz w:val="18"/>
              </w:rPr>
              <w:t>Target: ordinary pages load within 3 seconds under normal conditions; confirm in the intended hosting environment.</w:t>
            </w:r>
          </w:p>
        </w:tc>
      </w:tr>
    </w:tbl>
    <w:p/>
    <w:p>
      <w:pPr>
        <w:pStyle w:val="Heading1"/>
      </w:pPr>
      <w:r>
        <w:t>7. Business rules</w:t>
      </w:r>
    </w:p>
    <w:p>
      <w:pPr>
        <w:pStyle w:val="ListBullet"/>
      </w:pPr>
      <w:r>
        <w:t>A listing has one donor owner and a clear availability status: Available, Reserved, Unavailable, or Expired.</w:t>
      </w:r>
    </w:p>
    <w:p>
      <w:pPr>
        <w:pStyle w:val="ListBullet"/>
      </w:pPr>
      <w:r>
        <w:t>A recipient cannot request their own listing.</w:t>
      </w:r>
    </w:p>
    <w:p>
      <w:pPr>
        <w:pStyle w:val="ListBullet"/>
      </w:pPr>
      <w:r>
        <w:t>A request starts as Pending. Valid transitions: Pending to Approved, Rejected, or Cancelled.</w:t>
      </w:r>
    </w:p>
    <w:p>
      <w:pPr>
        <w:pStyle w:val="ListBullet"/>
      </w:pPr>
      <w:r>
        <w:t>At most one request may be Approved for a listing in v1. Approval marks the listing Reserved or Unavailable.</w:t>
      </w:r>
    </w:p>
    <w:p>
      <w:pPr>
        <w:pStyle w:val="ListBullet"/>
      </w:pPr>
      <w:r>
        <w:t>Only the donor who owns the listing may decide its requests; only the recipient who made a request may cancel it while pending.</w:t>
      </w:r>
    </w:p>
    <w:p>
      <w:pPr>
        <w:pStyle w:val="ListBullet"/>
      </w:pPr>
      <w:r>
        <w:t>Expired or deleted listings cannot receive new requests. Existing request history should remain understandable to administrators.</w:t>
      </w:r>
    </w:p>
    <w:p>
      <w:pPr>
        <w:pStyle w:val="ListBullet"/>
      </w:pPr>
      <w:r>
        <w:t>Deleting or deactivating an account must not silently corrupt historical request records.</w:t>
      </w:r>
    </w:p>
    <w:p>
      <w:pPr>
        <w:pStyle w:val="Heading1"/>
      </w:pPr>
      <w:r>
        <w:t>8. Success measures</w:t>
      </w:r>
    </w:p>
    <w:p>
      <w:pPr>
        <w:pStyle w:val="ListBullet"/>
      </w:pPr>
      <w:r>
        <w:t>At least one complete donor-to-recipient request workflow succeeds in a pilot/demo.</w:t>
      </w:r>
    </w:p>
    <w:p>
      <w:pPr>
        <w:pStyle w:val="ListBullet"/>
      </w:pPr>
      <w:r>
        <w:t>No unauthorized cross-role access to another user’s records during acceptance review.</w:t>
      </w:r>
    </w:p>
    <w:p>
      <w:pPr>
        <w:pStyle w:val="ListBullet"/>
      </w:pPr>
      <w:r>
        <w:t>Administrators can reconcile dashboard totals with the underlying lists.</w:t>
      </w:r>
    </w:p>
    <w:p>
      <w:pPr>
        <w:pStyle w:val="ListBullet"/>
      </w:pPr>
      <w:r>
        <w:t>Capture, if practical, listings created, requests submitted, approvals, and rejected/cancelled requests during a small pilot; do not claim food saved without a measured quantity and collection confirmation.</w:t>
      </w:r>
    </w:p>
    <w:p>
      <w:pPr>
        <w:pStyle w:val="Heading1"/>
      </w:pPr>
      <w:r>
        <w:t>9. Assumptions, risks, and open decisions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Topic</w:t>
            </w:r>
          </w:p>
        </w:tc>
        <w:tc>
          <w:tcPr>
            <w:tcW w:type="dxa" w:w="4968"/>
            <w:shd w:fill="17365D"/>
          </w:tcPr>
          <w:p>
            <w:r>
              <w:rPr>
                <w:b/>
                <w:color w:val="FFFFFF"/>
                <w:sz w:val="18"/>
              </w:rPr>
              <w:t>v1 assumption / decision to confirm</w:t>
            </w:r>
          </w:p>
        </w:tc>
      </w:tr>
      <w:tr>
        <w:tc>
          <w:tcPr>
            <w:tcW w:type="dxa" w:w="4968"/>
            <w:vAlign w:val="top"/>
          </w:tcPr>
          <w:p>
            <w:r>
              <w:rPr>
                <w:sz w:val="18"/>
              </w:rPr>
              <w:t>Technology</w:t>
            </w:r>
          </w:p>
        </w:tc>
        <w:tc>
          <w:tcPr>
            <w:tcW w:type="dxa" w:w="4968"/>
            <w:vAlign w:val="top"/>
          </w:tcPr>
          <w:p>
            <w:r>
              <w:rPr>
                <w:sz w:val="18"/>
              </w:rPr>
              <w:t>The supplied SRS specifies HTML/CSS, PHP, and MySQL; this PRD assumes that stack.</w:t>
            </w:r>
          </w:p>
        </w:tc>
      </w:tr>
      <w:tr>
        <w:tc>
          <w:tcPr>
            <w:tcW w:type="dxa" w:w="4968"/>
            <w:vAlign w:val="top"/>
          </w:tcPr>
          <w:p>
            <w:r>
              <w:rPr>
                <w:sz w:val="18"/>
              </w:rPr>
              <w:t>Collection</w:t>
            </w:r>
          </w:p>
        </w:tc>
        <w:tc>
          <w:tcPr>
            <w:tcW w:type="dxa" w:w="4968"/>
            <w:vAlign w:val="top"/>
          </w:tcPr>
          <w:p>
            <w:r>
              <w:rPr>
                <w:sz w:val="18"/>
              </w:rPr>
              <w:t>Recipients arrange pickup directly using the provided instructions; the system does not verify pickup.</w:t>
            </w:r>
          </w:p>
        </w:tc>
      </w:tr>
      <w:tr>
        <w:tc>
          <w:tcPr>
            <w:tcW w:type="dxa" w:w="4968"/>
            <w:vAlign w:val="top"/>
          </w:tcPr>
          <w:p>
            <w:r>
              <w:rPr>
                <w:sz w:val="18"/>
              </w:rPr>
              <w:t>Food safety</w:t>
            </w:r>
          </w:p>
        </w:tc>
        <w:tc>
          <w:tcPr>
            <w:tcW w:type="dxa" w:w="4968"/>
            <w:vAlign w:val="top"/>
          </w:tcPr>
          <w:p>
            <w:r>
              <w:rPr>
                <w:sz w:val="18"/>
              </w:rPr>
              <w:t>Donors provide accurate details; the platform does not inspect food or certify safety.</w:t>
            </w:r>
          </w:p>
        </w:tc>
      </w:tr>
      <w:tr>
        <w:tc>
          <w:tcPr>
            <w:tcW w:type="dxa" w:w="4968"/>
            <w:vAlign w:val="top"/>
          </w:tcPr>
          <w:p>
            <w:r>
              <w:rPr>
                <w:sz w:val="18"/>
              </w:rPr>
              <w:t>Location and privacy</w:t>
            </w:r>
          </w:p>
        </w:tc>
        <w:tc>
          <w:tcPr>
            <w:tcW w:type="dxa" w:w="4968"/>
            <w:vAlign w:val="top"/>
          </w:tcPr>
          <w:p>
            <w:r>
              <w:rPr>
                <w:sz w:val="18"/>
              </w:rPr>
              <w:t>Use a pickup location text field. Decide whether exact location is shown before a request is approved.</w:t>
            </w:r>
          </w:p>
        </w:tc>
      </w:tr>
      <w:tr>
        <w:tc>
          <w:tcPr>
            <w:tcW w:type="dxa" w:w="4968"/>
            <w:vAlign w:val="top"/>
          </w:tcPr>
          <w:p>
            <w:r>
              <w:rPr>
                <w:sz w:val="18"/>
              </w:rPr>
              <w:t>Time handling</w:t>
            </w:r>
          </w:p>
        </w:tc>
        <w:tc>
          <w:tcPr>
            <w:tcW w:type="dxa" w:w="4968"/>
            <w:vAlign w:val="top"/>
          </w:tcPr>
          <w:p>
            <w:r>
              <w:rPr>
                <w:sz w:val="18"/>
              </w:rPr>
              <w:t>Store timestamps consistently and display in the deployment’s configured local time zone.</w:t>
            </w:r>
          </w:p>
        </w:tc>
      </w:tr>
      <w:tr>
        <w:tc>
          <w:tcPr>
            <w:tcW w:type="dxa" w:w="4968"/>
            <w:vAlign w:val="top"/>
          </w:tcPr>
          <w:p>
            <w:r>
              <w:rPr>
                <w:sz w:val="18"/>
              </w:rPr>
              <w:t>Admin provisioning</w:t>
            </w:r>
          </w:p>
        </w:tc>
        <w:tc>
          <w:tcPr>
            <w:tcW w:type="dxa" w:w="4968"/>
            <w:vAlign w:val="top"/>
          </w:tcPr>
          <w:p>
            <w:r>
              <w:rPr>
                <w:sz w:val="18"/>
              </w:rPr>
              <w:t>Create the initial admin account through a secure setup process; never publish default credentials.</w:t>
            </w:r>
          </w:p>
        </w:tc>
      </w:tr>
      <w:tr>
        <w:tc>
          <w:tcPr>
            <w:tcW w:type="dxa" w:w="4968"/>
            <w:vAlign w:val="top"/>
          </w:tcPr>
          <w:p>
            <w:r>
              <w:rPr>
                <w:sz w:val="18"/>
              </w:rPr>
              <w:t>Legal/policy</w:t>
            </w:r>
          </w:p>
        </w:tc>
        <w:tc>
          <w:tcPr>
            <w:tcW w:type="dxa" w:w="4968"/>
            <w:vAlign w:val="top"/>
          </w:tcPr>
          <w:p>
            <w:r>
              <w:rPr>
                <w:sz w:val="18"/>
              </w:rPr>
              <w:t>Before real public use, define acceptable-food rules, privacy notice, retention, and removal process.</w:t>
            </w:r>
          </w:p>
        </w:tc>
      </w:tr>
    </w:tbl>
    <w:p/>
    <w:p>
      <w:pPr>
        <w:pStyle w:val="Heading1"/>
      </w:pPr>
      <w:r>
        <w:t>10. Release boundary</w:t>
      </w:r>
    </w:p>
    <w:p>
      <w:r>
        <w:t>v1.0 is complete when authentication, listing management, request decisions, admin oversight, and basic reporting work together in a deployed demonstration environment and meet the acceptance checks above. v1.5 is a follow-on increment, not a condition for MVP completion.</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Waste Food Management System  |  Product and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029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7D8D"/>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