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0D9488"/>
          <w:sz w:val="19"/>
        </w:rPr>
        <w:t>PROJECT 2: WELLNESS DASHBOARD | DOC-02</w:t>
        <w:br/>
      </w:r>
      <w:r>
        <w:rPr>
          <w:rFonts w:ascii="Calibri" w:hAnsi="Calibri"/>
          <w:b/>
          <w:color w:val="1B365D"/>
          <w:sz w:val="44"/>
        </w:rPr>
        <w:t>Technical Requirements Document (TRD)</w:t>
      </w:r>
    </w:p>
    <w:p>
      <w:pPr>
        <w:spacing w:after="280"/>
      </w:pPr>
      <w:r>
        <w:rPr>
          <w:rFonts w:ascii="Calibri" w:hAnsi="Calibri"/>
          <w:i/>
          <w:color w:val="475569"/>
          <w:sz w:val="24"/>
        </w:rPr>
        <w:t>Personal Wellness Dashboard (Single-User Analytics) — Project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Document 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DOC-02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Version / 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1.0 / Final College Review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Single-User Personal Wellness Dashboard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Academic Year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[Academic Year: 2026-2027]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Student 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[Student Name]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Roll / Student 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[Roll Number / Student ID]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College / University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[College / University Name]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Department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[Department of Computer Science / Data Science]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Faculty Mentor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[Faculty Guide / Mentor Name]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Submission 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[Submission Date]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DC2626"/>
                <w:sz w:val="20"/>
              </w:rPr>
              <w:t>⚠️ ACADEMIC &amp; NON-MEDICAL DISCLAIMER:</w:t>
              <w:br/>
            </w:r>
            <w:r>
              <w:rPr>
                <w:rFonts w:ascii="Calibri" w:hAnsi="Calibri"/>
                <w:color w:val="0F172A"/>
                <w:sz w:val="19"/>
              </w:rPr>
              <w:t>This project dossier is created solely for undergraduate academic evaluation. The Personal Wellness Dashboard is an educational data visualization system and NOT a medical diagnostic device, clinical tool, or health advisory service. It must not be used to diagnose, monitor, or treat medical conditions. All baseline sample data provided is synthetic.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1. System Architecture &amp; High-Level Design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The Personal Wellness Dashboard utilizes a clean, single-tier modular architecture designed for local execution. The system decouples data storage, business calculation logic, and visualization rendering.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1.1 Architectural Layer Breakdown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Layer 1 — Data Persistence: </w:t>
      </w:r>
      <w:r>
        <w:rPr>
          <w:rFonts w:ascii="Calibri" w:hAnsi="Calibri"/>
          <w:color w:val="0F172A"/>
          <w:sz w:val="20"/>
        </w:rPr>
        <w:t>Encapsulated in local flat files (sample_wellness_data.csv and Document_7_Dataset_and_Data_Dictionary.xlsx). Zero reliance on external database servers.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Layer 2 — Analytics &amp; Processing Engine: </w:t>
      </w:r>
      <w:r>
        <w:rPr>
          <w:rFonts w:ascii="Calibri" w:hAnsi="Calibri"/>
          <w:color w:val="0F172A"/>
          <w:sz w:val="20"/>
        </w:rPr>
        <w:t>Powered by Pandas (v2.0+) and NumPy (v1.24+). Responsible for schema enforcement, date parsing, rolling statistical aggregations, and correlation computation.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Layer 3 — Presentation &amp; Visualization: </w:t>
      </w:r>
      <w:r>
        <w:rPr>
          <w:rFonts w:ascii="Calibri" w:hAnsi="Calibri"/>
          <w:color w:val="0F172A"/>
          <w:sz w:val="20"/>
        </w:rPr>
        <w:t>Matplotlib and Seaborn for high-resolution static publication charts; Plotly and Streamlit for dynamic, interactive browser-based dashboard views.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Layer 4 — AI Collaboration Layer: </w:t>
      </w:r>
      <w:r>
        <w:rPr>
          <w:rFonts w:ascii="Calibri" w:hAnsi="Calibri"/>
          <w:color w:val="0F172A"/>
          <w:sz w:val="20"/>
        </w:rPr>
        <w:t>Google Gemini utilized as an off-line assistant during project design, test prompt formulation, and code optimization.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2. Technology Stack &amp; Selection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/ Library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System Role</w:t>
            </w:r>
          </w:p>
        </w:tc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Selection Rationale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3.10 - 3.14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Core Language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Standard language for data science; rich scientific ecosystem; high developer productivity.</w:t>
            </w:r>
          </w:p>
        </w:tc>
      </w:tr>
      <w:tr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Jupyter Notebook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7.0+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Exploratory Environment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Provides an interactive, narrative-driven environment combining code, charts, and Markdown commentary.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Pandas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2.0+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Data Manipulation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Industry-standard DataFrame structures; highly optimized for vectorized time-series operations.</w:t>
            </w:r>
          </w:p>
        </w:tc>
      </w:tr>
      <w:tr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NumPy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1.24+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Numerical Computing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High-performance array mathematics and robust clipping/statistical aggregations.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Matplotlib &amp; Seaborn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3.8+ / 0.13+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Static Visualization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Generates publication-quality, deterministic charts required for academic report submission.</w:t>
            </w:r>
          </w:p>
        </w:tc>
      </w:tr>
      <w:tr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Plotly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5.18+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Interactive Charts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Offers rich tooltips, zooming, and pan capabilities inside the Streamlit user interface.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Streamlit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1.30+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Web Application UI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Turns analytical scripts into interactive web dashboards in pure Python without frontend web complexity.</w:t>
            </w:r>
          </w:p>
        </w:tc>
      </w:tr>
      <w:tr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openpyxl / python-docx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3.1+ / 1.1+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Dossier Automation</w:t>
            </w:r>
          </w:p>
        </w:tc>
        <w:tc>
          <w:tcPr>
            <w:tcW w:type="dxa" w:w="216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Enables programmatic generation of professional multi-sheet Excel files and Word project dossiers.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3. Data Schema &amp; Dataset Assumptions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The dashboard operates on a well-defined tabular schema. Three distinct data categories are explicitly recognized: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Category 1: </w:t>
      </w:r>
      <w:r>
        <w:rPr>
          <w:rFonts w:ascii="Calibri" w:hAnsi="Calibri"/>
          <w:color w:val="0F172A"/>
          <w:sz w:val="20"/>
        </w:rPr>
        <w:t>Synthetic Demonstration Dataset: A 60-day dataset (August 1 to September 29, 2026) generated using Gaussian distributions to simulate realistic human behavioral variance for the persona 'Alex'.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Category 2: </w:t>
      </w:r>
      <w:r>
        <w:rPr>
          <w:rFonts w:ascii="Calibri" w:hAnsi="Calibri"/>
          <w:color w:val="0F172A"/>
          <w:sz w:val="20"/>
        </w:rPr>
        <w:t>User-Supplied Consented Data: Real personal logs collected via spreadsheet or simple daily logging, replacing the synthetic file.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Category 3: </w:t>
      </w:r>
      <w:r>
        <w:rPr>
          <w:rFonts w:ascii="Calibri" w:hAnsi="Calibri"/>
          <w:color w:val="0F172A"/>
          <w:sz w:val="20"/>
        </w:rPr>
        <w:t>Proposed Sensor Data (Heart Rate / Biometrics): Identified as future extension feeds; explicitly excluded from baseline demonstration.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3.1 Baseline Data Dictionary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728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</w:t>
            </w:r>
          </w:p>
        </w:tc>
        <w:tc>
          <w:tcPr>
            <w:tcW w:type="dxa" w:w="1728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Validation Range</w:t>
            </w:r>
          </w:p>
        </w:tc>
        <w:tc>
          <w:tcPr>
            <w:tcW w:type="dxa" w:w="1728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 / Status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date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Date string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YYYY-MM-DD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2026-01-01 to 2026-12-31; Unique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Primary Key / Synthetic Demo</w:t>
            </w:r>
          </w:p>
        </w:tc>
      </w:tr>
      <w:tr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sleep_hours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Float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Hours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3.0 &lt;= val &lt;= 14.0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Core Rest Metric / Synthetic Demo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steps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Integer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Count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0 &lt;= val &lt;= 35,000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Physical Movement / Synthetic Demo</w:t>
            </w:r>
          </w:p>
        </w:tc>
      </w:tr>
      <w:tr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water_glasses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Integer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Glasses (250ml)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0 &lt;= val &lt;= 25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Hydration Metric / Synthetic Demo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activity_minutes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Integer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Minutes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0 &lt;= val &lt;= 240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Exercise Metric / Synthetic Demo</w:t>
            </w:r>
          </w:p>
        </w:tc>
      </w:tr>
      <w:tr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mood_score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Integer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Likert (1-5)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1, 2, 3, 4, 5</w:t>
            </w:r>
          </w:p>
        </w:tc>
        <w:tc>
          <w:tcPr>
            <w:tcW w:type="dxa" w:w="172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Subjective Wellness / Synthetic Demo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heart_rate_bpm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Integer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BPM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40 &lt;= val &lt;= 130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Proposed Future Wearable Sensor Feed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4. Mathematical Formulations &amp; Metric Derivations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To ensure scientific rigor, all dashboard KPIs are computed via formal mathematical definitions: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4.1 7-Day Rolling Moving Average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Smoothes daily volatility to highlight medium-term habit trends: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Formula: </w:t>
      </w:r>
      <w:r>
        <w:rPr>
          <w:rFonts w:ascii="Calibri" w:hAnsi="Calibri"/>
          <w:color w:val="0F172A"/>
          <w:sz w:val="20"/>
        </w:rPr>
        <w:t>SMA_7(t) = (1 / 7) * Sum_{i=0}^{6} Metric(t - i)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4.2 Habit Goal Compliance Rate (%)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Quantifies habit adherence across the total observation window of N days: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Formula: </w:t>
      </w:r>
      <w:r>
        <w:rPr>
          <w:rFonts w:ascii="Calibri" w:hAnsi="Calibri"/>
          <w:color w:val="0F172A"/>
          <w:sz w:val="20"/>
        </w:rPr>
        <w:t>Compliance(%) = (Count(Metric_t &gt;= Target) / N) * 100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4.3 Social Jetlag (Circadian Shift)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Measures the difference between mean weekend sleep duration and mean weekday sleep duration: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Formula: </w:t>
      </w:r>
      <w:r>
        <w:rPr>
          <w:rFonts w:ascii="Calibri" w:hAnsi="Calibri"/>
          <w:color w:val="0F172A"/>
          <w:sz w:val="20"/>
        </w:rPr>
        <w:t>Delta_Sleep = Mean(Sleep_Weekend) - Mean(Sleep_Weekday)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4.4 Pearson Correlation Coefficient (r)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Measures linear correlation between two continuous wellness dimensions X and Y: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Formula: </w:t>
      </w:r>
      <w:r>
        <w:rPr>
          <w:rFonts w:ascii="Calibri" w:hAnsi="Calibri"/>
          <w:color w:val="0F172A"/>
          <w:sz w:val="20"/>
        </w:rPr>
        <w:t>r_{XY} = Cov(X, Y) / (Sigma_X * Sigma_Y)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4.5 Composite Daily Wellness Score (0 to 100)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Synthesizes four habit pillars with equal 25% weights: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Formula: </w:t>
      </w:r>
      <w:r>
        <w:rPr>
          <w:rFonts w:ascii="Calibri" w:hAnsi="Calibri"/>
          <w:color w:val="0F172A"/>
          <w:sz w:val="20"/>
        </w:rPr>
        <w:t>Score = 25*(min(Sleep,8)/8) + 25*(min(Steps,10k)/10k) + 25*(min(Water,8)/8) + 25*(Mood/5)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5. Data Cleaning &amp; Preprocessing Pipeline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The preprocessing pipeline executes 5 sequential validation steps: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1 (Schema Check): </w:t>
      </w:r>
      <w:r>
        <w:rPr>
          <w:rFonts w:ascii="Calibri" w:hAnsi="Calibri"/>
          <w:color w:val="0F172A"/>
          <w:sz w:val="20"/>
        </w:rPr>
        <w:t>Confirms file existence, readable CSV/XLSX structure, and checks for all 6 required column headers.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2 (Temporal Normalization): </w:t>
      </w:r>
      <w:r>
        <w:rPr>
          <w:rFonts w:ascii="Calibri" w:hAnsi="Calibri"/>
          <w:color w:val="0F172A"/>
          <w:sz w:val="20"/>
        </w:rPr>
        <w:t>Converts string date to datetime objects and sorts records chronologically.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3 (Missing Data Handling): </w:t>
      </w:r>
      <w:r>
        <w:rPr>
          <w:rFonts w:ascii="Calibri" w:hAnsi="Calibri"/>
          <w:color w:val="0F172A"/>
          <w:sz w:val="20"/>
        </w:rPr>
        <w:t>Identifies Null or empty entries. Missing single days are forward-filled; multi-day gaps imputed with 7-day median.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4 (Range Enforcement): </w:t>
      </w:r>
      <w:r>
        <w:rPr>
          <w:rFonts w:ascii="Calibri" w:hAnsi="Calibri"/>
          <w:color w:val="0F172A"/>
          <w:sz w:val="20"/>
        </w:rPr>
        <w:t>Checks values against physiological boundaries (e.g. sleep between 3.0 and 14.0 hrs). Clamps or flags anomalies.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5 (Feature Augmentation): </w:t>
      </w:r>
      <w:r>
        <w:rPr>
          <w:rFonts w:ascii="Calibri" w:hAnsi="Calibri"/>
          <w:color w:val="0F172A"/>
          <w:sz w:val="20"/>
        </w:rPr>
        <w:t>Derives day_name, is_weekend, rolling averages, goal-met flags, and composite score.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6. Privacy, Security &amp; Technical Constraints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Privacy Standard: </w:t>
      </w:r>
      <w:r>
        <w:rPr>
          <w:rFonts w:ascii="Calibri" w:hAnsi="Calibri"/>
          <w:color w:val="0F172A"/>
          <w:sz w:val="20"/>
        </w:rPr>
        <w:t>100% Local Execution: Code operates entirely offline without making outbound network requests.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Security Baseline: </w:t>
      </w:r>
      <w:r>
        <w:rPr>
          <w:rFonts w:ascii="Calibri" w:hAnsi="Calibri"/>
          <w:color w:val="0F172A"/>
          <w:sz w:val="20"/>
        </w:rPr>
        <w:t>Zero Personally Identifiable Information (PII): Dataset schema strictly excludes names, emails, IP addresses, or device IDs.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Reproducibility: </w:t>
      </w:r>
      <w:r>
        <w:rPr>
          <w:rFonts w:ascii="Calibri" w:hAnsi="Calibri"/>
          <w:color w:val="0F172A"/>
          <w:sz w:val="20"/>
        </w:rPr>
        <w:t>Deterministic Output: Random seeds are fixed (seed=42) to guarantee reproducible demonstration output during academic evaluation.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Scope Limitation: </w:t>
      </w:r>
      <w:r>
        <w:rPr>
          <w:rFonts w:ascii="Calibri" w:hAnsi="Calibri"/>
          <w:color w:val="0F172A"/>
          <w:sz w:val="20"/>
        </w:rPr>
        <w:t>Single-User Boundary: The application does not maintain user sessions, databases, or multi-tenant authorization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