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0D9488"/>
          <w:sz w:val="19"/>
        </w:rPr>
        <w:t>PROJECT 2: WELLNESS DASHBOARD | DOC-05</w:t>
        <w:br/>
      </w:r>
      <w:r>
        <w:rPr>
          <w:rFonts w:ascii="Calibri" w:hAnsi="Calibri"/>
          <w:b/>
          <w:color w:val="1B365D"/>
          <w:sz w:val="42"/>
        </w:rPr>
        <w:t>Presentation &amp; Demonstration Guide</w:t>
      </w:r>
    </w:p>
    <w:p>
      <w:pPr>
        <w:spacing w:after="240"/>
      </w:pPr>
      <w:r>
        <w:rPr>
          <w:rFonts w:ascii="Calibri" w:hAnsi="Calibri"/>
          <w:i/>
          <w:color w:val="475569"/>
          <w:sz w:val="23"/>
        </w:rPr>
        <w:t>Personal Wellness Dashboard (Single-User Analytics) — Project 2</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F8FAFC"/>
            <w:tcMar>
              <w:top w:w="50" w:type="dxa"/>
              <w:bottom w:w="50" w:type="dxa"/>
              <w:left w:w="80" w:type="dxa"/>
              <w:right w:w="80" w:type="dxa"/>
            </w:tcMar>
          </w:tcPr>
          <w:p>
            <w:r>
              <w:rPr>
                <w:rFonts w:ascii="Calibri" w:hAnsi="Calibri"/>
                <w:b/>
                <w:color w:val="1B365D"/>
                <w:sz w:val="19"/>
              </w:rPr>
              <w:t>Document ID</w:t>
            </w:r>
          </w:p>
        </w:tc>
        <w:tc>
          <w:tcPr>
            <w:tcW w:type="dxa" w:w="2160"/>
            <w:tcMar>
              <w:top w:w="50" w:type="dxa"/>
              <w:bottom w:w="50" w:type="dxa"/>
              <w:left w:w="80" w:type="dxa"/>
              <w:right w:w="80" w:type="dxa"/>
            </w:tcMar>
          </w:tcPr>
          <w:p>
            <w:r>
              <w:rPr>
                <w:rFonts w:ascii="Calibri" w:hAnsi="Calibri"/>
                <w:color w:val="0F172A"/>
                <w:sz w:val="19"/>
              </w:rPr>
              <w:t>DOC-05</w:t>
            </w:r>
          </w:p>
        </w:tc>
        <w:tc>
          <w:tcPr>
            <w:tcW w:type="dxa" w:w="2160"/>
            <w:shd w:val="clear" w:color="auto" w:fill="F8FAFC"/>
            <w:tcMar>
              <w:top w:w="50" w:type="dxa"/>
              <w:bottom w:w="50" w:type="dxa"/>
              <w:left w:w="80" w:type="dxa"/>
              <w:right w:w="80" w:type="dxa"/>
            </w:tcMar>
          </w:tcPr>
          <w:p>
            <w:r>
              <w:rPr>
                <w:rFonts w:ascii="Calibri" w:hAnsi="Calibri"/>
                <w:b/>
                <w:color w:val="1B365D"/>
                <w:sz w:val="19"/>
              </w:rPr>
              <w:t>Version / Status</w:t>
            </w:r>
          </w:p>
        </w:tc>
        <w:tc>
          <w:tcPr>
            <w:tcW w:type="dxa" w:w="2160"/>
            <w:tcMar>
              <w:top w:w="50" w:type="dxa"/>
              <w:bottom w:w="50" w:type="dxa"/>
              <w:left w:w="80" w:type="dxa"/>
              <w:right w:w="80" w:type="dxa"/>
            </w:tcMar>
          </w:tcPr>
          <w:p>
            <w:r>
              <w:rPr>
                <w:rFonts w:ascii="Calibri" w:hAnsi="Calibri"/>
                <w:color w:val="0F172A"/>
                <w:sz w:val="19"/>
              </w:rPr>
              <w:t>1.0 / Final College Review</w:t>
            </w:r>
          </w:p>
        </w:tc>
      </w:tr>
      <w:tr>
        <w:tc>
          <w:tcPr>
            <w:tcW w:type="dxa" w:w="2160"/>
            <w:shd w:val="clear" w:color="auto" w:fill="F8FAFC"/>
            <w:tcMar>
              <w:top w:w="50" w:type="dxa"/>
              <w:bottom w:w="50" w:type="dxa"/>
              <w:left w:w="80" w:type="dxa"/>
              <w:right w:w="80" w:type="dxa"/>
            </w:tcMar>
          </w:tcPr>
          <w:p>
            <w:r>
              <w:rPr>
                <w:rFonts w:ascii="Calibri" w:hAnsi="Calibri"/>
                <w:b/>
                <w:color w:val="1B365D"/>
                <w:sz w:val="19"/>
              </w:rPr>
              <w:t>Project Name</w:t>
            </w:r>
          </w:p>
        </w:tc>
        <w:tc>
          <w:tcPr>
            <w:tcW w:type="dxa" w:w="2160"/>
            <w:tcMar>
              <w:top w:w="50" w:type="dxa"/>
              <w:bottom w:w="50" w:type="dxa"/>
              <w:left w:w="80" w:type="dxa"/>
              <w:right w:w="80" w:type="dxa"/>
            </w:tcMar>
          </w:tcPr>
          <w:p>
            <w:r>
              <w:rPr>
                <w:rFonts w:ascii="Calibri" w:hAnsi="Calibri"/>
                <w:color w:val="0F172A"/>
                <w:sz w:val="19"/>
              </w:rPr>
              <w:t>Single-User Personal Wellness Dashboard</w:t>
            </w:r>
          </w:p>
        </w:tc>
        <w:tc>
          <w:tcPr>
            <w:tcW w:type="dxa" w:w="2160"/>
            <w:shd w:val="clear" w:color="auto" w:fill="F8FAFC"/>
            <w:tcMar>
              <w:top w:w="50" w:type="dxa"/>
              <w:bottom w:w="50" w:type="dxa"/>
              <w:left w:w="80" w:type="dxa"/>
              <w:right w:w="80" w:type="dxa"/>
            </w:tcMar>
          </w:tcPr>
          <w:p>
            <w:r>
              <w:rPr>
                <w:rFonts w:ascii="Calibri" w:hAnsi="Calibri"/>
                <w:b/>
                <w:color w:val="1B365D"/>
                <w:sz w:val="19"/>
              </w:rPr>
              <w:t>Academic Year</w:t>
            </w:r>
          </w:p>
        </w:tc>
        <w:tc>
          <w:tcPr>
            <w:tcW w:type="dxa" w:w="2160"/>
            <w:tcMar>
              <w:top w:w="50" w:type="dxa"/>
              <w:bottom w:w="50" w:type="dxa"/>
              <w:left w:w="80" w:type="dxa"/>
              <w:right w:w="80" w:type="dxa"/>
            </w:tcMar>
          </w:tcPr>
          <w:p>
            <w:r>
              <w:rPr>
                <w:rFonts w:ascii="Calibri" w:hAnsi="Calibri"/>
                <w:color w:val="0F172A"/>
                <w:sz w:val="19"/>
              </w:rPr>
              <w:t>[Academic Year: 2026-2027]</w:t>
            </w:r>
          </w:p>
        </w:tc>
      </w:tr>
      <w:tr>
        <w:tc>
          <w:tcPr>
            <w:tcW w:type="dxa" w:w="2160"/>
            <w:shd w:val="clear" w:color="auto" w:fill="F8FAFC"/>
            <w:tcMar>
              <w:top w:w="50" w:type="dxa"/>
              <w:bottom w:w="50" w:type="dxa"/>
              <w:left w:w="80" w:type="dxa"/>
              <w:right w:w="80" w:type="dxa"/>
            </w:tcMar>
          </w:tcPr>
          <w:p>
            <w:r>
              <w:rPr>
                <w:rFonts w:ascii="Calibri" w:hAnsi="Calibri"/>
                <w:b/>
                <w:color w:val="1B365D"/>
                <w:sz w:val="19"/>
              </w:rPr>
              <w:t>Student Name</w:t>
            </w:r>
          </w:p>
        </w:tc>
        <w:tc>
          <w:tcPr>
            <w:tcW w:type="dxa" w:w="2160"/>
            <w:tcMar>
              <w:top w:w="50" w:type="dxa"/>
              <w:bottom w:w="50" w:type="dxa"/>
              <w:left w:w="80" w:type="dxa"/>
              <w:right w:w="80" w:type="dxa"/>
            </w:tcMar>
          </w:tcPr>
          <w:p>
            <w:r>
              <w:rPr>
                <w:rFonts w:ascii="Calibri" w:hAnsi="Calibri"/>
                <w:color w:val="0F172A"/>
                <w:sz w:val="19"/>
              </w:rPr>
              <w:t>[Student Name]</w:t>
            </w:r>
          </w:p>
        </w:tc>
        <w:tc>
          <w:tcPr>
            <w:tcW w:type="dxa" w:w="2160"/>
            <w:shd w:val="clear" w:color="auto" w:fill="F8FAFC"/>
            <w:tcMar>
              <w:top w:w="50" w:type="dxa"/>
              <w:bottom w:w="50" w:type="dxa"/>
              <w:left w:w="80" w:type="dxa"/>
              <w:right w:w="80" w:type="dxa"/>
            </w:tcMar>
          </w:tcPr>
          <w:p>
            <w:r>
              <w:rPr>
                <w:rFonts w:ascii="Calibri" w:hAnsi="Calibri"/>
                <w:b/>
                <w:color w:val="1B365D"/>
                <w:sz w:val="19"/>
              </w:rPr>
              <w:t>Roll / Student ID</w:t>
            </w:r>
          </w:p>
        </w:tc>
        <w:tc>
          <w:tcPr>
            <w:tcW w:type="dxa" w:w="2160"/>
            <w:tcMar>
              <w:top w:w="50" w:type="dxa"/>
              <w:bottom w:w="50" w:type="dxa"/>
              <w:left w:w="80" w:type="dxa"/>
              <w:right w:w="80" w:type="dxa"/>
            </w:tcMar>
          </w:tcPr>
          <w:p>
            <w:r>
              <w:rPr>
                <w:rFonts w:ascii="Calibri" w:hAnsi="Calibri"/>
                <w:color w:val="0F172A"/>
                <w:sz w:val="19"/>
              </w:rPr>
              <w:t>[Roll Number / Student ID]</w:t>
            </w:r>
          </w:p>
        </w:tc>
      </w:tr>
      <w:tr>
        <w:tc>
          <w:tcPr>
            <w:tcW w:type="dxa" w:w="2160"/>
            <w:shd w:val="clear" w:color="auto" w:fill="F8FAFC"/>
            <w:tcMar>
              <w:top w:w="50" w:type="dxa"/>
              <w:bottom w:w="50" w:type="dxa"/>
              <w:left w:w="80" w:type="dxa"/>
              <w:right w:w="80" w:type="dxa"/>
            </w:tcMar>
          </w:tcPr>
          <w:p>
            <w:r>
              <w:rPr>
                <w:rFonts w:ascii="Calibri" w:hAnsi="Calibri"/>
                <w:b/>
                <w:color w:val="1B365D"/>
                <w:sz w:val="19"/>
              </w:rPr>
              <w:t>College / University</w:t>
            </w:r>
          </w:p>
        </w:tc>
        <w:tc>
          <w:tcPr>
            <w:tcW w:type="dxa" w:w="2160"/>
            <w:tcMar>
              <w:top w:w="50" w:type="dxa"/>
              <w:bottom w:w="50" w:type="dxa"/>
              <w:left w:w="80" w:type="dxa"/>
              <w:right w:w="80" w:type="dxa"/>
            </w:tcMar>
          </w:tcPr>
          <w:p>
            <w:r>
              <w:rPr>
                <w:rFonts w:ascii="Calibri" w:hAnsi="Calibri"/>
                <w:color w:val="0F172A"/>
                <w:sz w:val="19"/>
              </w:rPr>
              <w:t>[College / University Name]</w:t>
            </w:r>
          </w:p>
        </w:tc>
        <w:tc>
          <w:tcPr>
            <w:tcW w:type="dxa" w:w="2160"/>
            <w:shd w:val="clear" w:color="auto" w:fill="F8FAFC"/>
            <w:tcMar>
              <w:top w:w="50" w:type="dxa"/>
              <w:bottom w:w="50" w:type="dxa"/>
              <w:left w:w="80" w:type="dxa"/>
              <w:right w:w="80" w:type="dxa"/>
            </w:tcMar>
          </w:tcPr>
          <w:p>
            <w:r>
              <w:rPr>
                <w:rFonts w:ascii="Calibri" w:hAnsi="Calibri"/>
                <w:b/>
                <w:color w:val="1B365D"/>
                <w:sz w:val="19"/>
              </w:rPr>
              <w:t>Department</w:t>
            </w:r>
          </w:p>
        </w:tc>
        <w:tc>
          <w:tcPr>
            <w:tcW w:type="dxa" w:w="2160"/>
            <w:tcMar>
              <w:top w:w="50" w:type="dxa"/>
              <w:bottom w:w="50" w:type="dxa"/>
              <w:left w:w="80" w:type="dxa"/>
              <w:right w:w="80" w:type="dxa"/>
            </w:tcMar>
          </w:tcPr>
          <w:p>
            <w:r>
              <w:rPr>
                <w:rFonts w:ascii="Calibri" w:hAnsi="Calibri"/>
                <w:color w:val="0F172A"/>
                <w:sz w:val="19"/>
              </w:rPr>
              <w:t>[Department of Computer Science / Data Science]</w:t>
            </w:r>
          </w:p>
        </w:tc>
      </w:tr>
      <w:tr>
        <w:tc>
          <w:tcPr>
            <w:tcW w:type="dxa" w:w="2160"/>
            <w:shd w:val="clear" w:color="auto" w:fill="F8FAFC"/>
            <w:tcMar>
              <w:top w:w="50" w:type="dxa"/>
              <w:bottom w:w="50" w:type="dxa"/>
              <w:left w:w="80" w:type="dxa"/>
              <w:right w:w="80" w:type="dxa"/>
            </w:tcMar>
          </w:tcPr>
          <w:p>
            <w:r>
              <w:rPr>
                <w:rFonts w:ascii="Calibri" w:hAnsi="Calibri"/>
                <w:b/>
                <w:color w:val="1B365D"/>
                <w:sz w:val="19"/>
              </w:rPr>
              <w:t>Faculty Mentor</w:t>
            </w:r>
          </w:p>
        </w:tc>
        <w:tc>
          <w:tcPr>
            <w:tcW w:type="dxa" w:w="2160"/>
            <w:tcMar>
              <w:top w:w="50" w:type="dxa"/>
              <w:bottom w:w="50" w:type="dxa"/>
              <w:left w:w="80" w:type="dxa"/>
              <w:right w:w="80" w:type="dxa"/>
            </w:tcMar>
          </w:tcPr>
          <w:p>
            <w:r>
              <w:rPr>
                <w:rFonts w:ascii="Calibri" w:hAnsi="Calibri"/>
                <w:color w:val="0F172A"/>
                <w:sz w:val="19"/>
              </w:rPr>
              <w:t>[Faculty Guide / Mentor Name]</w:t>
            </w:r>
          </w:p>
        </w:tc>
        <w:tc>
          <w:tcPr>
            <w:tcW w:type="dxa" w:w="2160"/>
            <w:shd w:val="clear" w:color="auto" w:fill="F8FAFC"/>
            <w:tcMar>
              <w:top w:w="50" w:type="dxa"/>
              <w:bottom w:w="50" w:type="dxa"/>
              <w:left w:w="80" w:type="dxa"/>
              <w:right w:w="80" w:type="dxa"/>
            </w:tcMar>
          </w:tcPr>
          <w:p>
            <w:r>
              <w:rPr>
                <w:rFonts w:ascii="Calibri" w:hAnsi="Calibri"/>
                <w:b/>
                <w:color w:val="1B365D"/>
                <w:sz w:val="19"/>
              </w:rPr>
              <w:t>Submission Date</w:t>
            </w:r>
          </w:p>
        </w:tc>
        <w:tc>
          <w:tcPr>
            <w:tcW w:type="dxa" w:w="2160"/>
            <w:tcMar>
              <w:top w:w="50" w:type="dxa"/>
              <w:bottom w:w="50" w:type="dxa"/>
              <w:left w:w="80" w:type="dxa"/>
              <w:right w:w="80" w:type="dxa"/>
            </w:tcMar>
          </w:tcPr>
          <w:p>
            <w:r>
              <w:rPr>
                <w:rFonts w:ascii="Calibri" w:hAnsi="Calibri"/>
                <w:color w:val="0F172A"/>
                <w:sz w:val="19"/>
              </w:rPr>
              <w:t>[Submission Date]</w:t>
            </w:r>
          </w:p>
        </w:tc>
      </w:tr>
    </w:tbl>
    <w:p>
      <w:pPr>
        <w:spacing w:after="200"/>
      </w:pPr>
    </w:p>
    <w:tbl>
      <w:tblPr>
        <w:tblW w:type="auto" w:w="0"/>
        <w:jc w:val="center"/>
        <w:tblLook w:firstColumn="1" w:firstRow="1" w:lastColumn="0" w:lastRow="0" w:noHBand="0" w:noVBand="1" w:val="04A0"/>
      </w:tblPr>
      <w:tblGrid>
        <w:gridCol w:w="8640"/>
      </w:tblGrid>
      <w:tr>
        <w:tc>
          <w:tcPr>
            <w:tcW w:type="dxa" w:w="8640"/>
            <w:shd w:val="clear" w:color="auto" w:fill="FEF2F2"/>
            <w:tcMar>
              <w:top w:w="80" w:type="dxa"/>
              <w:bottom w:w="80" w:type="dxa"/>
              <w:left w:w="120" w:type="dxa"/>
              <w:right w:w="120" w:type="dxa"/>
            </w:tcMar>
          </w:tcPr>
          <w:p>
            <w:pPr>
              <w:spacing w:after="0"/>
            </w:pPr>
            <w:r>
              <w:rPr>
                <w:rFonts w:ascii="Calibri" w:hAnsi="Calibri"/>
                <w:b/>
                <w:color w:val="DC2626"/>
                <w:sz w:val="19"/>
              </w:rPr>
              <w:t>⚠️ ACADEMIC &amp; NON-MEDICAL DISCLAIMER:</w:t>
              <w:br/>
            </w:r>
            <w:r>
              <w:rPr>
                <w:rFonts w:ascii="Calibri" w:hAnsi="Calibri"/>
                <w:color w:val="0F172A"/>
                <w:sz w:val="18"/>
              </w:rPr>
              <w:t>This project is developed exclusively for undergraduate computer science/data analytics academic evaluation. It is NOT a medical device, diagnosis system, or therapeutic tool. Sample data is synthetic.</w:t>
            </w:r>
          </w:p>
        </w:tc>
      </w:tr>
    </w:tbl>
    <w:p>
      <w:pPr>
        <w:spacing w:after="200"/>
      </w:pPr>
    </w:p>
    <w:p>
      <w:pPr>
        <w:keepNext/>
        <w:spacing w:before="240" w:after="80"/>
      </w:pPr>
      <w:r>
        <w:rPr>
          <w:rFonts w:ascii="Calibri" w:hAnsi="Calibri"/>
          <w:b/>
          <w:color w:val="1B365D"/>
          <w:sz w:val="28"/>
        </w:rPr>
        <w:t>1. Overview &amp; Evaluation Objectives</w:t>
      </w:r>
    </w:p>
    <w:p>
      <w:pPr>
        <w:spacing w:after="100" w:line="276" w:lineRule="auto"/>
      </w:pPr>
      <w:r>
        <w:rPr>
          <w:rFonts w:ascii="Calibri" w:hAnsi="Calibri"/>
          <w:color w:val="0F172A"/>
          <w:sz w:val="20"/>
        </w:rPr>
        <w:t>This guide equips the student to deliver a flawless, confident, and academically rigorous 5-to-10 minute presentation and live demonstration before college evaluators, faculty guides, or external examiners.</w:t>
      </w:r>
    </w:p>
    <w:p>
      <w:pPr>
        <w:keepNext/>
        <w:spacing w:before="240" w:after="80"/>
      </w:pPr>
      <w:r>
        <w:rPr>
          <w:rFonts w:ascii="Calibri" w:hAnsi="Calibri"/>
          <w:b/>
          <w:color w:val="1B365D"/>
          <w:sz w:val="28"/>
        </w:rPr>
        <w:t>2. 9-Slide Presentation Structure &amp; Speaker Notes</w:t>
      </w:r>
    </w:p>
    <w:p>
      <w:pPr>
        <w:keepNext/>
        <w:spacing w:before="160" w:after="40"/>
      </w:pPr>
      <w:r>
        <w:rPr>
          <w:rFonts w:ascii="Calibri" w:hAnsi="Calibri"/>
          <w:b/>
          <w:color w:val="0D9488"/>
          <w:sz w:val="24"/>
        </w:rPr>
        <w:t>Slide 1: Title &amp; Academic Identification</w:t>
      </w:r>
    </w:p>
    <w:p>
      <w:pPr>
        <w:spacing w:after="100" w:line="276" w:lineRule="auto"/>
      </w:pPr>
      <w:r>
        <w:rPr>
          <w:rFonts w:ascii="Calibri" w:hAnsi="Calibri"/>
          <w:b/>
          <w:color w:val="1B365D"/>
          <w:sz w:val="20"/>
        </w:rPr>
        <w:t xml:space="preserve">Visuals: </w:t>
      </w:r>
      <w:r>
        <w:rPr>
          <w:rFonts w:ascii="Calibri" w:hAnsi="Calibri"/>
          <w:color w:val="0F172A"/>
          <w:sz w:val="20"/>
        </w:rPr>
        <w:t>Visual Elements: Professional title banner, project metadata block, student &amp; mentor credentials, non-medical disclaimer banner.</w:t>
      </w:r>
    </w:p>
    <w:p>
      <w:pPr>
        <w:spacing w:after="100" w:line="276" w:lineRule="auto"/>
      </w:pPr>
      <w:r>
        <w:rPr>
          <w:rFonts w:ascii="Calibri" w:hAnsi="Calibri"/>
          <w:b/>
          <w:color w:val="1B365D"/>
          <w:sz w:val="20"/>
        </w:rPr>
        <w:t xml:space="preserve">Key Points: </w:t>
      </w:r>
      <w:r>
        <w:rPr>
          <w:rFonts w:ascii="Calibri" w:hAnsi="Calibri"/>
          <w:color w:val="0F172A"/>
          <w:sz w:val="20"/>
        </w:rPr>
        <w:t>Key Talking Points: Project 2 overview; building an educational single-user personal wellness dashboard; collaborative development with Jupyter and Google Gemini.</w:t>
      </w:r>
    </w:p>
    <w:p>
      <w:pPr>
        <w:spacing w:after="100" w:line="276" w:lineRule="auto"/>
      </w:pPr>
      <w:r>
        <w:rPr>
          <w:rFonts w:ascii="Calibri" w:hAnsi="Calibri"/>
          <w:b/>
          <w:color w:val="1B365D"/>
          <w:sz w:val="20"/>
        </w:rPr>
        <w:t xml:space="preserve">Speaker Note: </w:t>
      </w:r>
      <w:r>
        <w:rPr>
          <w:rFonts w:ascii="Calibri" w:hAnsi="Calibri"/>
          <w:color w:val="0F172A"/>
          <w:sz w:val="20"/>
        </w:rPr>
        <w:t>Verbatim Speaker Note: 'Respected evaluators and faculty mentor, good morning. Today I am presenting Project 2: Personal Wellness Dashboard. Modern college students experience fragmented routines, irregular sleep, and chronic dehydration. This project provides a transparent, privacy-preserving analytics system that empowers a single user to track and analyze daily health habits locally in Python without relying on cloud apps or expensive wearables.'</w:t>
      </w:r>
    </w:p>
    <w:p>
      <w:pPr>
        <w:spacing w:after="80"/>
      </w:pPr>
    </w:p>
    <w:p>
      <w:pPr>
        <w:keepNext/>
        <w:spacing w:before="160" w:after="40"/>
      </w:pPr>
      <w:r>
        <w:rPr>
          <w:rFonts w:ascii="Calibri" w:hAnsi="Calibri"/>
          <w:b/>
          <w:color w:val="0D9488"/>
          <w:sz w:val="24"/>
        </w:rPr>
        <w:t>Slide 2: Problem Statement &amp; Target Persona</w:t>
      </w:r>
    </w:p>
    <w:p>
      <w:pPr>
        <w:spacing w:after="100" w:line="276" w:lineRule="auto"/>
      </w:pPr>
      <w:r>
        <w:rPr>
          <w:rFonts w:ascii="Calibri" w:hAnsi="Calibri"/>
          <w:b/>
          <w:color w:val="1B365D"/>
          <w:sz w:val="20"/>
        </w:rPr>
        <w:t xml:space="preserve">Visuals: </w:t>
      </w:r>
      <w:r>
        <w:rPr>
          <w:rFonts w:ascii="Calibri" w:hAnsi="Calibri"/>
          <w:color w:val="0F172A"/>
          <w:sz w:val="20"/>
        </w:rPr>
        <w:t>Visual Elements: 3-column problem diagram (Data Fragmentation, Commercial Cloud Privacy Risks, Algorithmic Opacity), Persona Card for 'Alex' (20-year-old student).</w:t>
      </w:r>
    </w:p>
    <w:p>
      <w:pPr>
        <w:spacing w:after="100" w:line="276" w:lineRule="auto"/>
      </w:pPr>
      <w:r>
        <w:rPr>
          <w:rFonts w:ascii="Calibri" w:hAnsi="Calibri"/>
          <w:b/>
          <w:color w:val="1B365D"/>
          <w:sz w:val="20"/>
        </w:rPr>
        <w:t xml:space="preserve">Key Points: </w:t>
      </w:r>
      <w:r>
        <w:rPr>
          <w:rFonts w:ascii="Calibri" w:hAnsi="Calibri"/>
          <w:color w:val="0F172A"/>
          <w:sz w:val="20"/>
        </w:rPr>
        <w:t>Key Talking Points: The quantified self movement; student lifestyle challenges; why local transparent analytics is superior for privacy.</w:t>
      </w:r>
    </w:p>
    <w:p>
      <w:pPr>
        <w:spacing w:after="100" w:line="276" w:lineRule="auto"/>
      </w:pPr>
      <w:r>
        <w:rPr>
          <w:rFonts w:ascii="Calibri" w:hAnsi="Calibri"/>
          <w:b/>
          <w:color w:val="1B365D"/>
          <w:sz w:val="20"/>
        </w:rPr>
        <w:t xml:space="preserve">Speaker Note: </w:t>
      </w:r>
      <w:r>
        <w:rPr>
          <w:rFonts w:ascii="Calibri" w:hAnsi="Calibri"/>
          <w:color w:val="0F172A"/>
          <w:sz w:val="20"/>
        </w:rPr>
        <w:t>Verbatim Speaker Note: 'Our target persona is Alex, a 20-year-old undergraduate student balancing coursework and lab commitments. Alex experiences late study sessions, forgets to hydrate, and struggles to maintain consistent physical activity. Commercial apps often monetize sensitive health logs or hide simple formulas behind subscriptions. Our system solves this with open, inspectable code running 100% on Alex's personal machine.'</w:t>
      </w:r>
    </w:p>
    <w:p>
      <w:pPr>
        <w:spacing w:after="80"/>
      </w:pPr>
    </w:p>
    <w:p>
      <w:pPr>
        <w:keepNext/>
        <w:spacing w:before="160" w:after="40"/>
      </w:pPr>
      <w:r>
        <w:rPr>
          <w:rFonts w:ascii="Calibri" w:hAnsi="Calibri"/>
          <w:b/>
          <w:color w:val="0D9488"/>
          <w:sz w:val="24"/>
        </w:rPr>
        <w:t>Slide 3: Project Scope &amp; Core Dimensions</w:t>
      </w:r>
    </w:p>
    <w:p>
      <w:pPr>
        <w:spacing w:after="100" w:line="276" w:lineRule="auto"/>
      </w:pPr>
      <w:r>
        <w:rPr>
          <w:rFonts w:ascii="Calibri" w:hAnsi="Calibri"/>
          <w:b/>
          <w:color w:val="1B365D"/>
          <w:sz w:val="20"/>
        </w:rPr>
        <w:t xml:space="preserve">Visuals: </w:t>
      </w:r>
      <w:r>
        <w:rPr>
          <w:rFonts w:ascii="Calibri" w:hAnsi="Calibri"/>
          <w:color w:val="0F172A"/>
          <w:sz w:val="20"/>
        </w:rPr>
        <w:t>Visual Elements: 5-pillar icon layout (Sleep, Steps, Water, Activity, Mood), In-Scope vs Out-of-Scope boundary comparison box.</w:t>
      </w:r>
    </w:p>
    <w:p>
      <w:pPr>
        <w:spacing w:after="100" w:line="276" w:lineRule="auto"/>
      </w:pPr>
      <w:r>
        <w:rPr>
          <w:rFonts w:ascii="Calibri" w:hAnsi="Calibri"/>
          <w:b/>
          <w:color w:val="1B365D"/>
          <w:sz w:val="20"/>
        </w:rPr>
        <w:t xml:space="preserve">Key Points: </w:t>
      </w:r>
      <w:r>
        <w:rPr>
          <w:rFonts w:ascii="Calibri" w:hAnsi="Calibri"/>
          <w:color w:val="0F172A"/>
          <w:sz w:val="20"/>
        </w:rPr>
        <w:t>Key Talking Points: Five core quantitative dimensions tracked; strict non-medical scope boundary; clear distinction between synthetic demo data and user data.</w:t>
      </w:r>
    </w:p>
    <w:p>
      <w:pPr>
        <w:spacing w:after="100" w:line="276" w:lineRule="auto"/>
      </w:pPr>
      <w:r>
        <w:rPr>
          <w:rFonts w:ascii="Calibri" w:hAnsi="Calibri"/>
          <w:b/>
          <w:color w:val="1B365D"/>
          <w:sz w:val="20"/>
        </w:rPr>
        <w:t xml:space="preserve">Speaker Note: </w:t>
      </w:r>
      <w:r>
        <w:rPr>
          <w:rFonts w:ascii="Calibri" w:hAnsi="Calibri"/>
          <w:color w:val="0F172A"/>
          <w:sz w:val="20"/>
        </w:rPr>
        <w:t>Verbatim Speaker Note: 'The dashboard monitors five fundamental daily wellness dimensions: nocturnal sleep duration, ambulatory steps, water glasses, workout minutes, and self-reported mood on a 1-to-5 Likert scale. We explicitly establish that this is an educational habit dashboard—not a medical diagnostic tool. All baseline demonstration records are synthetic, generated with realistic human variance.'</w:t>
      </w:r>
    </w:p>
    <w:p>
      <w:pPr>
        <w:spacing w:after="80"/>
      </w:pPr>
    </w:p>
    <w:p>
      <w:pPr>
        <w:keepNext/>
        <w:spacing w:before="160" w:after="40"/>
      </w:pPr>
      <w:r>
        <w:rPr>
          <w:rFonts w:ascii="Calibri" w:hAnsi="Calibri"/>
          <w:b/>
          <w:color w:val="0D9488"/>
          <w:sz w:val="24"/>
        </w:rPr>
        <w:t>Slide 4: System Architecture &amp; Tech Stack</w:t>
      </w:r>
    </w:p>
    <w:p>
      <w:pPr>
        <w:spacing w:after="100" w:line="276" w:lineRule="auto"/>
      </w:pPr>
      <w:r>
        <w:rPr>
          <w:rFonts w:ascii="Calibri" w:hAnsi="Calibri"/>
          <w:b/>
          <w:color w:val="1B365D"/>
          <w:sz w:val="20"/>
        </w:rPr>
        <w:t xml:space="preserve">Visuals: </w:t>
      </w:r>
      <w:r>
        <w:rPr>
          <w:rFonts w:ascii="Calibri" w:hAnsi="Calibri"/>
          <w:color w:val="0F172A"/>
          <w:sz w:val="20"/>
        </w:rPr>
        <w:t>Visual Elements: 4-layer architectural diagram: Data Storage -&gt; Processing Engine -&gt; Presentation Layer -&gt; Gemini AI Collaboration Layer.</w:t>
      </w:r>
    </w:p>
    <w:p>
      <w:pPr>
        <w:spacing w:after="100" w:line="276" w:lineRule="auto"/>
      </w:pPr>
      <w:r>
        <w:rPr>
          <w:rFonts w:ascii="Calibri" w:hAnsi="Calibri"/>
          <w:b/>
          <w:color w:val="1B365D"/>
          <w:sz w:val="20"/>
        </w:rPr>
        <w:t xml:space="preserve">Key Points: </w:t>
      </w:r>
      <w:r>
        <w:rPr>
          <w:rFonts w:ascii="Calibri" w:hAnsi="Calibri"/>
          <w:color w:val="0F172A"/>
          <w:sz w:val="20"/>
        </w:rPr>
        <w:t>Key Talking Points: Python 3.10+, Pandas, NumPy, Matplotlib, Seaborn, Plotly, Streamlit. Role of Gemini as offline developer co-pilot.</w:t>
      </w:r>
    </w:p>
    <w:p>
      <w:pPr>
        <w:spacing w:after="100" w:line="276" w:lineRule="auto"/>
      </w:pPr>
      <w:r>
        <w:rPr>
          <w:rFonts w:ascii="Calibri" w:hAnsi="Calibri"/>
          <w:b/>
          <w:color w:val="1B365D"/>
          <w:sz w:val="20"/>
        </w:rPr>
        <w:t xml:space="preserve">Speaker Note: </w:t>
      </w:r>
      <w:r>
        <w:rPr>
          <w:rFonts w:ascii="Calibri" w:hAnsi="Calibri"/>
          <w:color w:val="0F172A"/>
          <w:sz w:val="20"/>
        </w:rPr>
        <w:t>Verbatim Speaker Note: 'Our technical architecture follows a modular single-tier pipeline. We use Pandas and NumPy for time-series feature engineering and rolling averages; Matplotlib and Seaborn for publication-grade static charts; and Streamlit with Plotly for dynamic web exploration. Google Gemini assisted significantly during prompt ideation, data cleaning logic design, and test documentation.'</w:t>
      </w:r>
    </w:p>
    <w:p>
      <w:pPr>
        <w:spacing w:after="80"/>
      </w:pPr>
    </w:p>
    <w:p>
      <w:pPr>
        <w:keepNext/>
        <w:spacing w:before="160" w:after="40"/>
      </w:pPr>
      <w:r>
        <w:rPr>
          <w:rFonts w:ascii="Calibri" w:hAnsi="Calibri"/>
          <w:b/>
          <w:color w:val="0D9488"/>
          <w:sz w:val="24"/>
        </w:rPr>
        <w:t>Slide 5: Data Quality Rules &amp; Preprocessing</w:t>
      </w:r>
    </w:p>
    <w:p>
      <w:pPr>
        <w:spacing w:after="100" w:line="276" w:lineRule="auto"/>
      </w:pPr>
      <w:r>
        <w:rPr>
          <w:rFonts w:ascii="Calibri" w:hAnsi="Calibri"/>
          <w:b/>
          <w:color w:val="1B365D"/>
          <w:sz w:val="20"/>
        </w:rPr>
        <w:t xml:space="preserve">Visuals: </w:t>
      </w:r>
      <w:r>
        <w:rPr>
          <w:rFonts w:ascii="Calibri" w:hAnsi="Calibri"/>
          <w:color w:val="0F172A"/>
          <w:sz w:val="20"/>
        </w:rPr>
        <w:t>Visual Elements: Flow diagram of the 5-step data cleaning pipeline; Data Quality Rules table (DQR-01 through DQR-09).</w:t>
      </w:r>
    </w:p>
    <w:p>
      <w:pPr>
        <w:spacing w:after="100" w:line="276" w:lineRule="auto"/>
      </w:pPr>
      <w:r>
        <w:rPr>
          <w:rFonts w:ascii="Calibri" w:hAnsi="Calibri"/>
          <w:b/>
          <w:color w:val="1B365D"/>
          <w:sz w:val="20"/>
        </w:rPr>
        <w:t xml:space="preserve">Key Points: </w:t>
      </w:r>
      <w:r>
        <w:rPr>
          <w:rFonts w:ascii="Calibri" w:hAnsi="Calibri"/>
          <w:color w:val="0F172A"/>
          <w:sz w:val="20"/>
        </w:rPr>
        <w:t>Key Talking Points: Schema verification, chronological sorting, outlier boundary clamping (sleep [3-14h], steps [0-35k]), missing data imputation.</w:t>
      </w:r>
    </w:p>
    <w:p>
      <w:pPr>
        <w:spacing w:after="100" w:line="276" w:lineRule="auto"/>
      </w:pPr>
      <w:r>
        <w:rPr>
          <w:rFonts w:ascii="Calibri" w:hAnsi="Calibri"/>
          <w:b/>
          <w:color w:val="1B365D"/>
          <w:sz w:val="20"/>
        </w:rPr>
        <w:t xml:space="preserve">Speaker Note: </w:t>
      </w:r>
      <w:r>
        <w:rPr>
          <w:rFonts w:ascii="Calibri" w:hAnsi="Calibri"/>
          <w:color w:val="0F172A"/>
          <w:sz w:val="20"/>
        </w:rPr>
        <w:t>Verbatim Speaker Note: 'Data integrity is the foundation of trustworthy analytics. Before calculating any metric, the system passes records through 9 automated quality checks. Missing single days are forward-filled, chronological order is enforced, and unrealistic sensor outliers are clamped to physiological boundaries.'</w:t>
      </w:r>
    </w:p>
    <w:p>
      <w:pPr>
        <w:spacing w:after="80"/>
      </w:pPr>
    </w:p>
    <w:p>
      <w:pPr>
        <w:keepNext/>
        <w:spacing w:before="160" w:after="40"/>
      </w:pPr>
      <w:r>
        <w:rPr>
          <w:rFonts w:ascii="Calibri" w:hAnsi="Calibri"/>
          <w:b/>
          <w:color w:val="0D9488"/>
          <w:sz w:val="24"/>
        </w:rPr>
        <w:t>Slide 6: Key Visualizations &amp; Longitudinal Tracking</w:t>
      </w:r>
    </w:p>
    <w:p>
      <w:pPr>
        <w:spacing w:after="100" w:line="276" w:lineRule="auto"/>
      </w:pPr>
      <w:r>
        <w:rPr>
          <w:rFonts w:ascii="Calibri" w:hAnsi="Calibri"/>
          <w:b/>
          <w:color w:val="1B365D"/>
          <w:sz w:val="20"/>
        </w:rPr>
        <w:t xml:space="preserve">Visuals: </w:t>
      </w:r>
      <w:r>
        <w:rPr>
          <w:rFonts w:ascii="Calibri" w:hAnsi="Calibri"/>
          <w:color w:val="0F172A"/>
          <w:sz w:val="20"/>
        </w:rPr>
        <w:t>Visual Elements: High-resolution screenshots of the 4-panel dashboard: Sleep trajectory with 7-day rolling mean, Step counts vs 8k target, Hydration bars, Wellness Score.</w:t>
      </w:r>
    </w:p>
    <w:p>
      <w:pPr>
        <w:spacing w:after="100" w:line="276" w:lineRule="auto"/>
      </w:pPr>
      <w:r>
        <w:rPr>
          <w:rFonts w:ascii="Calibri" w:hAnsi="Calibri"/>
          <w:b/>
          <w:color w:val="1B365D"/>
          <w:sz w:val="20"/>
        </w:rPr>
        <w:t xml:space="preserve">Key Points: </w:t>
      </w:r>
      <w:r>
        <w:rPr>
          <w:rFonts w:ascii="Calibri" w:hAnsi="Calibri"/>
          <w:color w:val="0F172A"/>
          <w:sz w:val="20"/>
        </w:rPr>
        <w:t>Key Talking Points: Distinguishing daily noise from underlying habit trends using 7-day moving averages; target benchmarks.</w:t>
      </w:r>
    </w:p>
    <w:p>
      <w:pPr>
        <w:spacing w:after="100" w:line="276" w:lineRule="auto"/>
      </w:pPr>
      <w:r>
        <w:rPr>
          <w:rFonts w:ascii="Calibri" w:hAnsi="Calibri"/>
          <w:b/>
          <w:color w:val="1B365D"/>
          <w:sz w:val="20"/>
        </w:rPr>
        <w:t xml:space="preserve">Speaker Note: </w:t>
      </w:r>
      <w:r>
        <w:rPr>
          <w:rFonts w:ascii="Calibri" w:hAnsi="Calibri"/>
          <w:color w:val="0F172A"/>
          <w:sz w:val="20"/>
        </w:rPr>
        <w:t>Verbatim Speaker Note: 'Here we see the primary 4-panel dashboard. Daily measurements naturally fluctuate, but the 7-day rolling averages clearly expose underlying trends. Notice how the blue sleep curve tracks against the 7-hour target, while the steps bar chart shows weekend versus weekday campus mobility.'</w:t>
      </w:r>
    </w:p>
    <w:p>
      <w:pPr>
        <w:spacing w:after="80"/>
      </w:pPr>
    </w:p>
    <w:p>
      <w:pPr>
        <w:keepNext/>
        <w:spacing w:before="160" w:after="40"/>
      </w:pPr>
      <w:r>
        <w:rPr>
          <w:rFonts w:ascii="Calibri" w:hAnsi="Calibri"/>
          <w:b/>
          <w:color w:val="0D9488"/>
          <w:sz w:val="24"/>
        </w:rPr>
        <w:t>Slide 7: Statistical Analysis &amp; Behavioral Insights</w:t>
      </w:r>
    </w:p>
    <w:p>
      <w:pPr>
        <w:spacing w:after="100" w:line="276" w:lineRule="auto"/>
      </w:pPr>
      <w:r>
        <w:rPr>
          <w:rFonts w:ascii="Calibri" w:hAnsi="Calibri"/>
          <w:b/>
          <w:color w:val="1B365D"/>
          <w:sz w:val="20"/>
        </w:rPr>
        <w:t xml:space="preserve">Visuals: </w:t>
      </w:r>
      <w:r>
        <w:rPr>
          <w:rFonts w:ascii="Calibri" w:hAnsi="Calibri"/>
          <w:color w:val="0F172A"/>
          <w:sz w:val="20"/>
        </w:rPr>
        <w:t>Visual Elements: Pearson correlation heatmap, Sleep vs Mood scatter plot with regression trendline, Weekday vs Weekend bar comparison.</w:t>
      </w:r>
    </w:p>
    <w:p>
      <w:pPr>
        <w:spacing w:after="100" w:line="276" w:lineRule="auto"/>
      </w:pPr>
      <w:r>
        <w:rPr>
          <w:rFonts w:ascii="Calibri" w:hAnsi="Calibri"/>
          <w:b/>
          <w:color w:val="1B365D"/>
          <w:sz w:val="20"/>
        </w:rPr>
        <w:t xml:space="preserve">Key Points: </w:t>
      </w:r>
      <w:r>
        <w:rPr>
          <w:rFonts w:ascii="Calibri" w:hAnsi="Calibri"/>
          <w:color w:val="0F172A"/>
          <w:sz w:val="20"/>
        </w:rPr>
        <w:t>Key Talking Points: Sleep-Mood positive correlation (r = +0.52); Social Jetlag finding (+0.7 hr weekend shift); exam week hydration dip.</w:t>
      </w:r>
    </w:p>
    <w:p>
      <w:pPr>
        <w:spacing w:after="100" w:line="276" w:lineRule="auto"/>
      </w:pPr>
      <w:r>
        <w:rPr>
          <w:rFonts w:ascii="Calibri" w:hAnsi="Calibri"/>
          <w:b/>
          <w:color w:val="1B365D"/>
          <w:sz w:val="20"/>
        </w:rPr>
        <w:t xml:space="preserve">Speaker Note: </w:t>
      </w:r>
      <w:r>
        <w:rPr>
          <w:rFonts w:ascii="Calibri" w:hAnsi="Calibri"/>
          <w:color w:val="0F172A"/>
          <w:sz w:val="20"/>
        </w:rPr>
        <w:t>Verbatim Speaker Note: 'Our deep-dive statistical analysis reveals meaningful behavioral patterns. We observe a moderate positive correlation (r = +0.52) between sleep duration and subjective mood rating. Furthermore, we quantify Social Jetlag: Alex averages 7.2 hours on weekdays and 7.9 hours on weekends, indicating consistent weekend sleep debt recovery.'</w:t>
      </w:r>
    </w:p>
    <w:p>
      <w:pPr>
        <w:spacing w:after="80"/>
      </w:pPr>
    </w:p>
    <w:p>
      <w:pPr>
        <w:keepNext/>
        <w:spacing w:before="160" w:after="40"/>
      </w:pPr>
      <w:r>
        <w:rPr>
          <w:rFonts w:ascii="Calibri" w:hAnsi="Calibri"/>
          <w:b/>
          <w:color w:val="0D9488"/>
          <w:sz w:val="24"/>
        </w:rPr>
        <w:t>Slide 8: Verification &amp; Testing Results</w:t>
      </w:r>
    </w:p>
    <w:p>
      <w:pPr>
        <w:spacing w:after="100" w:line="276" w:lineRule="auto"/>
      </w:pPr>
      <w:r>
        <w:rPr>
          <w:rFonts w:ascii="Calibri" w:hAnsi="Calibri"/>
          <w:b/>
          <w:color w:val="1B365D"/>
          <w:sz w:val="20"/>
        </w:rPr>
        <w:t xml:space="preserve">Visuals: </w:t>
      </w:r>
      <w:r>
        <w:rPr>
          <w:rFonts w:ascii="Calibri" w:hAnsi="Calibri"/>
          <w:color w:val="0F172A"/>
          <w:sz w:val="20"/>
        </w:rPr>
        <w:t>Visual Elements: Test summary badge (20/20 Test Cases Passed), category breakdown table (Data Ingestion, Calculation, UI, Privacy).</w:t>
      </w:r>
    </w:p>
    <w:p>
      <w:pPr>
        <w:spacing w:after="100" w:line="276" w:lineRule="auto"/>
      </w:pPr>
      <w:r>
        <w:rPr>
          <w:rFonts w:ascii="Calibri" w:hAnsi="Calibri"/>
          <w:b/>
          <w:color w:val="1B365D"/>
          <w:sz w:val="20"/>
        </w:rPr>
        <w:t xml:space="preserve">Key Points: </w:t>
      </w:r>
      <w:r>
        <w:rPr>
          <w:rFonts w:ascii="Calibri" w:hAnsi="Calibri"/>
          <w:color w:val="0F172A"/>
          <w:sz w:val="20"/>
        </w:rPr>
        <w:t>Key Talking Points: Rigorous automated verification; zero network leaks confirmed; 100% test pass rate across unit and visual assertions.</w:t>
      </w:r>
    </w:p>
    <w:p>
      <w:pPr>
        <w:spacing w:after="100" w:line="276" w:lineRule="auto"/>
      </w:pPr>
      <w:r>
        <w:rPr>
          <w:rFonts w:ascii="Calibri" w:hAnsi="Calibri"/>
          <w:b/>
          <w:color w:val="1B365D"/>
          <w:sz w:val="20"/>
        </w:rPr>
        <w:t xml:space="preserve">Speaker Note: </w:t>
      </w:r>
      <w:r>
        <w:rPr>
          <w:rFonts w:ascii="Calibri" w:hAnsi="Calibri"/>
          <w:color w:val="0F172A"/>
          <w:sz w:val="20"/>
        </w:rPr>
        <w:t>Verbatim Speaker Note: 'System reliability is confirmed via 20 comprehensive test cases. We verified schema loading, outlier rejection, rolling average accuracy, and verified that zero network requests occur during runtime, preserving complete user confidentiality.'</w:t>
      </w:r>
    </w:p>
    <w:p>
      <w:pPr>
        <w:spacing w:after="80"/>
      </w:pPr>
    </w:p>
    <w:p>
      <w:pPr>
        <w:keepNext/>
        <w:spacing w:before="160" w:after="40"/>
      </w:pPr>
      <w:r>
        <w:rPr>
          <w:rFonts w:ascii="Calibri" w:hAnsi="Calibri"/>
          <w:b/>
          <w:color w:val="0D9488"/>
          <w:sz w:val="24"/>
        </w:rPr>
        <w:t>Slide 9: Limitations, Future Roadmap &amp; Conclusion</w:t>
      </w:r>
    </w:p>
    <w:p>
      <w:pPr>
        <w:spacing w:after="100" w:line="276" w:lineRule="auto"/>
      </w:pPr>
      <w:r>
        <w:rPr>
          <w:rFonts w:ascii="Calibri" w:hAnsi="Calibri"/>
          <w:b/>
          <w:color w:val="1B365D"/>
          <w:sz w:val="20"/>
        </w:rPr>
        <w:t xml:space="preserve">Visuals: </w:t>
      </w:r>
      <w:r>
        <w:rPr>
          <w:rFonts w:ascii="Calibri" w:hAnsi="Calibri"/>
          <w:color w:val="0F172A"/>
          <w:sz w:val="20"/>
        </w:rPr>
        <w:t>Visual Elements: Summary table of current limitations vs future enhancements (Wearable sensor ingestion, SQLite backend, PDF doctor summary).</w:t>
      </w:r>
    </w:p>
    <w:p>
      <w:pPr>
        <w:spacing w:after="100" w:line="276" w:lineRule="auto"/>
      </w:pPr>
      <w:r>
        <w:rPr>
          <w:rFonts w:ascii="Calibri" w:hAnsi="Calibri"/>
          <w:b/>
          <w:color w:val="1B365D"/>
          <w:sz w:val="20"/>
        </w:rPr>
        <w:t xml:space="preserve">Key Points: </w:t>
      </w:r>
      <w:r>
        <w:rPr>
          <w:rFonts w:ascii="Calibri" w:hAnsi="Calibri"/>
          <w:color w:val="0F172A"/>
          <w:sz w:val="20"/>
        </w:rPr>
        <w:t>Key Talking Points: Honest evaluation of single-user scope; manual logging limitations; summary of educational learning outcomes.</w:t>
      </w:r>
    </w:p>
    <w:p>
      <w:pPr>
        <w:spacing w:after="100" w:line="276" w:lineRule="auto"/>
      </w:pPr>
      <w:r>
        <w:rPr>
          <w:rFonts w:ascii="Calibri" w:hAnsi="Calibri"/>
          <w:b/>
          <w:color w:val="1B365D"/>
          <w:sz w:val="20"/>
        </w:rPr>
        <w:t xml:space="preserve">Speaker Note: </w:t>
      </w:r>
      <w:r>
        <w:rPr>
          <w:rFonts w:ascii="Calibri" w:hAnsi="Calibri"/>
          <w:color w:val="0F172A"/>
          <w:sz w:val="20"/>
        </w:rPr>
        <w:t>Verbatim Speaker Note: 'In conclusion, the Personal Wellness Dashboard delivers an accessible, privacy-preserving habit analytics platform. Key limitations include manual data entry and lack of wearable Bluetooth synchronization, which represent exciting future avenues for local SQLite integration. Thank you, and I look forward to your questions.'</w:t>
      </w:r>
    </w:p>
    <w:p>
      <w:pPr>
        <w:spacing w:after="80"/>
      </w:pPr>
    </w:p>
    <w:p>
      <w:pPr>
        <w:keepNext/>
        <w:spacing w:before="240" w:after="80"/>
      </w:pPr>
      <w:r>
        <w:rPr>
          <w:rFonts w:ascii="Calibri" w:hAnsi="Calibri"/>
          <w:b/>
          <w:color w:val="1B365D"/>
          <w:sz w:val="28"/>
        </w:rPr>
        <w:t>3. 4-to-6 Minute Live Demonstration Script</w:t>
      </w:r>
    </w:p>
    <w:p>
      <w:pPr>
        <w:spacing w:after="100" w:line="276" w:lineRule="auto"/>
      </w:pPr>
      <w:r>
        <w:rPr>
          <w:rFonts w:ascii="Calibri" w:hAnsi="Calibri"/>
          <w:color w:val="0F172A"/>
          <w:sz w:val="20"/>
        </w:rPr>
        <w:t>Follow this exact step-by-step sequence during the live software demonstration:</w:t>
      </w:r>
    </w:p>
    <w:tbl>
      <w:tblPr>
        <w:tblW w:type="auto" w:w="0"/>
        <w:jc w:val="center"/>
        <w:tblLook w:firstColumn="1" w:firstRow="1" w:lastColumn="0" w:lastRow="0" w:noHBand="0" w:noVBand="1" w:val="04A0"/>
      </w:tblPr>
      <w:tblGrid>
        <w:gridCol w:w="2160"/>
        <w:gridCol w:w="2160"/>
        <w:gridCol w:w="2160"/>
        <w:gridCol w:w="2160"/>
      </w:tblGrid>
      <w:tr>
        <w:tc>
          <w:tcPr>
            <w:tcW w:type="dxa" w:w="2160"/>
            <w:shd w:val="clear" w:color="auto" w:fill="1B365D"/>
            <w:tcMar>
              <w:top w:w="70" w:type="dxa"/>
              <w:bottom w:w="70" w:type="dxa"/>
              <w:left w:w="90" w:type="dxa"/>
              <w:right w:w="90" w:type="dxa"/>
            </w:tcMar>
          </w:tcPr>
          <w:p>
            <w:pPr>
              <w:jc w:val="center"/>
            </w:pPr>
            <w:r>
              <w:rPr>
                <w:rFonts w:ascii="Calibri" w:hAnsi="Calibri"/>
                <w:b/>
                <w:color w:val="FFFFFF"/>
                <w:sz w:val="18"/>
              </w:rPr>
              <w:t>Time Marker</w:t>
            </w:r>
          </w:p>
        </w:tc>
        <w:tc>
          <w:tcPr>
            <w:tcW w:type="dxa" w:w="2160"/>
            <w:shd w:val="clear" w:color="auto" w:fill="1B365D"/>
            <w:tcMar>
              <w:top w:w="70" w:type="dxa"/>
              <w:bottom w:w="70" w:type="dxa"/>
              <w:left w:w="90" w:type="dxa"/>
              <w:right w:w="90" w:type="dxa"/>
            </w:tcMar>
          </w:tcPr>
          <w:p>
            <w:pPr>
              <w:jc w:val="center"/>
            </w:pPr>
            <w:r>
              <w:rPr>
                <w:rFonts w:ascii="Calibri" w:hAnsi="Calibri"/>
                <w:b/>
                <w:color w:val="FFFFFF"/>
                <w:sz w:val="18"/>
              </w:rPr>
              <w:t>Demonstration Step</w:t>
            </w:r>
          </w:p>
        </w:tc>
        <w:tc>
          <w:tcPr>
            <w:tcW w:type="dxa" w:w="2160"/>
            <w:shd w:val="clear" w:color="auto" w:fill="1B365D"/>
            <w:tcMar>
              <w:top w:w="70" w:type="dxa"/>
              <w:bottom w:w="70" w:type="dxa"/>
              <w:left w:w="90" w:type="dxa"/>
              <w:right w:w="90" w:type="dxa"/>
            </w:tcMar>
          </w:tcPr>
          <w:p>
            <w:pPr>
              <w:jc w:val="center"/>
            </w:pPr>
            <w:r>
              <w:rPr>
                <w:rFonts w:ascii="Calibri" w:hAnsi="Calibri"/>
                <w:b/>
                <w:color w:val="FFFFFF"/>
                <w:sz w:val="18"/>
              </w:rPr>
              <w:t>Action to Perform on Screen</w:t>
            </w:r>
          </w:p>
        </w:tc>
        <w:tc>
          <w:tcPr>
            <w:tcW w:type="dxa" w:w="2160"/>
            <w:shd w:val="clear" w:color="auto" w:fill="1B365D"/>
            <w:tcMar>
              <w:top w:w="70" w:type="dxa"/>
              <w:bottom w:w="70" w:type="dxa"/>
              <w:left w:w="90" w:type="dxa"/>
              <w:right w:w="90" w:type="dxa"/>
            </w:tcMar>
          </w:tcPr>
          <w:p>
            <w:pPr>
              <w:jc w:val="center"/>
            </w:pPr>
            <w:r>
              <w:rPr>
                <w:rFonts w:ascii="Calibri" w:hAnsi="Calibri"/>
                <w:b/>
                <w:color w:val="FFFFFF"/>
                <w:sz w:val="18"/>
              </w:rPr>
              <w:t>Talking Points / Expected Output</w:t>
            </w:r>
          </w:p>
        </w:tc>
      </w:tr>
      <w:tr>
        <w:tc>
          <w:tcPr>
            <w:tcW w:type="dxa" w:w="2160"/>
            <w:shd w:val="clear" w:color="auto" w:fill="FFFFFF"/>
            <w:tcMar>
              <w:top w:w="50" w:type="dxa"/>
              <w:bottom w:w="50" w:type="dxa"/>
              <w:left w:w="90" w:type="dxa"/>
              <w:right w:w="90" w:type="dxa"/>
            </w:tcMar>
          </w:tcPr>
          <w:p>
            <w:pPr>
              <w:jc w:val="left"/>
            </w:pPr>
            <w:r>
              <w:rPr>
                <w:rFonts w:ascii="Calibri" w:hAnsi="Calibri"/>
                <w:color w:val="0F172A"/>
                <w:sz w:val="17"/>
              </w:rPr>
              <w:t>0:00 - 0:45</w:t>
            </w:r>
          </w:p>
        </w:tc>
        <w:tc>
          <w:tcPr>
            <w:tcW w:type="dxa" w:w="2160"/>
            <w:shd w:val="clear" w:color="auto" w:fill="FFFFFF"/>
            <w:tcMar>
              <w:top w:w="50" w:type="dxa"/>
              <w:bottom w:w="50" w:type="dxa"/>
              <w:left w:w="90" w:type="dxa"/>
              <w:right w:w="90" w:type="dxa"/>
            </w:tcMar>
          </w:tcPr>
          <w:p>
            <w:pPr>
              <w:jc w:val="left"/>
            </w:pPr>
            <w:r>
              <w:rPr>
                <w:rFonts w:ascii="Calibri" w:hAnsi="Calibri"/>
                <w:color w:val="0F172A"/>
                <w:sz w:val="17"/>
              </w:rPr>
              <w:t>Environment &amp; Code Launch</w:t>
            </w:r>
          </w:p>
        </w:tc>
        <w:tc>
          <w:tcPr>
            <w:tcW w:type="dxa" w:w="2160"/>
            <w:shd w:val="clear" w:color="auto" w:fill="FFFFFF"/>
            <w:tcMar>
              <w:top w:w="50" w:type="dxa"/>
              <w:bottom w:w="50" w:type="dxa"/>
              <w:left w:w="90" w:type="dxa"/>
              <w:right w:w="90" w:type="dxa"/>
            </w:tcMar>
          </w:tcPr>
          <w:p>
            <w:pPr>
              <w:jc w:val="left"/>
            </w:pPr>
            <w:r>
              <w:rPr>
                <w:rFonts w:ascii="Calibri" w:hAnsi="Calibri"/>
                <w:color w:val="0F172A"/>
                <w:sz w:val="17"/>
              </w:rPr>
              <w:t>Open terminal; show project directory; run: 'streamlit run dashboard_app.py'</w:t>
            </w:r>
          </w:p>
        </w:tc>
        <w:tc>
          <w:tcPr>
            <w:tcW w:type="dxa" w:w="2160"/>
            <w:shd w:val="clear" w:color="auto" w:fill="FFFFFF"/>
            <w:tcMar>
              <w:top w:w="50" w:type="dxa"/>
              <w:bottom w:w="50" w:type="dxa"/>
              <w:left w:w="90" w:type="dxa"/>
              <w:right w:w="90" w:type="dxa"/>
            </w:tcMar>
          </w:tcPr>
          <w:p>
            <w:pPr>
              <w:jc w:val="left"/>
            </w:pPr>
            <w:r>
              <w:rPr>
                <w:rFonts w:ascii="Calibri" w:hAnsi="Calibri"/>
                <w:color w:val="0F172A"/>
                <w:sz w:val="17"/>
              </w:rPr>
              <w:t>Point out clean project structure and single-command local server launch.</w:t>
            </w:r>
          </w:p>
        </w:tc>
      </w:tr>
      <w:tr>
        <w:tc>
          <w:tcPr>
            <w:tcW w:type="dxa" w:w="2160"/>
            <w:shd w:val="clear" w:color="auto" w:fill="F1F5F9"/>
            <w:tcMar>
              <w:top w:w="50" w:type="dxa"/>
              <w:bottom w:w="50" w:type="dxa"/>
              <w:left w:w="90" w:type="dxa"/>
              <w:right w:w="90" w:type="dxa"/>
            </w:tcMar>
          </w:tcPr>
          <w:p>
            <w:pPr>
              <w:jc w:val="left"/>
            </w:pPr>
            <w:r>
              <w:rPr>
                <w:rFonts w:ascii="Calibri" w:hAnsi="Calibri"/>
                <w:color w:val="0F172A"/>
                <w:sz w:val="17"/>
              </w:rPr>
              <w:t>0:45 - 1:45</w:t>
            </w:r>
          </w:p>
        </w:tc>
        <w:tc>
          <w:tcPr>
            <w:tcW w:type="dxa" w:w="2160"/>
            <w:shd w:val="clear" w:color="auto" w:fill="F1F5F9"/>
            <w:tcMar>
              <w:top w:w="50" w:type="dxa"/>
              <w:bottom w:w="50" w:type="dxa"/>
              <w:left w:w="90" w:type="dxa"/>
              <w:right w:w="90" w:type="dxa"/>
            </w:tcMar>
          </w:tcPr>
          <w:p>
            <w:pPr>
              <w:jc w:val="left"/>
            </w:pPr>
            <w:r>
              <w:rPr>
                <w:rFonts w:ascii="Calibri" w:hAnsi="Calibri"/>
                <w:color w:val="0F172A"/>
                <w:sz w:val="17"/>
              </w:rPr>
              <w:t>KPI Header &amp; Metric Cards</w:t>
            </w:r>
          </w:p>
        </w:tc>
        <w:tc>
          <w:tcPr>
            <w:tcW w:type="dxa" w:w="2160"/>
            <w:shd w:val="clear" w:color="auto" w:fill="F1F5F9"/>
            <w:tcMar>
              <w:top w:w="50" w:type="dxa"/>
              <w:bottom w:w="50" w:type="dxa"/>
              <w:left w:w="90" w:type="dxa"/>
              <w:right w:w="90" w:type="dxa"/>
            </w:tcMar>
          </w:tcPr>
          <w:p>
            <w:pPr>
              <w:jc w:val="left"/>
            </w:pPr>
            <w:r>
              <w:rPr>
                <w:rFonts w:ascii="Calibri" w:hAnsi="Calibri"/>
                <w:color w:val="0F172A"/>
                <w:sz w:val="17"/>
              </w:rPr>
              <w:t>Show browser opening at localhost:8501; highlight top 5 KPI cards</w:t>
            </w:r>
          </w:p>
        </w:tc>
        <w:tc>
          <w:tcPr>
            <w:tcW w:type="dxa" w:w="2160"/>
            <w:shd w:val="clear" w:color="auto" w:fill="F1F5F9"/>
            <w:tcMar>
              <w:top w:w="50" w:type="dxa"/>
              <w:bottom w:w="50" w:type="dxa"/>
              <w:left w:w="90" w:type="dxa"/>
              <w:right w:w="90" w:type="dxa"/>
            </w:tcMar>
          </w:tcPr>
          <w:p>
            <w:pPr>
              <w:jc w:val="left"/>
            </w:pPr>
            <w:r>
              <w:rPr>
                <w:rFonts w:ascii="Calibri" w:hAnsi="Calibri"/>
                <w:color w:val="0F172A"/>
                <w:sz w:val="17"/>
              </w:rPr>
              <w:t>Explain 60-day averages: 7.4 hrs sleep, 8,650 steps, 7.6 water glasses, and Wellness Score.</w:t>
            </w:r>
          </w:p>
        </w:tc>
      </w:tr>
      <w:tr>
        <w:tc>
          <w:tcPr>
            <w:tcW w:type="dxa" w:w="2160"/>
            <w:shd w:val="clear" w:color="auto" w:fill="FFFFFF"/>
            <w:tcMar>
              <w:top w:w="50" w:type="dxa"/>
              <w:bottom w:w="50" w:type="dxa"/>
              <w:left w:w="90" w:type="dxa"/>
              <w:right w:w="90" w:type="dxa"/>
            </w:tcMar>
          </w:tcPr>
          <w:p>
            <w:pPr>
              <w:jc w:val="left"/>
            </w:pPr>
            <w:r>
              <w:rPr>
                <w:rFonts w:ascii="Calibri" w:hAnsi="Calibri"/>
                <w:color w:val="0F172A"/>
                <w:sz w:val="17"/>
              </w:rPr>
              <w:t>1:45 - 3:00</w:t>
            </w:r>
          </w:p>
        </w:tc>
        <w:tc>
          <w:tcPr>
            <w:tcW w:type="dxa" w:w="2160"/>
            <w:shd w:val="clear" w:color="auto" w:fill="FFFFFF"/>
            <w:tcMar>
              <w:top w:w="50" w:type="dxa"/>
              <w:bottom w:w="50" w:type="dxa"/>
              <w:left w:w="90" w:type="dxa"/>
              <w:right w:w="90" w:type="dxa"/>
            </w:tcMar>
          </w:tcPr>
          <w:p>
            <w:pPr>
              <w:jc w:val="left"/>
            </w:pPr>
            <w:r>
              <w:rPr>
                <w:rFonts w:ascii="Calibri" w:hAnsi="Calibri"/>
                <w:color w:val="0F172A"/>
                <w:sz w:val="17"/>
              </w:rPr>
              <w:t>Longitudinal Trends Tab</w:t>
            </w:r>
          </w:p>
        </w:tc>
        <w:tc>
          <w:tcPr>
            <w:tcW w:type="dxa" w:w="2160"/>
            <w:shd w:val="clear" w:color="auto" w:fill="FFFFFF"/>
            <w:tcMar>
              <w:top w:w="50" w:type="dxa"/>
              <w:bottom w:w="50" w:type="dxa"/>
              <w:left w:w="90" w:type="dxa"/>
              <w:right w:w="90" w:type="dxa"/>
            </w:tcMar>
          </w:tcPr>
          <w:p>
            <w:pPr>
              <w:jc w:val="left"/>
            </w:pPr>
            <w:r>
              <w:rPr>
                <w:rFonts w:ascii="Calibri" w:hAnsi="Calibri"/>
                <w:color w:val="0F172A"/>
                <w:sz w:val="17"/>
              </w:rPr>
              <w:t>Hover over 7-day rolling sleep curve and step bars; show target reference lines</w:t>
            </w:r>
          </w:p>
        </w:tc>
        <w:tc>
          <w:tcPr>
            <w:tcW w:type="dxa" w:w="2160"/>
            <w:shd w:val="clear" w:color="auto" w:fill="FFFFFF"/>
            <w:tcMar>
              <w:top w:w="50" w:type="dxa"/>
              <w:bottom w:w="50" w:type="dxa"/>
              <w:left w:w="90" w:type="dxa"/>
              <w:right w:w="90" w:type="dxa"/>
            </w:tcMar>
          </w:tcPr>
          <w:p>
            <w:pPr>
              <w:jc w:val="left"/>
            </w:pPr>
            <w:r>
              <w:rPr>
                <w:rFonts w:ascii="Calibri" w:hAnsi="Calibri"/>
                <w:color w:val="0F172A"/>
                <w:sz w:val="17"/>
              </w:rPr>
              <w:t>Demonstrate how the 7-day rolling average filters daily spikes to expose genuine habits.</w:t>
            </w:r>
          </w:p>
        </w:tc>
      </w:tr>
      <w:tr>
        <w:tc>
          <w:tcPr>
            <w:tcW w:type="dxa" w:w="2160"/>
            <w:shd w:val="clear" w:color="auto" w:fill="F1F5F9"/>
            <w:tcMar>
              <w:top w:w="50" w:type="dxa"/>
              <w:bottom w:w="50" w:type="dxa"/>
              <w:left w:w="90" w:type="dxa"/>
              <w:right w:w="90" w:type="dxa"/>
            </w:tcMar>
          </w:tcPr>
          <w:p>
            <w:pPr>
              <w:jc w:val="left"/>
            </w:pPr>
            <w:r>
              <w:rPr>
                <w:rFonts w:ascii="Calibri" w:hAnsi="Calibri"/>
                <w:color w:val="0F172A"/>
                <w:sz w:val="17"/>
              </w:rPr>
              <w:t>3:00 - 4:15</w:t>
            </w:r>
          </w:p>
        </w:tc>
        <w:tc>
          <w:tcPr>
            <w:tcW w:type="dxa" w:w="2160"/>
            <w:shd w:val="clear" w:color="auto" w:fill="F1F5F9"/>
            <w:tcMar>
              <w:top w:w="50" w:type="dxa"/>
              <w:bottom w:w="50" w:type="dxa"/>
              <w:left w:w="90" w:type="dxa"/>
              <w:right w:w="90" w:type="dxa"/>
            </w:tcMar>
          </w:tcPr>
          <w:p>
            <w:pPr>
              <w:jc w:val="left"/>
            </w:pPr>
            <w:r>
              <w:rPr>
                <w:rFonts w:ascii="Calibri" w:hAnsi="Calibri"/>
                <w:color w:val="0F172A"/>
                <w:sz w:val="17"/>
              </w:rPr>
              <w:t>Correlation &amp; Behavioral Tab</w:t>
            </w:r>
          </w:p>
        </w:tc>
        <w:tc>
          <w:tcPr>
            <w:tcW w:type="dxa" w:w="2160"/>
            <w:shd w:val="clear" w:color="auto" w:fill="F1F5F9"/>
            <w:tcMar>
              <w:top w:w="50" w:type="dxa"/>
              <w:bottom w:w="50" w:type="dxa"/>
              <w:left w:w="90" w:type="dxa"/>
              <w:right w:w="90" w:type="dxa"/>
            </w:tcMar>
          </w:tcPr>
          <w:p>
            <w:pPr>
              <w:jc w:val="left"/>
            </w:pPr>
            <w:r>
              <w:rPr>
                <w:rFonts w:ascii="Calibri" w:hAnsi="Calibri"/>
                <w:color w:val="0F172A"/>
                <w:sz w:val="17"/>
              </w:rPr>
              <w:t>Switch to Tab 2; show Pearson Heatmap and Weekday vs Weekend bar chart</w:t>
            </w:r>
          </w:p>
        </w:tc>
        <w:tc>
          <w:tcPr>
            <w:tcW w:type="dxa" w:w="2160"/>
            <w:shd w:val="clear" w:color="auto" w:fill="F1F5F9"/>
            <w:tcMar>
              <w:top w:w="50" w:type="dxa"/>
              <w:bottom w:w="50" w:type="dxa"/>
              <w:left w:w="90" w:type="dxa"/>
              <w:right w:w="90" w:type="dxa"/>
            </w:tcMar>
          </w:tcPr>
          <w:p>
            <w:pPr>
              <w:jc w:val="left"/>
            </w:pPr>
            <w:r>
              <w:rPr>
                <w:rFonts w:ascii="Calibri" w:hAnsi="Calibri"/>
                <w:color w:val="0F172A"/>
                <w:sz w:val="17"/>
              </w:rPr>
              <w:t>Highlight r = +0.52 correlation between sleep and mood; explain +0.7 hr Social Jetlag.</w:t>
            </w:r>
          </w:p>
        </w:tc>
      </w:tr>
      <w:tr>
        <w:tc>
          <w:tcPr>
            <w:tcW w:type="dxa" w:w="2160"/>
            <w:shd w:val="clear" w:color="auto" w:fill="FFFFFF"/>
            <w:tcMar>
              <w:top w:w="50" w:type="dxa"/>
              <w:bottom w:w="50" w:type="dxa"/>
              <w:left w:w="90" w:type="dxa"/>
              <w:right w:w="90" w:type="dxa"/>
            </w:tcMar>
          </w:tcPr>
          <w:p>
            <w:pPr>
              <w:jc w:val="left"/>
            </w:pPr>
            <w:r>
              <w:rPr>
                <w:rFonts w:ascii="Calibri" w:hAnsi="Calibri"/>
                <w:color w:val="0F172A"/>
                <w:sz w:val="17"/>
              </w:rPr>
              <w:t>4:15 - 5:15</w:t>
            </w:r>
          </w:p>
        </w:tc>
        <w:tc>
          <w:tcPr>
            <w:tcW w:type="dxa" w:w="2160"/>
            <w:shd w:val="clear" w:color="auto" w:fill="FFFFFF"/>
            <w:tcMar>
              <w:top w:w="50" w:type="dxa"/>
              <w:bottom w:w="50" w:type="dxa"/>
              <w:left w:w="90" w:type="dxa"/>
              <w:right w:w="90" w:type="dxa"/>
            </w:tcMar>
          </w:tcPr>
          <w:p>
            <w:pPr>
              <w:jc w:val="left"/>
            </w:pPr>
            <w:r>
              <w:rPr>
                <w:rFonts w:ascii="Calibri" w:hAnsi="Calibri"/>
                <w:color w:val="0F172A"/>
                <w:sz w:val="17"/>
              </w:rPr>
              <w:t>Interactive Filtering Demo</w:t>
            </w:r>
          </w:p>
        </w:tc>
        <w:tc>
          <w:tcPr>
            <w:tcW w:type="dxa" w:w="2160"/>
            <w:shd w:val="clear" w:color="auto" w:fill="FFFFFF"/>
            <w:tcMar>
              <w:top w:w="50" w:type="dxa"/>
              <w:bottom w:w="50" w:type="dxa"/>
              <w:left w:w="90" w:type="dxa"/>
              <w:right w:w="90" w:type="dxa"/>
            </w:tcMar>
          </w:tcPr>
          <w:p>
            <w:pPr>
              <w:jc w:val="left"/>
            </w:pPr>
            <w:r>
              <w:rPr>
                <w:rFonts w:ascii="Calibri" w:hAnsi="Calibri"/>
                <w:color w:val="0F172A"/>
                <w:sz w:val="17"/>
              </w:rPr>
              <w:t>Adjust sidebar date picker to last 14 days; slide step target from 8,000 to 10,000</w:t>
            </w:r>
          </w:p>
        </w:tc>
        <w:tc>
          <w:tcPr>
            <w:tcW w:type="dxa" w:w="2160"/>
            <w:shd w:val="clear" w:color="auto" w:fill="FFFFFF"/>
            <w:tcMar>
              <w:top w:w="50" w:type="dxa"/>
              <w:bottom w:w="50" w:type="dxa"/>
              <w:left w:w="90" w:type="dxa"/>
              <w:right w:w="90" w:type="dxa"/>
            </w:tcMar>
          </w:tcPr>
          <w:p>
            <w:pPr>
              <w:jc w:val="left"/>
            </w:pPr>
            <w:r>
              <w:rPr>
                <w:rFonts w:ascii="Calibri" w:hAnsi="Calibri"/>
                <w:color w:val="0F172A"/>
                <w:sz w:val="17"/>
              </w:rPr>
              <w:t>Show instant, seamless reactivity of Plotly charts and compliance recalculation.</w:t>
            </w:r>
          </w:p>
        </w:tc>
      </w:tr>
      <w:tr>
        <w:tc>
          <w:tcPr>
            <w:tcW w:type="dxa" w:w="2160"/>
            <w:shd w:val="clear" w:color="auto" w:fill="F1F5F9"/>
            <w:tcMar>
              <w:top w:w="50" w:type="dxa"/>
              <w:bottom w:w="50" w:type="dxa"/>
              <w:left w:w="90" w:type="dxa"/>
              <w:right w:w="90" w:type="dxa"/>
            </w:tcMar>
          </w:tcPr>
          <w:p>
            <w:pPr>
              <w:jc w:val="left"/>
            </w:pPr>
            <w:r>
              <w:rPr>
                <w:rFonts w:ascii="Calibri" w:hAnsi="Calibri"/>
                <w:color w:val="0F172A"/>
                <w:sz w:val="17"/>
              </w:rPr>
              <w:t>5:15 - 6:00</w:t>
            </w:r>
          </w:p>
        </w:tc>
        <w:tc>
          <w:tcPr>
            <w:tcW w:type="dxa" w:w="2160"/>
            <w:shd w:val="clear" w:color="auto" w:fill="F1F5F9"/>
            <w:tcMar>
              <w:top w:w="50" w:type="dxa"/>
              <w:bottom w:w="50" w:type="dxa"/>
              <w:left w:w="90" w:type="dxa"/>
              <w:right w:w="90" w:type="dxa"/>
            </w:tcMar>
          </w:tcPr>
          <w:p>
            <w:pPr>
              <w:jc w:val="left"/>
            </w:pPr>
            <w:r>
              <w:rPr>
                <w:rFonts w:ascii="Calibri" w:hAnsi="Calibri"/>
                <w:color w:val="0F172A"/>
                <w:sz w:val="17"/>
              </w:rPr>
              <w:t>Jupyter Notebook &amp; Wrap-Up</w:t>
            </w:r>
          </w:p>
        </w:tc>
        <w:tc>
          <w:tcPr>
            <w:tcW w:type="dxa" w:w="2160"/>
            <w:shd w:val="clear" w:color="auto" w:fill="F1F5F9"/>
            <w:tcMar>
              <w:top w:w="50" w:type="dxa"/>
              <w:bottom w:w="50" w:type="dxa"/>
              <w:left w:w="90" w:type="dxa"/>
              <w:right w:w="90" w:type="dxa"/>
            </w:tcMar>
          </w:tcPr>
          <w:p>
            <w:pPr>
              <w:jc w:val="left"/>
            </w:pPr>
            <w:r>
              <w:rPr>
                <w:rFonts w:ascii="Calibri" w:hAnsi="Calibri"/>
                <w:color w:val="0F172A"/>
                <w:sz w:val="17"/>
              </w:rPr>
              <w:t>Switch to Jupyter tab; show 'Restart &amp; Run All' executing cleanly in &lt; 3 seconds</w:t>
            </w:r>
          </w:p>
        </w:tc>
        <w:tc>
          <w:tcPr>
            <w:tcW w:type="dxa" w:w="2160"/>
            <w:shd w:val="clear" w:color="auto" w:fill="F1F5F9"/>
            <w:tcMar>
              <w:top w:w="50" w:type="dxa"/>
              <w:bottom w:w="50" w:type="dxa"/>
              <w:left w:w="90" w:type="dxa"/>
              <w:right w:w="90" w:type="dxa"/>
            </w:tcMar>
          </w:tcPr>
          <w:p>
            <w:pPr>
              <w:jc w:val="left"/>
            </w:pPr>
            <w:r>
              <w:rPr>
                <w:rFonts w:ascii="Calibri" w:hAnsi="Calibri"/>
                <w:color w:val="0F172A"/>
                <w:sz w:val="17"/>
              </w:rPr>
              <w:t>Summarize deterministic reproducibility and invite examiner questions.</w:t>
            </w:r>
          </w:p>
        </w:tc>
      </w:tr>
    </w:tbl>
    <w:p>
      <w:pPr>
        <w:spacing w:after="120"/>
      </w:pPr>
    </w:p>
    <w:p>
      <w:pPr>
        <w:keepNext/>
        <w:spacing w:before="240" w:after="80"/>
      </w:pPr>
      <w:r>
        <w:rPr>
          <w:rFonts w:ascii="Calibri" w:hAnsi="Calibri"/>
          <w:b/>
          <w:color w:val="1B365D"/>
          <w:sz w:val="28"/>
        </w:rPr>
        <w:t>4. Frequently Asked Viva Voce Questions &amp; Model Answers</w:t>
      </w:r>
    </w:p>
    <w:p>
      <w:pPr>
        <w:keepNext/>
        <w:spacing w:before="160" w:after="40"/>
      </w:pPr>
      <w:r>
        <w:rPr>
          <w:rFonts w:ascii="Calibri" w:hAnsi="Calibri"/>
          <w:b/>
          <w:color w:val="0D9488"/>
          <w:sz w:val="24"/>
        </w:rPr>
        <w:t>Q1: Why did you choose Jupyter Notebook and Streamlit instead of building a full-stack web app with React and Django?</w:t>
      </w:r>
    </w:p>
    <w:p>
      <w:pPr>
        <w:spacing w:after="100" w:line="276" w:lineRule="auto"/>
      </w:pPr>
      <w:r>
        <w:rPr>
          <w:rFonts w:ascii="Calibri" w:hAnsi="Calibri"/>
          <w:color w:val="0F172A"/>
          <w:sz w:val="20"/>
        </w:rPr>
        <w:t>Model Answer: For an educational single-user data analytics project, Jupyter Notebook provides the ideal transparent, narrative-driven environment for exploratory analysis and documentation. Streamlit allows us to deliver a reactive, interactive dashboard entirely in Python without adding multi-tier architectural complexity, database management overhead, or security vulnerabilities associated with full-stack web frameworks.</w:t>
      </w:r>
    </w:p>
    <w:p>
      <w:pPr>
        <w:keepNext/>
        <w:spacing w:before="160" w:after="40"/>
      </w:pPr>
      <w:r>
        <w:rPr>
          <w:rFonts w:ascii="Calibri" w:hAnsi="Calibri"/>
          <w:b/>
          <w:color w:val="0D9488"/>
          <w:sz w:val="24"/>
        </w:rPr>
        <w:t>Q2: How do you handle missing or corrupt data in the wellness logs?</w:t>
      </w:r>
    </w:p>
    <w:p>
      <w:pPr>
        <w:spacing w:after="100" w:line="276" w:lineRule="auto"/>
      </w:pPr>
      <w:r>
        <w:rPr>
          <w:rFonts w:ascii="Calibri" w:hAnsi="Calibri"/>
          <w:color w:val="0F172A"/>
          <w:sz w:val="20"/>
        </w:rPr>
        <w:t>Model Answer: We implemented a 5-step preprocessing pipeline. If an individual daily record has a missing sleep or hydration value, we apply forward-filling under the assumption of short-term behavioral continuity. If multiple consecutive days are missing, we impute with the 7-day rolling median to prevent artificial skewing. Values violating physiological boundaries (such as negative steps or sleep &gt; 14 hours) are flagged and clamped.</w:t>
      </w:r>
    </w:p>
    <w:p>
      <w:pPr>
        <w:keepNext/>
        <w:spacing w:before="160" w:after="40"/>
      </w:pPr>
      <w:r>
        <w:rPr>
          <w:rFonts w:ascii="Calibri" w:hAnsi="Calibri"/>
          <w:b/>
          <w:color w:val="0D9488"/>
          <w:sz w:val="24"/>
        </w:rPr>
        <w:t>Q3: Does a strong correlation between sleep hours and mood score imply that more sleep causes better mood?</w:t>
      </w:r>
    </w:p>
    <w:p>
      <w:pPr>
        <w:spacing w:after="100" w:line="276" w:lineRule="auto"/>
      </w:pPr>
      <w:r>
        <w:rPr>
          <w:rFonts w:ascii="Calibri" w:hAnsi="Calibri"/>
          <w:color w:val="0F172A"/>
          <w:sz w:val="20"/>
        </w:rPr>
        <w:t>Model Answer: No. In data analytics, correlation does not establish causality. While our Pearson correlation coefficient of +0.52 shows a moderate positive association, confounding factors—such as exam stress, physical illness, or workload—could independently degrade both sleep duration and mood. We interpret this as a valuable behavioral indicator rather than a clinical causal proof.</w:t>
      </w:r>
    </w:p>
    <w:p>
      <w:pPr>
        <w:keepNext/>
        <w:spacing w:before="160" w:after="40"/>
      </w:pPr>
      <w:r>
        <w:rPr>
          <w:rFonts w:ascii="Calibri" w:hAnsi="Calibri"/>
          <w:b/>
          <w:color w:val="0D9488"/>
          <w:sz w:val="24"/>
        </w:rPr>
        <w:t>Q4: What role did Google Gemini play in the development of this project?</w:t>
      </w:r>
    </w:p>
    <w:p>
      <w:pPr>
        <w:spacing w:after="100" w:line="276" w:lineRule="auto"/>
      </w:pPr>
      <w:r>
        <w:rPr>
          <w:rFonts w:ascii="Calibri" w:hAnsi="Calibri"/>
          <w:color w:val="0F172A"/>
          <w:sz w:val="20"/>
        </w:rPr>
        <w:t>Model Answer: Gemini acted as an AI developer co-pilot during project ideation, code drafting, and documentation synthesis. Specifically, Gemini helped brainstorm physiologically plausible parameter bounds for the synthetic data generator, provided suggestions for vectorized Pandas rolling calculations, and helped draft test case assertion structures. Importantly, Gemini is not an active runtime API dependency, ensuring 100% offline reproducibility.</w:t>
      </w:r>
    </w:p>
    <w:p>
      <w:pPr>
        <w:keepNext/>
        <w:spacing w:before="160" w:after="40"/>
      </w:pPr>
      <w:r>
        <w:rPr>
          <w:rFonts w:ascii="Calibri" w:hAnsi="Calibri"/>
          <w:b/>
          <w:color w:val="0D9488"/>
          <w:sz w:val="24"/>
        </w:rPr>
        <w:t>Q5: How can a user replace the synthetic data with their genuine personal health logs?</w:t>
      </w:r>
    </w:p>
    <w:p>
      <w:pPr>
        <w:spacing w:after="100" w:line="276" w:lineRule="auto"/>
      </w:pPr>
      <w:r>
        <w:rPr>
          <w:rFonts w:ascii="Calibri" w:hAnsi="Calibri"/>
          <w:color w:val="0F172A"/>
          <w:sz w:val="20"/>
        </w:rPr>
        <w:t>Model Answer: The system is built with modular data ingestion. The user simply opens sample_wellness_data.csv, clears rows 2 through 61 while preserving the column headers, and enters their daily records. The dashboard automatically parses the new CSV upon reload without altering any analytical or visualization logic.</w:t>
      </w:r>
    </w:p>
    <w:p>
      <w:pPr>
        <w:keepNext/>
        <w:spacing w:before="160" w:after="40"/>
      </w:pPr>
      <w:r>
        <w:rPr>
          <w:rFonts w:ascii="Calibri" w:hAnsi="Calibri"/>
          <w:b/>
          <w:color w:val="0D9488"/>
          <w:sz w:val="24"/>
        </w:rPr>
        <w:t>Q6: Why did you exclude continuous heart rate and clinical biometrics?</w:t>
      </w:r>
    </w:p>
    <w:p>
      <w:pPr>
        <w:spacing w:after="100" w:line="276" w:lineRule="auto"/>
      </w:pPr>
      <w:r>
        <w:rPr>
          <w:rFonts w:ascii="Calibri" w:hAnsi="Calibri"/>
          <w:color w:val="0F172A"/>
          <w:sz w:val="20"/>
        </w:rPr>
        <w:t>Model Answer: In accordance with our Product Requirements Document, heart rate was classified as a proposed future wearable feed. Excluding it from the core demonstration ensures the project remains strictly within the scope of beginner-friendly manual habit tracking and respects our non-medical educational boundary.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