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40" w:lineRule="auto"/>
        <w:jc w:val="center"/>
        <w:rPr>
          <w:rFonts w:ascii="Times New Roman" w:cs="Times New Roman" w:eastAsia="Times New Roman" w:hAnsi="Times New Roman"/>
          <w:b w:val="1"/>
          <w:sz w:val="18"/>
          <w:szCs w:val="18"/>
        </w:rPr>
      </w:pPr>
      <w:bookmarkStart w:colFirst="0" w:colLast="0" w:name="_h4byy9oidqgw" w:id="0"/>
      <w:bookmarkEnd w:id="0"/>
      <w:r w:rsidDel="00000000" w:rsidR="00000000" w:rsidRPr="00000000">
        <w:rPr>
          <w:rFonts w:ascii="Times New Roman" w:cs="Times New Roman" w:eastAsia="Times New Roman" w:hAnsi="Times New Roman"/>
          <w:b w:val="1"/>
          <w:sz w:val="18"/>
          <w:szCs w:val="18"/>
          <w:rtl w:val="0"/>
        </w:rPr>
        <w:t xml:space="preserve">ARBITRAL TRIBUNAL CONSTITUTED BY JUPITICE, </w:t>
        <w:br w:type="textWrapping"/>
        <w:t xml:space="preserve">ARBITRATOR [[event.Appointment of Arbitrator.form.Appointment of Arbitrator.field.Name of Appointed Arbitrator]] ADVOCATE</w:t>
      </w:r>
    </w:p>
    <w:p w:rsidR="00000000" w:rsidDel="00000000" w:rsidP="00000000" w:rsidRDefault="00000000" w:rsidRPr="00000000" w14:paraId="00000002">
      <w:pPr>
        <w:pStyle w:val="Heading2"/>
        <w:keepNext w:val="0"/>
        <w:keepLines w:val="0"/>
        <w:spacing w:after="0" w:before="0" w:line="240" w:lineRule="auto"/>
        <w:jc w:val="center"/>
        <w:rPr>
          <w:rFonts w:ascii="Times New Roman" w:cs="Times New Roman" w:eastAsia="Times New Roman" w:hAnsi="Times New Roman"/>
          <w:sz w:val="18"/>
          <w:szCs w:val="18"/>
        </w:rPr>
      </w:pPr>
      <w:bookmarkStart w:colFirst="0" w:colLast="0" w:name="_c4wn5g9ym7op" w:id="1"/>
      <w:bookmarkEnd w:id="1"/>
      <w:r w:rsidDel="00000000" w:rsidR="00000000" w:rsidRPr="00000000">
        <w:rPr>
          <w:rFonts w:ascii="Times New Roman" w:cs="Times New Roman" w:eastAsia="Times New Roman" w:hAnsi="Times New Roman"/>
          <w:b w:val="1"/>
          <w:sz w:val="18"/>
          <w:szCs w:val="18"/>
          <w:rtl w:val="0"/>
        </w:rPr>
        <w:t xml:space="preserve">ARBITRATION PROCEEDINGS NO. [[</w:t>
      </w:r>
      <w:hyperlink r:id="rId6">
        <w:r w:rsidDel="00000000" w:rsidR="00000000" w:rsidRPr="00000000">
          <w:rPr>
            <w:rFonts w:ascii="Times New Roman" w:cs="Times New Roman" w:eastAsia="Times New Roman" w:hAnsi="Times New Roman"/>
            <w:b w:val="1"/>
            <w:color w:val="1155cc"/>
            <w:sz w:val="18"/>
            <w:szCs w:val="18"/>
            <w:u w:val="single"/>
            <w:rtl w:val="0"/>
          </w:rPr>
          <w:t xml:space="preserve">case.id</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0" w:line="240" w:lineRule="auto"/>
        <w:ind w:left="4590" w:firstLine="0"/>
        <w:jc w:val="left"/>
        <w:rPr>
          <w:rFonts w:ascii="Times New Roman" w:cs="Times New Roman" w:eastAsia="Times New Roman" w:hAnsi="Times New Roman"/>
          <w:b w:val="1"/>
          <w:sz w:val="18"/>
          <w:szCs w:val="18"/>
        </w:rPr>
      </w:pPr>
      <w:bookmarkStart w:colFirst="0" w:colLast="0" w:name="_z4ytdwagzh01" w:id="2"/>
      <w:bookmarkEnd w:id="2"/>
      <w:r w:rsidDel="00000000" w:rsidR="00000000" w:rsidRPr="00000000">
        <w:rPr>
          <w:rFonts w:ascii="Times New Roman" w:cs="Times New Roman" w:eastAsia="Times New Roman" w:hAnsi="Times New Roman"/>
          <w:sz w:val="18"/>
          <w:szCs w:val="18"/>
          <w:rtl w:val="0"/>
        </w:rPr>
        <w:t xml:space="preserve">In the matter of the Arbitration and Conciliation Act of 1996,  </w:t>
        <w:br w:type="textWrapping"/>
        <w:t xml:space="preserve">And</w:t>
        <w:br w:type="textWrapping"/>
        <w:t xml:space="preserve">In the matter of disputes and differences between </w:t>
      </w:r>
      <w:r w:rsidDel="00000000" w:rsidR="00000000" w:rsidRPr="00000000">
        <w:rPr>
          <w:rFonts w:ascii="Times New Roman" w:cs="Times New Roman" w:eastAsia="Times New Roman" w:hAnsi="Times New Roman"/>
          <w:b w:val="1"/>
          <w:sz w:val="18"/>
          <w:szCs w:val="18"/>
          <w:rtl w:val="0"/>
        </w:rPr>
        <w:t xml:space="preserve">IDFC FIRST BANK LIMITED</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b w:val="1"/>
          <w:sz w:val="18"/>
          <w:szCs w:val="18"/>
          <w:rtl w:val="0"/>
        </w:rPr>
        <w:t xml:space="preserve">[[event.Case.Initiation.form.Case Details.field.RESPONDENT NAME]] </w:t>
      </w:r>
      <w:r w:rsidDel="00000000" w:rsidR="00000000" w:rsidRPr="00000000">
        <w:rPr>
          <w:rFonts w:ascii="Times New Roman" w:cs="Times New Roman" w:eastAsia="Times New Roman" w:hAnsi="Times New Roman"/>
          <w:sz w:val="18"/>
          <w:szCs w:val="18"/>
          <w:rtl w:val="0"/>
        </w:rPr>
        <w:t xml:space="preserve">vide Agreement No. </w:t>
      </w:r>
      <w:r w:rsidDel="00000000" w:rsidR="00000000" w:rsidRPr="00000000">
        <w:rPr>
          <w:rFonts w:ascii="Times New Roman" w:cs="Times New Roman" w:eastAsia="Times New Roman" w:hAnsi="Times New Roman"/>
          <w:b w:val="1"/>
          <w:sz w:val="18"/>
          <w:szCs w:val="18"/>
          <w:rtl w:val="0"/>
        </w:rPr>
        <w:t xml:space="preserve">[[event.Case Initiation.form.Case Details.field.Agreement ID]]</w:t>
      </w:r>
    </w:p>
    <w:p w:rsidR="00000000" w:rsidDel="00000000" w:rsidP="00000000" w:rsidRDefault="00000000" w:rsidRPr="00000000" w14:paraId="00000005">
      <w:pPr>
        <w:spacing w:after="0" w:before="24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br w:type="textWrapping"/>
        <w:t xml:space="preserve">IDFC FIRST BANK LIMITED, </w:t>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Office Address: KRM Tower, </w:t>
      </w:r>
    </w:p>
    <w:p w:rsidR="00000000" w:rsidDel="00000000" w:rsidP="00000000" w:rsidRDefault="00000000" w:rsidRPr="00000000" w14:paraId="00000007">
      <w:pPr>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7th Floor, No. 1, Harrington Road, </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Chetpet, Chennai-600031, Tamil Nadu</w:t>
        <w:br w:type="textWrapping"/>
      </w:r>
      <w:r w:rsidDel="00000000" w:rsidR="00000000" w:rsidRPr="00000000">
        <w:rPr>
          <w:rtl w:val="0"/>
        </w:rPr>
      </w:r>
    </w:p>
    <w:p w:rsidR="00000000" w:rsidDel="00000000" w:rsidP="00000000" w:rsidRDefault="00000000" w:rsidRPr="00000000" w14:paraId="00000009">
      <w:pPr>
        <w:spacing w:after="0" w:before="0" w:line="240" w:lineRule="auto"/>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Claimant</w:t>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VERSUS</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Address &amp; Details</w:t>
      </w:r>
    </w:p>
    <w:p w:rsidR="00000000" w:rsidDel="00000000" w:rsidP="00000000" w:rsidRDefault="00000000" w:rsidRPr="00000000" w14:paraId="0000000D">
      <w:pPr>
        <w:spacing w:after="0" w:before="0" w:line="240" w:lineRule="auto"/>
        <w:jc w:val="righ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Respondent(s)</w:t>
      </w:r>
    </w:p>
    <w:p w:rsidR="00000000" w:rsidDel="00000000" w:rsidP="00000000" w:rsidRDefault="00000000" w:rsidRPr="00000000" w14:paraId="0000000E">
      <w:pPr>
        <w:spacing w:after="240" w:before="240" w:line="240" w:lineRule="auto"/>
        <w:ind w:left="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Sir/Madam, </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Subject: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Hearing Notice – Arbitration Proceeding titled [[case.title]] bearing No. [[Agreement ID]]</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Ref: Hearing Notice dated [[event.First Hearing.form.Second Hearing Notice.field.Date of Issue of Notice]] issued in the above matter.</w:t>
        <w:br w:type="textWrapping"/>
        <w:br w:type="textWrapping"/>
      </w:r>
      <w:r w:rsidDel="00000000" w:rsidR="00000000" w:rsidRPr="00000000">
        <w:rPr>
          <w:rFonts w:ascii="Times New Roman" w:cs="Times New Roman" w:eastAsia="Times New Roman" w:hAnsi="Times New Roman"/>
          <w:sz w:val="18"/>
          <w:szCs w:val="18"/>
          <w:rtl w:val="0"/>
        </w:rPr>
        <w:t xml:space="preserve">The parties above-named are hereby notified that the </w:t>
      </w:r>
      <w:r w:rsidDel="00000000" w:rsidR="00000000" w:rsidRPr="00000000">
        <w:rPr>
          <w:rFonts w:ascii="Times New Roman" w:cs="Times New Roman" w:eastAsia="Times New Roman" w:hAnsi="Times New Roman"/>
          <w:b w:val="1"/>
          <w:sz w:val="18"/>
          <w:szCs w:val="18"/>
          <w:rtl w:val="0"/>
        </w:rPr>
        <w:t xml:space="preserve">First &amp; Second Hearings </w:t>
      </w:r>
      <w:r w:rsidDel="00000000" w:rsidR="00000000" w:rsidRPr="00000000">
        <w:rPr>
          <w:rFonts w:ascii="Times New Roman" w:cs="Times New Roman" w:eastAsia="Times New Roman" w:hAnsi="Times New Roman"/>
          <w:sz w:val="18"/>
          <w:szCs w:val="18"/>
          <w:rtl w:val="0"/>
        </w:rPr>
        <w:t xml:space="preserve">in the aforesaid Arbitration Proceedings were held on </w:t>
      </w:r>
      <w:r w:rsidDel="00000000" w:rsidR="00000000" w:rsidRPr="00000000">
        <w:rPr>
          <w:rFonts w:ascii="Times New Roman" w:cs="Times New Roman" w:eastAsia="Times New Roman" w:hAnsi="Times New Roman"/>
          <w:b w:val="1"/>
          <w:sz w:val="18"/>
          <w:szCs w:val="18"/>
          <w:rtl w:val="0"/>
        </w:rPr>
        <w:t xml:space="preserve">[[event.First Hearing.form.Second Hearing Notice.field.Date of Issue of Notice]] &amp; [[event.form.Daily Order.field.Date of Hearing]] </w:t>
      </w:r>
      <w:r w:rsidDel="00000000" w:rsidR="00000000" w:rsidRPr="00000000">
        <w:rPr>
          <w:rFonts w:ascii="Times New Roman" w:cs="Times New Roman" w:eastAsia="Times New Roman" w:hAnsi="Times New Roman"/>
          <w:sz w:val="18"/>
          <w:szCs w:val="18"/>
          <w:rtl w:val="0"/>
        </w:rPr>
        <w:t xml:space="preserve">respectively.</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TAKE NOTICE</w:t>
      </w:r>
      <w:r w:rsidDel="00000000" w:rsidR="00000000" w:rsidRPr="00000000">
        <w:rPr>
          <w:rFonts w:ascii="Times New Roman" w:cs="Times New Roman" w:eastAsia="Times New Roman" w:hAnsi="Times New Roman"/>
          <w:sz w:val="18"/>
          <w:szCs w:val="18"/>
          <w:rtl w:val="0"/>
        </w:rPr>
        <w:t xml:space="preserve"> that the T</w:t>
      </w:r>
      <w:r w:rsidDel="00000000" w:rsidR="00000000" w:rsidRPr="00000000">
        <w:rPr>
          <w:rFonts w:ascii="Times New Roman" w:cs="Times New Roman" w:eastAsia="Times New Roman" w:hAnsi="Times New Roman"/>
          <w:b w:val="1"/>
          <w:sz w:val="18"/>
          <w:szCs w:val="18"/>
          <w:rtl w:val="0"/>
        </w:rPr>
        <w:t xml:space="preserve">hird Hearing</w:t>
      </w:r>
      <w:r w:rsidDel="00000000" w:rsidR="00000000" w:rsidRPr="00000000">
        <w:rPr>
          <w:rFonts w:ascii="Times New Roman" w:cs="Times New Roman" w:eastAsia="Times New Roman" w:hAnsi="Times New Roman"/>
          <w:sz w:val="18"/>
          <w:szCs w:val="18"/>
          <w:rtl w:val="0"/>
        </w:rPr>
        <w:t xml:space="preserve"> is scheduled for </w:t>
      </w:r>
      <w:r w:rsidDel="00000000" w:rsidR="00000000" w:rsidRPr="00000000">
        <w:rPr>
          <w:rFonts w:ascii="Times New Roman" w:cs="Times New Roman" w:eastAsia="Times New Roman" w:hAnsi="Times New Roman"/>
          <w:b w:val="1"/>
          <w:sz w:val="18"/>
          <w:szCs w:val="18"/>
          <w:rtl w:val="0"/>
        </w:rPr>
        <w:t xml:space="preserve">[[event.form.Daily Order.field.Next Hearing Date]]</w:t>
      </w:r>
      <w:r w:rsidDel="00000000" w:rsidR="00000000" w:rsidRPr="00000000">
        <w:rPr>
          <w:rFonts w:ascii="Times New Roman" w:cs="Times New Roman" w:eastAsia="Times New Roman" w:hAnsi="Times New Roman"/>
          <w:sz w:val="18"/>
          <w:szCs w:val="18"/>
          <w:rtl w:val="0"/>
        </w:rPr>
        <w:t xml:space="preserve">, between </w:t>
      </w:r>
      <w:r w:rsidDel="00000000" w:rsidR="00000000" w:rsidRPr="00000000">
        <w:rPr>
          <w:rFonts w:ascii="Times New Roman" w:cs="Times New Roman" w:eastAsia="Times New Roman" w:hAnsi="Times New Roman"/>
          <w:b w:val="1"/>
          <w:sz w:val="18"/>
          <w:szCs w:val="18"/>
          <w:rtl w:val="0"/>
        </w:rPr>
        <w:t xml:space="preserve">11:00 AM and 05:00 PM</w:t>
      </w:r>
      <w:r w:rsidDel="00000000" w:rsidR="00000000" w:rsidRPr="00000000">
        <w:rPr>
          <w:rFonts w:ascii="Times New Roman" w:cs="Times New Roman" w:eastAsia="Times New Roman" w:hAnsi="Times New Roman"/>
          <w:sz w:val="18"/>
          <w:szCs w:val="18"/>
          <w:rtl w:val="0"/>
        </w:rPr>
        <w:t xml:space="preserve">, which shall be conducted through the designated online platform at</w:t>
      </w:r>
      <w:hyperlink r:id="rId7">
        <w:r w:rsidDel="00000000" w:rsidR="00000000" w:rsidRPr="00000000">
          <w:rPr>
            <w:rFonts w:ascii="Times New Roman" w:cs="Times New Roman" w:eastAsia="Times New Roman" w:hAnsi="Times New Roman"/>
            <w:sz w:val="18"/>
            <w:szCs w:val="18"/>
            <w:u w:val="single"/>
            <w:rtl w:val="0"/>
          </w:rPr>
          <w:t xml:space="preserve"> </w:t>
        </w:r>
      </w:hyperlink>
      <w:hyperlink r:id="rId8">
        <w:r w:rsidDel="00000000" w:rsidR="00000000" w:rsidRPr="00000000">
          <w:rPr>
            <w:rFonts w:ascii="Times New Roman" w:cs="Times New Roman" w:eastAsia="Times New Roman" w:hAnsi="Times New Roman"/>
            <w:sz w:val="18"/>
            <w:szCs w:val="18"/>
            <w:u w:val="single"/>
            <w:rtl w:val="0"/>
          </w:rPr>
          <w:t xml:space="preserve">https://arbitration.jupitice.com</w:t>
        </w:r>
      </w:hyperlink>
      <w:r w:rsidDel="00000000" w:rsidR="00000000" w:rsidRPr="00000000">
        <w:rPr>
          <w:rFonts w:ascii="Times New Roman" w:cs="Times New Roman" w:eastAsia="Times New Roman" w:hAnsi="Times New Roman"/>
          <w:sz w:val="18"/>
          <w:szCs w:val="18"/>
          <w:rtl w:val="0"/>
        </w:rPr>
        <w:t xml:space="preserve">. Accordingly, both parties are directed to appear either in person or through an authorised representative on the mentioned date and time. In the interest of justice and with a view to ensuring that the Respondent(s) is afforded a fair and reasonable opportunity of being heard, this Tribunal deems it appropriate to grant the Respondent(s) another opportunity to file their Reply on or before the next date of hearing. Failure to comply shall constrain this Tribunal to proceed with the matter based on the material and documents already placed on record.</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w:t>
      </w:r>
      <w:r w:rsidDel="00000000" w:rsidR="00000000" w:rsidRPr="00000000">
        <w:rPr>
          <w:rFonts w:ascii="Times New Roman" w:cs="Times New Roman" w:eastAsia="Times New Roman" w:hAnsi="Times New Roman"/>
          <w:b w:val="1"/>
          <w:sz w:val="18"/>
          <w:szCs w:val="18"/>
          <w:rtl w:val="0"/>
        </w:rPr>
        <w:t xml:space="preserve"> JUPITICE ODR CENTRE</w:t>
      </w:r>
      <w:r w:rsidDel="00000000" w:rsidR="00000000" w:rsidRPr="00000000">
        <w:rPr>
          <w:rFonts w:ascii="Times New Roman" w:cs="Times New Roman" w:eastAsia="Times New Roman" w:hAnsi="Times New Roman"/>
          <w:sz w:val="18"/>
          <w:szCs w:val="18"/>
          <w:rtl w:val="0"/>
        </w:rPr>
        <w:t xml:space="preserve"> shall send a copy of the hearing notice to all the parties. </w:t>
      </w:r>
    </w:p>
    <w:p w:rsidR="00000000" w:rsidDel="00000000" w:rsidP="00000000" w:rsidRDefault="00000000" w:rsidRPr="00000000" w14:paraId="00000013">
      <w:pPr>
        <w:spacing w:after="240" w:before="24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br w:type="textWrapping"/>
        <w:br w:type="textWrapping"/>
      </w:r>
      <w:r w:rsidDel="00000000" w:rsidR="00000000" w:rsidRPr="00000000">
        <w:rPr>
          <w:rFonts w:ascii="Times New Roman" w:cs="Times New Roman" w:eastAsia="Times New Roman" w:hAnsi="Times New Roman"/>
          <w:b w:val="1"/>
          <w:sz w:val="18"/>
          <w:szCs w:val="18"/>
          <w:rtl w:val="0"/>
        </w:rPr>
        <w:t xml:space="preserve">Date:  [[event.form.Second Hearing Notice.field.Date of Issue of Notice]]</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4">
      <w:pPr>
        <w:spacing w:after="240" w:before="240" w:line="240" w:lineRule="auto"/>
        <w:ind w:left="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before="240" w:line="24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[[event.Appointment of Arbitrator.form.Appointment of Arbitrator.field.Name of Appointed Arbitrator]]</w:t>
      </w:r>
    </w:p>
    <w:p w:rsidR="00000000" w:rsidDel="00000000" w:rsidP="00000000" w:rsidRDefault="00000000" w:rsidRPr="00000000" w14:paraId="00000016">
      <w:pPr>
        <w:spacing w:after="240" w:before="240" w:line="240" w:lineRule="auto"/>
        <w:ind w:left="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br w:type="textWrapping"/>
        <w:t xml:space="preserve">Note: </w:t>
      </w:r>
      <w:r w:rsidDel="00000000" w:rsidR="00000000" w:rsidRPr="00000000">
        <w:rPr>
          <w:rFonts w:ascii="Times New Roman" w:cs="Times New Roman" w:eastAsia="Times New Roman" w:hAnsi="Times New Roman"/>
          <w:sz w:val="18"/>
          <w:szCs w:val="18"/>
          <w:rtl w:val="0"/>
        </w:rPr>
        <w:t xml:space="preserve">The parties who are unable to appear in person may send their communication/statements, and documents by email to: </w:t>
      </w:r>
      <w:r w:rsidDel="00000000" w:rsidR="00000000" w:rsidRPr="00000000">
        <w:rPr>
          <w:rFonts w:ascii="Times New Roman" w:cs="Times New Roman" w:eastAsia="Times New Roman" w:hAnsi="Times New Roman"/>
          <w:color w:val="1155cc"/>
          <w:sz w:val="18"/>
          <w:szCs w:val="18"/>
          <w:u w:val="single"/>
          <w:rtl w:val="0"/>
        </w:rPr>
        <w:t xml:space="preserve">legal-team@jupitice.com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se.id" TargetMode="External"/><Relationship Id="rId7" Type="http://schemas.openxmlformats.org/officeDocument/2006/relationships/hyperlink" Target="https://arbitration.jupitice.com/" TargetMode="External"/><Relationship Id="rId8" Type="http://schemas.openxmlformats.org/officeDocument/2006/relationships/hyperlink" Target="https://arbitration.jupit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