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b/>
          <w:color w:val="C58D32"/>
          <w:sz w:val="18"/>
        </w:rPr>
        <w:t>CLAIMS WORKFLOW  /  CONCEPT DEMO</w:t>
      </w:r>
    </w:p>
    <w:p>
      <w:pPr>
        <w:pStyle w:val="Title"/>
      </w:pPr>
      <w:r>
        <w:t>Laytime &amp; Demurrage</w:t>
        <w:br/>
        <w:t>Claim Agent</w:t>
      </w:r>
    </w:p>
    <w:p>
      <w:pPr>
        <w:spacing w:after="240"/>
      </w:pPr>
      <w:r>
        <w:rPr>
          <w:color w:val="5B6C73"/>
          <w:sz w:val="28"/>
        </w:rPr>
        <w:t>A document-driven assistant for preparing reviewable, evidence-linked laytime statements and draft claims.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AF3F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23343B"/>
                <w:sz w:val="22"/>
              </w:rPr>
              <w:t>IN ONE SENTENCE</w:t>
              <w:br/>
              <w:t>The app brings voyage documents together, checks contractual terms and operational evidence, calculates laytime with deterministic code, and pauses for a claims professional to review before drafting a claim letter.</w:t>
            </w:r>
          </w:p>
        </w:tc>
      </w:tr>
    </w:tbl>
    <w:p>
      <w:pPr>
        <w:pStyle w:val="Heading1"/>
      </w:pPr>
      <w:r>
        <w:t>Why it exists</w:t>
      </w:r>
    </w:p>
    <w:p>
      <w:r>
        <w:t>Laytime claims require analysts to reconcile charter-party clauses and amendments with Notices of Readiness (NORs), Statements of Facts (SOFs), weather records and supporting evidence. The agent organizes that work into a traceable sequence, flags conflicts, and produces a draft with source references for human review.</w:t>
      </w:r>
    </w:p>
    <w:p>
      <w:pPr>
        <w:pStyle w:val="Heading1"/>
      </w:pPr>
      <w:r>
        <w:t>Typical user journey</w:t>
      </w:r>
    </w:p>
    <w:p>
      <w:pPr>
        <w:pStyle w:val="ListNumber"/>
        <w:spacing w:after="40"/>
      </w:pPr>
      <w:r>
        <w:t>Upload case documents in the Streamlit sidebar, or select an already-ingested case.</w:t>
      </w:r>
    </w:p>
    <w:p>
      <w:pPr>
        <w:pStyle w:val="ListNumber"/>
        <w:spacing w:after="40"/>
      </w:pPr>
      <w:r>
        <w:t>Run the agent. It extracts events and terms, searches contract evidence, resolves conflicts, and calculates the statement.</w:t>
      </w:r>
    </w:p>
    <w:p>
      <w:pPr>
        <w:pStyle w:val="ListNumber"/>
        <w:spacing w:after="40"/>
      </w:pPr>
      <w:r>
        <w:t>Review the agent trace, laytime statement, terms and sources, and evidence tabs.</w:t>
      </w:r>
    </w:p>
    <w:p>
      <w:pPr>
        <w:pStyle w:val="ListNumber"/>
        <w:spacing w:after="40"/>
      </w:pPr>
      <w:r>
        <w:t>Approve or reject at the mandatory checkpoint. Approval resumes the workflow and generates the cited draft claim letter and downloadable statement.</w:t>
      </w:r>
    </w:p>
    <w:p>
      <w:r>
        <w:rPr>
          <w:b/>
        </w:rPr>
        <w:t xml:space="preserve">Current demo state: </w:t>
      </w:r>
      <w:r>
        <w:t>The app runs locally at http://localhost:8501 and uses synthetic sample cases. Mock mode works without provider credentials; real LLM use is optional and requires a key configured locally, not in this document or chat.</w:t>
      </w:r>
    </w:p>
    <w:p>
      <w:r>
        <w:br w:type="page"/>
      </w:r>
    </w:p>
    <w:p>
      <w:pPr>
        <w:pStyle w:val="Heading1"/>
      </w:pPr>
      <w:r>
        <w:t>How the agent works</w:t>
      </w:r>
    </w:p>
    <w:p>
      <w:r>
        <w:t>The workflow is deliberately multi-step. It retrieves and grades contract evidence, validates operational facts, and uses bounded repair loops instead of relying on a single generated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883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88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C73"/>
          <w:sz w:val="16"/>
        </w:rPr>
        <w:t>Figure 1. Agent workflow and supporting services (project architecture diagram).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center"/>
            <w:shd w:fill="18323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997"/>
            <w:vAlign w:val="center"/>
            <w:shd w:fill="18323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Plan and extract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Build a case checklist; read NOR/SOF details, documents and available image evidence.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Retrieve and grade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Search contract clauses and assess whether they are binding, applicable, and authoritative. Recaps and riders can take precedence over printed terms.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Validate and calculate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Check NOR validity, timing, weather and other evidence; calculate laytime and demurrage/despatch in deterministic code.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Verify and approve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Independently check totals and citations, then pause for a person to approve or reject before drafting.</w:t>
            </w:r>
          </w:p>
        </w:tc>
      </w:tr>
    </w:tbl>
    <w:p>
      <w:r>
        <w:br w:type="page"/>
      </w:r>
    </w:p>
    <w:p>
      <w:pPr>
        <w:pStyle w:val="Heading1"/>
      </w:pPr>
      <w:r>
        <w:t>Checks, corrections and human control</w:t>
      </w:r>
    </w:p>
    <w:p>
      <w:r>
        <w:t>Three bounded self-correction loops help the agent respond to common failure modes:</w:t>
      </w:r>
    </w:p>
    <w:p>
      <w:pPr>
        <w:spacing w:after="80"/>
      </w:pPr>
      <w:r>
        <w:rPr>
          <w:b/>
          <w:color w:val="087F73"/>
        </w:rPr>
        <w:t xml:space="preserve">A  Retrieval retry: </w:t>
      </w:r>
      <w:r>
        <w:t>If a retrieved clause is weak or irrelevant, revise the search query and try again.</w:t>
      </w:r>
    </w:p>
    <w:p>
      <w:pPr>
        <w:spacing w:after="80"/>
      </w:pPr>
      <w:r>
        <w:rPr>
          <w:b/>
          <w:color w:val="087F73"/>
        </w:rPr>
        <w:t xml:space="preserve">B  Evidence re-read: </w:t>
      </w:r>
      <w:r>
        <w:t>If sources disagree, re-read independent evidence such as weather logs, a signed scan, deck records or AIS imagery; correct or flag the conflict.</w:t>
      </w:r>
    </w:p>
    <w:p>
      <w:pPr>
        <w:spacing w:after="80"/>
      </w:pPr>
      <w:r>
        <w:rPr>
          <w:b/>
          <w:color w:val="087F73"/>
        </w:rPr>
        <w:t xml:space="preserve">C  Calculation verification: </w:t>
      </w:r>
      <w:r>
        <w:t>If independent arithmetic or citation checks fail, route the case back for repair.</w:t>
      </w:r>
    </w:p>
    <w:p>
      <w:r>
        <w:rPr>
          <w:b/>
        </w:rPr>
        <w:t xml:space="preserve">Human approval is a control, not an optional suggestion. </w:t>
      </w:r>
      <w:r>
        <w:t>In the normal workflow, the letter is not drafted until an authorized user approves the calculated statement. A user can reject the run instead.</w:t>
      </w:r>
    </w:p>
    <w:p>
      <w:pPr>
        <w:pStyle w:val="Heading2"/>
      </w:pPr>
      <w:r>
        <w:t>What the reviewer sees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i/>
          <w:color w:val="5B6C73"/>
          <w:sz w:val="16"/>
        </w:rPr>
        <w:t>Figure 2. Sample Case C review checkpoint. This is a sample approval screen; the current UI also includes case document upload in the sidebar.</w:t>
      </w:r>
    </w:p>
    <w:p>
      <w:r>
        <w:br w:type="page"/>
      </w:r>
    </w:p>
    <w:p>
      <w:pPr>
        <w:pStyle w:val="Heading1"/>
      </w:pPr>
      <w:r>
        <w:t>Outputs and operating model</w:t>
      </w:r>
    </w:p>
    <w:p>
      <w:pPr>
        <w:pStyle w:val="ListBullet"/>
        <w:spacing w:after="40"/>
      </w:pPr>
      <w:r>
        <w:t>Laytime statement with commencement/expiry, counted and excluded periods, deductions, evidence and contract references.</w:t>
      </w:r>
    </w:p>
    <w:p>
      <w:pPr>
        <w:pStyle w:val="ListBullet"/>
        <w:spacing w:after="40"/>
      </w:pPr>
      <w:r>
        <w:t>Draft claim letter with cited supporting clauses and evidence; downloadable as Markdown.</w:t>
      </w:r>
    </w:p>
    <w:p>
      <w:pPr>
        <w:pStyle w:val="ListBullet"/>
        <w:spacing w:after="40"/>
      </w:pPr>
      <w:r>
        <w:t>CSV laytime statement for review and downstream handling.</w:t>
      </w:r>
    </w:p>
    <w:p>
      <w:pPr>
        <w:pStyle w:val="ListBullet"/>
        <w:spacing w:after="40"/>
      </w:pPr>
      <w:r>
        <w:t>Run trace, checkpoint state and lessons retained in local project storage for audit and future recall.</w:t>
      </w:r>
    </w:p>
    <w:p>
      <w:pPr>
        <w:pStyle w:val="Heading1"/>
      </w:pPr>
      <w:r>
        <w:t>What is in the current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Interface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Streamlit UI and a separate FastAPI REST API.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Local case data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Uploaded and sample documents are stored in case folders; SQLite holds structured records and Chroma indexes searchable contract chunks.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LLM options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Mock/offline heuristics by default; Anthropic, OpenAI and Azure OpenAI can be configured with locally stored credentials.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vAlign w:val="center"/>
            <w:shd w:fill="EAF3F1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087F73"/>
                <w:sz w:val="18"/>
              </w:rPr>
              <w:t>Demo data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23343B"/>
                <w:sz w:val="18"/>
              </w:rPr>
              <w:t>Three fictional cases and related reference data. Example benchmark results in the project plan are from the synthetic evaluation, not a guarantee for live claims.</w:t>
            </w:r>
          </w:p>
        </w:tc>
      </w:tr>
    </w:tbl>
    <w:p>
      <w:pPr>
        <w:pStyle w:val="Heading1"/>
      </w:pPr>
      <w:r>
        <w:t>Important boundaries before stakeholder or production use</w:t>
      </w:r>
    </w:p>
    <w:p>
      <w:pPr>
        <w:pStyle w:val="ListBullet"/>
        <w:spacing w:after="40"/>
      </w:pPr>
      <w:r>
        <w:t>The current deployment is local to the developer machine; localhost is not a stakeholder-hosted service. A shared deployment needs an approved hosting environment and identity/access controls.</w:t>
      </w:r>
    </w:p>
    <w:p>
      <w:pPr>
        <w:pStyle w:val="ListBullet"/>
        <w:spacing w:after="40"/>
      </w:pPr>
      <w:r>
        <w:t>The prototype uses local SQLite and Chroma. Production needs an agreed data platform, backup/retention policy, access boundaries and audit ownership.</w:t>
      </w:r>
    </w:p>
    <w:p>
      <w:pPr>
        <w:pStyle w:val="ListBullet"/>
        <w:spacing w:after="40"/>
      </w:pPr>
      <w:r>
        <w:t>Scanned or unusual PDF layouts may require OCR or extraction tuning. Uploaded documents should be checked for completeness and legibility; reviewers remain responsible for the claim decision.</w:t>
      </w:r>
    </w:p>
    <w:p>
      <w:pPr>
        <w:pStyle w:val="ListBullet"/>
        <w:spacing w:after="40"/>
      </w:pPr>
      <w:r>
        <w:t>Real LLM provider keys must be managed as secrets in the deployment environment. Never embed API keys in documents, source control or stakeholder materials.</w:t>
      </w:r>
    </w:p>
    <w:p>
      <w:pPr>
        <w:spacing w:before="160"/>
      </w:pPr>
      <w:r>
        <w:rPr>
          <w:b/>
        </w:rPr>
        <w:t xml:space="preserve">Suggested next step: </w:t>
      </w:r>
      <w:r>
        <w:t>Run a controlled pilot with a small set of approved, non-sensitive cases; compare outputs with analyst-reviewed calculations; then confirm hosting, security, data retention and integration requirements before broader rollout.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C73"/>
        <w:sz w:val="16"/>
      </w:rPr>
      <w:t xml:space="preserve">Stakeholder overview  |  02 October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87F73"/>
        <w:sz w:val="16"/>
      </w:rPr>
      <w:t>LAYTIME &amp; DEMURRAGE CLAIM AGENT  /  STAKEHOLDER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3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3E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