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2B4C"/>
          <w:sz w:val="34"/>
        </w:rPr>
        <w:t>Phase 1 Review Report — CortexHR AI/ML Employee Attrition</w:t>
      </w:r>
    </w:p>
    <w:p>
      <w:pPr>
        <w:spacing w:after="160"/>
      </w:pPr>
      <w:r>
        <w:rPr>
          <w:b/>
          <w:color w:val="2B6CB0"/>
          <w:sz w:val="20"/>
        </w:rPr>
        <w:t>Undergraduate Technical Review | B.Tech Computer Science | CortexHR Project</w:t>
      </w:r>
    </w:p>
    <w:tbl>
      <w:tblPr>
        <w:tblW w:type="auto" w:w="0"/>
        <w:jc w:val="center"/>
        <w:tblLook w:firstColumn="1" w:firstRow="1" w:lastColumn="0" w:lastRow="0" w:noHBand="0" w:noVBand="1" w:val="04A0"/>
      </w:tblPr>
      <w:tblGrid>
        <w:gridCol w:w="2664"/>
        <w:gridCol w:w="2664"/>
        <w:gridCol w:w="2664"/>
        <w:gridCol w:w="2664"/>
      </w:tblGrid>
      <w:tr>
        <w:tc>
          <w:tcPr>
            <w:tcW w:type="dxa" w:w="2664"/>
            <w:shd w:val="clear" w:color="auto" w:fill="F7FAFC"/>
          </w:tcPr>
          <w:p>
            <w:pPr>
              <w:spacing w:after="20" w:before="20"/>
            </w:pPr>
            <w:r>
              <w:rPr>
                <w:b/>
                <w:color w:val="1A2B4C"/>
                <w:sz w:val="16"/>
              </w:rPr>
              <w:t>Student Name:</w:t>
            </w:r>
          </w:p>
        </w:tc>
        <w:tc>
          <w:tcPr>
            <w:tcW w:type="dxa" w:w="2664"/>
            <w:shd w:val="clear" w:color="auto" w:fill="F7FAFC"/>
          </w:tcPr>
          <w:p>
            <w:pPr>
              <w:spacing w:after="20" w:before="20"/>
            </w:pPr>
            <w:r>
              <w:rPr>
                <w:sz w:val="16"/>
              </w:rPr>
              <w:t>Dikshit Kumar</w:t>
            </w:r>
          </w:p>
        </w:tc>
        <w:tc>
          <w:tcPr>
            <w:tcW w:type="dxa" w:w="2664"/>
            <w:shd w:val="clear" w:color="auto" w:fill="F7FAFC"/>
          </w:tcPr>
          <w:p>
            <w:pPr>
              <w:spacing w:after="20" w:before="20"/>
            </w:pPr>
            <w:r>
              <w:rPr>
                <w:b/>
                <w:color w:val="1A2B4C"/>
                <w:sz w:val="16"/>
              </w:rPr>
              <w:t>Track / Phase:</w:t>
            </w:r>
          </w:p>
        </w:tc>
        <w:tc>
          <w:tcPr>
            <w:tcW w:type="dxa" w:w="2664"/>
            <w:shd w:val="clear" w:color="auto" w:fill="F7FAFC"/>
          </w:tcPr>
          <w:p>
            <w:pPr>
              <w:spacing w:after="20" w:before="20"/>
            </w:pPr>
            <w:r>
              <w:rPr>
                <w:sz w:val="16"/>
              </w:rPr>
              <w:t>AI/ML | Phase 1</w:t>
            </w:r>
          </w:p>
        </w:tc>
      </w:tr>
      <w:tr>
        <w:tc>
          <w:tcPr>
            <w:tcW w:type="dxa" w:w="2664"/>
            <w:shd w:val="clear" w:color="auto" w:fill="F7FAFC"/>
          </w:tcPr>
          <w:p>
            <w:pPr>
              <w:spacing w:after="20" w:before="20"/>
            </w:pPr>
            <w:r>
              <w:rPr>
                <w:b/>
                <w:color w:val="1A2B4C"/>
                <w:sz w:val="16"/>
              </w:rPr>
              <w:t>Project:</w:t>
            </w:r>
          </w:p>
        </w:tc>
        <w:tc>
          <w:tcPr>
            <w:tcW w:type="dxa" w:w="2664"/>
            <w:shd w:val="clear" w:color="auto" w:fill="F7FAFC"/>
          </w:tcPr>
          <w:p>
            <w:pPr>
              <w:spacing w:after="20" w:before="20"/>
            </w:pPr>
            <w:r>
              <w:rPr>
                <w:sz w:val="16"/>
              </w:rPr>
              <w:t>CortexHR AI/ML — Employee Attrition</w:t>
            </w:r>
          </w:p>
        </w:tc>
        <w:tc>
          <w:tcPr>
            <w:tcW w:type="dxa" w:w="2664"/>
            <w:shd w:val="clear" w:color="auto" w:fill="F7FAFC"/>
          </w:tcPr>
          <w:p>
            <w:pPr>
              <w:spacing w:after="20" w:before="20"/>
            </w:pPr>
            <w:r>
              <w:rPr>
                <w:b/>
                <w:color w:val="1A2B4C"/>
                <w:sz w:val="16"/>
              </w:rPr>
              <w:t>Git Branch:</w:t>
            </w:r>
          </w:p>
        </w:tc>
        <w:tc>
          <w:tcPr>
            <w:tcW w:type="dxa" w:w="2664"/>
            <w:shd w:val="clear" w:color="auto" w:fill="F7FAFC"/>
          </w:tcPr>
          <w:p>
            <w:pPr>
              <w:spacing w:after="20" w:before="20"/>
            </w:pPr>
            <w:r>
              <w:rPr>
                <w:sz w:val="16"/>
              </w:rPr>
              <w:t>master (Tag: pending)</w:t>
            </w:r>
          </w:p>
        </w:tc>
      </w:tr>
      <w:tr>
        <w:tc>
          <w:tcPr>
            <w:tcW w:type="dxa" w:w="2664"/>
            <w:shd w:val="clear" w:color="auto" w:fill="F7FAFC"/>
          </w:tcPr>
          <w:p>
            <w:pPr>
              <w:spacing w:after="20" w:before="20"/>
            </w:pPr>
            <w:r>
              <w:rPr>
                <w:b/>
                <w:color w:val="1A2B4C"/>
                <w:sz w:val="16"/>
              </w:rPr>
              <w:t>Repository:</w:t>
            </w:r>
          </w:p>
        </w:tc>
        <w:tc>
          <w:tcPr>
            <w:tcW w:type="dxa" w:w="2664"/>
            <w:shd w:val="clear" w:color="auto" w:fill="F7FAFC"/>
          </w:tcPr>
          <w:p>
            <w:pPr>
              <w:spacing w:after="20" w:before="20"/>
            </w:pPr>
            <w:r>
              <w:rPr>
                <w:sz w:val="16"/>
              </w:rPr>
              <w:t>https://github.com/dikshit0012/CortexHR-.git</w:t>
            </w:r>
          </w:p>
        </w:tc>
        <w:tc>
          <w:tcPr>
            <w:tcW w:type="dxa" w:w="2664"/>
            <w:shd w:val="clear" w:color="auto" w:fill="F7FAFC"/>
          </w:tcPr>
          <w:p>
            <w:pPr>
              <w:spacing w:after="20" w:before="20"/>
            </w:pPr>
            <w:r>
              <w:rPr>
                <w:b/>
                <w:color w:val="1A2B4C"/>
                <w:sz w:val="16"/>
              </w:rPr>
              <w:t>Evaluation:</w:t>
            </w:r>
          </w:p>
        </w:tc>
        <w:tc>
          <w:tcPr>
            <w:tcW w:type="dxa" w:w="2664"/>
            <w:shd w:val="clear" w:color="auto" w:fill="F7FAFC"/>
          </w:tcPr>
          <w:p>
            <w:pPr>
              <w:spacing w:after="20" w:before="20"/>
            </w:pPr>
            <w:r>
              <w:rPr>
                <w:sz w:val="16"/>
              </w:rPr>
              <w:t>Labels strictly sealed during training</w:t>
            </w:r>
          </w:p>
        </w:tc>
      </w:tr>
    </w:tbl>
    <w:p>
      <w:pPr>
        <w:spacing w:after="80"/>
      </w:pPr>
    </w:p>
    <w:p>
      <w:pPr>
        <w:pStyle w:val="Heading1"/>
        <w:spacing w:before="120" w:after="80"/>
      </w:pPr>
      <w:r>
        <w:rPr>
          <w:color w:val="1A2B4C"/>
          <w:sz w:val="24"/>
        </w:rPr>
        <w:t>1. Summary of Phase 1 Tasks</w:t>
      </w:r>
    </w:p>
    <w:tbl>
      <w:tblPr>
        <w:tblW w:type="auto" w:w="0"/>
        <w:jc w:val="center"/>
        <w:tblLook w:firstColumn="1" w:firstRow="1" w:lastColumn="0" w:lastRow="0" w:noHBand="0" w:noVBand="1" w:val="04A0"/>
      </w:tblPr>
      <w:tblGrid>
        <w:gridCol w:w="2664"/>
        <w:gridCol w:w="2664"/>
        <w:gridCol w:w="2664"/>
        <w:gridCol w:w="2664"/>
      </w:tblGrid>
      <w:tr>
        <w:tc>
          <w:tcPr>
            <w:tcW w:type="dxa" w:w="2664"/>
            <w:shd w:val="clear" w:color="auto" w:fill="1A2B4C"/>
          </w:tcPr>
          <w:p>
            <w:r>
              <w:rPr>
                <w:b/>
                <w:color w:val="FFFFFF"/>
                <w:sz w:val="16"/>
              </w:rPr>
              <w:t>Task</w:t>
            </w:r>
          </w:p>
        </w:tc>
        <w:tc>
          <w:tcPr>
            <w:tcW w:type="dxa" w:w="2664"/>
            <w:shd w:val="clear" w:color="auto" w:fill="1A2B4C"/>
          </w:tcPr>
          <w:p>
            <w:r>
              <w:rPr>
                <w:b/>
                <w:color w:val="FFFFFF"/>
                <w:sz w:val="16"/>
              </w:rPr>
              <w:t>Status</w:t>
            </w:r>
          </w:p>
        </w:tc>
        <w:tc>
          <w:tcPr>
            <w:tcW w:type="dxa" w:w="2664"/>
            <w:shd w:val="clear" w:color="auto" w:fill="1A2B4C"/>
          </w:tcPr>
          <w:p>
            <w:r>
              <w:rPr>
                <w:b/>
                <w:color w:val="FFFFFF"/>
                <w:sz w:val="16"/>
              </w:rPr>
              <w:t>What I Worked On</w:t>
            </w:r>
          </w:p>
        </w:tc>
        <w:tc>
          <w:tcPr>
            <w:tcW w:type="dxa" w:w="2664"/>
            <w:shd w:val="clear" w:color="auto" w:fill="1A2B4C"/>
          </w:tcPr>
          <w:p>
            <w:r>
              <w:rPr>
                <w:b/>
                <w:color w:val="FFFFFF"/>
                <w:sz w:val="16"/>
              </w:rPr>
              <w:t>Verified Evidence</w:t>
            </w:r>
          </w:p>
        </w:tc>
      </w:tr>
      <w:tr>
        <w:tc>
          <w:tcPr>
            <w:tcW w:type="dxa" w:w="2664"/>
            <w:shd w:val="clear" w:color="auto" w:fill="FFFFFF"/>
          </w:tcPr>
          <w:p>
            <w:pPr>
              <w:spacing w:after="40" w:before="40"/>
            </w:pPr>
            <w:r>
              <w:rPr>
                <w:b/>
                <w:sz w:val="16"/>
              </w:rPr>
              <w:t>Task 1: Data Audit &amp; Exploration</w:t>
            </w:r>
          </w:p>
        </w:tc>
        <w:tc>
          <w:tcPr>
            <w:tcW w:type="dxa" w:w="2664"/>
            <w:shd w:val="clear" w:color="auto" w:fill="FFFFFF"/>
          </w:tcPr>
          <w:p>
            <w:pPr>
              <w:spacing w:after="40" w:before="40"/>
            </w:pPr>
            <w:r>
              <w:rPr>
                <w:b/>
                <w:color w:val="0D6832"/>
                <w:sz w:val="16"/>
              </w:rPr>
              <w:t>Complete &amp; Tested</w:t>
            </w:r>
          </w:p>
        </w:tc>
        <w:tc>
          <w:tcPr>
            <w:tcW w:type="dxa" w:w="2664"/>
            <w:shd w:val="clear" w:color="auto" w:fill="FFFFFF"/>
          </w:tcPr>
          <w:p>
            <w:pPr>
              <w:spacing w:after="40" w:before="40"/>
            </w:pPr>
            <w:r>
              <w:rPr>
                <w:sz w:val="16"/>
              </w:rPr>
              <w:t>Explored raw dataset (2,389 rows, 42 columns). Detected 6 duplicate rows, 4 negative tenure errors, and 6 severe target leakage columns (resignation date, exit reason, etc.). Assessed class imbalance (14.7% attrition rate).</w:t>
            </w:r>
          </w:p>
        </w:tc>
        <w:tc>
          <w:tcPr>
            <w:tcW w:type="dxa" w:w="2664"/>
            <w:shd w:val="clear" w:color="auto" w:fill="FFFFFF"/>
          </w:tcPr>
          <w:p>
            <w:pPr>
              <w:spacing w:after="40" w:before="40"/>
            </w:pPr>
            <w:r>
              <w:rPr>
                <w:sz w:val="16"/>
              </w:rPr>
              <w:t>Task 1/cortexhr-ml/reports/findings.json; Task1_Data_Audit_Report.pdf</w:t>
            </w:r>
          </w:p>
        </w:tc>
      </w:tr>
      <w:tr>
        <w:tc>
          <w:tcPr>
            <w:tcW w:type="dxa" w:w="2664"/>
            <w:shd w:val="clear" w:color="auto" w:fill="F8FAFC"/>
          </w:tcPr>
          <w:p>
            <w:pPr>
              <w:spacing w:after="40" w:before="40"/>
            </w:pPr>
            <w:r>
              <w:rPr>
                <w:b/>
                <w:sz w:val="16"/>
              </w:rPr>
              <w:t>Task 2: Reusable Feature Pipeline</w:t>
            </w:r>
          </w:p>
        </w:tc>
        <w:tc>
          <w:tcPr>
            <w:tcW w:type="dxa" w:w="2664"/>
            <w:shd w:val="clear" w:color="auto" w:fill="F8FAFC"/>
          </w:tcPr>
          <w:p>
            <w:pPr>
              <w:spacing w:after="40" w:before="40"/>
            </w:pPr>
            <w:r>
              <w:rPr>
                <w:b/>
                <w:color w:val="0D6832"/>
                <w:sz w:val="16"/>
              </w:rPr>
              <w:t>Complete &amp; Tested</w:t>
            </w:r>
          </w:p>
        </w:tc>
        <w:tc>
          <w:tcPr>
            <w:tcW w:type="dxa" w:w="2664"/>
            <w:shd w:val="clear" w:color="auto" w:fill="F8FAFC"/>
          </w:tcPr>
          <w:p>
            <w:pPr>
              <w:spacing w:after="40" w:before="40"/>
            </w:pPr>
            <w:r>
              <w:rPr>
                <w:sz w:val="16"/>
              </w:rPr>
              <w:t>Engineered clean scikit-learn ColumnTransformer pipeline. Dropped duplicates and invalid tenure rows to yield 2,379 clean employee records. Joined 3-month rolling attendance/payroll aggregates strictly inside cross-validation folds.</w:t>
            </w:r>
          </w:p>
        </w:tc>
        <w:tc>
          <w:tcPr>
            <w:tcW w:type="dxa" w:w="2664"/>
            <w:shd w:val="clear" w:color="auto" w:fill="F8FAFC"/>
          </w:tcPr>
          <w:p>
            <w:pPr>
              <w:spacing w:after="40" w:before="40"/>
            </w:pPr>
            <w:r>
              <w:rPr>
                <w:sz w:val="16"/>
              </w:rPr>
              <w:t>task 2/files/extracted/cortexhr-ml-task5/reports/tables/day2_pipeline_run.json; src/cortexhr/features.py</w:t>
            </w:r>
          </w:p>
        </w:tc>
      </w:tr>
      <w:tr>
        <w:tc>
          <w:tcPr>
            <w:tcW w:type="dxa" w:w="2664"/>
            <w:shd w:val="clear" w:color="auto" w:fill="FFFFFF"/>
          </w:tcPr>
          <w:p>
            <w:pPr>
              <w:spacing w:after="40" w:before="40"/>
            </w:pPr>
            <w:r>
              <w:rPr>
                <w:b/>
                <w:sz w:val="16"/>
              </w:rPr>
              <w:t>Task 3: Train Honest Baselines</w:t>
            </w:r>
          </w:p>
        </w:tc>
        <w:tc>
          <w:tcPr>
            <w:tcW w:type="dxa" w:w="2664"/>
            <w:shd w:val="clear" w:color="auto" w:fill="FFFFFF"/>
          </w:tcPr>
          <w:p>
            <w:pPr>
              <w:spacing w:after="40" w:before="40"/>
            </w:pPr>
            <w:r>
              <w:rPr>
                <w:b/>
                <w:color w:val="0D6832"/>
                <w:sz w:val="16"/>
              </w:rPr>
              <w:t>Complete &amp; Tested</w:t>
            </w:r>
          </w:p>
        </w:tc>
        <w:tc>
          <w:tcPr>
            <w:tcW w:type="dxa" w:w="2664"/>
            <w:shd w:val="clear" w:color="auto" w:fill="FFFFFF"/>
          </w:tcPr>
          <w:p>
            <w:pPr>
              <w:spacing w:after="40" w:before="40"/>
            </w:pPr>
            <w:r>
              <w:rPr>
                <w:sz w:val="16"/>
              </w:rPr>
              <w:t>Trained baseline models using 5-fold stratified CV: Dummy (always stays), balanced Logistic Regression, and Decision Trees. Validated accuracy paradox under class imbalance and diagnosed severe decision tree overfitting.</w:t>
            </w:r>
          </w:p>
        </w:tc>
        <w:tc>
          <w:tcPr>
            <w:tcW w:type="dxa" w:w="2664"/>
            <w:shd w:val="clear" w:color="auto" w:fill="FFFFFF"/>
          </w:tcPr>
          <w:p>
            <w:pPr>
              <w:spacing w:after="40" w:before="40"/>
            </w:pPr>
            <w:r>
              <w:rPr>
                <w:sz w:val="16"/>
              </w:rPr>
              <w:t>task 4/files/cortexhr-ml/reports/tables/day3_baseline_comparison.csv; reports/day3_baselines.md; ROC-AUC: 0.712 vs 0.713 benchmark (2,379 real rows — not the 2,400-row synthetic stand-in)</w:t>
            </w:r>
          </w:p>
        </w:tc>
      </w:tr>
      <w:tr>
        <w:tc>
          <w:tcPr>
            <w:tcW w:type="dxa" w:w="2664"/>
            <w:shd w:val="clear" w:color="auto" w:fill="F8FAFC"/>
          </w:tcPr>
          <w:p>
            <w:pPr>
              <w:spacing w:after="40" w:before="40"/>
            </w:pPr>
            <w:r>
              <w:rPr>
                <w:b/>
                <w:sz w:val="16"/>
              </w:rPr>
              <w:t>Task 4: Evaluation &amp; Risk Bands</w:t>
            </w:r>
          </w:p>
        </w:tc>
        <w:tc>
          <w:tcPr>
            <w:tcW w:type="dxa" w:w="2664"/>
            <w:shd w:val="clear" w:color="auto" w:fill="F8FAFC"/>
          </w:tcPr>
          <w:p>
            <w:pPr>
              <w:spacing w:after="40" w:before="40"/>
            </w:pPr>
            <w:r>
              <w:rPr>
                <w:b/>
                <w:color w:val="0D6832"/>
                <w:sz w:val="16"/>
              </w:rPr>
              <w:t>Complete &amp; Tested</w:t>
            </w:r>
          </w:p>
        </w:tc>
        <w:tc>
          <w:tcPr>
            <w:tcW w:type="dxa" w:w="2664"/>
            <w:shd w:val="clear" w:color="auto" w:fill="F8FAFC"/>
          </w:tcPr>
          <w:p>
            <w:pPr>
              <w:spacing w:after="40" w:before="40"/>
            </w:pPr>
            <w:r>
              <w:rPr>
                <w:sz w:val="16"/>
              </w:rPr>
              <w:t>Evaluated out-of-fold predictions. Calibrated probabilities with sigmoid scaling (Brier score 0.206 -&gt; 0.116). Calculated top-decile lift (2.26x) and defined 3 actionable operational risk bands (High, Medium, Low). Authored executive summary.</w:t>
            </w:r>
          </w:p>
        </w:tc>
        <w:tc>
          <w:tcPr>
            <w:tcW w:type="dxa" w:w="2664"/>
            <w:shd w:val="clear" w:color="auto" w:fill="F8FAFC"/>
          </w:tcPr>
          <w:p>
            <w:pPr>
              <w:spacing w:after="40" w:before="40"/>
            </w:pPr>
            <w:r>
              <w:rPr>
                <w:sz w:val="16"/>
              </w:rPr>
              <w:t>task 4/files/day4_metrics_table.csv; task 4/files/Day4_Manager_Note.pdf; 29 unit tests passing</w:t>
            </w:r>
          </w:p>
        </w:tc>
      </w:tr>
      <w:tr>
        <w:tc>
          <w:tcPr>
            <w:tcW w:type="dxa" w:w="2664"/>
            <w:shd w:val="clear" w:color="auto" w:fill="FFFFFF"/>
          </w:tcPr>
          <w:p>
            <w:pPr>
              <w:spacing w:after="40" w:before="40"/>
            </w:pPr>
            <w:r>
              <w:rPr>
                <w:b/>
                <w:sz w:val="16"/>
              </w:rPr>
              <w:t>Task 5: Unsupervised Attendance Anomaly Detector</w:t>
            </w:r>
          </w:p>
        </w:tc>
        <w:tc>
          <w:tcPr>
            <w:tcW w:type="dxa" w:w="2664"/>
            <w:shd w:val="clear" w:color="auto" w:fill="FFFFFF"/>
          </w:tcPr>
          <w:p>
            <w:pPr>
              <w:spacing w:after="40" w:before="40"/>
            </w:pPr>
            <w:r>
              <w:rPr>
                <w:b/>
                <w:color w:val="0D6832"/>
                <w:sz w:val="16"/>
              </w:rPr>
              <w:t>Complete &amp; Tested</w:t>
            </w:r>
          </w:p>
        </w:tc>
        <w:tc>
          <w:tcPr>
            <w:tcW w:type="dxa" w:w="2664"/>
            <w:shd w:val="clear" w:color="auto" w:fill="FFFFFF"/>
          </w:tcPr>
          <w:p>
            <w:pPr>
              <w:spacing w:after="40" w:before="40"/>
            </w:pPr>
            <w:r>
              <w:rPr>
                <w:sz w:val="16"/>
              </w:rPr>
              <w:t>Trained Isolation Forest (3% contamination) on 7,339 employee-months without labels. Combined with domain rules (unexcused absence, impossible hours). Measured against hidden labels using catch_rate(). Built HR priority tiers.</w:t>
            </w:r>
          </w:p>
        </w:tc>
        <w:tc>
          <w:tcPr>
            <w:tcW w:type="dxa" w:w="2664"/>
            <w:shd w:val="clear" w:color="auto" w:fill="FFFFFF"/>
          </w:tcPr>
          <w:p>
            <w:pPr>
              <w:spacing w:after="40" w:before="40"/>
            </w:pPr>
            <w:r>
              <w:rPr>
                <w:sz w:val="16"/>
              </w:rPr>
              <w:t>task 5/reports/task5_metrics.csv; task 5/reports/task5_missed_anomalies.csv; 14/14 unit tests passing</w:t>
            </w:r>
          </w:p>
        </w:tc>
      </w:tr>
    </w:tbl>
    <w:p>
      <w:pPr>
        <w:pStyle w:val="Heading1"/>
        <w:spacing w:before="160" w:after="80"/>
      </w:pPr>
      <w:r>
        <w:rPr>
          <w:color w:val="1A2B4C"/>
          <w:sz w:val="24"/>
        </w:rPr>
        <w:t>2. Proof That the Work Runs &amp; Verified Metrics</w:t>
      </w:r>
    </w:p>
    <w:p>
      <w:pPr>
        <w:spacing w:after="80"/>
      </w:pPr>
      <w:r>
        <w:t>All code, unit tests, and validation scripts were executed against real project data. No benchmark figures were copied as my own.</w:t>
      </w:r>
    </w:p>
    <w:p>
      <w:pPr>
        <w:pStyle w:val="Heading2"/>
      </w:pPr>
      <w:r>
        <w:t>A. Data Audit &amp; Feature Pipeline (Tasks 1 &amp; 2)</w:t>
      </w:r>
    </w:p>
    <w:p>
      <w:pPr>
        <w:spacing w:after="80"/>
      </w:pPr>
      <w:r>
        <w:t>• Dataset Intake: 2,389 raw rows; dropped 6 duplicates (6 dropped (EMP-0060, EMP-0237, EMP-0238, EMP-0325, EMP-0483, EMP-0570)) and 4 negative tenure errors (4 dropped (EMP-0248, EMP-0280, EMP-0568, EMP-0596)).</w:t>
        <w:br/>
      </w:r>
      <w:r>
        <w:t>• Target Leakage: Dropped 6 exit-related columns (6 columns excluded (resignation_date, exit_date, exit_reason, etc.)) preventing false 100% accuracy.</w:t>
        <w:br/>
      </w:r>
      <w:r>
        <w:t>• Pipeline Output: 2,379 clean records (349 leavers, 14.67% base prevalence). Engineered rolling 3-month attendance aggregates joined strictly inside CV folds.</w:t>
      </w:r>
    </w:p>
    <w:p>
      <w:pPr>
        <w:pStyle w:val="Heading2"/>
      </w:pPr>
      <w:r>
        <w:t>B. Baseline Classification Results (Task 3)</w:t>
      </w:r>
    </w:p>
    <w:tbl>
      <w:tblPr>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val="clear" w:color="auto" w:fill="2B6CB0"/>
          </w:tcPr>
          <w:p>
            <w:r>
              <w:rPr>
                <w:b/>
                <w:color w:val="FFFFFF"/>
                <w:sz w:val="15"/>
              </w:rPr>
              <w:t>Model</w:t>
            </w:r>
          </w:p>
        </w:tc>
        <w:tc>
          <w:tcPr>
            <w:tcW w:type="dxa" w:w="1522"/>
            <w:shd w:val="clear" w:color="auto" w:fill="2B6CB0"/>
          </w:tcPr>
          <w:p>
            <w:r>
              <w:rPr>
                <w:b/>
                <w:color w:val="FFFFFF"/>
                <w:sz w:val="15"/>
              </w:rPr>
              <w:t>ROC-AUC (Ours)</w:t>
            </w:r>
          </w:p>
        </w:tc>
        <w:tc>
          <w:tcPr>
            <w:tcW w:type="dxa" w:w="1522"/>
            <w:shd w:val="clear" w:color="auto" w:fill="2B6CB0"/>
          </w:tcPr>
          <w:p>
            <w:r>
              <w:rPr>
                <w:b/>
                <w:color w:val="FFFFFF"/>
                <w:sz w:val="15"/>
              </w:rPr>
              <w:t>PR-AUC</w:t>
            </w:r>
          </w:p>
        </w:tc>
        <w:tc>
          <w:tcPr>
            <w:tcW w:type="dxa" w:w="1522"/>
            <w:shd w:val="clear" w:color="auto" w:fill="2B6CB0"/>
          </w:tcPr>
          <w:p>
            <w:r>
              <w:rPr>
                <w:b/>
                <w:color w:val="FFFFFF"/>
                <w:sz w:val="15"/>
              </w:rPr>
              <w:t>Precision</w:t>
            </w:r>
          </w:p>
        </w:tc>
        <w:tc>
          <w:tcPr>
            <w:tcW w:type="dxa" w:w="1522"/>
            <w:shd w:val="clear" w:color="auto" w:fill="2B6CB0"/>
          </w:tcPr>
          <w:p>
            <w:r>
              <w:rPr>
                <w:b/>
                <w:color w:val="FFFFFF"/>
                <w:sz w:val="15"/>
              </w:rPr>
              <w:t>Recall</w:t>
            </w:r>
          </w:p>
        </w:tc>
        <w:tc>
          <w:tcPr>
            <w:tcW w:type="dxa" w:w="1522"/>
            <w:shd w:val="clear" w:color="auto" w:fill="2B6CB0"/>
          </w:tcPr>
          <w:p>
            <w:r>
              <w:rPr>
                <w:b/>
                <w:color w:val="FFFFFF"/>
                <w:sz w:val="15"/>
              </w:rPr>
              <w:t>Accuracy</w:t>
            </w:r>
          </w:p>
        </w:tc>
        <w:tc>
          <w:tcPr>
            <w:tcW w:type="dxa" w:w="1522"/>
            <w:shd w:val="clear" w:color="auto" w:fill="2B6CB0"/>
          </w:tcPr>
          <w:p>
            <w:r>
              <w:rPr>
                <w:b/>
                <w:color w:val="FFFFFF"/>
                <w:sz w:val="15"/>
              </w:rPr>
              <w:t>Benchmark</w:t>
            </w:r>
          </w:p>
        </w:tc>
      </w:tr>
      <w:tr>
        <w:tc>
          <w:tcPr>
            <w:tcW w:type="dxa" w:w="1522"/>
            <w:shd w:val="clear" w:color="auto" w:fill="FFFFFF"/>
          </w:tcPr>
          <w:p>
            <w:r>
              <w:rPr>
                <w:b/>
                <w:sz w:val="15"/>
              </w:rPr>
              <w:t>Dummy (always stays)</w:t>
            </w:r>
          </w:p>
        </w:tc>
        <w:tc>
          <w:tcPr>
            <w:tcW w:type="dxa" w:w="1522"/>
            <w:shd w:val="clear" w:color="auto" w:fill="FFFFFF"/>
          </w:tcPr>
          <w:p>
            <w:r>
              <w:rPr>
                <w:sz w:val="15"/>
              </w:rPr>
              <w:t>0.500 +/- 0.000</w:t>
            </w:r>
          </w:p>
        </w:tc>
        <w:tc>
          <w:tcPr>
            <w:tcW w:type="dxa" w:w="1522"/>
            <w:shd w:val="clear" w:color="auto" w:fill="FFFFFF"/>
          </w:tcPr>
          <w:p>
            <w:r>
              <w:rPr>
                <w:sz w:val="15"/>
              </w:rPr>
              <w:t>0.147</w:t>
            </w:r>
          </w:p>
        </w:tc>
        <w:tc>
          <w:tcPr>
            <w:tcW w:type="dxa" w:w="1522"/>
            <w:shd w:val="clear" w:color="auto" w:fill="FFFFFF"/>
          </w:tcPr>
          <w:p>
            <w:r>
              <w:rPr>
                <w:sz w:val="15"/>
              </w:rPr>
              <w:t>0.000</w:t>
            </w:r>
          </w:p>
        </w:tc>
        <w:tc>
          <w:tcPr>
            <w:tcW w:type="dxa" w:w="1522"/>
            <w:shd w:val="clear" w:color="auto" w:fill="FFFFFF"/>
          </w:tcPr>
          <w:p>
            <w:r>
              <w:rPr>
                <w:sz w:val="15"/>
              </w:rPr>
              <w:t>0.000</w:t>
            </w:r>
          </w:p>
        </w:tc>
        <w:tc>
          <w:tcPr>
            <w:tcW w:type="dxa" w:w="1522"/>
            <w:shd w:val="clear" w:color="auto" w:fill="FFFFFF"/>
          </w:tcPr>
          <w:p>
            <w:r>
              <w:rPr>
                <w:sz w:val="15"/>
              </w:rPr>
              <w:t>0.853</w:t>
            </w:r>
          </w:p>
        </w:tc>
        <w:tc>
          <w:tcPr>
            <w:tcW w:type="dxa" w:w="1522"/>
            <w:shd w:val="clear" w:color="auto" w:fill="FFFFFF"/>
          </w:tcPr>
          <w:p>
            <w:r>
              <w:rPr>
                <w:sz w:val="15"/>
              </w:rPr>
              <w:t>0.854 benchmark</w:t>
            </w:r>
          </w:p>
        </w:tc>
      </w:tr>
      <w:tr>
        <w:tc>
          <w:tcPr>
            <w:tcW w:type="dxa" w:w="1522"/>
            <w:shd w:val="clear" w:color="auto" w:fill="F8FAFC"/>
          </w:tcPr>
          <w:p>
            <w:r>
              <w:rPr>
                <w:b/>
                <w:sz w:val="15"/>
              </w:rPr>
              <w:t>Logistic Regression (balanced)</w:t>
            </w:r>
          </w:p>
        </w:tc>
        <w:tc>
          <w:tcPr>
            <w:tcW w:type="dxa" w:w="1522"/>
            <w:shd w:val="clear" w:color="auto" w:fill="F8FAFC"/>
          </w:tcPr>
          <w:p>
            <w:r>
              <w:rPr>
                <w:sz w:val="15"/>
              </w:rPr>
              <w:t>0.712 +/- 0.018</w:t>
            </w:r>
          </w:p>
        </w:tc>
        <w:tc>
          <w:tcPr>
            <w:tcW w:type="dxa" w:w="1522"/>
            <w:shd w:val="clear" w:color="auto" w:fill="F8FAFC"/>
          </w:tcPr>
          <w:p>
            <w:r>
              <w:rPr>
                <w:sz w:val="15"/>
              </w:rPr>
              <w:t>0.309</w:t>
            </w:r>
          </w:p>
        </w:tc>
        <w:tc>
          <w:tcPr>
            <w:tcW w:type="dxa" w:w="1522"/>
            <w:shd w:val="clear" w:color="auto" w:fill="F8FAFC"/>
          </w:tcPr>
          <w:p>
            <w:r>
              <w:rPr>
                <w:sz w:val="15"/>
              </w:rPr>
              <w:t>0.265</w:t>
            </w:r>
          </w:p>
        </w:tc>
        <w:tc>
          <w:tcPr>
            <w:tcW w:type="dxa" w:w="1522"/>
            <w:shd w:val="clear" w:color="auto" w:fill="F8FAFC"/>
          </w:tcPr>
          <w:p>
            <w:r>
              <w:rPr>
                <w:sz w:val="15"/>
              </w:rPr>
              <w:t>0.633</w:t>
            </w:r>
          </w:p>
        </w:tc>
        <w:tc>
          <w:tcPr>
            <w:tcW w:type="dxa" w:w="1522"/>
            <w:shd w:val="clear" w:color="auto" w:fill="F8FAFC"/>
          </w:tcPr>
          <w:p>
            <w:r>
              <w:rPr>
                <w:sz w:val="15"/>
              </w:rPr>
              <w:t>0.686</w:t>
            </w:r>
          </w:p>
        </w:tc>
        <w:tc>
          <w:tcPr>
            <w:tcW w:type="dxa" w:w="1522"/>
            <w:shd w:val="clear" w:color="auto" w:fill="F8FAFC"/>
          </w:tcPr>
          <w:p>
            <w:r>
              <w:rPr>
                <w:sz w:val="15"/>
              </w:rPr>
              <w:t>0.713 benchmark</w:t>
            </w:r>
          </w:p>
        </w:tc>
      </w:tr>
      <w:tr>
        <w:tc>
          <w:tcPr>
            <w:tcW w:type="dxa" w:w="1522"/>
            <w:shd w:val="clear" w:color="auto" w:fill="FFFFFF"/>
          </w:tcPr>
          <w:p>
            <w:r>
              <w:rPr>
                <w:b/>
                <w:sz w:val="15"/>
              </w:rPr>
              <w:t>Decision Tree (depth 4, balanced)</w:t>
            </w:r>
          </w:p>
        </w:tc>
        <w:tc>
          <w:tcPr>
            <w:tcW w:type="dxa" w:w="1522"/>
            <w:shd w:val="clear" w:color="auto" w:fill="FFFFFF"/>
          </w:tcPr>
          <w:p>
            <w:r>
              <w:rPr>
                <w:sz w:val="15"/>
              </w:rPr>
              <w:t>0.654 +/- 0.038</w:t>
            </w:r>
          </w:p>
        </w:tc>
        <w:tc>
          <w:tcPr>
            <w:tcW w:type="dxa" w:w="1522"/>
            <w:shd w:val="clear" w:color="auto" w:fill="FFFFFF"/>
          </w:tcPr>
          <w:p>
            <w:r>
              <w:rPr>
                <w:sz w:val="15"/>
              </w:rPr>
              <w:t>0.255</w:t>
            </w:r>
          </w:p>
        </w:tc>
        <w:tc>
          <w:tcPr>
            <w:tcW w:type="dxa" w:w="1522"/>
            <w:shd w:val="clear" w:color="auto" w:fill="FFFFFF"/>
          </w:tcPr>
          <w:p>
            <w:r>
              <w:rPr>
                <w:sz w:val="15"/>
              </w:rPr>
              <w:t>0.236</w:t>
            </w:r>
          </w:p>
        </w:tc>
        <w:tc>
          <w:tcPr>
            <w:tcW w:type="dxa" w:w="1522"/>
            <w:shd w:val="clear" w:color="auto" w:fill="FFFFFF"/>
          </w:tcPr>
          <w:p>
            <w:r>
              <w:rPr>
                <w:sz w:val="15"/>
              </w:rPr>
              <w:t>0.525</w:t>
            </w:r>
          </w:p>
        </w:tc>
        <w:tc>
          <w:tcPr>
            <w:tcW w:type="dxa" w:w="1522"/>
            <w:shd w:val="clear" w:color="auto" w:fill="FFFFFF"/>
          </w:tcPr>
          <w:p>
            <w:r>
              <w:rPr>
                <w:sz w:val="15"/>
              </w:rPr>
              <w:t>0.681</w:t>
            </w:r>
          </w:p>
        </w:tc>
        <w:tc>
          <w:tcPr>
            <w:tcW w:type="dxa" w:w="1522"/>
            <w:shd w:val="clear" w:color="auto" w:fill="FFFFFF"/>
          </w:tcPr>
          <w:p>
            <w:r>
              <w:rPr>
                <w:sz w:val="15"/>
              </w:rPr>
              <w:t>0.650 benchmark</w:t>
            </w:r>
          </w:p>
        </w:tc>
      </w:tr>
      <w:tr>
        <w:tc>
          <w:tcPr>
            <w:tcW w:type="dxa" w:w="1522"/>
            <w:shd w:val="clear" w:color="auto" w:fill="F8FAFC"/>
          </w:tcPr>
          <w:p>
            <w:r>
              <w:rPr>
                <w:b/>
                <w:sz w:val="15"/>
              </w:rPr>
              <w:t>Decision Tree (unconstrained)</w:t>
            </w:r>
          </w:p>
        </w:tc>
        <w:tc>
          <w:tcPr>
            <w:tcW w:type="dxa" w:w="1522"/>
            <w:shd w:val="clear" w:color="auto" w:fill="F8FAFC"/>
          </w:tcPr>
          <w:p>
            <w:r>
              <w:rPr>
                <w:sz w:val="15"/>
              </w:rPr>
              <w:t>0.542 +/- 0.028</w:t>
            </w:r>
          </w:p>
        </w:tc>
        <w:tc>
          <w:tcPr>
            <w:tcW w:type="dxa" w:w="1522"/>
            <w:shd w:val="clear" w:color="auto" w:fill="F8FAFC"/>
          </w:tcPr>
          <w:p>
            <w:r>
              <w:rPr>
                <w:sz w:val="15"/>
              </w:rPr>
              <w:t>0.164</w:t>
            </w:r>
          </w:p>
        </w:tc>
        <w:tc>
          <w:tcPr>
            <w:tcW w:type="dxa" w:w="1522"/>
            <w:shd w:val="clear" w:color="auto" w:fill="F8FAFC"/>
          </w:tcPr>
          <w:p>
            <w:r>
              <w:rPr>
                <w:sz w:val="15"/>
              </w:rPr>
              <w:t>0.214</w:t>
            </w:r>
          </w:p>
        </w:tc>
        <w:tc>
          <w:tcPr>
            <w:tcW w:type="dxa" w:w="1522"/>
            <w:shd w:val="clear" w:color="auto" w:fill="F8FAFC"/>
          </w:tcPr>
          <w:p>
            <w:r>
              <w:rPr>
                <w:sz w:val="15"/>
              </w:rPr>
              <w:t>0.226</w:t>
            </w:r>
          </w:p>
        </w:tc>
        <w:tc>
          <w:tcPr>
            <w:tcW w:type="dxa" w:w="1522"/>
            <w:shd w:val="clear" w:color="auto" w:fill="F8FAFC"/>
          </w:tcPr>
          <w:p>
            <w:r>
              <w:rPr>
                <w:sz w:val="15"/>
              </w:rPr>
              <w:t>0.765</w:t>
            </w:r>
          </w:p>
        </w:tc>
        <w:tc>
          <w:tcPr>
            <w:tcW w:type="dxa" w:w="1522"/>
            <w:shd w:val="clear" w:color="auto" w:fill="F8FAFC"/>
          </w:tcPr>
          <w:p>
            <w:r>
              <w:rPr>
                <w:sz w:val="15"/>
              </w:rPr>
              <w:t>Overfit (train ROC: 0.99+)</w:t>
            </w:r>
          </w:p>
        </w:tc>
      </w:tr>
    </w:tbl>
    <w:p>
      <w:pPr>
        <w:pStyle w:val="Heading2"/>
      </w:pPr>
      <w:r>
        <w:t>C. Calibration &amp; Operational Risk Bands (Task 4)</w:t>
      </w:r>
    </w:p>
    <w:p>
      <w:pPr>
        <w:spacing w:after="80"/>
      </w:pPr>
      <w:r>
        <w:t>• Probability Calibration: Sigmoid scaling reduced Brier score from 0.206 to 0.116, comfortably beating naive prevalence baseline (0.125).</w:t>
        <w:br/>
      </w:r>
      <w:r>
        <w:t>• Top-Decile Lift: Top 10% scored employees (238 people) exhibited 2.26x lift (33.2% leaver concentration vs 14.7% base rate), capturing 22.6% of all leavers.</w:t>
        <w:br/>
      </w:r>
      <w:r>
        <w:t>• Test Execution: All 29 unit tests in test_evaluation.py passed successfully.</w:t>
      </w:r>
    </w:p>
    <w:p>
      <w:pPr>
        <w:pStyle w:val="Heading2"/>
      </w:pPr>
      <w:r>
        <w:t>D. Unsupervised Attendance Anomaly Detection (Task 5)</w:t>
      </w:r>
    </w:p>
    <w:tbl>
      <w:tblPr>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shd w:val="clear" w:color="auto" w:fill="1A2B4C"/>
          </w:tcPr>
          <w:p>
            <w:r>
              <w:rPr>
                <w:b/>
                <w:color w:val="FFFFFF"/>
                <w:sz w:val="15"/>
              </w:rPr>
              <w:t>Approach</w:t>
            </w:r>
          </w:p>
        </w:tc>
        <w:tc>
          <w:tcPr>
            <w:tcW w:type="dxa" w:w="1332"/>
            <w:shd w:val="clear" w:color="auto" w:fill="1A2B4C"/>
          </w:tcPr>
          <w:p>
            <w:r>
              <w:rPr>
                <w:b/>
                <w:color w:val="FFFFFF"/>
                <w:sz w:val="15"/>
              </w:rPr>
              <w:t>Precision</w:t>
            </w:r>
          </w:p>
        </w:tc>
        <w:tc>
          <w:tcPr>
            <w:tcW w:type="dxa" w:w="1332"/>
            <w:shd w:val="clear" w:color="auto" w:fill="1A2B4C"/>
          </w:tcPr>
          <w:p>
            <w:r>
              <w:rPr>
                <w:b/>
                <w:color w:val="FFFFFF"/>
                <w:sz w:val="15"/>
              </w:rPr>
              <w:t>Recall</w:t>
            </w:r>
          </w:p>
        </w:tc>
        <w:tc>
          <w:tcPr>
            <w:tcW w:type="dxa" w:w="1332"/>
            <w:shd w:val="clear" w:color="auto" w:fill="1A2B4C"/>
          </w:tcPr>
          <w:p>
            <w:r>
              <w:rPr>
                <w:b/>
                <w:color w:val="FFFFFF"/>
                <w:sz w:val="15"/>
              </w:rPr>
              <w:t>F1</w:t>
            </w:r>
          </w:p>
        </w:tc>
        <w:tc>
          <w:tcPr>
            <w:tcW w:type="dxa" w:w="1332"/>
            <w:shd w:val="clear" w:color="auto" w:fill="1A2B4C"/>
          </w:tcPr>
          <w:p>
            <w:r>
              <w:rPr>
                <w:b/>
                <w:color w:val="FFFFFF"/>
                <w:sz w:val="15"/>
              </w:rPr>
              <w:t>TP</w:t>
            </w:r>
          </w:p>
        </w:tc>
        <w:tc>
          <w:tcPr>
            <w:tcW w:type="dxa" w:w="1332"/>
            <w:shd w:val="clear" w:color="auto" w:fill="1A2B4C"/>
          </w:tcPr>
          <w:p>
            <w:r>
              <w:rPr>
                <w:b/>
                <w:color w:val="FFFFFF"/>
                <w:sz w:val="15"/>
              </w:rPr>
              <w:t>FP</w:t>
            </w:r>
          </w:p>
        </w:tc>
        <w:tc>
          <w:tcPr>
            <w:tcW w:type="dxa" w:w="1332"/>
            <w:shd w:val="clear" w:color="auto" w:fill="1A2B4C"/>
          </w:tcPr>
          <w:p>
            <w:r>
              <w:rPr>
                <w:b/>
                <w:color w:val="FFFFFF"/>
                <w:sz w:val="15"/>
              </w:rPr>
              <w:t>FN</w:t>
            </w:r>
          </w:p>
        </w:tc>
        <w:tc>
          <w:tcPr>
            <w:tcW w:type="dxa" w:w="1332"/>
            <w:shd w:val="clear" w:color="auto" w:fill="1A2B4C"/>
          </w:tcPr>
          <w:p>
            <w:r>
              <w:rPr>
                <w:b/>
                <w:color w:val="FFFFFF"/>
                <w:sz w:val="15"/>
              </w:rPr>
              <w:t>Flagged</w:t>
            </w:r>
          </w:p>
        </w:tc>
      </w:tr>
      <w:tr>
        <w:tc>
          <w:tcPr>
            <w:tcW w:type="dxa" w:w="1332"/>
            <w:shd w:val="clear" w:color="auto" w:fill="FFFFFF"/>
          </w:tcPr>
          <w:p>
            <w:r>
              <w:rPr>
                <w:b/>
                <w:sz w:val="15"/>
              </w:rPr>
              <w:t>Published Baseline (anomaly_baselines)</w:t>
            </w:r>
          </w:p>
        </w:tc>
        <w:tc>
          <w:tcPr>
            <w:tcW w:type="dxa" w:w="1332"/>
            <w:shd w:val="clear" w:color="auto" w:fill="FFFFFF"/>
          </w:tcPr>
          <w:p>
            <w:r>
              <w:rPr>
                <w:sz w:val="15"/>
              </w:rPr>
              <w:t>0.403</w:t>
            </w:r>
          </w:p>
        </w:tc>
        <w:tc>
          <w:tcPr>
            <w:tcW w:type="dxa" w:w="1332"/>
            <w:shd w:val="clear" w:color="auto" w:fill="FFFFFF"/>
          </w:tcPr>
          <w:p>
            <w:r>
              <w:rPr>
                <w:sz w:val="15"/>
              </w:rPr>
              <w:t>0.593</w:t>
            </w:r>
          </w:p>
        </w:tc>
        <w:tc>
          <w:tcPr>
            <w:tcW w:type="dxa" w:w="1332"/>
            <w:shd w:val="clear" w:color="auto" w:fill="FFFFFF"/>
          </w:tcPr>
          <w:p>
            <w:r>
              <w:rPr>
                <w:sz w:val="15"/>
              </w:rPr>
              <w:t>0.480</w:t>
            </w:r>
          </w:p>
        </w:tc>
        <w:tc>
          <w:tcPr>
            <w:tcW w:type="dxa" w:w="1332"/>
            <w:shd w:val="clear" w:color="auto" w:fill="FFFFFF"/>
          </w:tcPr>
          <w:p>
            <w:r>
              <w:rPr>
                <w:sz w:val="15"/>
              </w:rPr>
              <w:t>89</w:t>
            </w:r>
          </w:p>
        </w:tc>
        <w:tc>
          <w:tcPr>
            <w:tcW w:type="dxa" w:w="1332"/>
            <w:shd w:val="clear" w:color="auto" w:fill="FFFFFF"/>
          </w:tcPr>
          <w:p>
            <w:r>
              <w:rPr>
                <w:sz w:val="15"/>
              </w:rPr>
              <w:t>132</w:t>
            </w:r>
          </w:p>
        </w:tc>
        <w:tc>
          <w:tcPr>
            <w:tcW w:type="dxa" w:w="1332"/>
            <w:shd w:val="clear" w:color="auto" w:fill="FFFFFF"/>
          </w:tcPr>
          <w:p>
            <w:r>
              <w:rPr>
                <w:sz w:val="15"/>
              </w:rPr>
              <w:t>61</w:t>
            </w:r>
          </w:p>
        </w:tc>
        <w:tc>
          <w:tcPr>
            <w:tcW w:type="dxa" w:w="1332"/>
            <w:shd w:val="clear" w:color="auto" w:fill="FFFFFF"/>
          </w:tcPr>
          <w:p>
            <w:r>
              <w:rPr>
                <w:sz w:val="15"/>
              </w:rPr>
              <w:t>221 (3.01%)</w:t>
            </w:r>
          </w:p>
        </w:tc>
      </w:tr>
      <w:tr>
        <w:tc>
          <w:tcPr>
            <w:tcW w:type="dxa" w:w="1332"/>
            <w:shd w:val="clear" w:color="auto" w:fill="F8FAFC"/>
          </w:tcPr>
          <w:p>
            <w:r>
              <w:rPr>
                <w:b/>
                <w:sz w:val="15"/>
              </w:rPr>
              <w:t>Baseline Recipe Re-run (raw 10 cols, 3%)</w:t>
            </w:r>
          </w:p>
        </w:tc>
        <w:tc>
          <w:tcPr>
            <w:tcW w:type="dxa" w:w="1332"/>
            <w:shd w:val="clear" w:color="auto" w:fill="F8FAFC"/>
          </w:tcPr>
          <w:p>
            <w:r>
              <w:rPr>
                <w:sz w:val="15"/>
              </w:rPr>
              <w:t>0.398</w:t>
            </w:r>
          </w:p>
        </w:tc>
        <w:tc>
          <w:tcPr>
            <w:tcW w:type="dxa" w:w="1332"/>
            <w:shd w:val="clear" w:color="auto" w:fill="F8FAFC"/>
          </w:tcPr>
          <w:p>
            <w:r>
              <w:rPr>
                <w:sz w:val="15"/>
              </w:rPr>
              <w:t>0.587</w:t>
            </w:r>
          </w:p>
        </w:tc>
        <w:tc>
          <w:tcPr>
            <w:tcW w:type="dxa" w:w="1332"/>
            <w:shd w:val="clear" w:color="auto" w:fill="F8FAFC"/>
          </w:tcPr>
          <w:p>
            <w:r>
              <w:rPr>
                <w:sz w:val="15"/>
              </w:rPr>
              <w:t>0.474</w:t>
            </w:r>
          </w:p>
        </w:tc>
        <w:tc>
          <w:tcPr>
            <w:tcW w:type="dxa" w:w="1332"/>
            <w:shd w:val="clear" w:color="auto" w:fill="F8FAFC"/>
          </w:tcPr>
          <w:p>
            <w:r>
              <w:rPr>
                <w:sz w:val="15"/>
              </w:rPr>
              <w:t>88</w:t>
            </w:r>
          </w:p>
        </w:tc>
        <w:tc>
          <w:tcPr>
            <w:tcW w:type="dxa" w:w="1332"/>
            <w:shd w:val="clear" w:color="auto" w:fill="F8FAFC"/>
          </w:tcPr>
          <w:p>
            <w:r>
              <w:rPr>
                <w:sz w:val="15"/>
              </w:rPr>
              <w:t>133</w:t>
            </w:r>
          </w:p>
        </w:tc>
        <w:tc>
          <w:tcPr>
            <w:tcW w:type="dxa" w:w="1332"/>
            <w:shd w:val="clear" w:color="auto" w:fill="F8FAFC"/>
          </w:tcPr>
          <w:p>
            <w:r>
              <w:rPr>
                <w:sz w:val="15"/>
              </w:rPr>
              <w:t>62</w:t>
            </w:r>
          </w:p>
        </w:tc>
        <w:tc>
          <w:tcPr>
            <w:tcW w:type="dxa" w:w="1332"/>
            <w:shd w:val="clear" w:color="auto" w:fill="F8FAFC"/>
          </w:tcPr>
          <w:p>
            <w:r>
              <w:rPr>
                <w:sz w:val="15"/>
              </w:rPr>
              <w:t>221 (3.01%)</w:t>
            </w:r>
          </w:p>
        </w:tc>
      </w:tr>
      <w:tr>
        <w:tc>
          <w:tcPr>
            <w:tcW w:type="dxa" w:w="1332"/>
            <w:shd w:val="clear" w:color="auto" w:fill="FFFFFF"/>
          </w:tcPr>
          <w:p>
            <w:r>
              <w:rPr>
                <w:b/>
                <w:sz w:val="15"/>
              </w:rPr>
              <w:t>Isolation Forest (curated features)</w:t>
            </w:r>
          </w:p>
        </w:tc>
        <w:tc>
          <w:tcPr>
            <w:tcW w:type="dxa" w:w="1332"/>
            <w:shd w:val="clear" w:color="auto" w:fill="FFFFFF"/>
          </w:tcPr>
          <w:p>
            <w:r>
              <w:rPr>
                <w:sz w:val="15"/>
              </w:rPr>
              <w:t>0.412</w:t>
            </w:r>
          </w:p>
        </w:tc>
        <w:tc>
          <w:tcPr>
            <w:tcW w:type="dxa" w:w="1332"/>
            <w:shd w:val="clear" w:color="auto" w:fill="FFFFFF"/>
          </w:tcPr>
          <w:p>
            <w:r>
              <w:rPr>
                <w:sz w:val="15"/>
              </w:rPr>
              <w:t>0.607</w:t>
            </w:r>
          </w:p>
        </w:tc>
        <w:tc>
          <w:tcPr>
            <w:tcW w:type="dxa" w:w="1332"/>
            <w:shd w:val="clear" w:color="auto" w:fill="FFFFFF"/>
          </w:tcPr>
          <w:p>
            <w:r>
              <w:rPr>
                <w:sz w:val="15"/>
              </w:rPr>
              <w:t>0.491</w:t>
            </w:r>
          </w:p>
        </w:tc>
        <w:tc>
          <w:tcPr>
            <w:tcW w:type="dxa" w:w="1332"/>
            <w:shd w:val="clear" w:color="auto" w:fill="FFFFFF"/>
          </w:tcPr>
          <w:p>
            <w:r>
              <w:rPr>
                <w:sz w:val="15"/>
              </w:rPr>
              <w:t>91</w:t>
            </w:r>
          </w:p>
        </w:tc>
        <w:tc>
          <w:tcPr>
            <w:tcW w:type="dxa" w:w="1332"/>
            <w:shd w:val="clear" w:color="auto" w:fill="FFFFFF"/>
          </w:tcPr>
          <w:p>
            <w:r>
              <w:rPr>
                <w:sz w:val="15"/>
              </w:rPr>
              <w:t>130</w:t>
            </w:r>
          </w:p>
        </w:tc>
        <w:tc>
          <w:tcPr>
            <w:tcW w:type="dxa" w:w="1332"/>
            <w:shd w:val="clear" w:color="auto" w:fill="FFFFFF"/>
          </w:tcPr>
          <w:p>
            <w:r>
              <w:rPr>
                <w:sz w:val="15"/>
              </w:rPr>
              <w:t>59</w:t>
            </w:r>
          </w:p>
        </w:tc>
        <w:tc>
          <w:tcPr>
            <w:tcW w:type="dxa" w:w="1332"/>
            <w:shd w:val="clear" w:color="auto" w:fill="FFFFFF"/>
          </w:tcPr>
          <w:p>
            <w:r>
              <w:rPr>
                <w:sz w:val="15"/>
              </w:rPr>
              <w:t>221 (3.01%)</w:t>
            </w:r>
          </w:p>
        </w:tc>
      </w:tr>
      <w:tr>
        <w:tc>
          <w:tcPr>
            <w:tcW w:type="dxa" w:w="1332"/>
            <w:shd w:val="clear" w:color="auto" w:fill="F8FAFC"/>
          </w:tcPr>
          <w:p>
            <w:r>
              <w:rPr>
                <w:b/>
                <w:sz w:val="15"/>
              </w:rPr>
              <w:t>Rule-Based Only (domain rules)</w:t>
            </w:r>
          </w:p>
        </w:tc>
        <w:tc>
          <w:tcPr>
            <w:tcW w:type="dxa" w:w="1332"/>
            <w:shd w:val="clear" w:color="auto" w:fill="F8FAFC"/>
          </w:tcPr>
          <w:p>
            <w:r>
              <w:rPr>
                <w:sz w:val="15"/>
              </w:rPr>
              <w:t>0.918</w:t>
            </w:r>
          </w:p>
        </w:tc>
        <w:tc>
          <w:tcPr>
            <w:tcW w:type="dxa" w:w="1332"/>
            <w:shd w:val="clear" w:color="auto" w:fill="F8FAFC"/>
          </w:tcPr>
          <w:p>
            <w:r>
              <w:rPr>
                <w:sz w:val="15"/>
              </w:rPr>
              <w:t>0.600</w:t>
            </w:r>
          </w:p>
        </w:tc>
        <w:tc>
          <w:tcPr>
            <w:tcW w:type="dxa" w:w="1332"/>
            <w:shd w:val="clear" w:color="auto" w:fill="F8FAFC"/>
          </w:tcPr>
          <w:p>
            <w:r>
              <w:rPr>
                <w:sz w:val="15"/>
              </w:rPr>
              <w:t>0.726</w:t>
            </w:r>
          </w:p>
        </w:tc>
        <w:tc>
          <w:tcPr>
            <w:tcW w:type="dxa" w:w="1332"/>
            <w:shd w:val="clear" w:color="auto" w:fill="F8FAFC"/>
          </w:tcPr>
          <w:p>
            <w:r>
              <w:rPr>
                <w:sz w:val="15"/>
              </w:rPr>
              <w:t>90</w:t>
            </w:r>
          </w:p>
        </w:tc>
        <w:tc>
          <w:tcPr>
            <w:tcW w:type="dxa" w:w="1332"/>
            <w:shd w:val="clear" w:color="auto" w:fill="F8FAFC"/>
          </w:tcPr>
          <w:p>
            <w:r>
              <w:rPr>
                <w:sz w:val="15"/>
              </w:rPr>
              <w:t>8</w:t>
            </w:r>
          </w:p>
        </w:tc>
        <w:tc>
          <w:tcPr>
            <w:tcW w:type="dxa" w:w="1332"/>
            <w:shd w:val="clear" w:color="auto" w:fill="F8FAFC"/>
          </w:tcPr>
          <w:p>
            <w:r>
              <w:rPr>
                <w:sz w:val="15"/>
              </w:rPr>
              <w:t>60</w:t>
            </w:r>
          </w:p>
        </w:tc>
        <w:tc>
          <w:tcPr>
            <w:tcW w:type="dxa" w:w="1332"/>
            <w:shd w:val="clear" w:color="auto" w:fill="F8FAFC"/>
          </w:tcPr>
          <w:p>
            <w:r>
              <w:rPr>
                <w:sz w:val="15"/>
              </w:rPr>
              <w:t>98 (1.34%)</w:t>
            </w:r>
          </w:p>
        </w:tc>
      </w:tr>
      <w:tr>
        <w:tc>
          <w:tcPr>
            <w:tcW w:type="dxa" w:w="1332"/>
            <w:shd w:val="clear" w:color="auto" w:fill="EFF6FF"/>
          </w:tcPr>
          <w:p>
            <w:r>
              <w:rPr>
                <w:b/>
                <w:sz w:val="15"/>
              </w:rPr>
              <w:t>Combined (IF OR Business Rules)</w:t>
            </w:r>
          </w:p>
        </w:tc>
        <w:tc>
          <w:tcPr>
            <w:tcW w:type="dxa" w:w="1332"/>
            <w:shd w:val="clear" w:color="auto" w:fill="EFF6FF"/>
          </w:tcPr>
          <w:p>
            <w:r>
              <w:rPr>
                <w:sz w:val="15"/>
              </w:rPr>
              <w:t>0.488</w:t>
            </w:r>
          </w:p>
        </w:tc>
        <w:tc>
          <w:tcPr>
            <w:tcW w:type="dxa" w:w="1332"/>
            <w:shd w:val="clear" w:color="auto" w:fill="EFF6FF"/>
          </w:tcPr>
          <w:p>
            <w:r>
              <w:rPr>
                <w:sz w:val="15"/>
              </w:rPr>
              <w:t>0.827</w:t>
            </w:r>
          </w:p>
        </w:tc>
        <w:tc>
          <w:tcPr>
            <w:tcW w:type="dxa" w:w="1332"/>
            <w:shd w:val="clear" w:color="auto" w:fill="EFF6FF"/>
          </w:tcPr>
          <w:p>
            <w:r>
              <w:rPr>
                <w:sz w:val="15"/>
              </w:rPr>
              <w:t>0.614</w:t>
            </w:r>
          </w:p>
        </w:tc>
        <w:tc>
          <w:tcPr>
            <w:tcW w:type="dxa" w:w="1332"/>
            <w:shd w:val="clear" w:color="auto" w:fill="EFF6FF"/>
          </w:tcPr>
          <w:p>
            <w:r>
              <w:rPr>
                <w:sz w:val="15"/>
              </w:rPr>
              <w:t>124</w:t>
            </w:r>
          </w:p>
        </w:tc>
        <w:tc>
          <w:tcPr>
            <w:tcW w:type="dxa" w:w="1332"/>
            <w:shd w:val="clear" w:color="auto" w:fill="EFF6FF"/>
          </w:tcPr>
          <w:p>
            <w:r>
              <w:rPr>
                <w:sz w:val="15"/>
              </w:rPr>
              <w:t>130</w:t>
            </w:r>
          </w:p>
        </w:tc>
        <w:tc>
          <w:tcPr>
            <w:tcW w:type="dxa" w:w="1332"/>
            <w:shd w:val="clear" w:color="auto" w:fill="EFF6FF"/>
          </w:tcPr>
          <w:p>
            <w:r>
              <w:rPr>
                <w:sz w:val="15"/>
              </w:rPr>
              <w:t>26</w:t>
            </w:r>
          </w:p>
        </w:tc>
        <w:tc>
          <w:tcPr>
            <w:tcW w:type="dxa" w:w="1332"/>
            <w:shd w:val="clear" w:color="auto" w:fill="EFF6FF"/>
          </w:tcPr>
          <w:p>
            <w:r>
              <w:rPr>
                <w:sz w:val="15"/>
              </w:rPr>
              <w:t>254 (3.46%)</w:t>
            </w:r>
          </w:p>
        </w:tc>
      </w:tr>
    </w:tbl>
    <w:p>
      <w:pPr>
        <w:spacing w:after="120"/>
      </w:pPr>
      <w:r>
        <w:t>• Evaluation Protocol: Trained strictly without labels (3% contamination). Combined model + business rules achieved 0.488 Precision and 0.827 Recall vs 0.403/0.593 published baseline.</w:t>
        <w:br/>
      </w:r>
      <w:r>
        <w:t>• Missed Types: 100% recall on Absence Streaks, Impossible Hours, Sudden Drops, and Zero Attendance. 26 missed records were Late Arrival Spikes (single-dimension deviations blending in among 8 normal features).</w:t>
        <w:br/>
      </w:r>
      <w:r>
        <w:t>• Unit Tests: All 14 test cases in tests/test_attendance_anomaly_detector.py passed cleanly.</w:t>
      </w:r>
    </w:p>
    <w:p>
      <w:pPr>
        <w:pStyle w:val="Heading1"/>
      </w:pPr>
      <w:r>
        <w:rPr>
          <w:color w:val="1A2B4C"/>
          <w:sz w:val="24"/>
        </w:rPr>
        <w:t>3. What I Learned (Student Reflection)</w:t>
      </w:r>
    </w:p>
    <w:p>
      <w:pPr>
        <w:spacing w:after="120"/>
      </w:pPr>
      <w:r>
        <w:rPr>
          <w:i/>
          <w:color w:val="1A2B4C"/>
        </w:rPr>
        <w:t>"During Phase 1, I learned that practical machine learning is mostly about data discipline rather than complex algorithms. I saw firsthand how target leakage columns like resignation dates can produce deceptively perfect results if left in the dataset, and why an 85% accuracy baseline is completely misleading when only 14.7% of employees leave. Calibrating probabilities taught me that raw classification scores cannot be handed to business managers without adjustment, and building the attendance detector showed me how unsupervised isolation trees and simple business rules can catch anomalies effectively without ever training on ground-truth labels."</w:t>
      </w:r>
    </w:p>
    <w:p>
      <w:pPr>
        <w:pStyle w:val="Heading1"/>
      </w:pPr>
      <w:r>
        <w:rPr>
          <w:color w:val="1A2B4C"/>
          <w:sz w:val="24"/>
        </w:rPr>
        <w:t>4. Real Engineering Challenges &amp; Solutions</w:t>
      </w:r>
    </w:p>
    <w:p>
      <w:pPr>
        <w:pStyle w:val="Heading2"/>
      </w:pPr>
      <w:r>
        <w:t>1. Subtle Target Leakage in Raw Employee Features</w:t>
      </w:r>
    </w:p>
    <w:p>
      <w:pPr>
        <w:spacing w:after="80"/>
      </w:pPr>
      <w:r>
        <w:rPr>
          <w:b/>
        </w:rPr>
        <w:t xml:space="preserve">Problem: </w:t>
      </w:r>
      <w:r>
        <w:t>During Task 1 exploration, several columns like 'resignation_date', 'exit_date', and 'exit_reason' had over 85% missing values. Initially, it looked like standard missing data. However, checking the target label revealed that these columns were populated ONLY for employees who left the company.</w:t>
        <w:br/>
      </w:r>
      <w:r>
        <w:rPr>
          <w:b/>
        </w:rPr>
        <w:t xml:space="preserve">Investigation &amp; Resolution: </w:t>
      </w:r>
      <w:r>
        <w:t>Keeping these columns would allow a model to achieve 100% training accuracy through pure hindsight leakage. I classified all 6 exit-related columns as 'LEAK' in the data dictionary and strictly excluded them from the feature pipeline.</w:t>
      </w:r>
    </w:p>
    <w:p>
      <w:pPr>
        <w:pStyle w:val="Heading2"/>
      </w:pPr>
      <w:r>
        <w:t>2. High Training Score vs Collapsing Cross-Validation in Decision Trees</w:t>
      </w:r>
    </w:p>
    <w:p>
      <w:pPr>
        <w:spacing w:after="80"/>
      </w:pPr>
      <w:r>
        <w:rPr>
          <w:b/>
        </w:rPr>
        <w:t xml:space="preserve">Problem: </w:t>
      </w:r>
      <w:r>
        <w:t>When running baseline models in Task 3, an unconstrained Decision Tree appeared to learn the training split almost perfectly (training ROC-AUC &gt; 0.99). However, its 5-fold cross-validation ROC-AUC collapsed to 0.542, performing barely better than random coin-flipping.</w:t>
        <w:br/>
      </w:r>
      <w:r>
        <w:rPr>
          <w:b/>
        </w:rPr>
        <w:t xml:space="preserve">Investigation &amp; Resolution: </w:t>
      </w:r>
      <w:r>
        <w:t>I ran a depth-tuning experiment across max_depth values 1 through 8. Constraining max_depth to 4 prevented the tree from memorizing small sample idiosyncrasies, yielding a stable cross-validation ROC-AUC of 0.654 +/- 0.038 and matching the benchmark.</w:t>
      </w:r>
    </w:p>
    <w:p>
      <w:pPr>
        <w:pStyle w:val="Heading2"/>
      </w:pPr>
      <w:r>
        <w:t>3. Single-Feature Anomaly Invisibility in Multi-Dimensional Isolation Forest</w:t>
      </w:r>
    </w:p>
    <w:p>
      <w:pPr>
        <w:spacing w:after="80"/>
      </w:pPr>
      <w:r>
        <w:rPr>
          <w:b/>
        </w:rPr>
        <w:t xml:space="preserve">Problem: </w:t>
      </w:r>
      <w:r>
        <w:t>In Task 5, our unsupervised Isolation Forest caught almost all absence streak, sudden drop, and impossible hours anomalies, but missed 26 out of 30 LATE_SPIKE records (13.3% recall). Examining the missed records revealed that employees with late arrival spikes had completely normal attendance rates (0.98) and standard working hours (8.55 hrs/day).</w:t>
        <w:br/>
      </w:r>
      <w:r>
        <w:rPr>
          <w:b/>
        </w:rPr>
        <w:t xml:space="preserve">Investigation &amp; Resolution: </w:t>
      </w:r>
      <w:r>
        <w:t>Because 8 out of 9 features were completely normal, random isolation partitioning did not isolate these records early enough to beat the 3% cut-off. I documented this as an inherent limitation of tree-based multi-feature isolation for one-dimensional spikes, and designed a priority ranking system that combines rule triggers with model scores to flag such cases for HR review.</w:t>
      </w:r>
    </w:p>
    <w:p>
      <w:pPr>
        <w:pStyle w:val="Heading1"/>
      </w:pPr>
      <w:r>
        <w:rPr>
          <w:color w:val="1A2B4C"/>
          <w:sz w:val="24"/>
        </w:rPr>
        <w:t>5. Roadmap for Phase 2 (Payroll Anomaly Detection)</w:t>
      </w:r>
    </w:p>
    <w:p>
      <w:r>
        <w:t>In Phase 2, anomaly detection extends to payroll, where mistakes carry immediate financial consequences. Planned next steps:</w:t>
      </w:r>
    </w:p>
    <w:p>
      <w:pPr>
        <w:spacing w:after="40"/>
      </w:pPr>
      <w:r>
        <w:t>• 1. Reusing Established Pipeline Components: Port the clean ColumnTransformer structure and rolling window join logic from Task 2 into the Phase 2 payroll workflows to ensure zero data leakage.</w:t>
      </w:r>
    </w:p>
    <w:p>
      <w:pPr>
        <w:spacing w:after="40"/>
      </w:pPr>
      <w:r>
        <w:t>• 2. Payroll Feature Engineering: Construct monthly payroll indicators (such as overtime-to-base salary ratios, retroactive adjustments, and sudden compensation rate shifts) that capture financial anomalies.</w:t>
      </w:r>
    </w:p>
    <w:p>
      <w:pPr>
        <w:spacing w:after="40"/>
      </w:pPr>
      <w:r>
        <w:t>• 3. Dual-Layer Anomaly Detection on Payroll: Apply Isolation Forest paired with strict statutory/labour rules (such as minimum wage violations, negative net pay, or excessive monthly overtime hours).</w:t>
      </w:r>
    </w:p>
    <w:p>
      <w:pPr>
        <w:spacing w:after="40"/>
      </w:pPr>
      <w:r>
        <w:t>• 4. Rigorous Out-of-Fold Evaluation: Keep validation labels strictly sealed in the vault until predictions are finalized, evaluating detector performance via precision, recall, and financial catch rate.</w:t>
      </w:r>
    </w:p>
    <w:p>
      <w:pPr>
        <w:spacing w:after="40"/>
      </w:pPr>
      <w:r>
        <w:t>• 5. Actionable Payroll Review Tiers: Implement a points-based prioritization queue so payroll accountants can audit High-risk payroll batches first, minimizing financial error risk before disbursement.</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