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before="0" w:line="276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GRU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7134225" cy="1576216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57621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76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LSTM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7143750" cy="1804331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80433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EB Garamond" w:cs="EB Garamond" w:eastAsia="EB Garamond" w:hAnsi="EB Garamond"/>
          <w:b w:val="1"/>
          <w:color w:val="000000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Performance Comparison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Fold 1:</w:t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Number of Parameters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0.52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188,037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0.69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216,965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Fold 2:</w:t>
      </w:r>
    </w:p>
    <w:tbl>
      <w:tblPr>
        <w:tblStyle w:val="Table2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Number of Parameters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0.55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188,037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0.77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216,965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Fold 3:</w:t>
      </w:r>
    </w:p>
    <w:tbl>
      <w:tblPr>
        <w:tblStyle w:val="Table3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Number of Parameters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0.76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188,037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216,965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EB Garamond" w:cs="EB Garamond" w:eastAsia="EB Garamond" w:hAnsi="EB Garamond"/>
          <w:b w:val="1"/>
          <w:color w:val="000000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Performance Comparison of Activation Functions</w:t>
      </w:r>
    </w:p>
    <w:p w:rsidR="00000000" w:rsidDel="00000000" w:rsidP="00000000" w:rsidRDefault="00000000" w:rsidRPr="00000000" w14:paraId="0000003E">
      <w:pPr>
        <w:jc w:val="center"/>
        <w:rPr>
          <w:rFonts w:ascii="EB Garamond" w:cs="EB Garamond" w:eastAsia="EB Garamond" w:hAnsi="EB Garamond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  <w:gridCol w:w="1800"/>
            <w:gridCol w:w="1800"/>
          </w:tblGrid>
        </w:tblGridChange>
      </w:tblGrid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Weighted F1-Score using various Activation Functions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Sigmoid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LeakyReLU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Tanh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0.45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0.71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0.51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0.27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0.28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center"/>
        <w:rPr>
          <w:rFonts w:ascii="EB Garamond" w:cs="EB Garamond" w:eastAsia="EB Garamond" w:hAnsi="EB Garamond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EB Garamond" w:cs="EB Garamond" w:eastAsia="EB Garamond" w:hAnsi="EB Garamond"/>
          <w:b w:val="1"/>
          <w:color w:val="000000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36"/>
          <w:szCs w:val="36"/>
          <w:rtl w:val="0"/>
        </w:rPr>
        <w:t xml:space="preserve">Observations: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left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GRU performed best in Fold 3 and LSTM in fold 2 with accuracy as a measure.</w:t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2.  The best activation for GRU is eLU and LSTM is Tanh. 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