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3A5F"/>
          <w:sz w:val="34"/>
          <w:szCs w:val="34"/>
        </w:rPr>
        <w:t xml:space="preserve">RENCANA ANGGARAN BIAYA (RAB)</w:t>
      </w:r>
    </w:p>
    <w:p>
      <w:pPr>
        <w:spacing w:after="20"/>
        <w:jc w:val="center"/>
      </w:pPr>
      <w:r>
        <w:rPr>
          <w:b/>
          <w:bCs/>
          <w:color w:val="E86A5C"/>
          <w:sz w:val="26"/>
          <w:szCs w:val="26"/>
        </w:rPr>
        <w:t xml:space="preserve">Aplikasi Ruang Aman BK</w:t>
      </w:r>
    </w:p>
    <w:p>
      <w:pPr>
        <w:spacing w:after="260"/>
        <w:jc w:val="center"/>
      </w:pPr>
      <w:r>
        <w:rPr>
          <w:i/>
          <w:iCs/>
          <w:color w:val="6B7280"/>
          <w:sz w:val="20"/>
          <w:szCs w:val="20"/>
        </w:rPr>
        <w:t xml:space="preserve">Platform Konseling Anonim untuk Sekolah — Model Langganan Tahunan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Nama Aplikasi</w:t>
            </w:r>
          </w:p>
        </w:tc>
        <w:tc>
          <w:tcPr>
            <w:tcW w:type="dxa" w:w="6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Ruang Aman BK</w:t>
            </w:r>
          </w:p>
        </w:tc>
      </w:tr>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Kategori</w:t>
            </w:r>
          </w:p>
        </w:tc>
        <w:tc>
          <w:tcPr>
            <w:tcW w:type="dxa" w:w="6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Platform konseling anonim siswa – Guru BK berbasis web (PWA)</w:t>
            </w:r>
          </w:p>
        </w:tc>
      </w:tr>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Model Bisnis</w:t>
            </w:r>
          </w:p>
        </w:tc>
        <w:tc>
          <w:tcPr>
            <w:tcW w:type="dxa" w:w="6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Langganan tahunan per sekolah (bukan sekali bayar)</w:t>
            </w:r>
          </w:p>
        </w:tc>
      </w:tr>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Harga Langganan</w:t>
            </w:r>
          </w:p>
        </w:tc>
        <w:tc>
          <w:tcPr>
            <w:tcW w:type="dxa" w:w="6226"/>
            <w:tcMar>
              <w:top w:type="dxa" w:w="80"/>
              <w:left w:type="dxa" w:w="120"/>
              <w:bottom w:type="dxa" w:w="80"/>
              <w:right w:type="dxa" w:w="120"/>
            </w:tcMar>
            <w:vAlign w:val="center"/>
          </w:tcPr>
          <w:p>
            <w:pPr>
              <w:spacing w:after="60" w:before="60"/>
              <w:jc w:val="left"/>
            </w:pPr>
            <w:r>
              <w:rPr>
                <w:b/>
                <w:bCs/>
                <w:i w:val="false"/>
                <w:iCs w:val="false"/>
                <w:color w:val="E86A5C"/>
                <w:sz w:val="20"/>
                <w:szCs w:val="20"/>
              </w:rPr>
              <w:t xml:space="preserve">Rp15.000.000 / sekolah / tahun</w:t>
            </w:r>
          </w:p>
        </w:tc>
      </w:tr>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Tanggal Penyusunan</w:t>
            </w:r>
          </w:p>
        </w:tc>
        <w:tc>
          <w:tcPr>
            <w:tcW w:type="dxa" w:w="6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13 September 2026</w:t>
            </w:r>
          </w:p>
        </w:tc>
      </w:tr>
      <w:tr>
        <w:tc>
          <w:tcPr>
            <w:tcW w:type="dxa" w:w="28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Disusun oleh</w:t>
            </w:r>
          </w:p>
        </w:tc>
        <w:tc>
          <w:tcPr>
            <w:tcW w:type="dxa" w:w="6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______________________________</w:t>
            </w:r>
          </w:p>
        </w:tc>
      </w:tr>
    </w:tbl>
    <w:p>
      <w:pPr>
        <w:pStyle w:val="Heading1"/>
        <w:pBdr>
          <w:bottom w:val="single" w:color="E86A5C" w:sz="12" w:space="4"/>
        </w:pBdr>
        <w:spacing w:after="160" w:before="360"/>
      </w:pPr>
      <w:r>
        <w:rPr>
          <w:b/>
          <w:bCs/>
          <w:color w:val="1E3A5F"/>
          <w:sz w:val="26"/>
          <w:szCs w:val="26"/>
        </w:rPr>
        <w:t xml:space="preserve">A. Ringkasan Aplikasi</w:t>
      </w:r>
    </w:p>
    <w:p>
      <w:pPr>
        <w:spacing w:after="140"/>
      </w:pPr>
      <w:r>
        <w:rPr>
          <w:i w:val="false"/>
          <w:iCs w:val="false"/>
          <w:color w:val="1F2937"/>
          <w:sz w:val="20"/>
          <w:szCs w:val="20"/>
        </w:rPr>
        <w:t xml:space="preserve">Ruang Aman BK adalah platform konseling anonim berbasis web yang menghubungkan siswa dengan Guru BK tanpa mengorbankan kerahasiaan identitas siswa. Siswa cukup memindai kode QR untuk menulis curhatan dan mendapatkan Kode Konseling pribadi, lalu berbalas pesan dengan Guru BK layaknya aplikasi chat, tanpa perlu membuat akun.</w:t>
      </w:r>
    </w:p>
    <w:p>
      <w:pPr>
        <w:spacing w:after="140"/>
      </w:pPr>
      <w:r>
        <w:rPr>
          <w:i w:val="false"/>
          <w:iCs w:val="false"/>
          <w:color w:val="1F2937"/>
          <w:sz w:val="20"/>
          <w:szCs w:val="20"/>
        </w:rPr>
        <w:t xml:space="preserve">Fitur utama yang sudah berjalan dan termasuk dalam langganan:</w:t>
      </w:r>
    </w:p>
    <w:p>
      <w:pPr>
        <w:pStyle w:val="ListParagraph"/>
        <w:numPr>
          <w:ilvl w:val="0"/>
          <w:numId w:val="2"/>
        </w:numPr>
        <w:spacing w:after="60"/>
      </w:pPr>
      <w:r>
        <w:rPr>
          <w:sz w:val="20"/>
          <w:szCs w:val="20"/>
        </w:rPr>
        <w:t xml:space="preserve">Portal curhat anonim untuk siswa — tanpa akun, dengan Kode Konseling acak &amp; aman</w:t>
      </w:r>
    </w:p>
    <w:p>
      <w:pPr>
        <w:pStyle w:val="ListParagraph"/>
        <w:numPr>
          <w:ilvl w:val="0"/>
          <w:numId w:val="2"/>
        </w:numPr>
        <w:spacing w:after="60"/>
      </w:pPr>
      <w:r>
        <w:rPr>
          <w:sz w:val="20"/>
          <w:szCs w:val="20"/>
        </w:rPr>
        <w:t xml:space="preserve">Ruang obrolan (chat) real-time antara siswa dan Guru BK</w:t>
      </w:r>
    </w:p>
    <w:p>
      <w:pPr>
        <w:pStyle w:val="ListParagraph"/>
        <w:numPr>
          <w:ilvl w:val="0"/>
          <w:numId w:val="2"/>
        </w:numPr>
        <w:spacing w:after="60"/>
      </w:pPr>
      <w:r>
        <w:rPr>
          <w:sz w:val="20"/>
          <w:szCs w:val="20"/>
        </w:rPr>
        <w:t xml:space="preserve">Dashboard Guru BK: daftar tiket, penanda prioritas otomatis untuk kasus berisiko (kekerasan, kesehatan mental), template balasan cepat, jadwal piket</w:t>
      </w:r>
    </w:p>
    <w:p>
      <w:pPr>
        <w:pStyle w:val="ListParagraph"/>
        <w:numPr>
          <w:ilvl w:val="0"/>
          <w:numId w:val="2"/>
        </w:numPr>
        <w:spacing w:after="60"/>
      </w:pPr>
      <w:r>
        <w:rPr>
          <w:sz w:val="20"/>
          <w:szCs w:val="20"/>
        </w:rPr>
        <w:t xml:space="preserve">Dashboard Super Admin sekolah: kelola akun Guru BK, pengaturan identitas sekolah, audit log</w:t>
      </w:r>
    </w:p>
    <w:p>
      <w:pPr>
        <w:pStyle w:val="ListParagraph"/>
        <w:numPr>
          <w:ilvl w:val="0"/>
          <w:numId w:val="2"/>
        </w:numPr>
        <w:spacing w:after="60"/>
      </w:pPr>
      <w:r>
        <w:rPr>
          <w:sz w:val="20"/>
          <w:szCs w:val="20"/>
        </w:rPr>
        <w:t xml:space="preserve">Statistik anonim untuk Kepala Sekolah — tren &amp; kategori masalah tanpa membuka isi curhatan siswa</w:t>
      </w:r>
    </w:p>
    <w:p>
      <w:pPr>
        <w:pStyle w:val="ListParagraph"/>
        <w:numPr>
          <w:ilvl w:val="0"/>
          <w:numId w:val="2"/>
        </w:numPr>
        <w:spacing w:after="60"/>
      </w:pPr>
      <w:r>
        <w:rPr>
          <w:sz w:val="20"/>
          <w:szCs w:val="20"/>
        </w:rPr>
        <w:t xml:space="preserve">Notifikasi push real-time ke Guru BK &amp; siswa, tombol darurat (hotline resmi)</w:t>
      </w:r>
    </w:p>
    <w:p>
      <w:pPr>
        <w:pStyle w:val="ListParagraph"/>
        <w:numPr>
          <w:ilvl w:val="0"/>
          <w:numId w:val="2"/>
        </w:numPr>
        <w:spacing w:after="60"/>
      </w:pPr>
      <w:r>
        <w:rPr>
          <w:sz w:val="20"/>
          <w:szCs w:val="20"/>
        </w:rPr>
        <w:t xml:space="preserve">Retensi &amp; pengarsipan data otomatis sesuai kebijakan privasi sekolah</w:t>
      </w:r>
    </w:p>
    <w:p>
      <w:pPr>
        <w:pStyle w:val="ListParagraph"/>
        <w:numPr>
          <w:ilvl w:val="0"/>
          <w:numId w:val="2"/>
        </w:numPr>
        <w:spacing w:after="60"/>
      </w:pPr>
      <w:r>
        <w:rPr>
          <w:sz w:val="20"/>
          <w:szCs w:val="20"/>
        </w:rPr>
        <w:t xml:space="preserve">Bisa “diinstal” langsung dari browser di HP (PWA), tanpa perlu Play Store</w:t>
      </w:r>
    </w:p>
    <w:p>
      <w:pPr>
        <w:pStyle w:val="Heading1"/>
        <w:pBdr>
          <w:bottom w:val="single" w:color="E86A5C" w:sz="12" w:space="4"/>
        </w:pBdr>
        <w:spacing w:after="160" w:before="360"/>
      </w:pPr>
      <w:r>
        <w:rPr>
          <w:b/>
          <w:bCs/>
          <w:color w:val="1E3A5F"/>
          <w:sz w:val="26"/>
          <w:szCs w:val="26"/>
        </w:rPr>
        <w:t xml:space="preserve">B. Estimasi Biaya Internal (Referensi Pribadi)</w:t>
      </w:r>
    </w:p>
    <w:p>
      <w:pPr>
        <w:spacing w:after="60" w:before="120"/>
      </w:pPr>
      <w:r>
        <w:rPr>
          <w:i/>
          <w:iCs/>
          <w:color w:val="6B7280"/>
          <w:sz w:val="18"/>
          <w:szCs w:val="18"/>
        </w:rPr>
        <w:t xml:space="preserve">Bagian ini untuk perhitungan Anda sendiri — tidak perlu dilampirkan ke pihak sekolah.</w:t>
      </w:r>
    </w:p>
    <w:p>
      <w:pPr>
        <w:pStyle w:val="Heading2"/>
        <w:spacing w:after="100" w:before="240"/>
      </w:pPr>
      <w:r>
        <w:rPr>
          <w:b/>
          <w:bCs/>
          <w:color w:val="1E3A5F"/>
          <w:sz w:val="22"/>
          <w:szCs w:val="22"/>
        </w:rPr>
        <w:t xml:space="preserve">B.1 Biaya Pengembangan (Sudah Selesai, Tidak Berulang)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326"/>
      </w:tblGrid>
      <w:tr>
        <w:tc>
          <w:tcPr>
            <w:tcW w:type="dxa" w:w="38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Komponen</w:t>
            </w:r>
          </w:p>
        </w:tc>
        <w:tc>
          <w:tcPr>
            <w:tcW w:type="dxa" w:w="29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Estimasi Nilai Pasar</w:t>
            </w:r>
          </w:p>
        </w:tc>
        <w:tc>
          <w:tcPr>
            <w:tcW w:type="dxa" w:w="2326"/>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Biaya Riil Dikeluarkan</w:t>
            </w:r>
          </w:p>
        </w:tc>
      </w:tr>
      <w:tr>
        <w:tc>
          <w:tcPr>
            <w:tcW w:type="dxa" w:w="38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Pengembangan aplikasi penuh (Next.js, 2 aplikasi: portal publik + dashboard admin, terhubung Firebase)</w:t>
            </w:r>
          </w:p>
        </w:tc>
        <w:tc>
          <w:tcPr>
            <w:tcW w:type="dxa" w:w="29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Rp30.000.000 – Rp150.000.000</w:t>
            </w:r>
          </w:p>
        </w:tc>
        <w:tc>
          <w:tcPr>
            <w:tcW w:type="dxa" w:w="2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Rp0 (dikerjakan mandiri)</w:t>
            </w:r>
          </w:p>
        </w:tc>
      </w:tr>
    </w:tbl>
    <w:p>
      <w:pPr>
        <w:spacing w:after="60" w:before="120"/>
      </w:pPr>
      <w:r>
        <w:rPr>
          <w:i/>
          <w:iCs/>
          <w:color w:val="6B7280"/>
          <w:sz w:val="18"/>
          <w:szCs w:val="18"/>
        </w:rPr>
        <w:t xml:space="preserve">Estimasi nilai pasar mengacu pada kisaran biaya pembuatan aplikasi web setara MVP–menengah oleh software house di Indonesia tahun 2026. Angka ini berguna sebagai pembanding nilai, bukan biaya yang benar-benar dikeluarkan.</w:t>
      </w:r>
    </w:p>
    <w:p>
      <w:pPr>
        <w:pStyle w:val="Heading2"/>
        <w:spacing w:after="100" w:before="240"/>
      </w:pPr>
      <w:r>
        <w:rPr>
          <w:b/>
          <w:bCs/>
          <w:color w:val="1E3A5F"/>
          <w:sz w:val="22"/>
          <w:szCs w:val="22"/>
        </w:rPr>
        <w:t xml:space="preserve">B.2 Biaya Operasional Tahunan (Berulang, per Sekolah)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0"/>
        <w:gridCol w:w="3326"/>
      </w:tblGrid>
      <w:tr>
        <w:tc>
          <w:tcPr>
            <w:tcW w:type="dxa" w:w="57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Komponen</w:t>
            </w:r>
          </w:p>
        </w:tc>
        <w:tc>
          <w:tcPr>
            <w:tcW w:type="dxa" w:w="3326"/>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Estimasi Biaya / Tahun</w:t>
            </w:r>
          </w:p>
        </w:tc>
      </w:tr>
      <w:tr>
        <w:tc>
          <w:tcPr>
            <w:tcW w:type="dxa" w:w="57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Hosting aplikasi (Vercel, tier gratis — cukup untuk skala 1 sekolah)</w:t>
            </w:r>
          </w:p>
        </w:tc>
        <w:tc>
          <w:tcPr>
            <w:tcW w:type="dxa" w:w="3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Rp0</w:t>
            </w:r>
          </w:p>
        </w:tc>
      </w:tr>
      <w:tr>
        <w:tc>
          <w:tcPr>
            <w:tcW w:type="dxa" w:w="57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Database &amp; Autentikasi (Firebase, tier gratis Spark)</w:t>
            </w:r>
          </w:p>
        </w:tc>
        <w:tc>
          <w:tcPr>
            <w:tcW w:type="dxa" w:w="3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Rp0</w:t>
            </w:r>
          </w:p>
        </w:tc>
      </w:tr>
      <w:tr>
        <w:tc>
          <w:tcPr>
            <w:tcW w:type="dxa" w:w="57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Cadangan upgrade Firebase Blaze (jika traffic melebihi kuota gratis)</w:t>
            </w:r>
          </w:p>
        </w:tc>
        <w:tc>
          <w:tcPr>
            <w:tcW w:type="dxa" w:w="3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Rp0 – Rp3.600.000</w:t>
            </w:r>
          </w:p>
        </w:tc>
      </w:tr>
      <w:tr>
        <w:tc>
          <w:tcPr>
            <w:tcW w:type="dxa" w:w="57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Domain kustom (opsional, mis. bk.namasekolah.sch.id)</w:t>
            </w:r>
          </w:p>
        </w:tc>
        <w:tc>
          <w:tcPr>
            <w:tcW w:type="dxa" w:w="3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Rp150.000 – Rp300.000</w:t>
            </w:r>
          </w:p>
        </w:tc>
      </w:tr>
      <w:tr>
        <w:tc>
          <w:tcPr>
            <w:tcW w:type="dxa" w:w="57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Waktu dukungan teknis &amp; pemeliharaan (±2–4 jam/bulan, waktu pribadi)</w:t>
            </w:r>
          </w:p>
        </w:tc>
        <w:tc>
          <w:tcPr>
            <w:tcW w:type="dxa" w:w="3326"/>
            <w:tcMar>
              <w:top w:type="dxa" w:w="80"/>
              <w:left w:type="dxa" w:w="120"/>
              <w:bottom w:type="dxa" w:w="80"/>
              <w:right w:type="dxa" w:w="120"/>
            </w:tcMar>
            <w:vAlign w:val="center"/>
          </w:tcPr>
          <w:p>
            <w:pPr>
              <w:spacing w:after="60" w:before="60"/>
              <w:jc w:val="left"/>
            </w:pPr>
            <w:r>
              <w:rPr>
                <w:b w:val="false"/>
                <w:bCs w:val="false"/>
                <w:i/>
                <w:iCs/>
                <w:color w:val="111827"/>
                <w:sz w:val="20"/>
                <w:szCs w:val="20"/>
              </w:rPr>
              <w:t xml:space="preserve">Tidak dihitung sebagai kas keluar</w:t>
            </w:r>
          </w:p>
        </w:tc>
      </w:tr>
      <w:tr>
        <w:tc>
          <w:tcPr>
            <w:tcW w:type="dxa" w:w="5700"/>
            <w:shd w:fill="1E3A5F" w:val="clear"/>
            <w:tcMar>
              <w:top w:type="dxa" w:w="90"/>
              <w:left w:type="dxa" w:w="120"/>
              <w:bottom w:type="dxa" w:w="90"/>
              <w:right w:type="dxa" w:w="120"/>
            </w:tcMar>
            <w:vAlign w:val="center"/>
          </w:tcPr>
          <w:p>
            <w:pPr>
              <w:spacing w:after="60" w:before="60"/>
              <w:jc w:val="left"/>
            </w:pPr>
            <w:r>
              <w:rPr>
                <w:b/>
                <w:bCs/>
                <w:i w:val="false"/>
                <w:iCs w:val="false"/>
                <w:color w:val="FFFFFF"/>
                <w:sz w:val="20"/>
                <w:szCs w:val="20"/>
              </w:rPr>
              <w:t xml:space="preserve">Total Estimasi Kas Keluar / Tahun</w:t>
            </w:r>
          </w:p>
        </w:tc>
        <w:tc>
          <w:tcPr>
            <w:tcW w:type="dxa" w:w="3326"/>
            <w:shd w:fill="1E3A5F" w:val="clear"/>
            <w:tcMar>
              <w:top w:type="dxa" w:w="90"/>
              <w:left w:type="dxa" w:w="120"/>
              <w:bottom w:type="dxa" w:w="90"/>
              <w:right w:type="dxa" w:w="120"/>
            </w:tcMar>
            <w:vAlign w:val="center"/>
          </w:tcPr>
          <w:p>
            <w:pPr>
              <w:spacing w:after="60" w:before="60"/>
              <w:jc w:val="center"/>
            </w:pPr>
            <w:r>
              <w:rPr>
                <w:b/>
                <w:bCs/>
                <w:i w:val="false"/>
                <w:iCs w:val="false"/>
                <w:color w:val="FFFFFF"/>
                <w:sz w:val="20"/>
                <w:szCs w:val="20"/>
              </w:rPr>
              <w:t xml:space="preserve">Rp150.000 – Rp3.900.000</w:t>
            </w:r>
          </w:p>
        </w:tc>
      </w:tr>
    </w:tbl>
    <w:p>
      <w:pPr>
        <w:pStyle w:val="Heading2"/>
        <w:spacing w:after="100" w:before="240"/>
      </w:pPr>
      <w:r>
        <w:rPr>
          <w:b/>
          <w:bCs/>
          <w:color w:val="1E3A5F"/>
          <w:sz w:val="22"/>
          <w:szCs w:val="22"/>
        </w:rPr>
        <w:t xml:space="preserve">B.3 Estimasi Margin per Sekolah per Tahun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0"/>
        <w:gridCol w:w="3326"/>
      </w:tblGrid>
      <w:tr>
        <w:tc>
          <w:tcPr>
            <w:tcW w:type="dxa" w:w="57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Harga Langganan (Pendapatan)</w:t>
            </w:r>
          </w:p>
        </w:tc>
        <w:tc>
          <w:tcPr>
            <w:tcW w:type="dxa" w:w="3326"/>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Rp15.000.000</w:t>
            </w:r>
          </w:p>
        </w:tc>
      </w:tr>
      <w:tr>
        <w:tc>
          <w:tcPr>
            <w:tcW w:type="dxa" w:w="5700"/>
            <w:shd w:fill="F2F5F8" w:val="clear"/>
            <w:tcMar>
              <w:top w:type="dxa" w:w="80"/>
              <w:left w:type="dxa" w:w="120"/>
              <w:bottom w:type="dxa" w:w="80"/>
              <w:right w:type="dxa" w:w="120"/>
            </w:tcMar>
            <w:vAlign w:val="center"/>
          </w:tcPr>
          <w:p>
            <w:pPr>
              <w:spacing w:after="60" w:before="60"/>
              <w:jc w:val="left"/>
            </w:pPr>
            <w:r>
              <w:rPr>
                <w:b/>
                <w:bCs/>
                <w:i w:val="false"/>
                <w:iCs w:val="false"/>
                <w:color w:val="111827"/>
                <w:sz w:val="20"/>
                <w:szCs w:val="20"/>
              </w:rPr>
              <w:t xml:space="preserve">Estimasi Biaya Operasional</w:t>
            </w:r>
          </w:p>
        </w:tc>
        <w:tc>
          <w:tcPr>
            <w:tcW w:type="dxa" w:w="33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Rp150.000 – Rp3.900.000</w:t>
            </w:r>
          </w:p>
        </w:tc>
      </w:tr>
      <w:tr>
        <w:tc>
          <w:tcPr>
            <w:tcW w:type="dxa" w:w="5700"/>
            <w:shd w:fill="1E3A5F" w:val="clear"/>
            <w:tcMar>
              <w:top w:type="dxa" w:w="90"/>
              <w:left w:type="dxa" w:w="120"/>
              <w:bottom w:type="dxa" w:w="90"/>
              <w:right w:type="dxa" w:w="120"/>
            </w:tcMar>
            <w:vAlign w:val="center"/>
          </w:tcPr>
          <w:p>
            <w:pPr>
              <w:spacing w:after="60" w:before="60"/>
              <w:jc w:val="left"/>
            </w:pPr>
            <w:r>
              <w:rPr>
                <w:b/>
                <w:bCs/>
                <w:i w:val="false"/>
                <w:iCs w:val="false"/>
                <w:color w:val="FFFFFF"/>
                <w:sz w:val="20"/>
                <w:szCs w:val="20"/>
              </w:rPr>
              <w:t xml:space="preserve">Estimasi Margin Kotor</w:t>
            </w:r>
          </w:p>
        </w:tc>
        <w:tc>
          <w:tcPr>
            <w:tcW w:type="dxa" w:w="3326"/>
            <w:shd w:fill="1E3A5F" w:val="clear"/>
            <w:tcMar>
              <w:top w:type="dxa" w:w="90"/>
              <w:left w:type="dxa" w:w="120"/>
              <w:bottom w:type="dxa" w:w="90"/>
              <w:right w:type="dxa" w:w="120"/>
            </w:tcMar>
            <w:vAlign w:val="center"/>
          </w:tcPr>
          <w:p>
            <w:pPr>
              <w:spacing w:after="60" w:before="60"/>
              <w:jc w:val="center"/>
            </w:pPr>
            <w:r>
              <w:rPr>
                <w:b/>
                <w:bCs/>
                <w:i w:val="false"/>
                <w:iCs w:val="false"/>
                <w:color w:val="FFFFFF"/>
                <w:sz w:val="20"/>
                <w:szCs w:val="20"/>
              </w:rPr>
              <w:t xml:space="preserve">Rp11.100.000 – Rp14.850.000 (≈74%–99%)</w:t>
            </w:r>
          </w:p>
        </w:tc>
      </w:tr>
    </w:tbl>
    <w:p>
      <w:pPr>
        <w:pStyle w:val="Heading1"/>
        <w:pBdr>
          <w:bottom w:val="single" w:color="E86A5C" w:sz="12" w:space="4"/>
        </w:pBdr>
        <w:spacing w:after="160" w:before="360"/>
      </w:pPr>
      <w:r>
        <w:rPr>
          <w:b/>
          <w:bCs/>
          <w:color w:val="1E3A5F"/>
          <w:sz w:val="26"/>
          <w:szCs w:val="26"/>
        </w:rPr>
        <w:t xml:space="preserve">C. Rincian Alokasi Biaya Langganan</w:t>
      </w:r>
    </w:p>
    <w:p>
      <w:pPr>
        <w:spacing w:after="60" w:before="120"/>
      </w:pPr>
      <w:r>
        <w:rPr>
          <w:i/>
          <w:iCs/>
          <w:color w:val="6B7280"/>
          <w:sz w:val="18"/>
          <w:szCs w:val="18"/>
        </w:rPr>
        <w:t xml:space="preserve">Bagian ini bisa dilampirkan ke sekolah sebagai justifikasi/rincian harga — sering diminta sekolah untuk pertanggungjawaban penggunaan dana (mis. dana BOS).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Komponen</w:t>
            </w:r>
          </w:p>
        </w:tc>
        <w:tc>
          <w:tcPr>
            <w:tcW w:type="dxa" w:w="4426"/>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Cakupan</w:t>
            </w:r>
          </w:p>
        </w:tc>
        <w:tc>
          <w:tcPr>
            <w:tcW w:type="dxa" w:w="20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Alokasi</w:t>
            </w:r>
          </w:p>
        </w:tc>
      </w:tr>
      <w:tr>
        <w:tc>
          <w:tcPr>
            <w:tcW w:type="dxa" w:w="26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Lisensi &amp; Hak Pakai Aplikasi</w:t>
            </w:r>
          </w:p>
        </w:tc>
        <w:tc>
          <w:tcPr>
            <w:tcW w:type="dxa" w:w="4426"/>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Akses penuh untuk seluruh siswa dan Guru BK sekolah, tanpa batas jumlah pengguna</w:t>
            </w:r>
          </w:p>
        </w:tc>
        <w:tc>
          <w:tcPr>
            <w:tcW w:type="dxa" w:w="20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Rp8.000.000</w:t>
            </w:r>
          </w:p>
        </w:tc>
      </w:tr>
      <w:tr>
        <w:tc>
          <w:tcPr>
            <w:tcW w:type="dxa" w:w="26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Hosting &amp; Infrastruktur Server</w:t>
            </w:r>
          </w:p>
        </w:tc>
        <w:tc>
          <w:tcPr>
            <w:tcW w:type="dxa" w:w="44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Server cloud, database terenkripsi, dan ketersediaan sistem (uptime) yang terjaga</w:t>
            </w:r>
          </w:p>
        </w:tc>
        <w:tc>
          <w:tcPr>
            <w:tcW w:type="dxa" w:w="20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Rp2.500.000</w:t>
            </w:r>
          </w:p>
        </w:tc>
      </w:tr>
      <w:tr>
        <w:tc>
          <w:tcPr>
            <w:tcW w:type="dxa" w:w="26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Pemeliharaan Sistem &amp; Keamanan</w:t>
            </w:r>
          </w:p>
        </w:tc>
        <w:tc>
          <w:tcPr>
            <w:tcW w:type="dxa" w:w="4426"/>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Pembaruan rutin, perbaikan bug, penyesuaian sesuai kebutuhan sekolah</w:t>
            </w:r>
          </w:p>
        </w:tc>
        <w:tc>
          <w:tcPr>
            <w:tcW w:type="dxa" w:w="200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Rp2.500.000</w:t>
            </w:r>
          </w:p>
        </w:tc>
      </w:tr>
      <w:tr>
        <w:tc>
          <w:tcPr>
            <w:tcW w:type="dxa" w:w="26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Dukungan Teknis &amp; Pelatihan</w:t>
            </w:r>
          </w:p>
        </w:tc>
        <w:tc>
          <w:tcPr>
            <w:tcW w:type="dxa" w:w="44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Onboarding Guru BK &amp; Super Admin, bantuan teknis responsif selama masa langganan</w:t>
            </w:r>
          </w:p>
        </w:tc>
        <w:tc>
          <w:tcPr>
            <w:tcW w:type="dxa" w:w="200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Rp2.000.000</w:t>
            </w:r>
          </w:p>
        </w:tc>
      </w:tr>
      <w:tr>
        <w:tc>
          <w:tcPr>
            <w:tcW w:type="dxa" w:w="2600"/>
            <w:shd w:fill="1E3A5F" w:val="clear"/>
            <w:tcMar>
              <w:top w:type="dxa" w:w="90"/>
              <w:left w:type="dxa" w:w="120"/>
              <w:bottom w:type="dxa" w:w="90"/>
              <w:right w:type="dxa" w:w="120"/>
            </w:tcMar>
            <w:vAlign w:val="center"/>
          </w:tcPr>
          <w:p>
            <w:pPr>
              <w:spacing w:after="60" w:before="60"/>
              <w:jc w:val="left"/>
            </w:pPr>
            <w:r>
              <w:rPr>
                <w:b/>
                <w:bCs/>
                <w:i w:val="false"/>
                <w:iCs w:val="false"/>
                <w:color w:val="FFFFFF"/>
                <w:sz w:val="20"/>
                <w:szCs w:val="20"/>
              </w:rPr>
              <w:t xml:space="preserve">Total</w:t>
            </w:r>
          </w:p>
        </w:tc>
        <w:tc>
          <w:tcPr>
            <w:tcW w:type="dxa" w:w="4426"/>
            <w:shd w:fill="1E3A5F" w:val="clear"/>
            <w:tcMar>
              <w:top w:type="dxa" w:w="90"/>
              <w:left w:type="dxa" w:w="120"/>
              <w:bottom w:type="dxa" w:w="90"/>
              <w:right w:type="dxa" w:w="120"/>
            </w:tcMar>
            <w:vAlign w:val="center"/>
          </w:tcPr>
          <w:p>
            <w:pPr>
              <w:spacing w:after="60" w:before="60"/>
              <w:jc w:val="left"/>
            </w:pPr>
            <w:r>
              <w:rPr>
                <w:b/>
                <w:bCs/>
                <w:i w:val="false"/>
                <w:iCs w:val="false"/>
                <w:color w:val="FFFFFF"/>
                <w:sz w:val="20"/>
                <w:szCs w:val="20"/>
              </w:rPr>
              <w:t xml:space="preserve"/>
            </w:r>
          </w:p>
        </w:tc>
        <w:tc>
          <w:tcPr>
            <w:tcW w:type="dxa" w:w="2000"/>
            <w:shd w:fill="1E3A5F" w:val="clear"/>
            <w:tcMar>
              <w:top w:type="dxa" w:w="90"/>
              <w:left w:type="dxa" w:w="120"/>
              <w:bottom w:type="dxa" w:w="90"/>
              <w:right w:type="dxa" w:w="120"/>
            </w:tcMar>
            <w:vAlign w:val="center"/>
          </w:tcPr>
          <w:p>
            <w:pPr>
              <w:spacing w:after="60" w:before="60"/>
              <w:jc w:val="center"/>
            </w:pPr>
            <w:r>
              <w:rPr>
                <w:b/>
                <w:bCs/>
                <w:i w:val="false"/>
                <w:iCs w:val="false"/>
                <w:color w:val="FFFFFF"/>
                <w:sz w:val="20"/>
                <w:szCs w:val="20"/>
              </w:rPr>
              <w:t xml:space="preserve">Rp15.000.000</w:t>
            </w:r>
          </w:p>
        </w:tc>
      </w:tr>
    </w:tbl>
    <w:p>
      <w:pPr>
        <w:pStyle w:val="Heading1"/>
        <w:pBdr>
          <w:bottom w:val="single" w:color="E86A5C" w:sz="12" w:space="4"/>
        </w:pBdr>
        <w:spacing w:after="160" w:before="360"/>
      </w:pPr>
      <w:r>
        <w:rPr>
          <w:b/>
          <w:bCs/>
          <w:color w:val="1E3A5F"/>
          <w:sz w:val="26"/>
          <w:szCs w:val="26"/>
        </w:rPr>
        <w:t xml:space="preserve">D. Proyeksi Pendapatan Multi-Sekolah</w:t>
      </w:r>
    </w:p>
    <w:p>
      <w:pPr>
        <w:spacing w:after="140"/>
      </w:pPr>
      <w:r>
        <w:rPr>
          <w:i w:val="false"/>
          <w:iCs w:val="false"/>
          <w:color w:val="1F2937"/>
          <w:sz w:val="20"/>
          <w:szCs w:val="20"/>
        </w:rPr>
        <w:t xml:space="preserve">Karena aplikasi sudah dibangun sekali dan biaya infrastruktur bertambah landai (tidak linear terhadap harga jual), pendapatan dari sekolah tambahan sebagian besar menjadi margin tambahan.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50"/>
        <w:gridCol w:w="2550"/>
        <w:gridCol w:w="2226"/>
      </w:tblGrid>
      <w:tr>
        <w:tc>
          <w:tcPr>
            <w:tcW w:type="dxa" w:w="180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Jumlah Sekolah</w:t>
            </w:r>
          </w:p>
        </w:tc>
        <w:tc>
          <w:tcPr>
            <w:tcW w:type="dxa" w:w="245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Pendapatan / Tahun</w:t>
            </w:r>
          </w:p>
        </w:tc>
        <w:tc>
          <w:tcPr>
            <w:tcW w:type="dxa" w:w="2550"/>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Est. Biaya Operasional / Tahun</w:t>
            </w:r>
          </w:p>
        </w:tc>
        <w:tc>
          <w:tcPr>
            <w:tcW w:type="dxa" w:w="2226"/>
            <w:shd w:fill="1E3A5F" w:val="clear"/>
            <w:tcMar>
              <w:top w:type="dxa" w:w="80"/>
              <w:left w:type="dxa" w:w="120"/>
              <w:bottom w:type="dxa" w:w="80"/>
              <w:right w:type="dxa" w:w="120"/>
            </w:tcMar>
            <w:vAlign w:val="center"/>
          </w:tcPr>
          <w:p>
            <w:pPr>
              <w:spacing w:after="60" w:before="60"/>
              <w:jc w:val="left"/>
            </w:pPr>
            <w:r>
              <w:rPr>
                <w:b/>
                <w:bCs/>
                <w:i w:val="false"/>
                <w:iCs w:val="false"/>
                <w:color w:val="FFFFFF"/>
                <w:sz w:val="19"/>
                <w:szCs w:val="19"/>
              </w:rPr>
              <w:t xml:space="preserve">Est. Margin</w:t>
            </w:r>
          </w:p>
        </w:tc>
      </w:tr>
      <w:tr>
        <w:tc>
          <w:tcPr>
            <w:tcW w:type="dxa" w:w="1800"/>
            <w:shd w:fill="F2F5F8" w:val="clear"/>
            <w:tcMar>
              <w:top w:type="dxa" w:w="80"/>
              <w:left w:type="dxa" w:w="120"/>
              <w:bottom w:type="dxa" w:w="80"/>
              <w:right w:type="dxa" w:w="120"/>
            </w:tcMar>
            <w:vAlign w:val="center"/>
          </w:tcPr>
          <w:p>
            <w:pPr>
              <w:spacing w:after="60" w:before="60"/>
              <w:jc w:val="center"/>
            </w:pPr>
            <w:r>
              <w:rPr>
                <w:b w:val="false"/>
                <w:bCs w:val="false"/>
                <w:i w:val="false"/>
                <w:iCs w:val="false"/>
                <w:color w:val="111827"/>
                <w:sz w:val="20"/>
                <w:szCs w:val="20"/>
              </w:rPr>
              <w:t xml:space="preserve">1 sekolah</w:t>
            </w:r>
          </w:p>
        </w:tc>
        <w:tc>
          <w:tcPr>
            <w:tcW w:type="dxa" w:w="245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Rp15.000.000</w:t>
            </w:r>
          </w:p>
        </w:tc>
        <w:tc>
          <w:tcPr>
            <w:tcW w:type="dxa" w:w="255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Rp500.000</w:t>
            </w:r>
          </w:p>
        </w:tc>
        <w:tc>
          <w:tcPr>
            <w:tcW w:type="dxa" w:w="2226"/>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Rp14.500.000</w:t>
            </w:r>
          </w:p>
        </w:tc>
      </w:tr>
      <w:tr>
        <w:tc>
          <w:tcPr>
            <w:tcW w:type="dxa" w:w="1800"/>
            <w:tcMar>
              <w:top w:type="dxa" w:w="80"/>
              <w:left w:type="dxa" w:w="120"/>
              <w:bottom w:type="dxa" w:w="80"/>
              <w:right w:type="dxa" w:w="120"/>
            </w:tcMar>
            <w:vAlign w:val="center"/>
          </w:tcPr>
          <w:p>
            <w:pPr>
              <w:spacing w:after="60" w:before="60"/>
              <w:jc w:val="center"/>
            </w:pPr>
            <w:r>
              <w:rPr>
                <w:b w:val="false"/>
                <w:bCs w:val="false"/>
                <w:i w:val="false"/>
                <w:iCs w:val="false"/>
                <w:color w:val="111827"/>
                <w:sz w:val="20"/>
                <w:szCs w:val="20"/>
              </w:rPr>
              <w:t xml:space="preserve">3 sekolah</w:t>
            </w:r>
          </w:p>
        </w:tc>
        <w:tc>
          <w:tcPr>
            <w:tcW w:type="dxa" w:w="245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Rp45.000.000</w:t>
            </w:r>
          </w:p>
        </w:tc>
        <w:tc>
          <w:tcPr>
            <w:tcW w:type="dxa" w:w="255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Rp1.500.000</w:t>
            </w:r>
          </w:p>
        </w:tc>
        <w:tc>
          <w:tcPr>
            <w:tcW w:type="dxa" w:w="2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Rp43.500.000</w:t>
            </w:r>
          </w:p>
        </w:tc>
      </w:tr>
      <w:tr>
        <w:tc>
          <w:tcPr>
            <w:tcW w:type="dxa" w:w="1800"/>
            <w:shd w:fill="F2F5F8" w:val="clear"/>
            <w:tcMar>
              <w:top w:type="dxa" w:w="80"/>
              <w:left w:type="dxa" w:w="120"/>
              <w:bottom w:type="dxa" w:w="80"/>
              <w:right w:type="dxa" w:w="120"/>
            </w:tcMar>
            <w:vAlign w:val="center"/>
          </w:tcPr>
          <w:p>
            <w:pPr>
              <w:spacing w:after="60" w:before="60"/>
              <w:jc w:val="center"/>
            </w:pPr>
            <w:r>
              <w:rPr>
                <w:b w:val="false"/>
                <w:bCs w:val="false"/>
                <w:i w:val="false"/>
                <w:iCs w:val="false"/>
                <w:color w:val="111827"/>
                <w:sz w:val="20"/>
                <w:szCs w:val="20"/>
              </w:rPr>
              <w:t xml:space="preserve">5 sekolah</w:t>
            </w:r>
          </w:p>
        </w:tc>
        <w:tc>
          <w:tcPr>
            <w:tcW w:type="dxa" w:w="245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Rp75.000.000</w:t>
            </w:r>
          </w:p>
        </w:tc>
        <w:tc>
          <w:tcPr>
            <w:tcW w:type="dxa" w:w="2550"/>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Rp3.000.000</w:t>
            </w:r>
          </w:p>
        </w:tc>
        <w:tc>
          <w:tcPr>
            <w:tcW w:type="dxa" w:w="2226"/>
            <w:shd w:fill="F2F5F8" w:val="clear"/>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Rp72.000.000</w:t>
            </w:r>
          </w:p>
        </w:tc>
      </w:tr>
      <w:tr>
        <w:tc>
          <w:tcPr>
            <w:tcW w:type="dxa" w:w="1800"/>
            <w:tcMar>
              <w:top w:type="dxa" w:w="80"/>
              <w:left w:type="dxa" w:w="120"/>
              <w:bottom w:type="dxa" w:w="80"/>
              <w:right w:type="dxa" w:w="120"/>
            </w:tcMar>
            <w:vAlign w:val="center"/>
          </w:tcPr>
          <w:p>
            <w:pPr>
              <w:spacing w:after="60" w:before="60"/>
              <w:jc w:val="center"/>
            </w:pPr>
            <w:r>
              <w:rPr>
                <w:b w:val="false"/>
                <w:bCs w:val="false"/>
                <w:i w:val="false"/>
                <w:iCs w:val="false"/>
                <w:color w:val="111827"/>
                <w:sz w:val="20"/>
                <w:szCs w:val="20"/>
              </w:rPr>
              <w:t xml:space="preserve">10 sekolah</w:t>
            </w:r>
          </w:p>
        </w:tc>
        <w:tc>
          <w:tcPr>
            <w:tcW w:type="dxa" w:w="245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Rp150.000.000</w:t>
            </w:r>
          </w:p>
        </w:tc>
        <w:tc>
          <w:tcPr>
            <w:tcW w:type="dxa" w:w="2550"/>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Rp6.000.000</w:t>
            </w:r>
          </w:p>
        </w:tc>
        <w:tc>
          <w:tcPr>
            <w:tcW w:type="dxa" w:w="2226"/>
            <w:tcMar>
              <w:top w:type="dxa" w:w="80"/>
              <w:left w:type="dxa" w:w="120"/>
              <w:bottom w:type="dxa" w:w="80"/>
              <w:right w:type="dxa" w:w="120"/>
            </w:tcMar>
            <w:vAlign w:val="center"/>
          </w:tcPr>
          <w:p>
            <w:pPr>
              <w:spacing w:after="60" w:before="60"/>
              <w:jc w:val="left"/>
            </w:pPr>
            <w:r>
              <w:rPr>
                <w:b w:val="false"/>
                <w:bCs w:val="false"/>
                <w:i w:val="false"/>
                <w:iCs w:val="false"/>
                <w:color w:val="111827"/>
                <w:sz w:val="20"/>
                <w:szCs w:val="20"/>
              </w:rPr>
              <w:t xml:space="preserve">± Rp144.000.000</w:t>
            </w:r>
          </w:p>
        </w:tc>
      </w:tr>
    </w:tbl>
    <w:p>
      <w:pPr>
        <w:spacing w:after="60" w:before="120"/>
      </w:pPr>
      <w:r>
        <w:rPr>
          <w:i/>
          <w:iCs/>
          <w:color w:val="6B7280"/>
          <w:sz w:val="18"/>
          <w:szCs w:val="18"/>
        </w:rPr>
        <w:t xml:space="preserve">Estimasi biaya operasional naik mengikuti jumlah sekolah karena kemungkinan melewati kuota gratis Firebase/Vercel (perlu upgrade ke paket berbayar) dan bertambahnya waktu dukungan teknis. Angka bersifat perkiraan, bukan jaminan.</w:t>
      </w:r>
    </w:p>
    <w:p>
      <w:pPr>
        <w:pStyle w:val="Heading1"/>
        <w:pBdr>
          <w:bottom w:val="single" w:color="E86A5C" w:sz="12" w:space="4"/>
        </w:pBdr>
        <w:spacing w:after="160" w:before="360"/>
      </w:pPr>
      <w:r>
        <w:rPr>
          <w:b/>
          <w:bCs/>
          <w:color w:val="1E3A5F"/>
          <w:sz w:val="26"/>
          <w:szCs w:val="26"/>
        </w:rPr>
        <w:t xml:space="preserve">E. Catatan &amp; Rekomendasi</w:t>
      </w:r>
    </w:p>
    <w:p>
      <w:pPr>
        <w:pStyle w:val="ListParagraph"/>
        <w:numPr>
          <w:ilvl w:val="0"/>
          <w:numId w:val="2"/>
        </w:numPr>
        <w:spacing w:after="60"/>
      </w:pPr>
      <w:r>
        <w:rPr>
          <w:sz w:val="20"/>
          <w:szCs w:val="20"/>
        </w:rPr>
        <w:t xml:space="preserve">Angka pada dokumen ini adalah estimasi berdasarkan riset pasar dan kondisi infrastruktur saat ini (September 2026), bukan angka final/mengikat.</w:t>
      </w:r>
    </w:p>
    <w:p>
      <w:pPr>
        <w:pStyle w:val="ListParagraph"/>
        <w:numPr>
          <w:ilvl w:val="0"/>
          <w:numId w:val="2"/>
        </w:numPr>
        <w:spacing w:after="60"/>
      </w:pPr>
      <w:r>
        <w:rPr>
          <w:sz w:val="20"/>
          <w:szCs w:val="20"/>
        </w:rPr>
        <w:t xml:space="preserve">Harga dan rincian alokasi biaya (Bagian C) dapat disesuaikan sesuai hasil negosiasi dengan masing-masing sekolah.</w:t>
      </w:r>
    </w:p>
    <w:p>
      <w:pPr>
        <w:pStyle w:val="ListParagraph"/>
        <w:numPr>
          <w:ilvl w:val="0"/>
          <w:numId w:val="2"/>
        </w:numPr>
        <w:spacing w:after="60"/>
      </w:pPr>
      <w:r>
        <w:rPr>
          <w:sz w:val="20"/>
          <w:szCs w:val="20"/>
        </w:rPr>
        <w:t xml:space="preserve">Disarankan mengevaluasi ulang biaya operasional setelah beberapa bulan berjalan, terutama bila jumlah pengguna bertambah signifikan.</w:t>
      </w:r>
    </w:p>
    <w:p>
      <w:pPr>
        <w:pStyle w:val="ListParagraph"/>
        <w:numPr>
          <w:ilvl w:val="0"/>
          <w:numId w:val="2"/>
        </w:numPr>
        <w:spacing w:after="60"/>
      </w:pPr>
      <w:r>
        <w:rPr>
          <w:sz w:val="20"/>
          <w:szCs w:val="20"/>
        </w:rPr>
        <w:t xml:space="preserve">Rp15 juta/tahun berada di rentang wajar untuk sekolah menengah (perkiraan pasar Rp9,6–30 juta/tahun untuk sekolah 300–1.000 siswa), jadi tetap kompetitif meski sudah dinaikkan dari rencana awal Rp8 juta/tahun.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2026-09-13T12:45:58.219Z</dcterms:created>
  <dcterms:modified xsi:type="dcterms:W3CDTF">2026-09-13T12:45:58.230Z</dcterms:modified>
</cp:coreProperties>
</file>

<file path=docProps/custom.xml><?xml version="1.0" encoding="utf-8"?>
<Properties xmlns="http://schemas.openxmlformats.org/officeDocument/2006/custom-properties" xmlns:vt="http://schemas.openxmlformats.org/officeDocument/2006/docPropsVTypes"/>
</file>