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E3A5F"/>
          <w:sz w:val="34"/>
          <w:szCs w:val="34"/>
        </w:rPr>
        <w:t xml:space="preserve">RENCANA ANGGARAN BIAYA (RAB)</w:t>
      </w:r>
    </w:p>
    <w:p>
      <w:pPr>
        <w:spacing w:after="20"/>
        <w:jc w:val="center"/>
      </w:pPr>
      <w:r>
        <w:rPr>
          <w:b/>
          <w:bCs/>
          <w:color w:val="E86A5C"/>
          <w:sz w:val="26"/>
          <w:szCs w:val="26"/>
        </w:rPr>
        <w:t xml:space="preserve">Langganan Aplikasi Ruang Aman BK</w:t>
      </w:r>
    </w:p>
    <w:p>
      <w:pPr>
        <w:spacing w:after="260"/>
        <w:jc w:val="center"/>
      </w:pPr>
      <w:r>
        <w:rPr>
          <w:i/>
          <w:iCs/>
          <w:color w:val="6B7280"/>
          <w:sz w:val="20"/>
          <w:szCs w:val="20"/>
        </w:rPr>
        <w:t xml:space="preserve">Diserahkan kepada SMKN 1 Ciruas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Nama Aplikasi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Ruang Aman BK</w:t>
            </w:r>
          </w:p>
        </w:tc>
      </w:tr>
      <w:tr>
        <w:tc>
          <w:tcPr>
            <w:tcW w:type="dxa" w:w="28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Pihak Penyedia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______________________________</w:t>
            </w:r>
          </w:p>
        </w:tc>
      </w:tr>
      <w:tr>
        <w:tc>
          <w:tcPr>
            <w:tcW w:type="dxa" w:w="28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Pihak Penerima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SMKN 1 Ciruas</w:t>
            </w:r>
          </w:p>
        </w:tc>
      </w:tr>
      <w:tr>
        <w:tc>
          <w:tcPr>
            <w:tcW w:type="dxa" w:w="28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Periode Langganan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(satu) tahun, terhitung sejak tanggal aktivasi</w:t>
            </w:r>
          </w:p>
        </w:tc>
      </w:tr>
      <w:tr>
        <w:tc>
          <w:tcPr>
            <w:tcW w:type="dxa" w:w="28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Tanggal</w:t>
            </w:r>
          </w:p>
        </w:tc>
        <w:tc>
          <w:tcPr>
            <w:tcW w:type="dxa" w:w="6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13 September 2026</w:t>
            </w:r>
          </w:p>
        </w:tc>
      </w:tr>
    </w:tbl>
    <w:p>
      <w:pPr>
        <w:pStyle w:val="Heading1"/>
        <w:pBdr>
          <w:bottom w:val="single" w:color="E86A5C" w:sz="12" w:space="4"/>
        </w:pBdr>
        <w:spacing w:after="160" w:before="360"/>
      </w:pPr>
      <w:r>
        <w:rPr>
          <w:b/>
          <w:bCs/>
          <w:color w:val="1E3A5F"/>
          <w:sz w:val="26"/>
          <w:szCs w:val="26"/>
        </w:rPr>
        <w:t xml:space="preserve">A. Rincian Komponen Biaya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c>
          <w:tcPr>
            <w:tcW w:type="dxa" w:w="2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4426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Cakupan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Biaya</w:t>
            </w:r>
          </w:p>
        </w:tc>
      </w:tr>
      <w:tr>
        <w:tc>
          <w:tcPr>
            <w:tcW w:type="dxa" w:w="26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Lisensi &amp; Hak Pakai Aplikasi</w:t>
            </w:r>
          </w:p>
        </w:tc>
        <w:tc>
          <w:tcPr>
            <w:tcW w:type="dxa" w:w="4426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Akses penuh untuk seluruh siswa dan Guru BK sekolah, tanpa batas jumlah pengguna</w:t>
            </w:r>
          </w:p>
        </w:tc>
        <w:tc>
          <w:tcPr>
            <w:tcW w:type="dxa" w:w="20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Rp8.000.000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Hosting &amp; Infrastruktur Server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Server cloud, database terenkripsi, dan ketersediaan sistem (uptime) yang terjaga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Rp2.500.000</w:t>
            </w:r>
          </w:p>
        </w:tc>
      </w:tr>
      <w:tr>
        <w:tc>
          <w:tcPr>
            <w:tcW w:type="dxa" w:w="26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Pemeliharaan Sistem &amp; Keamanan</w:t>
            </w:r>
          </w:p>
        </w:tc>
        <w:tc>
          <w:tcPr>
            <w:tcW w:type="dxa" w:w="4426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Pembaruan rutin, perbaikan bug, penyesuaian sesuai kebutuhan sekolah</w:t>
            </w:r>
          </w:p>
        </w:tc>
        <w:tc>
          <w:tcPr>
            <w:tcW w:type="dxa" w:w="2000"/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Rp2.500.000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Dukungan Teknis &amp; Pelatihan</w:t>
            </w:r>
          </w:p>
        </w:tc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Onboarding Guru BK &amp; Super Admin, bantuan teknis responsif selama masa langganan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Rp2.000.000</w:t>
            </w:r>
          </w:p>
        </w:tc>
      </w:tr>
      <w:tr>
        <w:tc>
          <w:tcPr>
            <w:tcW w:type="dxa" w:w="2600"/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426"/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Rp15.000.000</w:t>
            </w:r>
          </w:p>
        </w:tc>
      </w:tr>
    </w:tbl>
    <w:p>
      <w:pPr>
        <w:spacing w:after="60" w:before="120"/>
      </w:pPr>
      <w:r>
        <w:rPr>
          <w:i/>
          <w:iCs/>
          <w:color w:val="6B7280"/>
          <w:sz w:val="18"/>
          <w:szCs w:val="18"/>
        </w:rPr>
        <w:t xml:space="preserve">Terbilang: Lima Belas Juta Rupiah per tahun.</w:t>
      </w:r>
    </w:p>
    <w:p>
      <w:pPr>
        <w:pStyle w:val="Heading1"/>
        <w:pBdr>
          <w:bottom w:val="single" w:color="E86A5C" w:sz="12" w:space="4"/>
        </w:pBdr>
        <w:spacing w:after="160" w:before="360"/>
      </w:pPr>
      <w:r>
        <w:rPr>
          <w:b/>
          <w:bCs/>
          <w:color w:val="1E3A5F"/>
          <w:sz w:val="26"/>
          <w:szCs w:val="26"/>
        </w:rPr>
        <w:t xml:space="preserve">B. Fitur yang Tercakup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Portal curhat anonim siswa tanpa akun, dengan Kode Konseling pribadi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Ruang obrolan (chat) real-time antara siswa dan Guru BK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Dashboard Guru BK: pengelolaan tiket, prioritas otomatis kasus berisiko, template balasan cepat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Dashboard Super Admin sekolah: kelola akun Guru BK, pengaturan sekolah,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Statistik anonim untuk Kepala Sekolah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Notifikasi push real-time, tombol darurat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Retensi &amp; pengarsipan data otomatis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Dukungan teknis selama masa langganan berjalan</w:t>
      </w:r>
    </w:p>
    <w:p>
      <w:pPr>
        <w:pStyle w:val="Heading1"/>
        <w:pBdr>
          <w:bottom w:val="single" w:color="E86A5C" w:sz="12" w:space="4"/>
        </w:pBdr>
        <w:spacing w:after="160" w:before="360"/>
      </w:pPr>
      <w:r>
        <w:rPr>
          <w:b/>
          <w:bCs/>
          <w:color w:val="1E3A5F"/>
          <w:sz w:val="26"/>
          <w:szCs w:val="26"/>
        </w:rPr>
        <w:t xml:space="preserve">C. Ketentuan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Biaya bersifat tetap (flat) untuk 1 (satu) sekolah, tidak dipengaruhi jumlah siswa atau Guru BK yang menggunakan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Perpanjangan langganan tahun berikutnya mengikuti kesepakatan harga yang berlaku saat itu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Pembayaran dan metode pembayaran mengikuti kesepakatan lebih lanjut antara kedua pihak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 curhatan siswa tetap dapat diakses sekolah selama masa langganan aktif, mengikuti kebijakan retensi yang disepakati</w:t>
      </w:r>
    </w:p>
    <w:p>
      <w:pPr>
        <w:spacing w:before="5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Pihak Penyedia,</w:t>
            </w:r>
          </w:p>
          <w:p>
            <w:pPr>
              <w:spacing w:before="800"/>
              <w:jc w:val="center"/>
            </w:pPr>
            <w:r>
              <w:rPr>
                <w:sz w:val="20"/>
                <w:szCs w:val="20"/>
              </w:rPr>
              <w:t xml:space="preserve">______________________________</w:t>
            </w:r>
          </w:p>
          <w:p>
            <w:pPr>
              <w:spacing w:after="14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Nama &amp; Tanda Tangan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Pihak SMKN 1 Ciruas,</w:t>
            </w:r>
          </w:p>
          <w:p>
            <w:pPr>
              <w:spacing w:before="800"/>
              <w:jc w:val="center"/>
            </w:pPr>
            <w:r>
              <w:rPr>
                <w:sz w:val="20"/>
                <w:szCs w:val="20"/>
              </w:rPr>
              <w:t xml:space="preserve">______________________________</w:t>
            </w:r>
          </w:p>
          <w:p>
            <w:pPr>
              <w:spacing w:after="140"/>
              <w:jc w:val="center"/>
            </w:pPr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Nama, Jabatan &amp; Tanda Tangan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2026-09-13T12:45:58.428Z</dcterms:created>
  <dcterms:modified xsi:type="dcterms:W3CDTF">2026-09-13T12:45:58.428Z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