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08745D" w:rsidP="00D429F2">
      <w:pPr>
        <w:pStyle w:val="Cmlapkarstanszk"/>
      </w:pPr>
      <w:fldSimple w:instr=" DOCPROPERTY  Company  \* MERGEFORMAT ">
        <w:r>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08745D" w:rsidP="00171054">
      <w:pPr>
        <w:pStyle w:val="Cmlapszerz"/>
      </w:pPr>
      <w:fldSimple w:instr=" AUTHOR  \* MERGEFORMAT ">
        <w:r>
          <w:t>Szabó Benedek Ferenc</w:t>
        </w:r>
      </w:fldSimple>
      <w:r w:rsidR="00E30178">
        <w:t xml:space="preserve"> Benedek Ferenc</w:t>
      </w:r>
    </w:p>
    <w:p w14:paraId="5532B58E" w14:textId="334AD5D1" w:rsidR="0063585C" w:rsidRPr="00B50CAA" w:rsidRDefault="0008745D" w:rsidP="00CD4D7E">
      <w:pPr>
        <w:pStyle w:val="Title"/>
      </w:pPr>
      <w:fldSimple w:instr=" TITLE  \* MERGEFORMAT ">
        <w:r>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w:t>
        </w:r>
        <w:r w:rsidRPr="002351B8">
          <w:rPr>
            <w:rStyle w:val="Hyperlink"/>
            <w:noProof/>
          </w:rPr>
          <w:t>ó</w:t>
        </w:r>
        <w:r w:rsidRPr="002351B8">
          <w:rPr>
            <w:rStyle w:val="Hyperlink"/>
            <w:noProof/>
          </w:rPr>
          <w:t xml:space="preserve">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4. Eredmények és elemzés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00384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1C6E5A">
        <w:rPr>
          <w:noProof/>
        </w:rPr>
        <w:t>2025. 12. 06.</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3997D425" w:rsidR="00773BA1" w:rsidRDefault="00765B7F" w:rsidP="00230DEE">
      <w:pPr>
        <w:pStyle w:val="Caption"/>
      </w:pPr>
      <w:r>
        <w:t xml:space="preserve">ábra </w:t>
      </w:r>
      <w:r>
        <w:fldChar w:fldCharType="begin"/>
      </w:r>
      <w:r>
        <w:instrText xml:space="preserve"> SEQ ábra \* ARABIC </w:instrText>
      </w:r>
      <w:r>
        <w:fldChar w:fldCharType="separate"/>
      </w:r>
      <w:r w:rsidR="00F84296">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Default="002973C4" w:rsidP="007E198D">
      <w:pPr>
        <w:pStyle w:val="Heading2"/>
      </w:pPr>
      <w:bookmarkStart w:id="8" w:name="_Toc215408725"/>
      <w:r w:rsidRPr="002973C4">
        <w:t>2.2.1 Meme-adatok gyűjtése</w:t>
      </w:r>
      <w:bookmarkEnd w:id="8"/>
    </w:p>
    <w:p w14:paraId="23A45296" w14:textId="777962E9"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 xml:space="preserve">Az </w:t>
      </w:r>
      <w:r w:rsidR="003E0E50">
        <w:lastRenderedPageBreak/>
        <w:t>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F7A2755" w14:textId="77777777" w:rsidR="005C10D7" w:rsidRDefault="005C10D7" w:rsidP="00D909F0"/>
    <w:p w14:paraId="08C153E8" w14:textId="5F4E1C08" w:rsidR="002973C4" w:rsidRDefault="002973C4" w:rsidP="007E198D">
      <w:pPr>
        <w:pStyle w:val="Heading2"/>
      </w:pPr>
      <w:bookmarkStart w:id="9" w:name="_Toc215408726"/>
      <w:r w:rsidRPr="002973C4">
        <w:lastRenderedPageBreak/>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581FDD61"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F84296">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581FDD61"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F84296">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000000">
        <w:rPr>
          <w:noProof/>
        </w:rPr>
        <w:fldChar w:fldCharType="begin"/>
      </w:r>
      <w:r w:rsidR="00000000">
        <w:rPr>
          <w:noProof/>
        </w:rPr>
        <w:instrText xml:space="preserve"> INCLUDEPICTURE  "https://www.researchgate.net/profile/Wangmeng-Zuo/publication/336361781/figure/fig1/AS:811931749326849@1570591022759/Comparison-of-various-attention-modules-ie-SENet-Hu-Shen-and-Sun-2018-CBAM-Woo.png" \* MERGEFORMATINET </w:instrText>
      </w:r>
      <w:r w:rsidR="00000000">
        <w:rPr>
          <w:noProof/>
        </w:rPr>
        <w:fldChar w:fldCharType="separate"/>
      </w:r>
      <w:r w:rsidR="00DE49AE">
        <w:rPr>
          <w:noProof/>
        </w:rPr>
        <w:pict w14:anchorId="4B9326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6pt;height:276pt;mso-width-percent:0;mso-height-percent:0;mso-width-percent:0;mso-height-percent:0">
            <v:imagedata r:id="rId12" r:href="rId13"/>
          </v:shape>
        </w:pict>
      </w:r>
      <w:r w:rsidR="00000000">
        <w:rPr>
          <w:noProof/>
        </w:rPr>
        <w:fldChar w:fldCharType="end"/>
      </w:r>
      <w:r w:rsidRPr="00487F85">
        <w:fldChar w:fldCharType="end"/>
      </w:r>
    </w:p>
    <w:p w14:paraId="6FD685F2" w14:textId="47C1104E" w:rsidR="0046259F" w:rsidRPr="00487F85" w:rsidRDefault="0008745D" w:rsidP="00230DEE">
      <w:pPr>
        <w:pStyle w:val="Caption"/>
      </w:pPr>
      <w:r>
        <w:t xml:space="preserve">ábra </w:t>
      </w:r>
      <w:r>
        <w:fldChar w:fldCharType="begin"/>
      </w:r>
      <w:r>
        <w:instrText xml:space="preserve"> SEQ ábra \* ARABIC </w:instrText>
      </w:r>
      <w:r>
        <w:fldChar w:fldCharType="separate"/>
      </w:r>
      <w:r w:rsidR="00F84296">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5408736"/>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7427B2">
      <w:pPr>
        <w:pStyle w:val="Heading2"/>
        <w:ind w:firstLine="720"/>
        <w:rPr>
          <w:rFonts w:cs="Times New Roman"/>
          <w:iCs w:val="0"/>
          <w:sz w:val="24"/>
          <w:szCs w:val="24"/>
        </w:rPr>
      </w:pPr>
      <w:r w:rsidRPr="007427B2">
        <w:rPr>
          <w:rFonts w:cs="Times New Roman"/>
          <w:iCs w:val="0"/>
          <w:sz w:val="24"/>
          <w:szCs w:val="24"/>
        </w:rPr>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7427B2">
      <w:pPr>
        <w:pStyle w:val="Heading2"/>
        <w:ind w:firstLine="720"/>
        <w:rPr>
          <w:rFonts w:cs="Times New Roman"/>
          <w:iCs w:val="0"/>
          <w:sz w:val="24"/>
          <w:szCs w:val="24"/>
        </w:rPr>
      </w:pPr>
      <w:r w:rsidRPr="007427B2">
        <w:rPr>
          <w:rFonts w:cs="Times New Roman"/>
          <w:iCs w:val="0"/>
          <w:sz w:val="24"/>
          <w:szCs w:val="24"/>
        </w:rPr>
        <w:t>A mémek érzelmi töltetének becslése egy kétkomponensű, kísérleti módszertannal valósult meg.</w:t>
      </w:r>
      <w:r>
        <w:rPr>
          <w:rFonts w:cs="Times New Roman"/>
          <w:iCs w:val="0"/>
          <w:sz w:val="24"/>
          <w:szCs w:val="24"/>
        </w:rPr>
        <w:t xml:space="preserve"> </w:t>
      </w:r>
      <w:r w:rsidRPr="007427B2">
        <w:rPr>
          <w:rFonts w:cs="Times New Roman"/>
          <w:iCs w:val="0"/>
          <w:sz w:val="24"/>
          <w:szCs w:val="24"/>
        </w:rPr>
        <w:t>A képekről OCR-rel kinyert szövegek sentimentjét a FinBERT modell segítségével határoztam meg, amely pénzügyi és általános kontextusban is pontos osztályozást biztosít.</w:t>
      </w:r>
      <w:r>
        <w:rPr>
          <w:rFonts w:cs="Times New Roman"/>
          <w:iCs w:val="0"/>
          <w:sz w:val="24"/>
          <w:szCs w:val="24"/>
        </w:rPr>
        <w:t xml:space="preserve"> </w:t>
      </w:r>
      <w:r w:rsidRPr="007427B2">
        <w:rPr>
          <w:rFonts w:cs="Times New Roman"/>
          <w:iCs w:val="0"/>
          <w:sz w:val="24"/>
          <w:szCs w:val="24"/>
        </w:rPr>
        <w:t>A vizuális tartalom érzelmi irányultságának becslésére egy CLIP-alapú zero-shot megközelítést alkalmaztam, amely a „a positive meme” és „a negative meme” promptokhoz való hasonlóság alapján rendelt sentiment-értéket a képekhez.</w:t>
      </w:r>
      <w:r>
        <w:rPr>
          <w:rFonts w:cs="Times New Roman"/>
          <w:iCs w:val="0"/>
          <w:sz w:val="24"/>
          <w:szCs w:val="24"/>
        </w:rPr>
        <w:t xml:space="preserve"> </w:t>
      </w:r>
      <w:r w:rsidRPr="007427B2">
        <w:rPr>
          <w:rFonts w:cs="Times New Roman"/>
          <w:iCs w:val="0"/>
          <w:sz w:val="24"/>
          <w:szCs w:val="24"/>
        </w:rPr>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5408741"/>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w:t>
      </w:r>
      <w:r>
        <w:lastRenderedPageBreak/>
        <w:t>adatbázist, miközben a legtöbb márkához viszonylag kevés megfigyelés tartozik. Ez 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6DC728E4" w:rsidR="0008745D" w:rsidRDefault="0008745D" w:rsidP="00230DEE">
      <w:pPr>
        <w:pStyle w:val="Caption"/>
      </w:pPr>
      <w:r>
        <w:t xml:space="preserve">ábra </w:t>
      </w:r>
      <w:r>
        <w:fldChar w:fldCharType="begin"/>
      </w:r>
      <w:r>
        <w:instrText xml:space="preserve"> SEQ ábra \* ARABIC </w:instrText>
      </w:r>
      <w:r>
        <w:fldChar w:fldCharType="separate"/>
      </w:r>
      <w:r w:rsidR="00F84296">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61E8343F" w:rsidR="007E198D" w:rsidRPr="008E4083" w:rsidRDefault="0008745D" w:rsidP="00230DEE">
      <w:pPr>
        <w:pStyle w:val="Caption"/>
      </w:pPr>
      <w:r>
        <w:t xml:space="preserve">ábra </w:t>
      </w:r>
      <w:r>
        <w:fldChar w:fldCharType="begin"/>
      </w:r>
      <w:r>
        <w:instrText xml:space="preserve"> SEQ ábra \* ARABIC </w:instrText>
      </w:r>
      <w:r>
        <w:fldChar w:fldCharType="separate"/>
      </w:r>
      <w:r w:rsidR="00F84296">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5408742"/>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5F4A5A99" w:rsidR="007E198D" w:rsidRDefault="0008745D" w:rsidP="00230DEE">
      <w:pPr>
        <w:pStyle w:val="Caption"/>
      </w:pPr>
      <w:r>
        <w:t xml:space="preserve">ábra </w:t>
      </w:r>
      <w:r>
        <w:fldChar w:fldCharType="begin"/>
      </w:r>
      <w:r>
        <w:instrText xml:space="preserve"> SEQ ábra \* ARABIC </w:instrText>
      </w:r>
      <w:r>
        <w:fldChar w:fldCharType="separate"/>
      </w:r>
      <w:r w:rsidR="00F84296">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21D0197F" w:rsidR="00230DEE" w:rsidRDefault="00230DEE" w:rsidP="00230DEE">
      <w:pPr>
        <w:pStyle w:val="Caption"/>
        <w:rPr>
          <w:noProof/>
        </w:rPr>
      </w:pPr>
      <w:r>
        <w:t xml:space="preserve">ábra </w:t>
      </w:r>
      <w:r>
        <w:fldChar w:fldCharType="begin"/>
      </w:r>
      <w:r>
        <w:instrText xml:space="preserve"> SEQ ábra \* ARABIC </w:instrText>
      </w:r>
      <w:r>
        <w:fldChar w:fldCharType="separate"/>
      </w:r>
      <w:r w:rsidR="00F84296">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5408743"/>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51BE69BA"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F84296">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5408744"/>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5408745"/>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5408746"/>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r>
        <w:rPr>
          <w:lang w:val="en-HU"/>
        </w:rPr>
        <w:t xml:space="preserve">4.3.3 </w:t>
      </w:r>
      <w:r w:rsidRPr="00C606B5">
        <w:t>Event</w:t>
      </w:r>
      <w:r w:rsidRPr="00C606B5">
        <w:rPr>
          <w:lang w:val="en-HU"/>
        </w:rPr>
        <w:t xml:space="preserve"> Study görbék értelmezése</w:t>
      </w:r>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F84296">
      <w:pP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5CE11A1A" w:rsidR="00F84296" w:rsidRDefault="00F84296" w:rsidP="00F84296">
      <w:pPr>
        <w:pStyle w:val="Caption"/>
      </w:pPr>
      <w:r>
        <w:t xml:space="preserve">ábra </w:t>
      </w:r>
      <w:r>
        <w:fldChar w:fldCharType="begin"/>
      </w:r>
      <w:r>
        <w:instrText xml:space="preserve"> SEQ ábra \* ARABIC </w:instrText>
      </w:r>
      <w:r>
        <w:fldChar w:fldCharType="separate"/>
      </w:r>
      <w:r>
        <w:rPr>
          <w:noProof/>
        </w:rPr>
        <w:t>9</w:t>
      </w:r>
      <w:r>
        <w:fldChar w:fldCharType="end"/>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0C32DF6A" w:rsidR="00143AD3" w:rsidRPr="00615BDC" w:rsidRDefault="00F84296" w:rsidP="00F84296">
      <w:pPr>
        <w:pStyle w:val="Caption"/>
      </w:pPr>
      <w:r>
        <w:t xml:space="preserve">ábra </w:t>
      </w:r>
      <w:r>
        <w:fldChar w:fldCharType="begin"/>
      </w:r>
      <w:r>
        <w:instrText xml:space="preserve"> SEQ ábra \* ARABIC </w:instrText>
      </w:r>
      <w:r>
        <w:fldChar w:fldCharType="separate"/>
      </w:r>
      <w:r>
        <w:rPr>
          <w:noProof/>
        </w:rPr>
        <w:t>10</w:t>
      </w:r>
      <w:r>
        <w:fldChar w:fldCharType="end"/>
      </w:r>
    </w:p>
    <w:p w14:paraId="023BCCC6" w14:textId="77777777" w:rsidR="00615BDC" w:rsidRDefault="00615BDC" w:rsidP="007266DE">
      <w:pPr>
        <w:pStyle w:val="Heading3"/>
        <w:numPr>
          <w:ilvl w:val="0"/>
          <w:numId w:val="0"/>
        </w:numPr>
      </w:pPr>
      <w:bookmarkStart w:id="27" w:name="_Toc215408747"/>
      <w:r w:rsidRPr="00615BDC">
        <w:t>4.3.3 Placebo benchmark és Event − Placebo különbség</w:t>
      </w:r>
      <w:bookmarkEnd w:id="27"/>
    </w:p>
    <w:p w14:paraId="531E478E" w14:textId="77777777" w:rsidR="00F84296" w:rsidRPr="00F84296" w:rsidRDefault="00F84296" w:rsidP="00F84296">
      <w:pPr>
        <w:rPr>
          <w:lang w:val="en-HU"/>
        </w:rPr>
      </w:pPr>
      <w:r w:rsidRPr="00F84296">
        <w:rPr>
          <w:lang w:val="en-HU"/>
        </w:rPr>
        <w:t>A becslések érvényességének ellenőrzésére placebo-alapú összehasonlítás készült. Minden valódi eseményhez kiválasztásra kerül egy ugyanolyan vállalathoz tartozó, ±3 héten kívüli hét, amely a New York Times-említések szintje alapján azonos médiakitettséget mutat. A placeboazonosítás vállalaton belül marad, így kontroll alatt maradnak a vállalatspecifikus ciklusok és hosszabb távú trendek.</w:t>
      </w:r>
    </w:p>
    <w:p w14:paraId="4BABEAA0" w14:textId="41B01546" w:rsidR="00F84296" w:rsidRPr="00F84296" w:rsidRDefault="00F84296" w:rsidP="00F84296">
      <w:pPr>
        <w:rPr>
          <w:lang w:val="en-HU"/>
        </w:rPr>
      </w:pPr>
      <w:r w:rsidRPr="00F84296">
        <w:rPr>
          <w:lang w:val="en-HU"/>
        </w:rPr>
        <w:t>A placeboh</w:t>
      </w:r>
      <w:r>
        <w:rPr>
          <w:lang w:val="en-HU"/>
        </w:rPr>
        <w:t>e</w:t>
      </w:r>
      <w:r w:rsidRPr="00F84296">
        <w:rPr>
          <w:lang w:val="en-HU"/>
        </w:rPr>
        <w:t>tek köré ugyanúgy felépül az eseményablak, majd az eseményekhez és placeboh</w:t>
      </w:r>
      <w:r>
        <w:rPr>
          <w:lang w:val="en-HU"/>
        </w:rPr>
        <w:t>e</w:t>
      </w:r>
      <w:r w:rsidRPr="00F84296">
        <w:rPr>
          <w:lang w:val="en-HU"/>
        </w:rPr>
        <w:t>tekhez tartozó átlagos reakciógörbék különbsége (Event − Placebo) kerül értékelésre. Ez teszi lehetővé, hogy a hírintenzitás általános hatását leválasszuk a hírtónus hirtelen, szokatlan elmozdulásához köthető tényleges sokkhatásról.</w:t>
      </w:r>
    </w:p>
    <w:p w14:paraId="1D54E660" w14:textId="5C881411" w:rsidR="00F84296" w:rsidRPr="00F84296" w:rsidRDefault="00F84296" w:rsidP="00F84296">
      <w:pPr>
        <w:rPr>
          <w:lang w:val="en-HU"/>
        </w:rPr>
      </w:pPr>
      <w:r w:rsidRPr="00F84296">
        <w:rPr>
          <w:lang w:val="en-HU"/>
        </w:rPr>
        <w:t>A placebo</w:t>
      </w:r>
      <w:r>
        <w:rPr>
          <w:lang w:val="en-HU"/>
        </w:rPr>
        <w:t>he</w:t>
      </w:r>
      <w:r w:rsidRPr="00F84296">
        <w:rPr>
          <w:lang w:val="en-HU"/>
        </w:rPr>
        <w:t xml:space="preserve">tekből képzett eseményablakok </w:t>
      </w:r>
      <w:r w:rsidRPr="00F84296">
        <w:rPr>
          <w:b/>
          <w:bCs/>
          <w:lang w:val="en-HU"/>
        </w:rPr>
        <w:t>nem mutatnak szisztematikus törést</w:t>
      </w:r>
      <w:r w:rsidRPr="00F84296">
        <w:rPr>
          <w:lang w:val="en-HU"/>
        </w:rPr>
        <w:t xml:space="preserve"> τ = 0 körül. A görbék zajosak, a konfidenciaintervallumok szélesek, és jellemzően átfedik a nullát. Ez arra utal, hogy a puszta médiamegjelenési intenzitás </w:t>
      </w:r>
      <w:r w:rsidRPr="00F84296">
        <w:rPr>
          <w:b/>
          <w:bCs/>
          <w:lang w:val="en-HU"/>
        </w:rPr>
        <w:t>nem generál önmagában eseményszerű reakciót</w:t>
      </w:r>
      <w:r w:rsidRPr="00F84296">
        <w:rPr>
          <w:lang w:val="en-HU"/>
        </w:rPr>
        <w:t xml:space="preserve"> a mémvolumenben.</w:t>
      </w:r>
    </w:p>
    <w:p w14:paraId="5D16BA14" w14:textId="77777777" w:rsidR="00F84296" w:rsidRPr="00F84296" w:rsidRDefault="00F84296" w:rsidP="00F84296">
      <w:pPr>
        <w:rPr>
          <w:lang w:val="en-HU"/>
        </w:rPr>
      </w:pPr>
      <w:r w:rsidRPr="00F84296">
        <w:rPr>
          <w:lang w:val="en-HU"/>
        </w:rPr>
        <w:t xml:space="preserve">Ezzel szemben a tényleges eseménygörbék és a placebo-görbék különbsége már a hírtónusváltozás valódi hatását ragadja meg. A </w:t>
      </w:r>
      <w:r w:rsidRPr="00F84296">
        <w:rPr>
          <w:b/>
          <w:bCs/>
          <w:lang w:val="en-HU"/>
        </w:rPr>
        <w:t>negatív hírsokkok</w:t>
      </w:r>
      <w:r w:rsidRPr="00F84296">
        <w:rPr>
          <w:lang w:val="en-HU"/>
        </w:rPr>
        <w:t xml:space="preserve"> esetében a τ = 0 körüli eltérés markánsan pozitív, világosan elkülönül a placebohatástól, és az utóhatás is rendezett, jól értelmezhető mintázatot mutat. A </w:t>
      </w:r>
      <w:r w:rsidRPr="00F84296">
        <w:rPr>
          <w:b/>
          <w:bCs/>
          <w:lang w:val="en-HU"/>
        </w:rPr>
        <w:t>pozitív események</w:t>
      </w:r>
      <w:r w:rsidRPr="00F84296">
        <w:rPr>
          <w:lang w:val="en-HU"/>
        </w:rPr>
        <w:t xml:space="preserve"> esetében ugyanez kisebb amplitúdóval jelenik meg, de a dinamika továbbra is konzisztens és elkülönül a placebo-görbéktől.</w:t>
      </w:r>
    </w:p>
    <w:p w14:paraId="4BED7CDD" w14:textId="77777777" w:rsidR="00F84296" w:rsidRPr="00F84296" w:rsidRDefault="00F84296" w:rsidP="00F84296">
      <w:pPr>
        <w:ind w:firstLine="0"/>
        <w:rPr>
          <w:lang w:val="en-HU"/>
        </w:rPr>
      </w:pPr>
      <w:r w:rsidRPr="00F84296">
        <w:rPr>
          <w:lang w:val="en-HU"/>
        </w:rPr>
        <w:lastRenderedPageBreak/>
        <w:t xml:space="preserve">A placeboanalízis tehát egyértelműen megerősíti, hogy a fő Event Study ábrán látható dinamika </w:t>
      </w:r>
      <w:r w:rsidRPr="00F84296">
        <w:rPr>
          <w:b/>
          <w:bCs/>
          <w:lang w:val="en-HU"/>
        </w:rPr>
        <w:t>nem</w:t>
      </w:r>
      <w:r w:rsidRPr="00F84296">
        <w:rPr>
          <w:lang w:val="en-HU"/>
        </w:rPr>
        <w:t xml:space="preserve"> magyarázható a médiakitettség általános változásaival. A mémaktivitás fokozódása elsődlegesen a hírtónus hirtelen és vállalaton belül rendkívüli elmozdulásához kapcsolódik, nem pedig a cikkek számának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0D92FAE5" w14:textId="718A30D0" w:rsidR="00F84296" w:rsidRDefault="00F84296" w:rsidP="00F84296">
      <w:pPr>
        <w:pStyle w:val="Caption"/>
      </w:pPr>
      <w:r>
        <w:t xml:space="preserve">ábra </w:t>
      </w:r>
      <w:r>
        <w:fldChar w:fldCharType="begin"/>
      </w:r>
      <w:r>
        <w:instrText xml:space="preserve"> SEQ ábra \* ARABIC </w:instrText>
      </w:r>
      <w:r>
        <w:fldChar w:fldCharType="separate"/>
      </w:r>
      <w:r>
        <w:rPr>
          <w:noProof/>
        </w:rPr>
        <w:t>11</w:t>
      </w:r>
      <w:r>
        <w:fldChar w:fldCharType="end"/>
      </w:r>
    </w:p>
    <w:p w14:paraId="6C1E38B9" w14:textId="77777777" w:rsidR="00F84296" w:rsidRDefault="00F84296" w:rsidP="00F84296">
      <w:pPr>
        <w:keepNext/>
        <w:ind w:firstLine="0"/>
        <w:jc w:val="center"/>
      </w:pPr>
      <w:r w:rsidRPr="00F84296">
        <w:rPr>
          <w:lang w:val="en-HU"/>
        </w:rPr>
        <w:drawing>
          <wp:inline distT="0" distB="0" distL="0" distR="0" wp14:anchorId="2710C302" wp14:editId="73401903">
            <wp:extent cx="3810000" cy="2540000"/>
            <wp:effectExtent l="0" t="0" r="0" b="0"/>
            <wp:docPr id="2101926023" name="Picture 1" descr="A graph with a line and a dott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26023" name="Picture 1" descr="A graph with a line and a dotted line&#10;&#10;AI-generated content may be incorrect."/>
                    <pic:cNvPicPr/>
                  </pic:nvPicPr>
                  <pic:blipFill>
                    <a:blip r:embed="rId22"/>
                    <a:stretch>
                      <a:fillRect/>
                    </a:stretch>
                  </pic:blipFill>
                  <pic:spPr>
                    <a:xfrm>
                      <a:off x="0" y="0"/>
                      <a:ext cx="3810000" cy="2540000"/>
                    </a:xfrm>
                    <a:prstGeom prst="rect">
                      <a:avLst/>
                    </a:prstGeom>
                  </pic:spPr>
                </pic:pic>
              </a:graphicData>
            </a:graphic>
          </wp:inline>
        </w:drawing>
      </w:r>
    </w:p>
    <w:p w14:paraId="550BCC76" w14:textId="28AA3CE4" w:rsidR="00F84296" w:rsidRPr="00F84296" w:rsidRDefault="00F84296" w:rsidP="00F84296">
      <w:pPr>
        <w:pStyle w:val="Caption"/>
        <w:rPr>
          <w:lang w:val="en-HU"/>
        </w:rPr>
      </w:pPr>
      <w:r>
        <w:t xml:space="preserve">ábra </w:t>
      </w:r>
      <w:r>
        <w:fldChar w:fldCharType="begin"/>
      </w:r>
      <w:r>
        <w:instrText xml:space="preserve"> SEQ ábra \* ARABIC </w:instrText>
      </w:r>
      <w:r>
        <w:fldChar w:fldCharType="separate"/>
      </w:r>
      <w:r>
        <w:rPr>
          <w:noProof/>
        </w:rPr>
        <w:t>12</w:t>
      </w:r>
      <w:r>
        <w:fldChar w:fldCharType="end"/>
      </w:r>
    </w:p>
    <w:p w14:paraId="5B361878" w14:textId="2BE4A591" w:rsidR="00615BDC" w:rsidRPr="00615BDC" w:rsidRDefault="0036340A" w:rsidP="001408A5">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77777777" w:rsidR="001408A5" w:rsidRDefault="001408A5" w:rsidP="001408A5">
      <w:pPr>
        <w:pStyle w:val="Heading2"/>
        <w:rPr>
          <w:sz w:val="48"/>
          <w:szCs w:val="48"/>
          <w:lang w:eastAsia="en-GB"/>
        </w:rPr>
      </w:pPr>
      <w:bookmarkStart w:id="28" w:name="_Toc215408752"/>
      <w:r>
        <w:rPr>
          <w:rStyle w:val="Strong"/>
          <w:b w:val="0"/>
          <w:bCs w:val="0"/>
        </w:rPr>
        <w:lastRenderedPageBreak/>
        <w:t>4.4 Cross-correlation és Granger-tesztek</w:t>
      </w:r>
    </w:p>
    <w:p w14:paraId="71F1CC34" w14:textId="77777777" w:rsidR="001408A5" w:rsidRDefault="001408A5" w:rsidP="001408A5">
      <w:pPr>
        <w:pStyle w:val="Heading2"/>
      </w:pPr>
      <w:r>
        <w:rPr>
          <w:rStyle w:val="Strong"/>
          <w:b w:val="0"/>
          <w:bCs w:val="0"/>
        </w:rPr>
        <w:t>4.4.1 Cross-correlation (CCF) elemzés</w:t>
      </w:r>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29D54255" w14:textId="48456AE4" w:rsidR="001408A5"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755E8D58" w14:textId="77777777" w:rsidR="001408A5" w:rsidRDefault="001408A5" w:rsidP="001408A5">
      <w:pPr>
        <w:pStyle w:val="Heading2"/>
      </w:pPr>
      <w:r>
        <w:rPr>
          <w:rStyle w:val="Strong"/>
          <w:b w:val="0"/>
          <w:bCs w:val="0"/>
        </w:rPr>
        <w:t>4.4.2 Granger-tesztek a mémvolumen és a hírsűrűség között</w:t>
      </w:r>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w:t>
      </w:r>
      <w:r>
        <w:lastRenderedPageBreak/>
        <w:t xml:space="preserve">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75331B71" w:rsidR="001408A5" w:rsidRDefault="001408A5" w:rsidP="001408A5">
      <w:pPr>
        <w:pStyle w:val="NormalWeb"/>
      </w:pPr>
      <w:r>
        <w:rPr>
          <w:rStyle w:val="Strong"/>
        </w:rPr>
        <w:t>(i) 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606360FD" w:rsidR="001408A5" w:rsidRDefault="001408A5" w:rsidP="001408A5">
      <w:pPr>
        <w:pStyle w:val="NormalWeb"/>
      </w:pPr>
      <w:r>
        <w:rPr>
          <w:rStyle w:val="Strong"/>
        </w:rPr>
        <w:t>(ii) mémvolumen → NYT-említések</w:t>
      </w:r>
      <w:r>
        <w:t xml:space="preserve">: </w:t>
      </w:r>
      <w:r>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BEBD86D" w:rsidR="001408A5" w:rsidRDefault="001408A5" w:rsidP="001408A5">
      <w:pPr>
        <w:pStyle w:val="NormalWeb"/>
      </w:pPr>
      <w:r>
        <w:t>A Granger-eredmények és a CCF eredményeinek összevetése fontos következtetéshez vezet:</w:t>
      </w:r>
      <w:r>
        <w:br/>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7777777" w:rsidR="00615BDC" w:rsidRPr="00615BDC" w:rsidRDefault="00615BDC" w:rsidP="007E198D">
      <w:pPr>
        <w:pStyle w:val="Heading2"/>
      </w:pPr>
      <w:r w:rsidRPr="00615BDC">
        <w:lastRenderedPageBreak/>
        <w:t>4.5 Panel regresszió (TWFE)</w:t>
      </w:r>
      <w:bookmarkEnd w:id="28"/>
    </w:p>
    <w:p w14:paraId="3F630637" w14:textId="77777777" w:rsidR="00615BDC" w:rsidRDefault="00615BDC" w:rsidP="007266DE">
      <w:pPr>
        <w:pStyle w:val="Heading3"/>
        <w:numPr>
          <w:ilvl w:val="0"/>
          <w:numId w:val="0"/>
        </w:numPr>
      </w:pPr>
      <w:bookmarkStart w:id="29" w:name="_Toc215408753"/>
      <w:r w:rsidRPr="00615BDC">
        <w:t>4.5.1 Modell specifikáció</w:t>
      </w:r>
      <w:bookmarkEnd w:id="29"/>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 xml:space="preserve">A mintaredukció torzító hatásainak elkerülése és a teljes panel információtartalmának megőrzése érdekében két modellcsalád kerül becslésre. A </w:t>
      </w:r>
      <w:r>
        <w:lastRenderedPageBreak/>
        <w:t>„mention-only”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810A73">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0"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7E198D">
      <w:pPr>
        <w:pStyle w:val="Heading2"/>
        <w:rPr>
          <w:rFonts w:cs="Times New Roman"/>
          <w:iCs w:val="0"/>
          <w:sz w:val="24"/>
          <w:szCs w:val="24"/>
        </w:rPr>
      </w:pPr>
      <w:bookmarkStart w:id="31" w:name="_Toc215408754"/>
      <w:r w:rsidRPr="007E198D">
        <w:rPr>
          <w:rFonts w:cs="Times New Roman"/>
          <w:iCs w:val="0"/>
          <w:sz w:val="24"/>
          <w:szCs w:val="24"/>
        </w:rPr>
        <w:t>A becslésből származó koefficienspályák minden kimeneti változóra és minden lagablakra külön kerülnek exportálásra, és ezek szolgálnak alapul a későbbi grafikus és táblázatos eredményösszegzésekhez.</w:t>
      </w:r>
      <w:bookmarkEnd w:id="31"/>
    </w:p>
    <w:p w14:paraId="1AAB5C23" w14:textId="63562339" w:rsidR="00810A73" w:rsidRPr="00810A73" w:rsidRDefault="00810A73" w:rsidP="00810A73">
      <w:pPr>
        <w:pStyle w:val="Heading2"/>
      </w:pPr>
      <w:r w:rsidRPr="00615BDC">
        <w:t>4.5.2 Eredmények és értelmezés</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2" w:name="_Toc215408755"/>
      <w:r w:rsidRPr="00615BDC">
        <w:t>4.6 Összegzés és következtetések</w:t>
      </w:r>
      <w:bookmarkEnd w:id="32"/>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0"/>
    </w:p>
    <w:p w14:paraId="72007EA0" w14:textId="35C2E418" w:rsidR="00225F65" w:rsidRDefault="00225F65" w:rsidP="0036340A">
      <w:pPr>
        <w:pStyle w:val="Heading3"/>
        <w:numPr>
          <w:ilvl w:val="0"/>
          <w:numId w:val="0"/>
        </w:numPr>
        <w:ind w:left="2880"/>
      </w:pPr>
      <w:bookmarkStart w:id="33" w:name="_Toc332797402"/>
      <w:bookmarkStart w:id="34" w:name="_Toc215408756"/>
      <w:r>
        <w:lastRenderedPageBreak/>
        <w:t>Irodalomjegyzék</w:t>
      </w:r>
      <w:bookmarkEnd w:id="33"/>
      <w:bookmarkEnd w:id="34"/>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5" w:name="_Toc332797403"/>
      <w:bookmarkStart w:id="36" w:name="_Toc215408757"/>
      <w:r>
        <w:lastRenderedPageBreak/>
        <w:t>Utolsó simítások</w:t>
      </w:r>
      <w:bookmarkEnd w:id="35"/>
      <w:bookmarkEnd w:id="36"/>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37" w:name="_Toc215408758"/>
      <w:r w:rsidRPr="00B50CAA">
        <w:lastRenderedPageBreak/>
        <w:t>Irodalomjegyzék</w:t>
      </w:r>
      <w:bookmarkEnd w:id="37"/>
    </w:p>
    <w:p w14:paraId="1056D64D" w14:textId="77777777" w:rsidR="00B50CAA" w:rsidRPr="00EE1A1F" w:rsidRDefault="00EE1A1F" w:rsidP="006F512E">
      <w:pPr>
        <w:pStyle w:val="Irodalomjegyzksor"/>
      </w:pPr>
      <w:bookmarkStart w:id="38"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8"/>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3"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4"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39" w:name="_Toc215408759"/>
      <w:r>
        <w:lastRenderedPageBreak/>
        <w:t>Függelék</w:t>
      </w:r>
      <w:bookmarkEnd w:id="39"/>
    </w:p>
    <w:p w14:paraId="71BA39BD" w14:textId="6850753C" w:rsidR="0036340A" w:rsidRDefault="0036340A" w:rsidP="007E198D">
      <w:pPr>
        <w:pStyle w:val="Heading2"/>
      </w:pPr>
      <w:bookmarkStart w:id="40" w:name="_Toc215408760"/>
      <w:r>
        <w:t>5.1 Márka szinonima lista</w:t>
      </w:r>
      <w:bookmarkEnd w:id="40"/>
    </w:p>
    <w:p w14:paraId="0747BBAB" w14:textId="65F742BF" w:rsidR="00765B7F" w:rsidRDefault="007E198D" w:rsidP="00765B7F">
      <w:pPr>
        <w:pStyle w:val="Heading2"/>
      </w:pPr>
      <w:bookmarkStart w:id="41" w:name="_Toc215408761"/>
      <w:r>
        <w:t>5.2</w:t>
      </w:r>
      <w:r w:rsidR="00765B7F">
        <w:t xml:space="preserve"> </w:t>
      </w:r>
      <w:r w:rsidR="00765B7F" w:rsidRPr="00615BDC">
        <w:t>Heti memeszám és hírsentiment idődiagramok</w:t>
      </w:r>
      <w:bookmarkEnd w:id="41"/>
    </w:p>
    <w:p w14:paraId="61FAEC63" w14:textId="77777777" w:rsidR="00765B7F" w:rsidRDefault="00765B7F" w:rsidP="00765B7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07003F67"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945301">
        <w:rPr>
          <w:noProof/>
        </w:rPr>
        <w:t>1</w:t>
      </w:r>
      <w:r>
        <w:fldChar w:fldCharType="end"/>
      </w:r>
      <w:r>
        <w:t xml:space="preserve"> Amazon mém-cikk idődiagram</w:t>
      </w:r>
    </w:p>
    <w:p w14:paraId="733BBDC7" w14:textId="77777777" w:rsidR="00765B7F" w:rsidRDefault="00765B7F" w:rsidP="00765B7F">
      <w:pPr>
        <w:keepNext/>
        <w:ind w:firstLine="0"/>
        <w:jc w:val="center"/>
      </w:pPr>
      <w:r>
        <w:rPr>
          <w:noProof/>
        </w:rPr>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60CAF3A"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945301">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2FE40EA6"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3C1CEACC"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7771C084"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723A32A8"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59A0BEC"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581D6C04" w:rsidR="00945301"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D9944A8"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5CEC2A94" w14:textId="2AFEE71B" w:rsidR="00945301" w:rsidRDefault="00945301" w:rsidP="00945301">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4"/>
                    <a:stretch>
                      <a:fillRect/>
                    </a:stretch>
                  </pic:blipFill>
                  <pic:spPr>
                    <a:xfrm>
                      <a:off x="0" y="0"/>
                      <a:ext cx="4292600" cy="2933700"/>
                    </a:xfrm>
                    <a:prstGeom prst="rect">
                      <a:avLst/>
                    </a:prstGeom>
                  </pic:spPr>
                </pic:pic>
              </a:graphicData>
            </a:graphic>
          </wp:inline>
        </w:drawing>
      </w:r>
    </w:p>
    <w:p w14:paraId="579B67C0" w14:textId="783F66D5" w:rsidR="00945301" w:rsidRPr="00945301" w:rsidRDefault="00945301" w:rsidP="00945301">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5"/>
                    <a:stretch>
                      <a:fillRect/>
                    </a:stretch>
                  </pic:blipFill>
                  <pic:spPr>
                    <a:xfrm>
                      <a:off x="0" y="0"/>
                      <a:ext cx="4330700" cy="2819400"/>
                    </a:xfrm>
                    <a:prstGeom prst="rect">
                      <a:avLst/>
                    </a:prstGeom>
                  </pic:spPr>
                </pic:pic>
              </a:graphicData>
            </a:graphic>
          </wp:inline>
        </w:drawing>
      </w:r>
    </w:p>
    <w:p w14:paraId="14B6FAA7" w14:textId="23453AD1" w:rsidR="008E4083" w:rsidRPr="008E4083" w:rsidRDefault="0036340A" w:rsidP="007E198D">
      <w:pPr>
        <w:pStyle w:val="Heading2"/>
      </w:pPr>
      <w:bookmarkStart w:id="42" w:name="_Toc215408762"/>
      <w:r>
        <w:t>5.</w:t>
      </w:r>
      <w:r w:rsidR="00945301">
        <w:t>4</w:t>
      </w:r>
      <w:r>
        <w:t xml:space="preserve"> </w:t>
      </w:r>
      <w:r w:rsidR="008E4083">
        <w:t>Kísérleti mém-sentiment becslés (OCR + FinBERT + CLIP)</w:t>
      </w:r>
      <w:bookmarkEnd w:id="42"/>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 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3" w:name="_Toc215408763"/>
      <w:r>
        <w:lastRenderedPageBreak/>
        <w:t>5.</w:t>
      </w:r>
      <w:r w:rsidR="00945301">
        <w:t>5</w:t>
      </w:r>
      <w:r>
        <w:t>. Diagnosztikai elemzések</w:t>
      </w:r>
      <w:bookmarkEnd w:id="43"/>
      <w:r>
        <w:t xml:space="preserve"> </w:t>
      </w:r>
    </w:p>
    <w:p w14:paraId="2330AB59" w14:textId="77777777" w:rsidR="0036340A" w:rsidRDefault="0036340A" w:rsidP="0036340A">
      <w:r w:rsidRPr="007266DE">
        <w:t>A módszertani stabilitás vizsgálatához több diagnosztikai ellenőrzés is készül. Az eseményablakok átfedésének megelőzésére alternatív specifikáció kényszeríti ki, hogy azonos vállalat esetében két esemény között legalább három hét teljen el. Az események időzítési érzékenysége a héten mért hírindex egyhetes előre- és hátralépésével ellenőrizhető; amennyiben a τ = 0 reakció gyengül, az eredeti igazítás kevésbé megbízható. További változatként a kimeneti változó a heti keresztmetszeti átlaggal kerül korrigálásra, amely a valamennyi vállalatot érintő közös sokkok hatását csökkenti. A módszertan részeként vizsgálható a rendkívüli NYT-említési aktivitáson alapuló eseménydefiníció is, ahol az eseményt a vállalaton belüli említésszám felső tizede jelöli, majd ez a csoport a hírtónus előjele szerint tovább bontható. Ezek az ellenőrzések összességében azt vizsgálják, hogy a tanult mintázatok mennyiben stabilak az eseménydefiníció, az időzítés és a közös sokkok jelenléte mellett.</w:t>
      </w:r>
    </w:p>
    <w:p w14:paraId="604FB766" w14:textId="77777777" w:rsidR="0036340A" w:rsidRDefault="0036340A" w:rsidP="008E4083">
      <w:pPr>
        <w:ind w:firstLine="0"/>
      </w:pPr>
    </w:p>
    <w:sectPr w:rsidR="0036340A" w:rsidSect="0056267F">
      <w:headerReference w:type="even" r:id="rId36"/>
      <w:footerReference w:type="default" r:id="rId37"/>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A04C9" w14:textId="77777777" w:rsidR="00DE49AE" w:rsidRDefault="00DE49AE">
      <w:r>
        <w:separator/>
      </w:r>
    </w:p>
  </w:endnote>
  <w:endnote w:type="continuationSeparator" w:id="0">
    <w:p w14:paraId="058E5D99" w14:textId="77777777" w:rsidR="00DE49AE" w:rsidRDefault="00DE4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934E2" w14:textId="77777777" w:rsidR="00DE49AE" w:rsidRDefault="00DE49AE">
      <w:r>
        <w:separator/>
      </w:r>
    </w:p>
  </w:footnote>
  <w:footnote w:type="continuationSeparator" w:id="0">
    <w:p w14:paraId="255EDABC" w14:textId="77777777" w:rsidR="00DE49AE" w:rsidRDefault="00DE4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0508"/>
    <w:multiLevelType w:val="multilevel"/>
    <w:tmpl w:val="418E4214"/>
    <w:numStyleLink w:val="tmutatszmozottlista"/>
  </w:abstractNum>
  <w:abstractNum w:abstractNumId="1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8"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0"/>
  </w:num>
  <w:num w:numId="2" w16cid:durableId="727612164">
    <w:abstractNumId w:val="30"/>
  </w:num>
  <w:num w:numId="3" w16cid:durableId="887648852">
    <w:abstractNumId w:val="15"/>
  </w:num>
  <w:num w:numId="4" w16cid:durableId="123886412">
    <w:abstractNumId w:val="22"/>
  </w:num>
  <w:num w:numId="5" w16cid:durableId="1587880909">
    <w:abstractNumId w:val="24"/>
  </w:num>
  <w:num w:numId="6" w16cid:durableId="1763797631">
    <w:abstractNumId w:val="25"/>
  </w:num>
  <w:num w:numId="7" w16cid:durableId="1662805547">
    <w:abstractNumId w:val="19"/>
  </w:num>
  <w:num w:numId="8" w16cid:durableId="1686400774">
    <w:abstractNumId w:val="14"/>
  </w:num>
  <w:num w:numId="9" w16cid:durableId="1742630005">
    <w:abstractNumId w:val="20"/>
  </w:num>
  <w:num w:numId="10" w16cid:durableId="892930241">
    <w:abstractNumId w:val="31"/>
  </w:num>
  <w:num w:numId="11" w16cid:durableId="1225680079">
    <w:abstractNumId w:val="21"/>
  </w:num>
  <w:num w:numId="12" w16cid:durableId="1128862254">
    <w:abstractNumId w:val="29"/>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1"/>
  </w:num>
  <w:num w:numId="24" w16cid:durableId="499540790">
    <w:abstractNumId w:val="12"/>
  </w:num>
  <w:num w:numId="25" w16cid:durableId="760952916">
    <w:abstractNumId w:val="17"/>
  </w:num>
  <w:num w:numId="26" w16cid:durableId="1069574775">
    <w:abstractNumId w:val="13"/>
  </w:num>
  <w:num w:numId="27" w16cid:durableId="1906910874">
    <w:abstractNumId w:val="26"/>
  </w:num>
  <w:num w:numId="28" w16cid:durableId="2052418232">
    <w:abstractNumId w:val="16"/>
  </w:num>
  <w:num w:numId="29" w16cid:durableId="1074743306">
    <w:abstractNumId w:val="27"/>
  </w:num>
  <w:num w:numId="30" w16cid:durableId="1451163938">
    <w:abstractNumId w:val="28"/>
  </w:num>
  <w:num w:numId="31" w16cid:durableId="1471092824">
    <w:abstractNumId w:val="18"/>
  </w:num>
  <w:num w:numId="32" w16cid:durableId="281570771">
    <w:abstractNumId w:val="30"/>
  </w:num>
  <w:num w:numId="33" w16cid:durableId="2123109243">
    <w:abstractNumId w:val="23"/>
  </w:num>
  <w:num w:numId="34" w16cid:durableId="414790230">
    <w:abstractNumId w:val="14"/>
  </w:num>
  <w:num w:numId="35" w16cid:durableId="1452742511">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8745D"/>
    <w:rsid w:val="000A7483"/>
    <w:rsid w:val="000B1BB6"/>
    <w:rsid w:val="000B53E0"/>
    <w:rsid w:val="001408A5"/>
    <w:rsid w:val="00143AD3"/>
    <w:rsid w:val="00162232"/>
    <w:rsid w:val="00171054"/>
    <w:rsid w:val="001A57BC"/>
    <w:rsid w:val="001C6E5A"/>
    <w:rsid w:val="002102C3"/>
    <w:rsid w:val="00225F65"/>
    <w:rsid w:val="00227347"/>
    <w:rsid w:val="00230DEE"/>
    <w:rsid w:val="00251987"/>
    <w:rsid w:val="00267677"/>
    <w:rsid w:val="002841F9"/>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6495"/>
    <w:rsid w:val="005C10D7"/>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01BE4"/>
    <w:rsid w:val="00717E8A"/>
    <w:rsid w:val="00725B5C"/>
    <w:rsid w:val="007266DE"/>
    <w:rsid w:val="00730B3C"/>
    <w:rsid w:val="007427B2"/>
    <w:rsid w:val="00760739"/>
    <w:rsid w:val="00765B7F"/>
    <w:rsid w:val="00773BA1"/>
    <w:rsid w:val="007B0C23"/>
    <w:rsid w:val="007B1CCB"/>
    <w:rsid w:val="007B489D"/>
    <w:rsid w:val="007E198D"/>
    <w:rsid w:val="00810A73"/>
    <w:rsid w:val="00816BCB"/>
    <w:rsid w:val="00854BDC"/>
    <w:rsid w:val="008E12E9"/>
    <w:rsid w:val="008E4083"/>
    <w:rsid w:val="008E7228"/>
    <w:rsid w:val="0090541F"/>
    <w:rsid w:val="00917FA9"/>
    <w:rsid w:val="00940CB1"/>
    <w:rsid w:val="00945301"/>
    <w:rsid w:val="0098532E"/>
    <w:rsid w:val="009A32B9"/>
    <w:rsid w:val="009B1AB8"/>
    <w:rsid w:val="009C1C93"/>
    <w:rsid w:val="009D0082"/>
    <w:rsid w:val="009E67D2"/>
    <w:rsid w:val="00A34DC4"/>
    <w:rsid w:val="00A90051"/>
    <w:rsid w:val="00A940D4"/>
    <w:rsid w:val="00AB12C3"/>
    <w:rsid w:val="00AB511F"/>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606B5"/>
    <w:rsid w:val="00C73DEE"/>
    <w:rsid w:val="00C84464"/>
    <w:rsid w:val="00C93ECF"/>
    <w:rsid w:val="00C94815"/>
    <w:rsid w:val="00CD4D7E"/>
    <w:rsid w:val="00D07335"/>
    <w:rsid w:val="00D1632F"/>
    <w:rsid w:val="00D23BFC"/>
    <w:rsid w:val="00D40BFE"/>
    <w:rsid w:val="00D429F2"/>
    <w:rsid w:val="00D53F5A"/>
    <w:rsid w:val="00D548A9"/>
    <w:rsid w:val="00D63544"/>
    <w:rsid w:val="00D81927"/>
    <w:rsid w:val="00D909F0"/>
    <w:rsid w:val="00D95E2C"/>
    <w:rsid w:val="00DA3772"/>
    <w:rsid w:val="00DC0D38"/>
    <w:rsid w:val="00DD6A58"/>
    <w:rsid w:val="00DE49AE"/>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en.wikipedia.org/wiki/Evaluation_strategy" TargetMode="External"/><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www.ni.com/" TargetMode="External"/><Relationship Id="rId28" Type="http://schemas.openxmlformats.org/officeDocument/2006/relationships/image" Target="media/image17.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5069</TotalTime>
  <Pages>46</Pages>
  <Words>10945</Words>
  <Characters>62387</Characters>
  <Application>Microsoft Office Word</Application>
  <DocSecurity>0</DocSecurity>
  <Lines>519</Lines>
  <Paragraphs>146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73186</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18</cp:revision>
  <cp:lastPrinted>2002-07-08T12:51:00Z</cp:lastPrinted>
  <dcterms:created xsi:type="dcterms:W3CDTF">2025-11-19T06:46:00Z</dcterms:created>
  <dcterms:modified xsi:type="dcterms:W3CDTF">2025-12-07T09:19:00Z</dcterms:modified>
  <cp:category/>
</cp:coreProperties>
</file>