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Times New Roman" w:hAnsi="Times New Roman" w:eastAsia="Times New Roman"/>
        </w:rPr>
        <w:t>Глава 1. Капиллярные модели, методы оценки насыщенности и постановка задачи калибровки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План главы.</w:t>
      </w:r>
      <w:r>
        <w:rPr>
          <w:rFonts w:ascii="Times New Roman" w:hAnsi="Times New Roman" w:eastAsia="Times New Roman"/>
          <w:sz w:val="28"/>
        </w:rPr>
        <w:t xml:space="preserve"> В параграфе </w:t>
      </w:r>
      <w:r>
        <w:rPr>
          <w:rFonts w:ascii="Times New Roman" w:hAnsi="Times New Roman" w:eastAsia="Times New Roman"/>
          <w:b/>
          <w:sz w:val="28"/>
        </w:rPr>
        <w:t>1.1</w:t>
      </w:r>
      <w:r>
        <w:rPr>
          <w:rFonts w:ascii="Times New Roman" w:hAnsi="Times New Roman" w:eastAsia="Times New Roman"/>
          <w:sz w:val="28"/>
        </w:rPr>
        <w:t xml:space="preserve"> рассматриваются физические предпосылки капиллярного равновесия и роль капиллярного давления при описании насыщенности. В </w:t>
      </w:r>
      <w:r>
        <w:rPr>
          <w:rFonts w:ascii="Times New Roman" w:hAnsi="Times New Roman" w:eastAsia="Times New Roman"/>
          <w:b/>
          <w:sz w:val="28"/>
        </w:rPr>
        <w:t>1.2</w:t>
      </w:r>
      <w:r>
        <w:rPr>
          <w:rFonts w:ascii="Times New Roman" w:hAnsi="Times New Roman" w:eastAsia="Times New Roman"/>
          <w:sz w:val="28"/>
        </w:rPr>
        <w:t xml:space="preserve"> излагается подход на основе J-функции Леверетта как параметрического моста между капиллярным давлением и условиями среды. В </w:t>
      </w:r>
      <w:r>
        <w:rPr>
          <w:rFonts w:ascii="Times New Roman" w:hAnsi="Times New Roman" w:eastAsia="Times New Roman"/>
          <w:b/>
          <w:sz w:val="28"/>
        </w:rPr>
        <w:t>1.3</w:t>
      </w:r>
      <w:r>
        <w:rPr>
          <w:rFonts w:ascii="Times New Roman" w:hAnsi="Times New Roman" w:eastAsia="Times New Roman"/>
          <w:sz w:val="28"/>
        </w:rPr>
        <w:t xml:space="preserve"> описывается методологическая линия Брукса — Кори в виде цепочки лабораторно-параметрических зависимостей; обобщённая структура расчёта и связи с данными иллюстрируются </w:t>
      </w:r>
      <w:r>
        <w:rPr>
          <w:rFonts w:ascii="Times New Roman" w:hAnsi="Times New Roman" w:eastAsia="Times New Roman"/>
          <w:b/>
          <w:sz w:val="28"/>
        </w:rPr>
        <w:t>рисунком 1.1</w:t>
      </w:r>
      <w:r>
        <w:rPr>
          <w:rFonts w:ascii="Times New Roman" w:hAnsi="Times New Roman" w:eastAsia="Times New Roman"/>
          <w:sz w:val="28"/>
        </w:rPr>
        <w:t xml:space="preserve">. В </w:t>
      </w:r>
      <w:r>
        <w:rPr>
          <w:rFonts w:ascii="Times New Roman" w:hAnsi="Times New Roman" w:eastAsia="Times New Roman"/>
          <w:b/>
          <w:sz w:val="28"/>
        </w:rPr>
        <w:t>1.4</w:t>
      </w:r>
      <w:r>
        <w:rPr>
          <w:rFonts w:ascii="Times New Roman" w:hAnsi="Times New Roman" w:eastAsia="Times New Roman"/>
          <w:sz w:val="28"/>
        </w:rPr>
        <w:t xml:space="preserve"> формулируется связь «модель — наблюдаемая величина» на примере нефтенасыщенности и данных скважин. В </w:t>
      </w:r>
      <w:r>
        <w:rPr>
          <w:rFonts w:ascii="Times New Roman" w:hAnsi="Times New Roman" w:eastAsia="Times New Roman"/>
          <w:b/>
          <w:sz w:val="28"/>
        </w:rPr>
        <w:t>1.5</w:t>
      </w:r>
      <w:r>
        <w:rPr>
          <w:rFonts w:ascii="Times New Roman" w:hAnsi="Times New Roman" w:eastAsia="Times New Roman"/>
          <w:sz w:val="28"/>
        </w:rPr>
        <w:t xml:space="preserve"> даётся постановка задачи калибровки как обратной задачи при ограничениях и критериях качества. Для единообразия изложения в главе используются </w:t>
      </w:r>
      <w:r>
        <w:rPr>
          <w:rFonts w:ascii="Times New Roman" w:hAnsi="Times New Roman" w:eastAsia="Times New Roman"/>
          <w:b/>
          <w:sz w:val="28"/>
        </w:rPr>
        <w:t>обозначения и термины, сведённые в таблице 1.1</w:t>
      </w:r>
      <w:r>
        <w:rPr>
          <w:rFonts w:ascii="Times New Roman" w:hAnsi="Times New Roman" w:eastAsia="Times New Roman"/>
          <w:sz w:val="28"/>
        </w:rPr>
        <w:t xml:space="preserve">. В </w:t>
      </w:r>
      <w:r>
        <w:rPr>
          <w:rFonts w:ascii="Times New Roman" w:hAnsi="Times New Roman" w:eastAsia="Times New Roman"/>
          <w:b/>
          <w:sz w:val="28"/>
        </w:rPr>
        <w:t>выводах</w:t>
      </w:r>
      <w:r>
        <w:rPr>
          <w:rFonts w:ascii="Times New Roman" w:hAnsi="Times New Roman" w:eastAsia="Times New Roman"/>
          <w:sz w:val="28"/>
        </w:rPr>
        <w:t xml:space="preserve"> фиксируются положения, на которых строятся методика и программная реализация во второй и третьей главах.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Таблица 1.1 — Основные обозначения и термины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Таблица 1.1</w:t>
      </w:r>
      <w:r>
        <w:rPr>
          <w:rFonts w:ascii="Times New Roman" w:hAnsi="Times New Roman" w:eastAsia="Times New Roman"/>
          <w:sz w:val="28"/>
        </w:rPr>
        <w:t xml:space="preserve"> — Основные обозначения и термины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Обозначение / термин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Смысл в работе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Cambria Math" w:hAnsi="Cambria Math" w:eastAsia="Cambria Math"/>
                <w:sz w:val="28"/>
              </w:rPr>
              <w:t>S_w</w:t>
            </w:r>
            <w:r>
              <w:rPr>
                <w:rFonts w:ascii="Times New Roman" w:hAnsi="Times New Roman" w:eastAsia="Times New Roman"/>
                <w:sz w:val="24"/>
              </w:rPr>
              <w:t>, Кво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Водонасыщённость; в данных скважины — величина, согласованная с колонкой SWL_GDM после нормализации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Cambria Math" w:hAnsi="Cambria Math" w:eastAsia="Cambria Math"/>
                <w:sz w:val="28"/>
              </w:rPr>
              <w:t>S_o</w:t>
            </w:r>
            <w:r>
              <w:rPr>
                <w:rFonts w:ascii="Times New Roman" w:hAnsi="Times New Roman" w:eastAsia="Times New Roman"/>
                <w:sz w:val="24"/>
              </w:rPr>
              <w:t xml:space="preserve">, </w:t>
            </w:r>
            <w:r>
              <w:rPr>
                <w:rFonts w:ascii="Cambria Math" w:hAnsi="Cambria Math" w:eastAsia="Cambria Math"/>
                <w:sz w:val="28"/>
              </w:rPr>
              <w:t>K_{нг}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Нефтенасыщенность; в данных — показатель, согласованный с колонкой «Кнг» (историческое / модельное)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Cambria Math" w:hAnsi="Cambria Math" w:eastAsia="Cambria Math"/>
                <w:sz w:val="28"/>
              </w:rPr>
              <w:t>P_c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Капиллярное давление (входной атрибут скважинных данных)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Cambria Math" w:hAnsi="Cambria Math" w:eastAsia="Cambria Math"/>
                <w:sz w:val="28"/>
              </w:rPr>
              <w:t>\varphi</w:t>
            </w:r>
            <w:r>
              <w:rPr>
                <w:rFonts w:ascii="Times New Roman" w:hAnsi="Times New Roman" w:eastAsia="Times New Roman"/>
                <w:sz w:val="24"/>
              </w:rPr>
              <w:t xml:space="preserve">, </w:t>
            </w:r>
            <w:r>
              <w:rPr>
                <w:rFonts w:ascii="Cambria Math" w:hAnsi="Cambria Math" w:eastAsia="Cambria Math"/>
                <w:sz w:val="28"/>
              </w:rPr>
              <w:t>k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Пористость и проницаемость (по данным ГДМ / геомодели)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J-функция Леверетта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 xml:space="preserve">Безразмерная характеристика капиллярного давления; в работе — параметрическая модель </w:t>
            </w:r>
            <w:r>
              <w:rPr>
                <w:rFonts w:ascii="Cambria Math" w:hAnsi="Cambria Math" w:eastAsia="Cambria Math"/>
                <w:sz w:val="28"/>
              </w:rPr>
              <w:t>J \approx a \cdot S_{wn}^{b}</w:t>
            </w:r>
            <w:r>
              <w:rPr>
                <w:rFonts w:ascii="Times New Roman" w:hAnsi="Times New Roman" w:eastAsia="Times New Roman"/>
                <w:sz w:val="24"/>
              </w:rPr>
              <w:t xml:space="preserve"> для сопоставления с лабораторным облаком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Модель Брукса — Кори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 xml:space="preserve">В работе — </w:t>
            </w:r>
            <w:r>
              <w:rPr>
                <w:rFonts w:ascii="Times New Roman" w:hAnsi="Times New Roman" w:eastAsia="Times New Roman"/>
                <w:b/>
                <w:sz w:val="24"/>
              </w:rPr>
              <w:t>цепочка</w:t>
            </w:r>
            <w:r>
              <w:rPr>
                <w:rFonts w:ascii="Times New Roman" w:hAnsi="Times New Roman" w:eastAsia="Times New Roman"/>
                <w:sz w:val="24"/>
              </w:rPr>
              <w:t xml:space="preserve"> зависимостей: Кво(пористость) → Кпр(Кво) → параметры на кривой насыщения; параметры </w:t>
            </w:r>
            <w:r>
              <w:rPr>
                <w:rFonts w:ascii="Cambria Math" w:hAnsi="Cambria Math" w:eastAsia="Cambria Math"/>
                <w:sz w:val="28"/>
              </w:rPr>
              <w:t>(a,b)</w:t>
            </w:r>
            <w:r>
              <w:rPr>
                <w:rFonts w:ascii="Times New Roman" w:hAnsi="Times New Roman" w:eastAsia="Times New Roman"/>
                <w:sz w:val="24"/>
              </w:rPr>
              <w:t xml:space="preserve"> по четырём звеньям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Огибающие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Верхняя и нижняя границы коридора по лабораторным точкам для каждого звена цепочки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Калибровка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Подбор численных параметров модели по минимуму целевого функционала при ограничениях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Вес точки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Коэффициент значимости наблюдения при суммировании невязки (в т.ч. учёт перфорации и добычи, если заданы)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Невязка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Разность «модель − наблюдение» по нефтенасыщенности (или эквивалентному показателю) в допустимых точках</w:t>
            </w:r>
          </w:p>
        </w:tc>
      </w:tr>
    </w:tbl>
    <w:p/>
    <w:p>
      <w:pPr>
        <w:spacing w:lineRule="auto" w:line="360"/>
        <w:ind w:firstLine="709"/>
      </w:pPr>
      <w:r>
        <w:rPr>
          <w:rFonts w:ascii="Times New Roman" w:hAnsi="Times New Roman" w:eastAsia="Times New Roman"/>
          <w:i/>
          <w:sz w:val="28"/>
        </w:rPr>
        <w:t>Примечание.</w:t>
      </w:r>
      <w:r>
        <w:rPr>
          <w:rFonts w:ascii="Times New Roman" w:hAnsi="Times New Roman" w:eastAsia="Times New Roman"/>
          <w:sz w:val="28"/>
        </w:rPr>
        <w:t xml:space="preserve"> При необходимости полный перечень входных полей файлов выносится в приложение; таблица 1.1 задаёт минимальный терминологический каркас главы 1.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1.1. Капиллярное равновесие, капиллярное давление и насыщенность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Многофазное течение в пористой среде сопровождается распределением фаз по объёму порового пространства, которое в значительной степени определяется </w:t>
      </w:r>
      <w:r>
        <w:rPr>
          <w:rFonts w:ascii="Times New Roman" w:hAnsi="Times New Roman" w:eastAsia="Times New Roman"/>
          <w:b/>
          <w:sz w:val="28"/>
        </w:rPr>
        <w:t>капиллярными эффектами</w:t>
      </w:r>
      <w:r>
        <w:rPr>
          <w:rFonts w:ascii="Times New Roman" w:hAnsi="Times New Roman" w:eastAsia="Times New Roman"/>
          <w:sz w:val="28"/>
        </w:rPr>
        <w:t xml:space="preserve"> на межфазных границах. В практике нефтегазового дела насыщенность водой и нефтью в зоне перехода между нефтеносным и водоносным комплексами и в зонах неравновесного заводнения часто интерпретируется с опорой на </w:t>
      </w:r>
      <w:r>
        <w:rPr>
          <w:rFonts w:ascii="Times New Roman" w:hAnsi="Times New Roman" w:eastAsia="Times New Roman"/>
          <w:b/>
          <w:sz w:val="28"/>
        </w:rPr>
        <w:t>капиллярное давление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Cambria Math" w:hAnsi="Cambria Math" w:eastAsia="Cambria Math"/>
          <w:sz w:val="28"/>
        </w:rPr>
        <w:t>P_c</w:t>
      </w:r>
      <w:r>
        <w:rPr>
          <w:rFonts w:ascii="Times New Roman" w:hAnsi="Times New Roman" w:eastAsia="Times New Roman"/>
          <w:sz w:val="28"/>
        </w:rPr>
        <w:t xml:space="preserve"> как функцию насыщенности и свойств породы (см. обозначения в </w:t>
      </w:r>
      <w:r>
        <w:rPr>
          <w:rFonts w:ascii="Times New Roman" w:hAnsi="Times New Roman" w:eastAsia="Times New Roman"/>
          <w:b/>
          <w:sz w:val="28"/>
        </w:rPr>
        <w:t>таблице 1.1</w:t>
      </w:r>
      <w:r>
        <w:rPr>
          <w:rFonts w:ascii="Times New Roman" w:hAnsi="Times New Roman" w:eastAsia="Times New Roman"/>
          <w:sz w:val="28"/>
        </w:rPr>
        <w:t>).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С позиции постановки задачи калибровки важно разделить два уровня: </w:t>
      </w:r>
      <w:r>
        <w:rPr>
          <w:rFonts w:ascii="Times New Roman" w:hAnsi="Times New Roman" w:eastAsia="Times New Roman"/>
          <w:b/>
          <w:sz w:val="28"/>
        </w:rPr>
        <w:t>(а)</w:t>
      </w:r>
      <w:r>
        <w:rPr>
          <w:rFonts w:ascii="Times New Roman" w:hAnsi="Times New Roman" w:eastAsia="Times New Roman"/>
          <w:sz w:val="28"/>
        </w:rPr>
        <w:t xml:space="preserve"> физико-геологическое описание, задающее структуру связи «свойства среды — капиллярное давление — насыщенность»; </w:t>
      </w:r>
      <w:r>
        <w:rPr>
          <w:rFonts w:ascii="Times New Roman" w:hAnsi="Times New Roman" w:eastAsia="Times New Roman"/>
          <w:b/>
          <w:sz w:val="28"/>
        </w:rPr>
        <w:t>(б)</w:t>
      </w:r>
      <w:r>
        <w:rPr>
          <w:rFonts w:ascii="Times New Roman" w:hAnsi="Times New Roman" w:eastAsia="Times New Roman"/>
          <w:sz w:val="28"/>
        </w:rPr>
        <w:t xml:space="preserve"> параметрическая модель, в которой неизвестными выступают коэффициенты, подбираемые по данным. Далее под «капиллярной моделью» понимается параметризованное соотношение, позволяющее по измеренным или заданным величинам восстановить водонасыщённость и при принятом допущении о двухфазной системе нефть–вода — </w:t>
      </w:r>
      <w:r>
        <w:rPr>
          <w:rFonts w:ascii="Times New Roman" w:hAnsi="Times New Roman" w:eastAsia="Times New Roman"/>
          <w:b/>
          <w:sz w:val="28"/>
        </w:rPr>
        <w:t>нефтенасыщенность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Cambria Math" w:hAnsi="Cambria Math" w:eastAsia="Cambria Math"/>
          <w:sz w:val="28"/>
        </w:rPr>
        <w:t>K_{нг}</w:t>
      </w:r>
      <w:r>
        <w:rPr>
          <w:rFonts w:ascii="Times New Roman" w:hAnsi="Times New Roman" w:eastAsia="Times New Roman"/>
          <w:sz w:val="28"/>
        </w:rPr>
        <w:t xml:space="preserve"> как выходную характеристику.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1.2. J-функция Леверетта как параметрическая модель согласования капиллярных данных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J-функция Леверетта традиционно вводится как безразмерная группа, связывающая капиллярное давление с межфазным натяжением, проницаемостью и пористостью. В прикладных постановках для инженерных расчётов и калибровки по данным скважин J-функция часто используется в </w:t>
      </w:r>
      <w:r>
        <w:rPr>
          <w:rFonts w:ascii="Times New Roman" w:hAnsi="Times New Roman" w:eastAsia="Times New Roman"/>
          <w:b/>
          <w:sz w:val="28"/>
        </w:rPr>
        <w:t>степенной параметризации</w:t>
      </w:r>
      <w:r>
        <w:rPr>
          <w:rFonts w:ascii="Times New Roman" w:hAnsi="Times New Roman" w:eastAsia="Times New Roman"/>
          <w:sz w:val="28"/>
        </w:rPr>
        <w:t xml:space="preserve"> относительно нормированной водонасыщённости </w:t>
      </w:r>
      <w:r>
        <w:rPr>
          <w:rFonts w:ascii="Cambria Math" w:hAnsi="Cambria Math" w:eastAsia="Cambria Math"/>
          <w:sz w:val="28"/>
        </w:rPr>
        <w:t>S_{wn}</w:t>
      </w:r>
      <w:r>
        <w:rPr>
          <w:rFonts w:ascii="Times New Roman" w:hAnsi="Times New Roman" w:eastAsia="Times New Roman"/>
          <w:sz w:val="28"/>
        </w:rPr>
        <w:t xml:space="preserve">, что задаёт компактный набор коэффициентов </w:t>
      </w:r>
      <w:r>
        <w:rPr>
          <w:rFonts w:ascii="Cambria Math" w:hAnsi="Cambria Math" w:eastAsia="Cambria Math"/>
          <w:sz w:val="28"/>
        </w:rPr>
        <w:t>a</w:t>
      </w:r>
      <w:r>
        <w:rPr>
          <w:rFonts w:ascii="Times New Roman" w:hAnsi="Times New Roman" w:eastAsia="Times New Roman"/>
          <w:sz w:val="28"/>
        </w:rPr>
        <w:t xml:space="preserve">, </w:t>
      </w:r>
      <w:r>
        <w:rPr>
          <w:rFonts w:ascii="Cambria Math" w:hAnsi="Cambria Math" w:eastAsia="Cambria Math"/>
          <w:sz w:val="28"/>
        </w:rPr>
        <w:t>b</w:t>
      </w:r>
      <w:r>
        <w:rPr>
          <w:rFonts w:ascii="Times New Roman" w:hAnsi="Times New Roman" w:eastAsia="Times New Roman"/>
          <w:sz w:val="28"/>
        </w:rPr>
        <w:t xml:space="preserve"> и обеспечивает гладкость зависимости в области допустимых значений насыщенности.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С методологической точки зрения для настоящей работы важны следующие свойства такого подхода: </w:t>
      </w:r>
      <w:r>
        <w:rPr>
          <w:rFonts w:ascii="Times New Roman" w:hAnsi="Times New Roman" w:eastAsia="Times New Roman"/>
          <w:b/>
          <w:sz w:val="28"/>
        </w:rPr>
        <w:t>низкая размерность</w:t>
      </w:r>
      <w:r>
        <w:rPr>
          <w:rFonts w:ascii="Times New Roman" w:hAnsi="Times New Roman" w:eastAsia="Times New Roman"/>
          <w:sz w:val="28"/>
        </w:rPr>
        <w:t xml:space="preserve"> параметров при сохранении нелинейности модели; </w:t>
      </w:r>
      <w:r>
        <w:rPr>
          <w:rFonts w:ascii="Times New Roman" w:hAnsi="Times New Roman" w:eastAsia="Times New Roman"/>
          <w:b/>
          <w:sz w:val="28"/>
        </w:rPr>
        <w:t>прямая связь</w:t>
      </w:r>
      <w:r>
        <w:rPr>
          <w:rFonts w:ascii="Times New Roman" w:hAnsi="Times New Roman" w:eastAsia="Times New Roman"/>
          <w:sz w:val="28"/>
        </w:rPr>
        <w:t xml:space="preserve"> с наблюдаемыми по скважине величинами при согласованных единицах и допустимости постановки невязки «модель — данные»; </w:t>
      </w:r>
      <w:r>
        <w:rPr>
          <w:rFonts w:ascii="Times New Roman" w:hAnsi="Times New Roman" w:eastAsia="Times New Roman"/>
          <w:b/>
          <w:sz w:val="28"/>
        </w:rPr>
        <w:t>возможность включения весов</w:t>
      </w:r>
      <w:r>
        <w:rPr>
          <w:rFonts w:ascii="Times New Roman" w:hAnsi="Times New Roman" w:eastAsia="Times New Roman"/>
          <w:sz w:val="28"/>
        </w:rPr>
        <w:t xml:space="preserve"> наблюдений (таблица 1.1). В рамках диссертации J-функция рассматривается как </w:t>
      </w:r>
      <w:r>
        <w:rPr>
          <w:rFonts w:ascii="Times New Roman" w:hAnsi="Times New Roman" w:eastAsia="Times New Roman"/>
          <w:b/>
          <w:sz w:val="28"/>
        </w:rPr>
        <w:t>первая методическая ветвь</w:t>
      </w:r>
      <w:r>
        <w:rPr>
          <w:rFonts w:ascii="Times New Roman" w:hAnsi="Times New Roman" w:eastAsia="Times New Roman"/>
          <w:sz w:val="28"/>
        </w:rPr>
        <w:t xml:space="preserve"> сравнения с альтернативной ветвью Брукса — Кори.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1.3. Модель Брукса — Кори в виде цепочки лабораторных зависимостей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Модели семейства Брукса — Кори в классическом изложении задают капиллярное давление и относительные фазовые проницаемости через связанные параметры остаточных насыщенностей, пороговых давлений и показателей степени. В прикладной реализации, лежащей в основе разрабатываемой платформы, используется </w:t>
      </w:r>
      <w:r>
        <w:rPr>
          <w:rFonts w:ascii="Times New Roman" w:hAnsi="Times New Roman" w:eastAsia="Times New Roman"/>
          <w:b/>
          <w:sz w:val="28"/>
        </w:rPr>
        <w:t>цепочка зависимостей</w:t>
      </w:r>
      <w:r>
        <w:rPr>
          <w:rFonts w:ascii="Times New Roman" w:hAnsi="Times New Roman" w:eastAsia="Times New Roman"/>
          <w:sz w:val="28"/>
        </w:rPr>
        <w:t>, воспроизводимая по лабораторным облакам точек: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связь водонасыщённости (Кво) с пористостью образца в параметрическом виде, согласованном с лабораторным облаком;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зависимость проницаемости от водонасыщённости в степенной параметризации с ограничениями на знаки коэффициентов;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зависимости параметров кривой насыщения от композитного показателя, связанного с проницаемостью и пористостью;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 xml:space="preserve">переход к оценке насыщённости по капиллярному давлению </w:t>
      </w:r>
      <w:r>
        <w:rPr>
          <w:rFonts w:ascii="Cambria Math" w:hAnsi="Cambria Math" w:eastAsia="Cambria Math"/>
          <w:sz w:val="28"/>
        </w:rPr>
        <w:t>P_c</w:t>
      </w:r>
      <w:r>
        <w:rPr>
          <w:rFonts w:ascii="Times New Roman" w:hAnsi="Times New Roman" w:eastAsia="Times New Roman"/>
          <w:sz w:val="28"/>
        </w:rPr>
        <w:t xml:space="preserve"> при подобранных параметрах.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Лабораторные точки задают не только «центр» подбора, но и </w:t>
      </w:r>
      <w:r>
        <w:rPr>
          <w:rFonts w:ascii="Times New Roman" w:hAnsi="Times New Roman" w:eastAsia="Times New Roman"/>
          <w:b/>
          <w:sz w:val="28"/>
        </w:rPr>
        <w:t>коридор допустимых решений</w:t>
      </w:r>
      <w:r>
        <w:rPr>
          <w:rFonts w:ascii="Times New Roman" w:hAnsi="Times New Roman" w:eastAsia="Times New Roman"/>
          <w:sz w:val="28"/>
        </w:rPr>
        <w:t xml:space="preserve"> (огибающие), внутри которого ищется оптимальная кривая по каждому звену. Это переводит задачу из класса «чистая регрессия» в класс </w:t>
      </w:r>
      <w:r>
        <w:rPr>
          <w:rFonts w:ascii="Times New Roman" w:hAnsi="Times New Roman" w:eastAsia="Times New Roman"/>
          <w:b/>
          <w:sz w:val="28"/>
        </w:rPr>
        <w:t>ограниченной оптимизации</w:t>
      </w:r>
      <w:r>
        <w:rPr>
          <w:rFonts w:ascii="Times New Roman" w:hAnsi="Times New Roman" w:eastAsia="Times New Roman"/>
          <w:sz w:val="28"/>
        </w:rPr>
        <w:t>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Обобщённая структура</w:t>
      </w:r>
      <w:r>
        <w:rPr>
          <w:rFonts w:ascii="Times New Roman" w:hAnsi="Times New Roman" w:eastAsia="Times New Roman"/>
          <w:sz w:val="28"/>
        </w:rPr>
        <w:t xml:space="preserve"> связи лабораторных данных, цепочки Брукса — Кори, скважинных наблюдений и блока калибровки приведена на </w:t>
      </w:r>
      <w:r>
        <w:rPr>
          <w:rFonts w:ascii="Times New Roman" w:hAnsi="Times New Roman" w:eastAsia="Times New Roman"/>
          <w:b/>
          <w:sz w:val="28"/>
        </w:rPr>
        <w:t>рисунке 1.1</w:t>
      </w:r>
      <w:r>
        <w:rPr>
          <w:rFonts w:ascii="Times New Roman" w:hAnsi="Times New Roman" w:eastAsia="Times New Roman"/>
          <w:sz w:val="28"/>
        </w:rPr>
        <w:t>. На схеме показано, что лабораторные облака определяют и форму зависимостей, и огибающие; данные скважины задают условия среды (</w:t>
      </w:r>
      <w:r>
        <w:rPr>
          <w:rFonts w:ascii="Cambria Math" w:hAnsi="Cambria Math" w:eastAsia="Cambria Math"/>
          <w:sz w:val="28"/>
        </w:rPr>
        <w:t>\varphi</w:t>
      </w:r>
      <w:r>
        <w:rPr>
          <w:rFonts w:ascii="Times New Roman" w:hAnsi="Times New Roman" w:eastAsia="Times New Roman"/>
          <w:sz w:val="28"/>
        </w:rPr>
        <w:t xml:space="preserve">, </w:t>
      </w:r>
      <w:r>
        <w:rPr>
          <w:rFonts w:ascii="Cambria Math" w:hAnsi="Cambria Math" w:eastAsia="Cambria Math"/>
          <w:sz w:val="28"/>
        </w:rPr>
        <w:t>k</w:t>
      </w:r>
      <w:r>
        <w:rPr>
          <w:rFonts w:ascii="Times New Roman" w:hAnsi="Times New Roman" w:eastAsia="Times New Roman"/>
          <w:sz w:val="28"/>
        </w:rPr>
        <w:t xml:space="preserve">, </w:t>
      </w:r>
      <w:r>
        <w:rPr>
          <w:rFonts w:ascii="Cambria Math" w:hAnsi="Cambria Math" w:eastAsia="Cambria Math"/>
          <w:sz w:val="28"/>
        </w:rPr>
        <w:t>P_c</w:t>
      </w:r>
      <w:r>
        <w:rPr>
          <w:rFonts w:ascii="Times New Roman" w:hAnsi="Times New Roman" w:eastAsia="Times New Roman"/>
          <w:sz w:val="28"/>
        </w:rPr>
        <w:t xml:space="preserve">, Кво) и наблюдаемую нефтенасыщенность </w:t>
      </w:r>
      <w:r>
        <w:rPr>
          <w:rFonts w:ascii="Cambria Math" w:hAnsi="Cambria Math" w:eastAsia="Cambria Math"/>
          <w:sz w:val="28"/>
        </w:rPr>
        <w:t>K_{нг}</w:t>
      </w:r>
      <w:r>
        <w:rPr>
          <w:rFonts w:ascii="Times New Roman" w:hAnsi="Times New Roman" w:eastAsia="Times New Roman"/>
          <w:sz w:val="28"/>
        </w:rPr>
        <w:t>; калибровка объединяет параметры звеньев в единый вектор оптимизации при взвешенной робастной невязке и штрафах за выход за огибающие (детализация — в главе 2).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Рисунок 1.1</w:t>
      </w:r>
      <w:r>
        <w:rPr>
          <w:rFonts w:ascii="Times New Roman" w:hAnsi="Times New Roman" w:eastAsia="Times New Roman"/>
          <w:sz w:val="28"/>
        </w:rPr>
        <w:t xml:space="preserve"> — Обобщённая структура расчёта нефтенасыщенности по цепочке Брукса — Кори и данным скважины</w:t>
      </w:r>
    </w:p>
    <w:p>
      <w:pPr>
        <w:ind w:firstLine="0"/>
      </w:pPr>
      <w:r>
        <w:rPr>
          <w:rFonts w:ascii="Times New Roman" w:hAnsi="Times New Roman" w:eastAsia="Times New Roman"/>
          <w:i/>
          <w:sz w:val="24"/>
        </w:rPr>
        <w:t>(Блок кода, язык: mermaid. Для Mermaid вставьте экспортированный рисунок из mermaid.live.)</w:t>
      </w:r>
    </w:p>
    <w:p>
      <w:pPr>
        <w:ind w:firstLine="0" w:left="283"/>
      </w:pPr>
      <w:r>
        <w:rPr>
          <w:rFonts w:ascii="Courier New" w:hAnsi="Courier New" w:eastAsia="Courier New"/>
          <w:sz w:val="20"/>
        </w:rPr>
        <w:t>flowchart TB</w:t>
        <w:br/>
        <w:t xml:space="preserve">  subgraph LAB["Лабораторные данные"]</w:t>
        <w:br/>
        <w:t xml:space="preserve">    L1["Пористость образца"]</w:t>
        <w:br/>
        <w:t xml:space="preserve">    L2["Кво / Swl"]</w:t>
        <w:br/>
        <w:t xml:space="preserve">    L3["Проницаемость"]</w:t>
        <w:br/>
        <w:t xml:space="preserve">    L4["Показатели на кривой насыщения"]</w:t>
        <w:br/>
        <w:t xml:space="preserve">  end</w:t>
        <w:br/>
        <w:br/>
        <w:t xml:space="preserve">  subgraph CHAIN["Параметрическая цепочка БК"]</w:t>
        <w:br/>
        <w:t xml:space="preserve">    A1["Кво = f(φ)"]</w:t>
        <w:br/>
        <w:t xml:space="preserve">    A2["Кпр = f(Кво)"]</w:t>
        <w:br/>
        <w:t xml:space="preserve">    A3["Вспомогательный показатель √(Кпр/Кп)"]</w:t>
        <w:br/>
        <w:t xml:space="preserve">    A4["Параметры кривой насыщения"]</w:t>
        <w:br/>
        <w:t xml:space="preserve">    A5["Водонасыщённость / нефтенасыщенность по Pc"]</w:t>
        <w:br/>
        <w:t xml:space="preserve">  end</w:t>
        <w:br/>
        <w:br/>
        <w:t xml:space="preserve">  subgraph WELL["Данные скважины"]</w:t>
        <w:br/>
        <w:t xml:space="preserve">    W1["φ, k, Pc, Кво_ГДМ"]</w:t>
        <w:br/>
        <w:t xml:space="preserve">    W2["Кнг — наблюдение"]</w:t>
        <w:br/>
        <w:t xml:space="preserve">  end</w:t>
        <w:br/>
        <w:br/>
        <w:t xml:space="preserve">  subgraph CAL["Калибровка"]</w:t>
        <w:br/>
        <w:t xml:space="preserve">    C1["Минимум взвешенного Huber + штрафы за огибающие"]</w:t>
        <w:br/>
        <w:t xml:space="preserve">  end</w:t>
        <w:br/>
        <w:br/>
        <w:t xml:space="preserve">  L1 --&gt; A1</w:t>
        <w:br/>
        <w:t xml:space="preserve">  L2 --&gt; A1</w:t>
        <w:br/>
        <w:t xml:space="preserve">  L3 --&gt; A2</w:t>
        <w:br/>
        <w:t xml:space="preserve">  L4 --&gt; A4</w:t>
        <w:br/>
        <w:t xml:space="preserve">  A1 --&gt; A2 --&gt; A3 --&gt; A4 --&gt; A5</w:t>
        <w:br/>
        <w:t xml:space="preserve">  W1 --&gt; A5</w:t>
        <w:br/>
        <w:t xml:space="preserve">  A5 -.-&gt;|"невязка"| W2</w:t>
        <w:br/>
        <w:t xml:space="preserve">  L1 &amp; L2 &amp; L3 &amp; L4 -.-&gt;|"огибающие"| C1</w:t>
        <w:br/>
        <w:t xml:space="preserve">  A1 &amp; A2 &amp; A3 &amp; A4 -.-&gt;|"параметры a, b"| C1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1.4. Наблюдаемая величина, нефтенасыщенность и данные скважин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Для калибровки по промыслово-геологическим данным необходимо явно определить </w:t>
      </w:r>
      <w:r>
        <w:rPr>
          <w:rFonts w:ascii="Times New Roman" w:hAnsi="Times New Roman" w:eastAsia="Times New Roman"/>
          <w:b/>
          <w:sz w:val="28"/>
        </w:rPr>
        <w:t>наблюдаемую величину</w:t>
      </w:r>
      <w:r>
        <w:rPr>
          <w:rFonts w:ascii="Times New Roman" w:hAnsi="Times New Roman" w:eastAsia="Times New Roman"/>
          <w:sz w:val="28"/>
        </w:rPr>
        <w:t xml:space="preserve">, с которой сравнивается модель. В разрабатываемой платформе такой величиной выступает </w:t>
      </w:r>
      <w:r>
        <w:rPr>
          <w:rFonts w:ascii="Times New Roman" w:hAnsi="Times New Roman" w:eastAsia="Times New Roman"/>
          <w:b/>
          <w:sz w:val="28"/>
        </w:rPr>
        <w:t>нефтенасыщенность</w:t>
      </w:r>
      <w:r>
        <w:rPr>
          <w:rFonts w:ascii="Times New Roman" w:hAnsi="Times New Roman" w:eastAsia="Times New Roman"/>
          <w:sz w:val="28"/>
        </w:rPr>
        <w:t xml:space="preserve"> (показатель </w:t>
      </w:r>
      <w:r>
        <w:rPr>
          <w:rFonts w:ascii="Cambria Math" w:hAnsi="Cambria Math" w:eastAsia="Cambria Math"/>
          <w:sz w:val="28"/>
        </w:rPr>
        <w:t>K_{нг}</w:t>
      </w:r>
      <w:r>
        <w:rPr>
          <w:rFonts w:ascii="Times New Roman" w:hAnsi="Times New Roman" w:eastAsia="Times New Roman"/>
          <w:sz w:val="28"/>
        </w:rPr>
        <w:t xml:space="preserve"> в терминологии таблицы 1.1), согласованный с входным столбцом скважинных данных после нормализации и фильтрации.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Выполняются стандартные для прикладной работы допущения: измерения и модельные предсказания считаются сопоставимыми после унификации единиц и исключения явных выбросов; веса наблюдений отражают неоднородность доверия к точкам; качество решения оценивается агрегированными метриками (перечень и интерпретация — в главе 2 и 4). Нефтенасыщенность здесь рассматривается как </w:t>
      </w:r>
      <w:r>
        <w:rPr>
          <w:rFonts w:ascii="Times New Roman" w:hAnsi="Times New Roman" w:eastAsia="Times New Roman"/>
          <w:b/>
          <w:sz w:val="28"/>
        </w:rPr>
        <w:t>выходная характеристика</w:t>
      </w:r>
      <w:r>
        <w:rPr>
          <w:rFonts w:ascii="Times New Roman" w:hAnsi="Times New Roman" w:eastAsia="Times New Roman"/>
          <w:sz w:val="28"/>
        </w:rPr>
        <w:t>, определяемая выбранной параметризацией и входными полями, а не как независимый «первичный» закон в отрыве от капиллярной модели.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1.5. Постановка задачи калибровки как обратная задача при ограничениях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Под </w:t>
      </w:r>
      <w:r>
        <w:rPr>
          <w:rFonts w:ascii="Times New Roman" w:hAnsi="Times New Roman" w:eastAsia="Times New Roman"/>
          <w:b/>
          <w:sz w:val="28"/>
        </w:rPr>
        <w:t>калибровкой</w:t>
      </w:r>
      <w:r>
        <w:rPr>
          <w:rFonts w:ascii="Times New Roman" w:hAnsi="Times New Roman" w:eastAsia="Times New Roman"/>
          <w:sz w:val="28"/>
        </w:rPr>
        <w:t xml:space="preserve"> (таблица 1.1) понимается отыскание вектора параметров модели, минимизирующего выбранный функционал качества на множестве допустимых решений. Различают три уровня ограничений: </w:t>
      </w:r>
      <w:r>
        <w:rPr>
          <w:rFonts w:ascii="Times New Roman" w:hAnsi="Times New Roman" w:eastAsia="Times New Roman"/>
          <w:b/>
          <w:sz w:val="28"/>
        </w:rPr>
        <w:t>априорные</w:t>
      </w:r>
      <w:r>
        <w:rPr>
          <w:rFonts w:ascii="Times New Roman" w:hAnsi="Times New Roman" w:eastAsia="Times New Roman"/>
          <w:sz w:val="28"/>
        </w:rPr>
        <w:t xml:space="preserve"> (коробка параметров, вытекающая из физической разумности и устойчивости вычислений); </w:t>
      </w:r>
      <w:r>
        <w:rPr>
          <w:rFonts w:ascii="Times New Roman" w:hAnsi="Times New Roman" w:eastAsia="Times New Roman"/>
          <w:b/>
          <w:sz w:val="28"/>
        </w:rPr>
        <w:t>ограничения по лабораторным огибающим</w:t>
      </w:r>
      <w:r>
        <w:rPr>
          <w:rFonts w:ascii="Times New Roman" w:hAnsi="Times New Roman" w:eastAsia="Times New Roman"/>
          <w:sz w:val="28"/>
        </w:rPr>
        <w:t xml:space="preserve">, задающие допустимый коридор для отдельных зависимостей; </w:t>
      </w:r>
      <w:r>
        <w:rPr>
          <w:rFonts w:ascii="Times New Roman" w:hAnsi="Times New Roman" w:eastAsia="Times New Roman"/>
          <w:b/>
          <w:sz w:val="28"/>
        </w:rPr>
        <w:t>робастность</w:t>
      </w:r>
      <w:r>
        <w:rPr>
          <w:rFonts w:ascii="Times New Roman" w:hAnsi="Times New Roman" w:eastAsia="Times New Roman"/>
          <w:sz w:val="28"/>
        </w:rPr>
        <w:t xml:space="preserve"> к выбросам в невязке по скважинным точкам (реализация через функцию потерь Хьюбера — глава 2).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Математически калибровка формулируется как задача условной оптимизации на параметрическом множестве, заданном пересечением коробочных ограничений и правил допустимости по огибающим. Практически это требует применения </w:t>
      </w:r>
      <w:r>
        <w:rPr>
          <w:rFonts w:ascii="Times New Roman" w:hAnsi="Times New Roman" w:eastAsia="Times New Roman"/>
          <w:b/>
          <w:sz w:val="28"/>
        </w:rPr>
        <w:t>алгоритмов глобального поиска</w:t>
      </w:r>
      <w:r>
        <w:rPr>
          <w:rFonts w:ascii="Times New Roman" w:hAnsi="Times New Roman" w:eastAsia="Times New Roman"/>
          <w:sz w:val="28"/>
        </w:rPr>
        <w:t xml:space="preserve"> (нелинейность и возможная многоэкстремальность) с последующей интерпретацией устойчивости решения к выбору оптимизатора (глава 2–4).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Связь главы 1 с последующими: зафиксированы </w:t>
      </w:r>
      <w:r>
        <w:rPr>
          <w:rFonts w:ascii="Times New Roman" w:hAnsi="Times New Roman" w:eastAsia="Times New Roman"/>
          <w:b/>
          <w:sz w:val="28"/>
        </w:rPr>
        <w:t>объекты оптимизации</w:t>
      </w:r>
      <w:r>
        <w:rPr>
          <w:rFonts w:ascii="Times New Roman" w:hAnsi="Times New Roman" w:eastAsia="Times New Roman"/>
          <w:sz w:val="28"/>
        </w:rPr>
        <w:t xml:space="preserve"> (параметры J и цепочки БК), </w:t>
      </w:r>
      <w:r>
        <w:rPr>
          <w:rFonts w:ascii="Times New Roman" w:hAnsi="Times New Roman" w:eastAsia="Times New Roman"/>
          <w:b/>
          <w:sz w:val="28"/>
        </w:rPr>
        <w:t>наблюдение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Cambria Math" w:hAnsi="Cambria Math" w:eastAsia="Cambria Math"/>
          <w:sz w:val="28"/>
        </w:rPr>
        <w:t>K_{нг}</w:t>
      </w:r>
      <w:r>
        <w:rPr>
          <w:rFonts w:ascii="Times New Roman" w:hAnsi="Times New Roman" w:eastAsia="Times New Roman"/>
          <w:sz w:val="28"/>
        </w:rPr>
        <w:t xml:space="preserve"> по скважинным данным) и </w:t>
      </w:r>
      <w:r>
        <w:rPr>
          <w:rFonts w:ascii="Times New Roman" w:hAnsi="Times New Roman" w:eastAsia="Times New Roman"/>
          <w:b/>
          <w:sz w:val="28"/>
        </w:rPr>
        <w:t>тип ограничений</w:t>
      </w:r>
      <w:r>
        <w:rPr>
          <w:rFonts w:ascii="Times New Roman" w:hAnsi="Times New Roman" w:eastAsia="Times New Roman"/>
          <w:sz w:val="28"/>
        </w:rPr>
        <w:t xml:space="preserve"> (коробка, огибающие, робастная невязка). На этом базируется </w:t>
      </w:r>
      <w:r>
        <w:rPr>
          <w:rFonts w:ascii="Times New Roman" w:hAnsi="Times New Roman" w:eastAsia="Times New Roman"/>
          <w:b/>
          <w:sz w:val="28"/>
        </w:rPr>
        <w:t>глава 2</w:t>
      </w:r>
      <w:r>
        <w:rPr>
          <w:rFonts w:ascii="Times New Roman" w:hAnsi="Times New Roman" w:eastAsia="Times New Roman"/>
          <w:sz w:val="28"/>
        </w:rPr>
        <w:t xml:space="preserve"> (методика) и </w:t>
      </w:r>
      <w:r>
        <w:rPr>
          <w:rFonts w:ascii="Times New Roman" w:hAnsi="Times New Roman" w:eastAsia="Times New Roman"/>
          <w:b/>
          <w:sz w:val="28"/>
        </w:rPr>
        <w:t>глава 3</w:t>
      </w:r>
      <w:r>
        <w:rPr>
          <w:rFonts w:ascii="Times New Roman" w:hAnsi="Times New Roman" w:eastAsia="Times New Roman"/>
          <w:sz w:val="28"/>
        </w:rPr>
        <w:t xml:space="preserve"> (реализация платформы).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Выводы по главе 1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Капиллярные модели в работе рассматриваются как инструмент согласования петрофизических и промыслово-геологических наблюдений с параметрической структурой, пригодной для автоматического подбора.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J-функция Леверетта и модель Брукса — Кори выступают двумя методическими линиями, различающимися структурой параметров и способом включения лабораторных данных, но сопоставимыми по цели — получить согласованную оценку насыщенности на одних и тех же входах.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Лабораторные облака в постановке Брукса — Кори задают не только центр подбора, но и ограничения в виде огибающих (</w:t>
      </w:r>
      <w:r>
        <w:rPr>
          <w:rFonts w:ascii="Times New Roman" w:hAnsi="Times New Roman" w:eastAsia="Times New Roman"/>
          <w:b/>
          <w:sz w:val="28"/>
        </w:rPr>
        <w:t>рисунок 1.1</w:t>
      </w:r>
      <w:r>
        <w:rPr>
          <w:rFonts w:ascii="Times New Roman" w:hAnsi="Times New Roman" w:eastAsia="Times New Roman"/>
          <w:sz w:val="28"/>
        </w:rPr>
        <w:t>).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Калибровка формализуется как обратная задача: подбор параметров по невязке с наблюдаемой нефтенасыщенностью при совокупности ограничений и робастном функционале качества (</w:t>
      </w:r>
      <w:r>
        <w:rPr>
          <w:rFonts w:ascii="Times New Roman" w:hAnsi="Times New Roman" w:eastAsia="Times New Roman"/>
          <w:b/>
          <w:sz w:val="28"/>
        </w:rPr>
        <w:t>таблица 1.1</w:t>
      </w:r>
      <w:r>
        <w:rPr>
          <w:rFonts w:ascii="Times New Roman" w:hAnsi="Times New Roman" w:eastAsia="Times New Roman"/>
          <w:sz w:val="28"/>
        </w:rPr>
        <w:t>).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Положения главы 1 задают основу для методики (глава 2), описания программной реализации (глава 3) и экспериментов по сравнению методов (глава 4).</w:t>
      </w:r>
    </w:p>
    <w:p>
      <w:pPr>
        <w:ind w:firstLine="0"/>
      </w:pPr>
      <w:r>
        <w:t>————————————————————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i/>
          <w:sz w:val="28"/>
        </w:rPr>
        <w:t xml:space="preserve">Для вставки рисунка в Word: экспорт диаграммы из </w:t>
      </w:r>
      <w:r>
        <w:rPr>
          <w:rFonts w:ascii="Times New Roman" w:hAnsi="Times New Roman" w:eastAsia="Times New Roman"/>
          <w:i/>
          <w:sz w:val="28"/>
        </w:rPr>
        <w:t>mermaid.live</w:t>
      </w:r>
      <w:r>
        <w:rPr>
          <w:rFonts w:ascii="Times New Roman" w:hAnsi="Times New Roman" w:eastAsia="Times New Roman"/>
          <w:i/>
          <w:sz w:val="28"/>
        </w:rPr>
        <w:t xml:space="preserve"> в PNG/SVG. Файл </w:t>
      </w:r>
      <w:r>
        <w:rPr>
          <w:rFonts w:ascii="Times New Roman" w:hAnsi="Times New Roman" w:eastAsia="Times New Roman"/>
          <w:i/>
          <w:sz w:val="22"/>
        </w:rPr>
        <w:t>docs/vkr_chapter1_illustrations.md</w:t>
      </w:r>
      <w:r>
        <w:rPr>
          <w:rFonts w:ascii="Times New Roman" w:hAnsi="Times New Roman" w:eastAsia="Times New Roman"/>
          <w:i/>
          <w:sz w:val="28"/>
        </w:rPr>
        <w:t xml:space="preserve"> содержит те же таблицу/схему и рекомендации по дополнительным иллюстрациям.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36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Rule="auto" w:line="36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Rule="auto" w:line="36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