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 w:eastAsia="Times New Roman"/>
        </w:rPr>
        <w:t>Глава 3. Программная реализация платформы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План главы.</w:t>
      </w:r>
      <w:r>
        <w:rPr>
          <w:rFonts w:ascii="Times New Roman" w:hAnsi="Times New Roman" w:eastAsia="Times New Roman"/>
          <w:sz w:val="28"/>
        </w:rPr>
        <w:t xml:space="preserve"> В параграфе </w:t>
      </w:r>
      <w:r>
        <w:rPr>
          <w:rFonts w:ascii="Times New Roman" w:hAnsi="Times New Roman" w:eastAsia="Times New Roman"/>
          <w:b/>
          <w:sz w:val="28"/>
        </w:rPr>
        <w:t>3.1</w:t>
      </w:r>
      <w:r>
        <w:rPr>
          <w:rFonts w:ascii="Times New Roman" w:hAnsi="Times New Roman" w:eastAsia="Times New Roman"/>
          <w:sz w:val="28"/>
        </w:rPr>
        <w:t xml:space="preserve"> обосновывается выбор технологий и общая архитектура решения; структура компонентов приведена на </w:t>
      </w:r>
      <w:r>
        <w:rPr>
          <w:rFonts w:ascii="Times New Roman" w:hAnsi="Times New Roman" w:eastAsia="Times New Roman"/>
          <w:b/>
          <w:sz w:val="28"/>
        </w:rPr>
        <w:t>рисунке 3.1</w:t>
      </w:r>
      <w:r>
        <w:rPr>
          <w:rFonts w:ascii="Times New Roman" w:hAnsi="Times New Roman" w:eastAsia="Times New Roman"/>
          <w:sz w:val="28"/>
        </w:rPr>
        <w:t xml:space="preserve">. В </w:t>
      </w:r>
      <w:r>
        <w:rPr>
          <w:rFonts w:ascii="Times New Roman" w:hAnsi="Times New Roman" w:eastAsia="Times New Roman"/>
          <w:b/>
          <w:sz w:val="28"/>
        </w:rPr>
        <w:t>3.2</w:t>
      </w:r>
      <w:r>
        <w:rPr>
          <w:rFonts w:ascii="Times New Roman" w:hAnsi="Times New Roman" w:eastAsia="Times New Roman"/>
          <w:sz w:val="28"/>
        </w:rPr>
        <w:t xml:space="preserve"> описывается слой данных: загрузка файлов, нормализация полей, обязательные атрибуты скважин и вспомогательные источники (лабораторная БД ККД). В </w:t>
      </w:r>
      <w:r>
        <w:rPr>
          <w:rFonts w:ascii="Times New Roman" w:hAnsi="Times New Roman" w:eastAsia="Times New Roman"/>
          <w:b/>
          <w:sz w:val="28"/>
        </w:rPr>
        <w:t>3.3</w:t>
      </w:r>
      <w:r>
        <w:rPr>
          <w:rFonts w:ascii="Times New Roman" w:hAnsi="Times New Roman" w:eastAsia="Times New Roman"/>
          <w:sz w:val="28"/>
        </w:rPr>
        <w:t xml:space="preserve"> раскрывается реализация вычислительных процедур для J-функции Леверетта и цепочки Брукса — Кори в модулях </w:t>
      </w:r>
      <w:r>
        <w:rPr>
          <w:rFonts w:ascii="Times New Roman" w:hAnsi="Times New Roman" w:eastAsia="Times New Roman"/>
          <w:sz w:val="22"/>
        </w:rPr>
        <w:t>optimize</w:t>
      </w:r>
      <w:r>
        <w:rPr>
          <w:rFonts w:ascii="Times New Roman" w:hAnsi="Times New Roman" w:eastAsia="Times New Roman"/>
          <w:sz w:val="28"/>
        </w:rPr>
        <w:t xml:space="preserve"> и </w:t>
      </w:r>
      <w:r>
        <w:rPr>
          <w:rFonts w:ascii="Times New Roman" w:hAnsi="Times New Roman" w:eastAsia="Times New Roman"/>
          <w:sz w:val="22"/>
        </w:rPr>
        <w:t>brooks_corey</w:t>
      </w:r>
      <w:r>
        <w:rPr>
          <w:rFonts w:ascii="Times New Roman" w:hAnsi="Times New Roman" w:eastAsia="Times New Roman"/>
          <w:sz w:val="28"/>
        </w:rPr>
        <w:t xml:space="preserve">. В </w:t>
      </w:r>
      <w:r>
        <w:rPr>
          <w:rFonts w:ascii="Times New Roman" w:hAnsi="Times New Roman" w:eastAsia="Times New Roman"/>
          <w:b/>
          <w:sz w:val="28"/>
        </w:rPr>
        <w:t>3.4</w:t>
      </w:r>
      <w:r>
        <w:rPr>
          <w:rFonts w:ascii="Times New Roman" w:hAnsi="Times New Roman" w:eastAsia="Times New Roman"/>
          <w:sz w:val="28"/>
        </w:rPr>
        <w:t xml:space="preserve"> излагается пользовательский интерфейс на базе Streamlit и разбиение на функциональные разделы. В </w:t>
      </w:r>
      <w:r>
        <w:rPr>
          <w:rFonts w:ascii="Times New Roman" w:hAnsi="Times New Roman" w:eastAsia="Times New Roman"/>
          <w:b/>
          <w:sz w:val="28"/>
        </w:rPr>
        <w:t>3.5</w:t>
      </w:r>
      <w:r>
        <w:rPr>
          <w:rFonts w:ascii="Times New Roman" w:hAnsi="Times New Roman" w:eastAsia="Times New Roman"/>
          <w:sz w:val="28"/>
        </w:rPr>
        <w:t xml:space="preserve"> рассматриваются визуализация результатов, метрики контроля качества и механизм </w:t>
      </w:r>
      <w:r>
        <w:rPr>
          <w:rFonts w:ascii="Times New Roman" w:hAnsi="Times New Roman" w:eastAsia="Times New Roman"/>
          <w:b/>
          <w:sz w:val="28"/>
        </w:rPr>
        <w:t>снимков</w:t>
      </w:r>
      <w:r>
        <w:rPr>
          <w:rFonts w:ascii="Times New Roman" w:hAnsi="Times New Roman" w:eastAsia="Times New Roman"/>
          <w:sz w:val="28"/>
        </w:rPr>
        <w:t xml:space="preserve"> для сравнения методов. Перечень ключевых технологий сведён в </w:t>
      </w:r>
      <w:r>
        <w:rPr>
          <w:rFonts w:ascii="Times New Roman" w:hAnsi="Times New Roman" w:eastAsia="Times New Roman"/>
          <w:b/>
          <w:sz w:val="28"/>
        </w:rPr>
        <w:t>таблице 3.1</w:t>
      </w:r>
      <w:r>
        <w:rPr>
          <w:rFonts w:ascii="Times New Roman" w:hAnsi="Times New Roman" w:eastAsia="Times New Roman"/>
          <w:sz w:val="28"/>
        </w:rPr>
        <w:t xml:space="preserve">. В </w:t>
      </w:r>
      <w:r>
        <w:rPr>
          <w:rFonts w:ascii="Times New Roman" w:hAnsi="Times New Roman" w:eastAsia="Times New Roman"/>
          <w:b/>
          <w:sz w:val="28"/>
        </w:rPr>
        <w:t>выводах</w:t>
      </w:r>
      <w:r>
        <w:rPr>
          <w:rFonts w:ascii="Times New Roman" w:hAnsi="Times New Roman" w:eastAsia="Times New Roman"/>
          <w:sz w:val="28"/>
        </w:rPr>
        <w:t xml:space="preserve"> формулируются положения, связывающие реализацию с методикой главы 2 и подготавливающие материал для главы 4.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Таблица 3.1 — Программный стек и назначение компонентов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Таблица 3.1</w:t>
      </w:r>
      <w:r>
        <w:rPr>
          <w:rFonts w:ascii="Times New Roman" w:hAnsi="Times New Roman" w:eastAsia="Times New Roman"/>
          <w:sz w:val="28"/>
        </w:rPr>
        <w:t xml:space="preserve"> — Основные технологии платформы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 в работе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Python 3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Язык реализации бизнес-логики и интерфейса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Streamlit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Веб-интерфейс одностраничного типа, формы, перерисовка сценариев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pandas / NumPy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Табличное представление данных скважин и добычи, векторные расчёты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SciPy (</w:t>
            </w:r>
            <w:r>
              <w:rPr>
                <w:rFonts w:ascii="Times New Roman" w:hAnsi="Times New Roman" w:eastAsia="Times New Roman"/>
                <w:sz w:val="22"/>
              </w:rPr>
              <w:t>differential_evolution</w:t>
            </w:r>
            <w:r>
              <w:rPr>
                <w:rFonts w:ascii="Times New Roman" w:hAnsi="Times New Roman" w:eastAsia="Times New Roman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sz w:val="22"/>
              </w:rPr>
              <w:t>dual_annealing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Глобальная минимизация целевых функционалов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scikit-learn (</w:t>
            </w:r>
            <w:r>
              <w:rPr>
                <w:rFonts w:ascii="Times New Roman" w:hAnsi="Times New Roman" w:eastAsia="Times New Roman"/>
                <w:sz w:val="22"/>
              </w:rPr>
              <w:t>r2_score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Расчёт коэффициента детерминации в метриках по региону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Plotly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Интерактивные графики (облака точек, профили, гистограммы сравнения)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SQLite (</w:t>
            </w:r>
            <w:r>
              <w:rPr>
                <w:rFonts w:ascii="Times New Roman" w:hAnsi="Times New Roman" w:eastAsia="Times New Roman"/>
                <w:sz w:val="22"/>
              </w:rPr>
              <w:t>kkd_database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Локальное хранение нормализованной лабораторной таблицы ККД после импорта из Excel</w:t>
            </w:r>
          </w:p>
        </w:tc>
      </w:tr>
    </w:tbl>
    <w:p/>
    <w:p>
      <w:pPr>
        <w:spacing w:lineRule="auto" w:line="360"/>
        <w:ind w:firstLine="709"/>
      </w:pPr>
      <w:r>
        <w:rPr>
          <w:rFonts w:ascii="Times New Roman" w:hAnsi="Times New Roman" w:eastAsia="Times New Roman"/>
          <w:i/>
          <w:sz w:val="28"/>
        </w:rPr>
        <w:t>Примечание.</w:t>
      </w:r>
      <w:r>
        <w:rPr>
          <w:rFonts w:ascii="Times New Roman" w:hAnsi="Times New Roman" w:eastAsia="Times New Roman"/>
          <w:sz w:val="28"/>
        </w:rPr>
        <w:t xml:space="preserve"> Версии интерпретатора и библиотек фиксируются файлом зависимостей проекта (при наличии) или перечисляются в приложении к ВКР.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3.1. Архитектура и принципы построения ПО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Платформа реализована как </w:t>
      </w:r>
      <w:r>
        <w:rPr>
          <w:rFonts w:ascii="Times New Roman" w:hAnsi="Times New Roman" w:eastAsia="Times New Roman"/>
          <w:b/>
          <w:sz w:val="28"/>
        </w:rPr>
        <w:t>монолитное приложение</w:t>
      </w:r>
      <w:r>
        <w:rPr>
          <w:rFonts w:ascii="Times New Roman" w:hAnsi="Times New Roman" w:eastAsia="Times New Roman"/>
          <w:sz w:val="28"/>
        </w:rPr>
        <w:t xml:space="preserve"> с выделенными Python-модулями предметной области и </w:t>
      </w:r>
      <w:r>
        <w:rPr>
          <w:rFonts w:ascii="Times New Roman" w:hAnsi="Times New Roman" w:eastAsia="Times New Roman"/>
          <w:b/>
          <w:sz w:val="28"/>
        </w:rPr>
        <w:t>единой точкой входа</w:t>
      </w:r>
      <w:r>
        <w:rPr>
          <w:rFonts w:ascii="Times New Roman" w:hAnsi="Times New Roman" w:eastAsia="Times New Roman"/>
          <w:sz w:val="28"/>
        </w:rPr>
        <w:t xml:space="preserve"> — сценарием Streamlit (</w:t>
      </w:r>
      <w:r>
        <w:rPr>
          <w:rFonts w:ascii="Times New Roman" w:hAnsi="Times New Roman" w:eastAsia="Times New Roman"/>
          <w:sz w:val="22"/>
        </w:rPr>
        <w:t>streamlit_app.py</w:t>
      </w:r>
      <w:r>
        <w:rPr>
          <w:rFonts w:ascii="Times New Roman" w:hAnsi="Times New Roman" w:eastAsia="Times New Roman"/>
          <w:sz w:val="28"/>
        </w:rPr>
        <w:t xml:space="preserve">). Такой подход сочетает низкую операционную сложность развёртывания (достаточно среды Python и команды запуска Streamlit) с </w:t>
      </w:r>
      <w:r>
        <w:rPr>
          <w:rFonts w:ascii="Times New Roman" w:hAnsi="Times New Roman" w:eastAsia="Times New Roman"/>
          <w:b/>
          <w:sz w:val="28"/>
        </w:rPr>
        <w:t>чётким разделением ответственности</w:t>
      </w:r>
      <w:r>
        <w:rPr>
          <w:rFonts w:ascii="Times New Roman" w:hAnsi="Times New Roman" w:eastAsia="Times New Roman"/>
          <w:sz w:val="28"/>
        </w:rPr>
        <w:t xml:space="preserve">: интерфейс отвечает за ввод данных и отображение, а численные процедуры калибровки сосредоточены в модулях </w:t>
      </w:r>
      <w:r>
        <w:rPr>
          <w:rFonts w:ascii="Times New Roman" w:hAnsi="Times New Roman" w:eastAsia="Times New Roman"/>
          <w:sz w:val="22"/>
        </w:rPr>
        <w:t>optimize</w:t>
      </w:r>
      <w:r>
        <w:rPr>
          <w:rFonts w:ascii="Times New Roman" w:hAnsi="Times New Roman" w:eastAsia="Times New Roman"/>
          <w:sz w:val="28"/>
        </w:rPr>
        <w:t xml:space="preserve"> и </w:t>
      </w:r>
      <w:r>
        <w:rPr>
          <w:rFonts w:ascii="Times New Roman" w:hAnsi="Times New Roman" w:eastAsia="Times New Roman"/>
          <w:sz w:val="22"/>
        </w:rPr>
        <w:t>brooks_corey</w:t>
      </w:r>
      <w:r>
        <w:rPr>
          <w:rFonts w:ascii="Times New Roman" w:hAnsi="Times New Roman" w:eastAsia="Times New Roman"/>
          <w:sz w:val="28"/>
        </w:rPr>
        <w:t>, что соответствует методике главы 2.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Рисунок 3.1</w:t>
      </w:r>
      <w:r>
        <w:rPr>
          <w:rFonts w:ascii="Times New Roman" w:hAnsi="Times New Roman" w:eastAsia="Times New Roman"/>
          <w:sz w:val="28"/>
        </w:rPr>
        <w:t xml:space="preserve"> — Логическая структура платформы</w:t>
      </w:r>
    </w:p>
    <w:p>
      <w:pPr>
        <w:ind w:firstLine="0"/>
      </w:pPr>
      <w:r>
        <w:rPr>
          <w:rFonts w:ascii="Times New Roman" w:hAnsi="Times New Roman" w:eastAsia="Times New Roman"/>
          <w:i/>
          <w:sz w:val="24"/>
        </w:rPr>
        <w:t>(Блок кода, язык: mermaid. Для Mermaid вставьте экспортированный рисунок из mermaid.live.)</w:t>
      </w:r>
    </w:p>
    <w:p>
      <w:pPr>
        <w:ind w:firstLine="0" w:left="283"/>
      </w:pPr>
      <w:r>
        <w:rPr>
          <w:rFonts w:ascii="Courier New" w:hAnsi="Courier New" w:eastAsia="Courier New"/>
          <w:sz w:val="20"/>
        </w:rPr>
        <w:t>flowchart TB</w:t>
        <w:br/>
        <w:t xml:space="preserve">  subgraph UI["Интерфейс Streamlit"]</w:t>
        <w:br/>
        <w:t xml:space="preserve">    T1["Раздел «Лаборатория»"]</w:t>
        <w:br/>
        <w:t xml:space="preserve">    T2["Подбор J-функции Леверетта"]</w:t>
        <w:br/>
        <w:t xml:space="preserve">    T3["Брукса-Кори"]</w:t>
        <w:br/>
        <w:t xml:space="preserve">    T4["Сравнение методов"]</w:t>
        <w:br/>
        <w:t xml:space="preserve">  end</w:t>
        <w:br/>
        <w:br/>
        <w:t xml:space="preserve">  subgraph LAB["lab_analysis"]</w:t>
        <w:br/>
        <w:t xml:space="preserve">    L1["Фильтрация облака J–Swn"]</w:t>
        <w:br/>
        <w:t xml:space="preserve">    L2["Степенная аппроксимация, границы"]</w:t>
        <w:br/>
        <w:t xml:space="preserve">  end</w:t>
        <w:br/>
        <w:br/>
        <w:t xml:space="preserve">  subgraph OPT["optimize"]</w:t>
        <w:br/>
        <w:t xml:space="preserve">    O1["prepare_input_df, prepare_weights"]</w:t>
        <w:br/>
        <w:t xml:space="preserve">    O2["optimize_pvt, loss_function"]</w:t>
        <w:br/>
        <w:t xml:space="preserve">    O3["apply_model, compute_qa"]</w:t>
        <w:br/>
        <w:t xml:space="preserve">  end</w:t>
        <w:br/>
        <w:br/>
        <w:t xml:space="preserve">  subgraph BC["brooks_corey"]</w:t>
        <w:br/>
        <w:t xml:space="preserve">    B1["prepare_brooks_training_data"]</w:t>
        <w:br/>
        <w:t xml:space="preserve">    B2["optimize_brooks_corey_for_region"]</w:t>
        <w:br/>
        <w:t xml:space="preserve">    B3["compute_soil_from_params, evaluate_brooks_score"]</w:t>
        <w:br/>
        <w:t xml:space="preserve">  end</w:t>
        <w:br/>
        <w:br/>
        <w:t xml:space="preserve">  subgraph DATA["Данные"]</w:t>
        <w:br/>
        <w:t xml:space="preserve">    D1["Загрузка CSV/XLSX"]</w:t>
        <w:br/>
        <w:t xml:space="preserve">    D2["SQLite ККД"]</w:t>
        <w:br/>
        <w:t xml:space="preserve">  end</w:t>
        <w:br/>
        <w:br/>
        <w:t xml:space="preserve">  UI --&gt; LAB</w:t>
        <w:br/>
        <w:t xml:space="preserve">  UI --&gt; OPT</w:t>
        <w:br/>
        <w:t xml:space="preserve">  UI --&gt; BC</w:t>
        <w:br/>
        <w:t xml:space="preserve">  T1 --&gt; D2</w:t>
        <w:br/>
        <w:t xml:space="preserve">  T2 --&gt; D1</w:t>
        <w:br/>
        <w:t xml:space="preserve">  T3 --&gt; D1</w:t>
        <w:br/>
        <w:t xml:space="preserve">  DATA --&gt; OPT</w:t>
        <w:br/>
        <w:t xml:space="preserve">  DATA --&gt; BC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Принципы реализации:</w:t>
      </w:r>
      <w:r>
        <w:rPr>
          <w:rFonts w:ascii="Times New Roman" w:hAnsi="Times New Roman" w:eastAsia="Times New Roman"/>
          <w:sz w:val="28"/>
        </w:rPr>
        <w:t xml:space="preserve"> использование </w:t>
      </w:r>
      <w:r>
        <w:rPr>
          <w:rFonts w:ascii="Times New Roman" w:hAnsi="Times New Roman" w:eastAsia="Times New Roman"/>
          <w:b/>
          <w:sz w:val="28"/>
        </w:rPr>
        <w:t>типизированных</w:t>
      </w:r>
      <w:r>
        <w:rPr>
          <w:rFonts w:ascii="Times New Roman" w:hAnsi="Times New Roman" w:eastAsia="Times New Roman"/>
          <w:sz w:val="28"/>
        </w:rPr>
        <w:t xml:space="preserve"> сигнатур функций (в т.ч. </w:t>
      </w:r>
      <w:r>
        <w:rPr>
          <w:rFonts w:ascii="Times New Roman" w:hAnsi="Times New Roman" w:eastAsia="Times New Roman"/>
          <w:sz w:val="22"/>
        </w:rPr>
        <w:t>typing</w:t>
      </w:r>
      <w:r>
        <w:rPr>
          <w:rFonts w:ascii="Times New Roman" w:hAnsi="Times New Roman" w:eastAsia="Times New Roman"/>
          <w:sz w:val="28"/>
        </w:rPr>
        <w:t xml:space="preserve">, </w:t>
      </w:r>
      <w:r>
        <w:rPr>
          <w:rFonts w:ascii="Times New Roman" w:hAnsi="Times New Roman" w:eastAsia="Times New Roman"/>
          <w:sz w:val="22"/>
        </w:rPr>
        <w:t>dataclass</w:t>
      </w:r>
      <w:r>
        <w:rPr>
          <w:rFonts w:ascii="Times New Roman" w:hAnsi="Times New Roman" w:eastAsia="Times New Roman"/>
          <w:sz w:val="28"/>
        </w:rPr>
        <w:t xml:space="preserve"> для структур вроде </w:t>
      </w:r>
      <w:r>
        <w:rPr>
          <w:rFonts w:ascii="Times New Roman" w:hAnsi="Times New Roman" w:eastAsia="Times New Roman"/>
          <w:sz w:val="22"/>
        </w:rPr>
        <w:t>PowerBounds</w:t>
      </w:r>
      <w:r>
        <w:rPr>
          <w:rFonts w:ascii="Times New Roman" w:hAnsi="Times New Roman" w:eastAsia="Times New Roman"/>
          <w:sz w:val="28"/>
        </w:rPr>
        <w:t>); кэширование тяжёлых операций чтения (</w:t>
      </w:r>
      <w:r>
        <w:rPr>
          <w:rFonts w:ascii="Times New Roman" w:hAnsi="Times New Roman" w:eastAsia="Times New Roman"/>
          <w:sz w:val="22"/>
        </w:rPr>
        <w:t>st.cache_data</w:t>
      </w:r>
      <w:r>
        <w:rPr>
          <w:rFonts w:ascii="Times New Roman" w:hAnsi="Times New Roman" w:eastAsia="Times New Roman"/>
          <w:sz w:val="28"/>
        </w:rPr>
        <w:t>) для ускорения повторных прогонов; явная валидация обязательных столбцов перед запуском конвейера J-модели.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3.2. Слой данных и подготовка входных таблиц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Загрузка файлов.</w:t>
      </w:r>
      <w:r>
        <w:rPr>
          <w:rFonts w:ascii="Times New Roman" w:hAnsi="Times New Roman" w:eastAsia="Times New Roman"/>
          <w:sz w:val="28"/>
        </w:rPr>
        <w:t xml:space="preserve"> Пользователь передаёт таблицы скважин (и при необходимости добычи) через виджеты загрузки; допускаются форматы CSV и Excel. Для устойчивости к различным экспортам ГДМ выполняется </w:t>
      </w:r>
      <w:r>
        <w:rPr>
          <w:rFonts w:ascii="Times New Roman" w:hAnsi="Times New Roman" w:eastAsia="Times New Roman"/>
          <w:b/>
          <w:sz w:val="28"/>
        </w:rPr>
        <w:t>нормализация имён столбцов</w:t>
      </w:r>
      <w:r>
        <w:rPr>
          <w:rFonts w:ascii="Times New Roman" w:hAnsi="Times New Roman" w:eastAsia="Times New Roman"/>
          <w:sz w:val="28"/>
        </w:rPr>
        <w:t xml:space="preserve"> и приведение числовых полей к единому виду (в т.ч. пористость в долях, нефтенасыщенность в интервале </w:t>
      </w:r>
      <w:r>
        <w:rPr>
          <w:rFonts w:ascii="Cambria Math" w:hAnsi="Cambria Math" w:eastAsia="Cambria Math"/>
          <w:sz w:val="28"/>
        </w:rPr>
        <w:t>[0,1]</w:t>
      </w:r>
      <w:r>
        <w:rPr>
          <w:rFonts w:ascii="Times New Roman" w:hAnsi="Times New Roman" w:eastAsia="Times New Roman"/>
          <w:sz w:val="28"/>
        </w:rPr>
        <w:t xml:space="preserve"> при значениях в процентах).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Обязательный набор для ветви Леверетта</w:t>
      </w:r>
      <w:r>
        <w:rPr>
          <w:rFonts w:ascii="Times New Roman" w:hAnsi="Times New Roman" w:eastAsia="Times New Roman"/>
          <w:sz w:val="28"/>
        </w:rPr>
        <w:t xml:space="preserve"> задаётся константой </w:t>
      </w:r>
      <w:r>
        <w:rPr>
          <w:rFonts w:ascii="Times New Roman" w:hAnsi="Times New Roman" w:eastAsia="Times New Roman"/>
          <w:sz w:val="22"/>
        </w:rPr>
        <w:t>REQUIRED_WELL_COLUMNS</w:t>
      </w:r>
      <w:r>
        <w:rPr>
          <w:rFonts w:ascii="Times New Roman" w:hAnsi="Times New Roman" w:eastAsia="Times New Roman"/>
          <w:sz w:val="28"/>
        </w:rPr>
        <w:t xml:space="preserve"> в модуле </w:t>
      </w:r>
      <w:r>
        <w:rPr>
          <w:rFonts w:ascii="Times New Roman" w:hAnsi="Times New Roman" w:eastAsia="Times New Roman"/>
          <w:sz w:val="22"/>
        </w:rPr>
        <w:t>optimize</w:t>
      </w:r>
      <w:r>
        <w:rPr>
          <w:rFonts w:ascii="Times New Roman" w:hAnsi="Times New Roman" w:eastAsia="Times New Roman"/>
          <w:sz w:val="28"/>
        </w:rPr>
        <w:t xml:space="preserve">: идентификатор скважины, регион </w:t>
      </w:r>
      <w:r>
        <w:rPr>
          <w:rFonts w:ascii="Times New Roman" w:hAnsi="Times New Roman" w:eastAsia="Times New Roman"/>
          <w:sz w:val="22"/>
        </w:rPr>
        <w:t>PVTNUM_GDM</w:t>
      </w:r>
      <w:r>
        <w:rPr>
          <w:rFonts w:ascii="Times New Roman" w:hAnsi="Times New Roman" w:eastAsia="Times New Roman"/>
          <w:sz w:val="28"/>
        </w:rPr>
        <w:t xml:space="preserve">, пористость и проницаемость по геомодели, капиллярное давление </w:t>
      </w:r>
      <w:r>
        <w:rPr>
          <w:rFonts w:ascii="Times New Roman" w:hAnsi="Times New Roman" w:eastAsia="Times New Roman"/>
          <w:sz w:val="22"/>
        </w:rPr>
        <w:t>PC</w:t>
      </w:r>
      <w:r>
        <w:rPr>
          <w:rFonts w:ascii="Times New Roman" w:hAnsi="Times New Roman" w:eastAsia="Times New Roman"/>
          <w:sz w:val="28"/>
        </w:rPr>
        <w:t xml:space="preserve">, водонасыщённость </w:t>
      </w:r>
      <w:r>
        <w:rPr>
          <w:rFonts w:ascii="Times New Roman" w:hAnsi="Times New Roman" w:eastAsia="Times New Roman"/>
          <w:sz w:val="22"/>
        </w:rPr>
        <w:t>SWL_GDM</w:t>
      </w:r>
      <w:r>
        <w:rPr>
          <w:rFonts w:ascii="Times New Roman" w:hAnsi="Times New Roman" w:eastAsia="Times New Roman"/>
          <w:sz w:val="28"/>
        </w:rPr>
        <w:t xml:space="preserve">, целевой показатель </w:t>
      </w:r>
      <w:r>
        <w:rPr>
          <w:rFonts w:ascii="Times New Roman" w:hAnsi="Times New Roman" w:eastAsia="Times New Roman"/>
          <w:sz w:val="22"/>
        </w:rPr>
        <w:t>Кнг_W</w:t>
      </w:r>
      <w:r>
        <w:rPr>
          <w:rFonts w:ascii="Times New Roman" w:hAnsi="Times New Roman" w:eastAsia="Times New Roman"/>
          <w:sz w:val="28"/>
        </w:rPr>
        <w:t xml:space="preserve">. Отсутствие любого из столбцов приводит к </w:t>
      </w:r>
      <w:r>
        <w:rPr>
          <w:rFonts w:ascii="Times New Roman" w:hAnsi="Times New Roman" w:eastAsia="Times New Roman"/>
          <w:b/>
          <w:sz w:val="28"/>
        </w:rPr>
        <w:t>явному сообщении об ошибке</w:t>
      </w:r>
      <w:r>
        <w:rPr>
          <w:rFonts w:ascii="Times New Roman" w:hAnsi="Times New Roman" w:eastAsia="Times New Roman"/>
          <w:sz w:val="28"/>
        </w:rPr>
        <w:t xml:space="preserve"> до начала оптимизации.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Функция </w:t>
      </w:r>
      <w:r>
        <w:rPr>
          <w:rFonts w:ascii="Times New Roman" w:hAnsi="Times New Roman" w:eastAsia="Times New Roman"/>
          <w:b/>
          <w:sz w:val="22"/>
        </w:rPr>
        <w:t>prepare_input_df</w:t>
      </w:r>
      <w:r>
        <w:rPr>
          <w:rFonts w:ascii="Times New Roman" w:hAnsi="Times New Roman" w:eastAsia="Times New Roman"/>
          <w:sz w:val="28"/>
        </w:rPr>
        <w:t xml:space="preserve"> отфильтровывает строки с неполными числовыми атрибутами, формирует вспомогательное поле </w:t>
      </w:r>
      <w:r>
        <w:rPr>
          <w:rFonts w:ascii="Times New Roman" w:hAnsi="Times New Roman" w:eastAsia="Times New Roman"/>
          <w:sz w:val="22"/>
        </w:rPr>
        <w:t>PORO_FRAC</w:t>
      </w:r>
      <w:r>
        <w:rPr>
          <w:rFonts w:ascii="Times New Roman" w:hAnsi="Times New Roman" w:eastAsia="Times New Roman"/>
          <w:sz w:val="28"/>
        </w:rPr>
        <w:t xml:space="preserve"> и при наличии колонки активности оставляет активные ячейки (</w:t>
      </w:r>
      <w:r>
        <w:rPr>
          <w:rFonts w:ascii="Times New Roman" w:hAnsi="Times New Roman" w:eastAsia="Times New Roman"/>
          <w:sz w:val="22"/>
        </w:rPr>
        <w:t>ACTNUM_GDM == 1</w:t>
      </w:r>
      <w:r>
        <w:rPr>
          <w:rFonts w:ascii="Times New Roman" w:hAnsi="Times New Roman" w:eastAsia="Times New Roman"/>
          <w:sz w:val="28"/>
        </w:rPr>
        <w:t>), что согласуется с прикладной трактовкой «рабочих» точек геомодели.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Веса наблюдений</w:t>
      </w:r>
      <w:r>
        <w:rPr>
          <w:rFonts w:ascii="Times New Roman" w:hAnsi="Times New Roman" w:eastAsia="Times New Roman"/>
          <w:sz w:val="28"/>
        </w:rPr>
        <w:t xml:space="preserve"> формируются в </w:t>
      </w:r>
      <w:r>
        <w:rPr>
          <w:rFonts w:ascii="Times New Roman" w:hAnsi="Times New Roman" w:eastAsia="Times New Roman"/>
          <w:sz w:val="22"/>
        </w:rPr>
        <w:t>prepare_weights</w:t>
      </w:r>
      <w:r>
        <w:rPr>
          <w:rFonts w:ascii="Times New Roman" w:hAnsi="Times New Roman" w:eastAsia="Times New Roman"/>
          <w:sz w:val="28"/>
        </w:rPr>
        <w:t>: базовый вес 1, удвоение для интервалов с признаком перфорации (</w:t>
      </w:r>
      <w:r>
        <w:rPr>
          <w:rFonts w:ascii="Times New Roman" w:hAnsi="Times New Roman" w:eastAsia="Times New Roman"/>
          <w:sz w:val="22"/>
        </w:rPr>
        <w:t>Perf_GDM</w:t>
      </w:r>
      <w:r>
        <w:rPr>
          <w:rFonts w:ascii="Times New Roman" w:hAnsi="Times New Roman" w:eastAsia="Times New Roman"/>
          <w:sz w:val="28"/>
        </w:rPr>
        <w:t>), масштабирование по рангу накопленной добычи нефти в регионе при наличии согласованных столбцов файла добычи (см. главу 2).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Обучающая выборка для J.</w:t>
      </w:r>
      <w:r>
        <w:rPr>
          <w:rFonts w:ascii="Times New Roman" w:hAnsi="Times New Roman" w:eastAsia="Times New Roman"/>
          <w:sz w:val="28"/>
        </w:rPr>
        <w:t xml:space="preserve"> Перед оптимизацией применяется </w:t>
      </w:r>
      <w:r>
        <w:rPr>
          <w:rFonts w:ascii="Times New Roman" w:hAnsi="Times New Roman" w:eastAsia="Times New Roman"/>
          <w:sz w:val="22"/>
        </w:rPr>
        <w:t>_filter_training_kng</w:t>
      </w:r>
      <w:r>
        <w:rPr>
          <w:rFonts w:ascii="Times New Roman" w:hAnsi="Times New Roman" w:eastAsia="Times New Roman"/>
          <w:sz w:val="28"/>
        </w:rPr>
        <w:t>: исключаются нулевые значения целевой нефтенасыщенности и выбросы по правилу квартилей (с запасным варианту по квантилям 2/98), чтобы стабилизировать ландшафт целевой функции; полный датафрейм сохраняется для визуализации.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Лабораторные данные ККД.</w:t>
      </w:r>
      <w:r>
        <w:rPr>
          <w:rFonts w:ascii="Times New Roman" w:hAnsi="Times New Roman" w:eastAsia="Times New Roman"/>
          <w:sz w:val="28"/>
        </w:rPr>
        <w:t xml:space="preserve"> Модуль </w:t>
      </w:r>
      <w:r>
        <w:rPr>
          <w:rFonts w:ascii="Times New Roman" w:hAnsi="Times New Roman" w:eastAsia="Times New Roman"/>
          <w:sz w:val="22"/>
        </w:rPr>
        <w:t>kkd_database</w:t>
      </w:r>
      <w:r>
        <w:rPr>
          <w:rFonts w:ascii="Times New Roman" w:hAnsi="Times New Roman" w:eastAsia="Times New Roman"/>
          <w:sz w:val="28"/>
        </w:rPr>
        <w:t xml:space="preserve"> обеспечивает однократную </w:t>
      </w:r>
      <w:r>
        <w:rPr>
          <w:rFonts w:ascii="Times New Roman" w:hAnsi="Times New Roman" w:eastAsia="Times New Roman"/>
          <w:b/>
          <w:sz w:val="28"/>
        </w:rPr>
        <w:t>сборку</w:t>
      </w:r>
      <w:r>
        <w:rPr>
          <w:rFonts w:ascii="Times New Roman" w:hAnsi="Times New Roman" w:eastAsia="Times New Roman"/>
          <w:sz w:val="28"/>
        </w:rPr>
        <w:t xml:space="preserve"> таблицы из Excel в локальный файл SQLite и последующую </w:t>
      </w:r>
      <w:r>
        <w:rPr>
          <w:rFonts w:ascii="Times New Roman" w:hAnsi="Times New Roman" w:eastAsia="Times New Roman"/>
          <w:b/>
          <w:sz w:val="28"/>
        </w:rPr>
        <w:t>выборку</w:t>
      </w:r>
      <w:r>
        <w:rPr>
          <w:rFonts w:ascii="Times New Roman" w:hAnsi="Times New Roman" w:eastAsia="Times New Roman"/>
          <w:sz w:val="28"/>
        </w:rPr>
        <w:t xml:space="preserve"> в </w:t>
      </w:r>
      <w:r>
        <w:rPr>
          <w:rFonts w:ascii="Times New Roman" w:hAnsi="Times New Roman" w:eastAsia="Times New Roman"/>
          <w:sz w:val="22"/>
        </w:rPr>
        <w:t>pandas.DataFrame</w:t>
      </w:r>
      <w:r>
        <w:rPr>
          <w:rFonts w:ascii="Times New Roman" w:hAnsi="Times New Roman" w:eastAsia="Times New Roman"/>
          <w:sz w:val="28"/>
        </w:rPr>
        <w:t xml:space="preserve"> для раздела «Лаборатория» и для построения огибающих в ветви Брукса — Кори. Нормализация заголовков при импорте снижает риск расхождений имён полей между версиями исходного файла.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3.3. Реализация калибровки J-функции и модели Брукса — Кори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Ветвь Леверетта (</w:t>
      </w:r>
      <w:r>
        <w:rPr>
          <w:rFonts w:ascii="Times New Roman" w:hAnsi="Times New Roman" w:eastAsia="Times New Roman"/>
          <w:b/>
          <w:sz w:val="22"/>
        </w:rPr>
        <w:t>optimize</w:t>
      </w:r>
      <w:r>
        <w:rPr>
          <w:rFonts w:ascii="Times New Roman" w:hAnsi="Times New Roman" w:eastAsia="Times New Roman"/>
          <w:b/>
          <w:sz w:val="28"/>
        </w:rPr>
        <w:t>).</w:t>
      </w:r>
      <w:r>
        <w:rPr>
          <w:rFonts w:ascii="Times New Roman" w:hAnsi="Times New Roman" w:eastAsia="Times New Roman"/>
          <w:sz w:val="28"/>
        </w:rPr>
        <w:t xml:space="preserve"> Целевая функция </w:t>
      </w:r>
      <w:r>
        <w:rPr>
          <w:rFonts w:ascii="Times New Roman" w:hAnsi="Times New Roman" w:eastAsia="Times New Roman"/>
          <w:sz w:val="22"/>
        </w:rPr>
        <w:t>loss_function</w:t>
      </w:r>
      <w:r>
        <w:rPr>
          <w:rFonts w:ascii="Times New Roman" w:hAnsi="Times New Roman" w:eastAsia="Times New Roman"/>
          <w:sz w:val="28"/>
        </w:rPr>
        <w:t xml:space="preserve"> вычисляет взвешенную сумму функций Хьюбера (</w:t>
      </w:r>
      <w:r>
        <w:rPr>
          <w:rFonts w:ascii="Times New Roman" w:hAnsi="Times New Roman" w:eastAsia="Times New Roman"/>
          <w:sz w:val="22"/>
        </w:rPr>
        <w:t>huber_loss</w:t>
      </w:r>
      <w:r>
        <w:rPr>
          <w:rFonts w:ascii="Times New Roman" w:hAnsi="Times New Roman" w:eastAsia="Times New Roman"/>
          <w:sz w:val="28"/>
        </w:rPr>
        <w:t xml:space="preserve"> с фиксированным порогом </w:t>
      </w:r>
      <w:r>
        <w:rPr>
          <w:rFonts w:ascii="Cambria Math" w:hAnsi="Cambria Math" w:eastAsia="Cambria Math"/>
          <w:sz w:val="28"/>
        </w:rPr>
        <w:t>\delta</w:t>
      </w:r>
      <w:r>
        <w:rPr>
          <w:rFonts w:ascii="Times New Roman" w:hAnsi="Times New Roman" w:eastAsia="Times New Roman"/>
          <w:sz w:val="28"/>
        </w:rPr>
        <w:t xml:space="preserve">) по невязке «модельная − наблюдаемая» нефтенасыщенность; модельная компонента получается векторно в </w:t>
      </w:r>
      <w:r>
        <w:rPr>
          <w:rFonts w:ascii="Times New Roman" w:hAnsi="Times New Roman" w:eastAsia="Times New Roman"/>
          <w:sz w:val="22"/>
        </w:rPr>
        <w:t>calc_kng_vector</w:t>
      </w:r>
      <w:r>
        <w:rPr>
          <w:rFonts w:ascii="Times New Roman" w:hAnsi="Times New Roman" w:eastAsia="Times New Roman"/>
          <w:sz w:val="28"/>
        </w:rPr>
        <w:t xml:space="preserve"> через безразмерную группу </w:t>
      </w:r>
      <w:r>
        <w:rPr>
          <w:rFonts w:ascii="Cambria Math" w:hAnsi="Cambria Math" w:eastAsia="Cambria Math"/>
          <w:sz w:val="28"/>
        </w:rPr>
        <w:t>J</w:t>
      </w:r>
      <w:r>
        <w:rPr>
          <w:rFonts w:ascii="Times New Roman" w:hAnsi="Times New Roman" w:eastAsia="Times New Roman"/>
          <w:sz w:val="28"/>
        </w:rPr>
        <w:t xml:space="preserve"> и степенную зависимость от нормированной водонасыщённости. Подбор по каждому региону выполняется в </w:t>
      </w:r>
      <w:r>
        <w:rPr>
          <w:rFonts w:ascii="Times New Roman" w:hAnsi="Times New Roman" w:eastAsia="Times New Roman"/>
          <w:sz w:val="22"/>
        </w:rPr>
        <w:t>optimize_pvt</w:t>
      </w:r>
      <w:r>
        <w:rPr>
          <w:rFonts w:ascii="Times New Roman" w:hAnsi="Times New Roman" w:eastAsia="Times New Roman"/>
          <w:sz w:val="28"/>
        </w:rPr>
        <w:t xml:space="preserve"> одним из трёх методов: </w:t>
      </w:r>
      <w:r>
        <w:rPr>
          <w:rFonts w:ascii="Times New Roman" w:hAnsi="Times New Roman" w:eastAsia="Times New Roman"/>
          <w:sz w:val="22"/>
        </w:rPr>
        <w:t>differential_evolution</w:t>
      </w:r>
      <w:r>
        <w:rPr>
          <w:rFonts w:ascii="Times New Roman" w:hAnsi="Times New Roman" w:eastAsia="Times New Roman"/>
          <w:sz w:val="28"/>
        </w:rPr>
        <w:t xml:space="preserve">, </w:t>
      </w:r>
      <w:r>
        <w:rPr>
          <w:rFonts w:ascii="Times New Roman" w:hAnsi="Times New Roman" w:eastAsia="Times New Roman"/>
          <w:sz w:val="22"/>
        </w:rPr>
        <w:t>dual_annealing</w:t>
      </w:r>
      <w:r>
        <w:rPr>
          <w:rFonts w:ascii="Times New Roman" w:hAnsi="Times New Roman" w:eastAsia="Times New Roman"/>
          <w:sz w:val="28"/>
        </w:rPr>
        <w:t xml:space="preserve"> или собственная реализация </w:t>
      </w:r>
      <w:r>
        <w:rPr>
          <w:rFonts w:ascii="Times New Roman" w:hAnsi="Times New Roman" w:eastAsia="Times New Roman"/>
          <w:b/>
          <w:sz w:val="28"/>
        </w:rPr>
        <w:t>PSO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2"/>
        </w:rPr>
        <w:t>_pso_optimize</w:t>
      </w:r>
      <w:r>
        <w:rPr>
          <w:rFonts w:ascii="Times New Roman" w:hAnsi="Times New Roman" w:eastAsia="Times New Roman"/>
          <w:sz w:val="28"/>
        </w:rPr>
        <w:t xml:space="preserve">) с проекцией на коробку и тем же функционалом потерь. Результат конвейера </w:t>
      </w:r>
      <w:r>
        <w:rPr>
          <w:rFonts w:ascii="Times New Roman" w:hAnsi="Times New Roman" w:eastAsia="Times New Roman"/>
          <w:sz w:val="22"/>
        </w:rPr>
        <w:t>run_pipeline</w:t>
      </w:r>
      <w:r>
        <w:rPr>
          <w:rFonts w:ascii="Times New Roman" w:hAnsi="Times New Roman" w:eastAsia="Times New Roman"/>
          <w:sz w:val="28"/>
        </w:rPr>
        <w:t xml:space="preserve"> — три таблицы: расширенный датафрейм с колонкой </w:t>
      </w:r>
      <w:r>
        <w:rPr>
          <w:rFonts w:ascii="Times New Roman" w:hAnsi="Times New Roman" w:eastAsia="Times New Roman"/>
          <w:sz w:val="22"/>
        </w:rPr>
        <w:t>Kng_model</w:t>
      </w:r>
      <w:r>
        <w:rPr>
          <w:rFonts w:ascii="Times New Roman" w:hAnsi="Times New Roman" w:eastAsia="Times New Roman"/>
          <w:sz w:val="28"/>
        </w:rPr>
        <w:t xml:space="preserve">, таблица подобранных параметров </w:t>
      </w:r>
      <w:r>
        <w:rPr>
          <w:rFonts w:ascii="Cambria Math" w:hAnsi="Cambria Math" w:eastAsia="Cambria Math"/>
          <w:sz w:val="28"/>
        </w:rPr>
        <w:t>(a,b,\sigma)</w:t>
      </w:r>
      <w:r>
        <w:rPr>
          <w:rFonts w:ascii="Times New Roman" w:hAnsi="Times New Roman" w:eastAsia="Times New Roman"/>
          <w:sz w:val="28"/>
        </w:rPr>
        <w:t xml:space="preserve"> по </w:t>
      </w:r>
      <w:r>
        <w:rPr>
          <w:rFonts w:ascii="Times New Roman" w:hAnsi="Times New Roman" w:eastAsia="Times New Roman"/>
          <w:sz w:val="22"/>
        </w:rPr>
        <w:t>PVTNUM_GDM</w:t>
      </w:r>
      <w:r>
        <w:rPr>
          <w:rFonts w:ascii="Times New Roman" w:hAnsi="Times New Roman" w:eastAsia="Times New Roman"/>
          <w:sz w:val="28"/>
        </w:rPr>
        <w:t xml:space="preserve">, таблица метрик </w:t>
      </w:r>
      <w:r>
        <w:rPr>
          <w:rFonts w:ascii="Times New Roman" w:hAnsi="Times New Roman" w:eastAsia="Times New Roman"/>
          <w:sz w:val="22"/>
        </w:rPr>
        <w:t>MAE</w:t>
      </w:r>
      <w:r>
        <w:rPr>
          <w:rFonts w:ascii="Times New Roman" w:hAnsi="Times New Roman" w:eastAsia="Times New Roman"/>
          <w:sz w:val="28"/>
        </w:rPr>
        <w:t xml:space="preserve">, </w:t>
      </w:r>
      <w:r>
        <w:rPr>
          <w:rFonts w:ascii="Times New Roman" w:hAnsi="Times New Roman" w:eastAsia="Times New Roman"/>
          <w:sz w:val="22"/>
        </w:rPr>
        <w:t>RMSE</w:t>
      </w:r>
      <w:r>
        <w:rPr>
          <w:rFonts w:ascii="Times New Roman" w:hAnsi="Times New Roman" w:eastAsia="Times New Roman"/>
          <w:sz w:val="28"/>
        </w:rPr>
        <w:t xml:space="preserve">, </w:t>
      </w:r>
      <w:r>
        <w:rPr>
          <w:rFonts w:ascii="Times New Roman" w:hAnsi="Times New Roman" w:eastAsia="Times New Roman"/>
          <w:sz w:val="22"/>
        </w:rPr>
        <w:t>BIAS</w:t>
      </w:r>
      <w:r>
        <w:rPr>
          <w:rFonts w:ascii="Times New Roman" w:hAnsi="Times New Roman" w:eastAsia="Times New Roman"/>
          <w:sz w:val="28"/>
        </w:rPr>
        <w:t xml:space="preserve">, </w:t>
      </w:r>
      <w:r>
        <w:rPr>
          <w:rFonts w:ascii="Times New Roman" w:hAnsi="Times New Roman" w:eastAsia="Times New Roman"/>
          <w:sz w:val="22"/>
        </w:rPr>
        <w:t>R2</w:t>
      </w:r>
      <w:r>
        <w:rPr>
          <w:rFonts w:ascii="Times New Roman" w:hAnsi="Times New Roman" w:eastAsia="Times New Roman"/>
          <w:sz w:val="28"/>
        </w:rPr>
        <w:t xml:space="preserve">, </w:t>
      </w:r>
      <w:r>
        <w:rPr>
          <w:rFonts w:ascii="Times New Roman" w:hAnsi="Times New Roman" w:eastAsia="Times New Roman"/>
          <w:sz w:val="22"/>
        </w:rPr>
        <w:t>SCORE</w:t>
      </w:r>
      <w:r>
        <w:rPr>
          <w:rFonts w:ascii="Times New Roman" w:hAnsi="Times New Roman" w:eastAsia="Times New Roman"/>
          <w:sz w:val="28"/>
        </w:rPr>
        <w:t xml:space="preserve"> по регионам (</w:t>
      </w:r>
      <w:r>
        <w:rPr>
          <w:rFonts w:ascii="Times New Roman" w:hAnsi="Times New Roman" w:eastAsia="Times New Roman"/>
          <w:sz w:val="22"/>
        </w:rPr>
        <w:t>compute_qa</w:t>
      </w:r>
      <w:r>
        <w:rPr>
          <w:rFonts w:ascii="Times New Roman" w:hAnsi="Times New Roman" w:eastAsia="Times New Roman"/>
          <w:sz w:val="28"/>
        </w:rPr>
        <w:t>).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Ветвь Брукса — Кори (</w:t>
      </w:r>
      <w:r>
        <w:rPr>
          <w:rFonts w:ascii="Times New Roman" w:hAnsi="Times New Roman" w:eastAsia="Times New Roman"/>
          <w:b/>
          <w:sz w:val="22"/>
        </w:rPr>
        <w:t>brooks_corey</w:t>
      </w:r>
      <w:r>
        <w:rPr>
          <w:rFonts w:ascii="Times New Roman" w:hAnsi="Times New Roman" w:eastAsia="Times New Roman"/>
          <w:b/>
          <w:sz w:val="28"/>
        </w:rPr>
        <w:t>).</w:t>
      </w:r>
      <w:r>
        <w:rPr>
          <w:rFonts w:ascii="Times New Roman" w:hAnsi="Times New Roman" w:eastAsia="Times New Roman"/>
          <w:sz w:val="28"/>
        </w:rPr>
        <w:t xml:space="preserve"> Прямая модель </w:t>
      </w:r>
      <w:r>
        <w:rPr>
          <w:rFonts w:ascii="Times New Roman" w:hAnsi="Times New Roman" w:eastAsia="Times New Roman"/>
          <w:sz w:val="22"/>
        </w:rPr>
        <w:t>compute_soil_from_params</w:t>
      </w:r>
      <w:r>
        <w:rPr>
          <w:rFonts w:ascii="Times New Roman" w:hAnsi="Times New Roman" w:eastAsia="Times New Roman"/>
          <w:sz w:val="28"/>
        </w:rPr>
        <w:t xml:space="preserve"> реализует цепочку зависимостей главы 1: от пористости к водонасыщённости, далее к проницаемости и параметрам на кривой насыщения с ограничением сверху по проницаемости (</w:t>
      </w:r>
      <w:r>
        <w:rPr>
          <w:rFonts w:ascii="Times New Roman" w:hAnsi="Times New Roman" w:eastAsia="Times New Roman"/>
          <w:sz w:val="22"/>
        </w:rPr>
        <w:t>DEFAULT_PERM_MAX_MD</w:t>
      </w:r>
      <w:r>
        <w:rPr>
          <w:rFonts w:ascii="Times New Roman" w:hAnsi="Times New Roman" w:eastAsia="Times New Roman"/>
          <w:sz w:val="28"/>
        </w:rPr>
        <w:t xml:space="preserve">). Автоматические коридоры по лабораторным облакам задаются функциями </w:t>
      </w:r>
      <w:r>
        <w:rPr>
          <w:rFonts w:ascii="Times New Roman" w:hAnsi="Times New Roman" w:eastAsia="Times New Roman"/>
          <w:sz w:val="22"/>
        </w:rPr>
        <w:t>auto_exp_bounds_swl_poro</w:t>
      </w:r>
      <w:r>
        <w:rPr>
          <w:rFonts w:ascii="Times New Roman" w:hAnsi="Times New Roman" w:eastAsia="Times New Roman"/>
          <w:sz w:val="28"/>
        </w:rPr>
        <w:t xml:space="preserve"> и </w:t>
      </w:r>
      <w:r>
        <w:rPr>
          <w:rFonts w:ascii="Times New Roman" w:hAnsi="Times New Roman" w:eastAsia="Times New Roman"/>
          <w:sz w:val="22"/>
        </w:rPr>
        <w:t>auto_power_bounds</w:t>
      </w:r>
      <w:r>
        <w:rPr>
          <w:rFonts w:ascii="Times New Roman" w:hAnsi="Times New Roman" w:eastAsia="Times New Roman"/>
          <w:sz w:val="28"/>
        </w:rPr>
        <w:t xml:space="preserve">; штраф за выход за огибающие и жёсткий барьер реализованы в логике оптимизации совместно с </w:t>
      </w:r>
      <w:r>
        <w:rPr>
          <w:rFonts w:ascii="Times New Roman" w:hAnsi="Times New Roman" w:eastAsia="Times New Roman"/>
          <w:sz w:val="22"/>
        </w:rPr>
        <w:t>envelope_max_violation</w:t>
      </w:r>
      <w:r>
        <w:rPr>
          <w:rFonts w:ascii="Times New Roman" w:hAnsi="Times New Roman" w:eastAsia="Times New Roman"/>
          <w:sz w:val="28"/>
        </w:rPr>
        <w:t xml:space="preserve">. Глобальный поиск — снова </w:t>
      </w:r>
      <w:r>
        <w:rPr>
          <w:rFonts w:ascii="Times New Roman" w:hAnsi="Times New Roman" w:eastAsia="Times New Roman"/>
          <w:b/>
          <w:sz w:val="28"/>
        </w:rPr>
        <w:t>DE / dual annealing / PSO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2"/>
        </w:rPr>
        <w:t>_bc_pso_optimize</w:t>
      </w:r>
      <w:r>
        <w:rPr>
          <w:rFonts w:ascii="Times New Roman" w:hAnsi="Times New Roman" w:eastAsia="Times New Roman"/>
          <w:sz w:val="28"/>
        </w:rPr>
        <w:t xml:space="preserve">) на векторе из восьми параметров с инициализацией популяции DE в окрестности корреляционного приближения. Для отбора сценария после минимизации используется отдельная метрика </w:t>
      </w:r>
      <w:r>
        <w:rPr>
          <w:rFonts w:ascii="Times New Roman" w:hAnsi="Times New Roman" w:eastAsia="Times New Roman"/>
          <w:sz w:val="22"/>
        </w:rPr>
        <w:t>evaluate_brooks_score</w:t>
      </w:r>
      <w:r>
        <w:rPr>
          <w:rFonts w:ascii="Times New Roman" w:hAnsi="Times New Roman" w:eastAsia="Times New Roman"/>
          <w:sz w:val="28"/>
        </w:rPr>
        <w:t xml:space="preserve"> (взвешенная </w:t>
      </w:r>
      <w:r>
        <w:rPr>
          <w:rFonts w:ascii="Cambria Math" w:hAnsi="Cambria Math" w:eastAsia="Cambria Math"/>
          <w:sz w:val="28"/>
        </w:rPr>
        <w:t>L_1</w:t>
      </w:r>
      <w:r>
        <w:rPr>
          <w:rFonts w:ascii="Times New Roman" w:hAnsi="Times New Roman" w:eastAsia="Times New Roman"/>
          <w:sz w:val="28"/>
        </w:rPr>
        <w:t xml:space="preserve">-подобная невязка), что разводит </w:t>
      </w:r>
      <w:r>
        <w:rPr>
          <w:rFonts w:ascii="Times New Roman" w:hAnsi="Times New Roman" w:eastAsia="Times New Roman"/>
          <w:b/>
          <w:sz w:val="28"/>
        </w:rPr>
        <w:t>критерий оптимизации</w:t>
      </w:r>
      <w:r>
        <w:rPr>
          <w:rFonts w:ascii="Times New Roman" w:hAnsi="Times New Roman" w:eastAsia="Times New Roman"/>
          <w:sz w:val="28"/>
        </w:rPr>
        <w:t xml:space="preserve"> и </w:t>
      </w:r>
      <w:r>
        <w:rPr>
          <w:rFonts w:ascii="Times New Roman" w:hAnsi="Times New Roman" w:eastAsia="Times New Roman"/>
          <w:b/>
          <w:sz w:val="28"/>
        </w:rPr>
        <w:t>критерий отчётности</w:t>
      </w:r>
      <w:r>
        <w:rPr>
          <w:rFonts w:ascii="Times New Roman" w:hAnsi="Times New Roman" w:eastAsia="Times New Roman"/>
          <w:sz w:val="28"/>
        </w:rPr>
        <w:t>, как отмечено в главе 2.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Общие зависимости.</w:t>
      </w:r>
      <w:r>
        <w:rPr>
          <w:rFonts w:ascii="Times New Roman" w:hAnsi="Times New Roman" w:eastAsia="Times New Roman"/>
          <w:sz w:val="28"/>
        </w:rPr>
        <w:t xml:space="preserve"> Модуль </w:t>
      </w:r>
      <w:r>
        <w:rPr>
          <w:rFonts w:ascii="Times New Roman" w:hAnsi="Times New Roman" w:eastAsia="Times New Roman"/>
          <w:sz w:val="22"/>
        </w:rPr>
        <w:t>brooks_corey</w:t>
      </w:r>
      <w:r>
        <w:rPr>
          <w:rFonts w:ascii="Times New Roman" w:hAnsi="Times New Roman" w:eastAsia="Times New Roman"/>
          <w:sz w:val="28"/>
        </w:rPr>
        <w:t xml:space="preserve"> переиспользует </w:t>
      </w:r>
      <w:r>
        <w:rPr>
          <w:rFonts w:ascii="Times New Roman" w:hAnsi="Times New Roman" w:eastAsia="Times New Roman"/>
          <w:sz w:val="22"/>
        </w:rPr>
        <w:t>huber_loss</w:t>
      </w:r>
      <w:r>
        <w:rPr>
          <w:rFonts w:ascii="Times New Roman" w:hAnsi="Times New Roman" w:eastAsia="Times New Roman"/>
          <w:sz w:val="28"/>
        </w:rPr>
        <w:t xml:space="preserve">, </w:t>
      </w:r>
      <w:r>
        <w:rPr>
          <w:rFonts w:ascii="Times New Roman" w:hAnsi="Times New Roman" w:eastAsia="Times New Roman"/>
          <w:sz w:val="22"/>
        </w:rPr>
        <w:t>prepare_input_df</w:t>
      </w:r>
      <w:r>
        <w:rPr>
          <w:rFonts w:ascii="Times New Roman" w:hAnsi="Times New Roman" w:eastAsia="Times New Roman"/>
          <w:sz w:val="28"/>
        </w:rPr>
        <w:t xml:space="preserve"> и </w:t>
      </w:r>
      <w:r>
        <w:rPr>
          <w:rFonts w:ascii="Times New Roman" w:hAnsi="Times New Roman" w:eastAsia="Times New Roman"/>
          <w:sz w:val="22"/>
        </w:rPr>
        <w:t>prepare_weights</w:t>
      </w:r>
      <w:r>
        <w:rPr>
          <w:rFonts w:ascii="Times New Roman" w:hAnsi="Times New Roman" w:eastAsia="Times New Roman"/>
          <w:sz w:val="28"/>
        </w:rPr>
        <w:t xml:space="preserve"> из </w:t>
      </w:r>
      <w:r>
        <w:rPr>
          <w:rFonts w:ascii="Times New Roman" w:hAnsi="Times New Roman" w:eastAsia="Times New Roman"/>
          <w:sz w:val="22"/>
        </w:rPr>
        <w:t>optimize</w:t>
      </w:r>
      <w:r>
        <w:rPr>
          <w:rFonts w:ascii="Times New Roman" w:hAnsi="Times New Roman" w:eastAsia="Times New Roman"/>
          <w:sz w:val="28"/>
        </w:rPr>
        <w:t>, что исключает дублирование кода весов и робастной невязки.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3.4. Пользовательский интерфейс и сценарии работы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Интерфейс построен на </w:t>
      </w:r>
      <w:r>
        <w:rPr>
          <w:rFonts w:ascii="Times New Roman" w:hAnsi="Times New Roman" w:eastAsia="Times New Roman"/>
          <w:b/>
          <w:sz w:val="28"/>
        </w:rPr>
        <w:t>боковой панели</w:t>
      </w:r>
      <w:r>
        <w:rPr>
          <w:rFonts w:ascii="Times New Roman" w:hAnsi="Times New Roman" w:eastAsia="Times New Roman"/>
          <w:sz w:val="28"/>
        </w:rPr>
        <w:t xml:space="preserve"> выбора раздела и основной области контента. Реализованы четыре раздела (соответствуют узлам на </w:t>
      </w:r>
      <w:r>
        <w:rPr>
          <w:rFonts w:ascii="Times New Roman" w:hAnsi="Times New Roman" w:eastAsia="Times New Roman"/>
          <w:b/>
          <w:sz w:val="28"/>
        </w:rPr>
        <w:t>рисунке 3.1</w:t>
      </w:r>
      <w:r>
        <w:rPr>
          <w:rFonts w:ascii="Times New Roman" w:hAnsi="Times New Roman" w:eastAsia="Times New Roman"/>
          <w:sz w:val="28"/>
        </w:rPr>
        <w:t>):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b/>
          <w:sz w:val="28"/>
        </w:rPr>
        <w:t>«Лаборатория»</w:t>
      </w:r>
      <w:r>
        <w:rPr>
          <w:rFonts w:ascii="Times New Roman" w:hAnsi="Times New Roman" w:eastAsia="Times New Roman"/>
          <w:sz w:val="28"/>
        </w:rPr>
        <w:t xml:space="preserve"> — загрузка или выбор лабораторной таблицы, эвристический выбор столбцов площади, горизонта, </w:t>
      </w:r>
      <w:r>
        <w:rPr>
          <w:rFonts w:ascii="Cambria Math" w:hAnsi="Cambria Math" w:eastAsia="Cambria Math"/>
          <w:sz w:val="28"/>
        </w:rPr>
        <w:t>S_{wn}</w:t>
      </w:r>
      <w:r>
        <w:rPr>
          <w:rFonts w:ascii="Times New Roman" w:hAnsi="Times New Roman" w:eastAsia="Times New Roman"/>
          <w:sz w:val="28"/>
        </w:rPr>
        <w:t xml:space="preserve">, </w:t>
      </w:r>
      <w:r>
        <w:rPr>
          <w:rFonts w:ascii="Cambria Math" w:hAnsi="Cambria Math" w:eastAsia="Cambria Math"/>
          <w:sz w:val="28"/>
        </w:rPr>
        <w:t>J</w:t>
      </w:r>
      <w:r>
        <w:rPr>
          <w:rFonts w:ascii="Times New Roman" w:hAnsi="Times New Roman" w:eastAsia="Times New Roman"/>
          <w:sz w:val="28"/>
        </w:rPr>
        <w:t>, фильтрация облака (</w:t>
      </w:r>
      <w:r>
        <w:rPr>
          <w:rFonts w:ascii="Times New Roman" w:hAnsi="Times New Roman" w:eastAsia="Times New Roman"/>
          <w:sz w:val="22"/>
        </w:rPr>
        <w:t>filter_lab_df</w:t>
      </w:r>
      <w:r>
        <w:rPr>
          <w:rFonts w:ascii="Times New Roman" w:hAnsi="Times New Roman" w:eastAsia="Times New Roman"/>
          <w:sz w:val="28"/>
        </w:rPr>
        <w:t xml:space="preserve">), подгонка степенной модели </w:t>
      </w:r>
      <w:r>
        <w:rPr>
          <w:rFonts w:ascii="Times New Roman" w:hAnsi="Times New Roman" w:eastAsia="Times New Roman"/>
          <w:sz w:val="22"/>
        </w:rPr>
        <w:t>fit_power_j_swn</w:t>
      </w:r>
      <w:r>
        <w:rPr>
          <w:rFonts w:ascii="Times New Roman" w:hAnsi="Times New Roman" w:eastAsia="Times New Roman"/>
          <w:sz w:val="28"/>
        </w:rPr>
        <w:t>, визуализация и опциональная передача оценённых границ в раздел Леверетта (</w:t>
      </w:r>
      <w:r>
        <w:rPr>
          <w:rFonts w:ascii="Times New Roman" w:hAnsi="Times New Roman" w:eastAsia="Times New Roman"/>
          <w:sz w:val="22"/>
        </w:rPr>
        <w:t>auto_ab_bounds_from_cloud</w:t>
      </w:r>
      <w:r>
        <w:rPr>
          <w:rFonts w:ascii="Times New Roman" w:hAnsi="Times New Roman" w:eastAsia="Times New Roman"/>
          <w:sz w:val="28"/>
        </w:rPr>
        <w:t>).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b/>
          <w:sz w:val="28"/>
        </w:rPr>
        <w:t>«Подбор J функции Леверетта»</w:t>
      </w:r>
      <w:r>
        <w:rPr>
          <w:rFonts w:ascii="Times New Roman" w:hAnsi="Times New Roman" w:eastAsia="Times New Roman"/>
          <w:sz w:val="28"/>
        </w:rPr>
        <w:t xml:space="preserve"> — загрузка скважин и добычи, сопоставление столцов при нетипичных именах, выбор оптимизатора и числа итераций в боковой панели, режимы задания границ (вручную, из файла, по лабораторному облаку), запуск </w:t>
      </w:r>
      <w:r>
        <w:rPr>
          <w:rFonts w:ascii="Times New Roman" w:hAnsi="Times New Roman" w:eastAsia="Times New Roman"/>
          <w:sz w:val="22"/>
        </w:rPr>
        <w:t>run_pipeline</w:t>
      </w:r>
      <w:r>
        <w:rPr>
          <w:rFonts w:ascii="Times New Roman" w:hAnsi="Times New Roman" w:eastAsia="Times New Roman"/>
          <w:sz w:val="28"/>
        </w:rPr>
        <w:t>, таблицы параметров и QA, графики по регионам и скважинам.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b/>
          <w:sz w:val="28"/>
        </w:rPr>
        <w:t>«Брукса-Кори»</w:t>
      </w:r>
      <w:r>
        <w:rPr>
          <w:rFonts w:ascii="Times New Roman" w:hAnsi="Times New Roman" w:eastAsia="Times New Roman"/>
          <w:sz w:val="28"/>
        </w:rPr>
        <w:t xml:space="preserve"> — аналогичная схема для восьмипараметрической модели: выбор источника лабораторных точек (загрузка или ККД из SQLite), настройка оптимизатора, предпросмотр кривых и коридоров, расчёт по регионам и визуализация.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b/>
          <w:sz w:val="28"/>
        </w:rPr>
        <w:t>«Сравнение методов»</w:t>
      </w:r>
      <w:r>
        <w:rPr>
          <w:rFonts w:ascii="Times New Roman" w:hAnsi="Times New Roman" w:eastAsia="Times New Roman"/>
          <w:sz w:val="28"/>
        </w:rPr>
        <w:t xml:space="preserve"> — выбор сохранённых </w:t>
      </w:r>
      <w:r>
        <w:rPr>
          <w:rFonts w:ascii="Times New Roman" w:hAnsi="Times New Roman" w:eastAsia="Times New Roman"/>
          <w:b/>
          <w:sz w:val="28"/>
        </w:rPr>
        <w:t>снимков</w:t>
      </w:r>
      <w:r>
        <w:rPr>
          <w:rFonts w:ascii="Times New Roman" w:hAnsi="Times New Roman" w:eastAsia="Times New Roman"/>
          <w:sz w:val="28"/>
        </w:rPr>
        <w:t xml:space="preserve"> J и БК, сопоставление метрик, кроссплоты, гистограммы распределений модельной нефтенасыщенности, детальный профиль по скважине.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sz w:val="28"/>
        </w:rPr>
        <w:t xml:space="preserve">Для длительных операций используется </w:t>
      </w:r>
      <w:r>
        <w:rPr>
          <w:rFonts w:ascii="Times New Roman" w:hAnsi="Times New Roman" w:eastAsia="Times New Roman"/>
          <w:b/>
          <w:sz w:val="28"/>
        </w:rPr>
        <w:t>блокировка интерфейса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2"/>
        </w:rPr>
        <w:t>_ui_lock</w:t>
      </w:r>
      <w:r>
        <w:rPr>
          <w:rFonts w:ascii="Times New Roman" w:hAnsi="Times New Roman" w:eastAsia="Times New Roman"/>
          <w:sz w:val="28"/>
        </w:rPr>
        <w:t>) и вспомогательная прокрутка к началу страницы после перезапуска сценария, что улучшает восприятие длительных расчётов.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3.5. Визуализация, контроль качества и снимки результатов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Визуализация</w:t>
      </w:r>
      <w:r>
        <w:rPr>
          <w:rFonts w:ascii="Times New Roman" w:hAnsi="Times New Roman" w:eastAsia="Times New Roman"/>
          <w:sz w:val="28"/>
        </w:rPr>
        <w:t xml:space="preserve"> выполняется средствами Plotly: облака «история — модель», цветовая кодировка по весу или толщине пласта, лабораторные кривые с огибающими для БК. Это обеспечивает интерактивный анализ без отдельного клиентского приложения.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Метрики</w:t>
      </w:r>
      <w:r>
        <w:rPr>
          <w:rFonts w:ascii="Times New Roman" w:hAnsi="Times New Roman" w:eastAsia="Times New Roman"/>
          <w:sz w:val="28"/>
        </w:rPr>
        <w:t xml:space="preserve"> для табличного вывода согласованы с главой 2 и реализованы в </w:t>
      </w:r>
      <w:r>
        <w:rPr>
          <w:rFonts w:ascii="Times New Roman" w:hAnsi="Times New Roman" w:eastAsia="Times New Roman"/>
          <w:sz w:val="22"/>
        </w:rPr>
        <w:t>compute_qa</w:t>
      </w:r>
      <w:r>
        <w:rPr>
          <w:rFonts w:ascii="Times New Roman" w:hAnsi="Times New Roman" w:eastAsia="Times New Roman"/>
          <w:sz w:val="28"/>
        </w:rPr>
        <w:t xml:space="preserve"> (ветвь J); для БК формируются аналогичные показатели по регионам в логике интерфейса после расчёта.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Снимки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2"/>
        </w:rPr>
        <w:t>_build_well_snapshot</w:t>
      </w:r>
      <w:r>
        <w:rPr>
          <w:rFonts w:ascii="Times New Roman" w:hAnsi="Times New Roman" w:eastAsia="Times New Roman"/>
          <w:sz w:val="28"/>
        </w:rPr>
        <w:t xml:space="preserve">, </w:t>
      </w:r>
      <w:r>
        <w:rPr>
          <w:rFonts w:ascii="Times New Roman" w:hAnsi="Times New Roman" w:eastAsia="Times New Roman"/>
          <w:sz w:val="22"/>
        </w:rPr>
        <w:t>_save_well_snapshot</w:t>
      </w:r>
      <w:r>
        <w:rPr>
          <w:rFonts w:ascii="Times New Roman" w:hAnsi="Times New Roman" w:eastAsia="Times New Roman"/>
          <w:sz w:val="28"/>
        </w:rPr>
        <w:t xml:space="preserve">, каталог </w:t>
      </w:r>
      <w:r>
        <w:rPr>
          <w:rFonts w:ascii="Times New Roman" w:hAnsi="Times New Roman" w:eastAsia="Times New Roman"/>
          <w:sz w:val="22"/>
        </w:rPr>
        <w:t>_snapshot_catalog</w:t>
      </w:r>
      <w:r>
        <w:rPr>
          <w:rFonts w:ascii="Times New Roman" w:hAnsi="Times New Roman" w:eastAsia="Times New Roman"/>
          <w:sz w:val="28"/>
        </w:rPr>
        <w:t xml:space="preserve">) сохраняют зафиксированный набор точек и признак метода в каталоге данных приложения, что позволяет в разделе сравнения воспроизводить </w:t>
      </w:r>
      <w:r>
        <w:rPr>
          <w:rFonts w:ascii="Times New Roman" w:hAnsi="Times New Roman" w:eastAsia="Times New Roman"/>
          <w:b/>
          <w:sz w:val="28"/>
        </w:rPr>
        <w:t>одинаковую геометрию выборки</w:t>
      </w:r>
      <w:r>
        <w:rPr>
          <w:rFonts w:ascii="Times New Roman" w:hAnsi="Times New Roman" w:eastAsia="Times New Roman"/>
          <w:sz w:val="28"/>
        </w:rPr>
        <w:t xml:space="preserve"> для J и БК и тем самым выполнять требование сопоставимости эксперимента главы 4.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b/>
          <w:sz w:val="28"/>
        </w:rPr>
        <w:t>Экспорт</w:t>
      </w:r>
      <w:r>
        <w:rPr>
          <w:rFonts w:ascii="Times New Roman" w:hAnsi="Times New Roman" w:eastAsia="Times New Roman"/>
          <w:sz w:val="28"/>
        </w:rPr>
        <w:t xml:space="preserve"> результатов в CSV (в т.ч. с округлением числовых столбцов) поддерживается для передачи таблиц в отчёт или внешние средства.</w:t>
      </w:r>
    </w:p>
    <w:p>
      <w:pPr>
        <w:ind w:firstLine="0"/>
      </w:pPr>
      <w:r>
        <w:t>————————————————————</w:t>
      </w:r>
    </w:p>
    <w:p>
      <w:pPr>
        <w:pStyle w:val="Heading2"/>
        <w:jc w:val="left"/>
      </w:pPr>
      <w:r>
        <w:rPr>
          <w:rFonts w:ascii="Times New Roman" w:hAnsi="Times New Roman" w:eastAsia="Times New Roman"/>
        </w:rPr>
        <w:t>Выводы по главе 3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 xml:space="preserve">Выбран и обоснован </w:t>
      </w:r>
      <w:r>
        <w:rPr>
          <w:rFonts w:ascii="Times New Roman" w:hAnsi="Times New Roman" w:eastAsia="Times New Roman"/>
          <w:b/>
          <w:sz w:val="28"/>
        </w:rPr>
        <w:t>стек технологий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b/>
          <w:sz w:val="28"/>
        </w:rPr>
        <w:t>таблица 3.1</w:t>
      </w:r>
      <w:r>
        <w:rPr>
          <w:rFonts w:ascii="Times New Roman" w:hAnsi="Times New Roman" w:eastAsia="Times New Roman"/>
          <w:sz w:val="28"/>
        </w:rPr>
        <w:t>), обеспечивающий воспроизводимость расчётов и наглядность интерфейса.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 xml:space="preserve">Реализован </w:t>
      </w:r>
      <w:r>
        <w:rPr>
          <w:rFonts w:ascii="Times New Roman" w:hAnsi="Times New Roman" w:eastAsia="Times New Roman"/>
          <w:b/>
          <w:sz w:val="28"/>
        </w:rPr>
        <w:t>слой данных</w:t>
      </w:r>
      <w:r>
        <w:rPr>
          <w:rFonts w:ascii="Times New Roman" w:hAnsi="Times New Roman" w:eastAsia="Times New Roman"/>
          <w:sz w:val="28"/>
        </w:rPr>
        <w:t xml:space="preserve"> с нормализацией, валидацией обязательных полей и раздельной подготовкой обучающей выборки для оптимизации J.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 xml:space="preserve">Модули </w:t>
      </w:r>
      <w:r>
        <w:rPr>
          <w:rFonts w:ascii="Times New Roman" w:hAnsi="Times New Roman" w:eastAsia="Times New Roman"/>
          <w:b/>
          <w:sz w:val="22"/>
        </w:rPr>
        <w:t>optimize</w:t>
      </w:r>
      <w:r>
        <w:rPr>
          <w:rFonts w:ascii="Times New Roman" w:hAnsi="Times New Roman" w:eastAsia="Times New Roman"/>
          <w:sz w:val="28"/>
        </w:rPr>
        <w:t xml:space="preserve"> и </w:t>
      </w:r>
      <w:r>
        <w:rPr>
          <w:rFonts w:ascii="Times New Roman" w:hAnsi="Times New Roman" w:eastAsia="Times New Roman"/>
          <w:b/>
          <w:sz w:val="22"/>
        </w:rPr>
        <w:t>brooks_corey</w:t>
      </w:r>
      <w:r>
        <w:rPr>
          <w:rFonts w:ascii="Times New Roman" w:hAnsi="Times New Roman" w:eastAsia="Times New Roman"/>
          <w:sz w:val="28"/>
        </w:rPr>
        <w:t xml:space="preserve"> воплощают методику главы 2: робастная невязка, три глобальных оптимизатора, для БК — огибающие и отдельная метрика отбора.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 xml:space="preserve">Интерфейс Streamlit разбит на </w:t>
      </w:r>
      <w:r>
        <w:rPr>
          <w:rFonts w:ascii="Times New Roman" w:hAnsi="Times New Roman" w:eastAsia="Times New Roman"/>
          <w:b/>
          <w:sz w:val="28"/>
        </w:rPr>
        <w:t>четыре согласованных сценария</w:t>
      </w:r>
      <w:r>
        <w:rPr>
          <w:rFonts w:ascii="Times New Roman" w:hAnsi="Times New Roman" w:eastAsia="Times New Roman"/>
          <w:sz w:val="28"/>
        </w:rPr>
        <w:t>, покрывающих лабораторный анализ, обе калибровки и сравнение (</w:t>
      </w:r>
      <w:r>
        <w:rPr>
          <w:rFonts w:ascii="Times New Roman" w:hAnsi="Times New Roman" w:eastAsia="Times New Roman"/>
          <w:b/>
          <w:sz w:val="28"/>
        </w:rPr>
        <w:t>рисунок 3.1</w:t>
      </w:r>
      <w:r>
        <w:rPr>
          <w:rFonts w:ascii="Times New Roman" w:hAnsi="Times New Roman" w:eastAsia="Times New Roman"/>
          <w:sz w:val="28"/>
        </w:rPr>
        <w:t>).</w:t>
      </w:r>
    </w:p>
    <w:p>
      <w:pPr>
        <w:spacing w:lineRule="auto" w:line="360"/>
        <w:ind w:firstLine="0" w:left="567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 xml:space="preserve">Предусмотрены механизмы </w:t>
      </w:r>
      <w:r>
        <w:rPr>
          <w:rFonts w:ascii="Times New Roman" w:hAnsi="Times New Roman" w:eastAsia="Times New Roman"/>
          <w:b/>
          <w:sz w:val="28"/>
        </w:rPr>
        <w:t>снимков и сравнения</w:t>
      </w:r>
      <w:r>
        <w:rPr>
          <w:rFonts w:ascii="Times New Roman" w:hAnsi="Times New Roman" w:eastAsia="Times New Roman"/>
          <w:sz w:val="28"/>
        </w:rPr>
        <w:t>, задающие основу для количественного и визуального анализа в главе 4.</w:t>
      </w:r>
    </w:p>
    <w:p>
      <w:pPr>
        <w:ind w:firstLine="0"/>
      </w:pPr>
      <w:r>
        <w:t>————————————————————</w:t>
      </w:r>
    </w:p>
    <w:p>
      <w:pPr>
        <w:spacing w:lineRule="auto" w:line="360"/>
        <w:ind w:firstLine="709"/>
      </w:pPr>
      <w:r>
        <w:rPr>
          <w:rFonts w:ascii="Times New Roman" w:hAnsi="Times New Roman" w:eastAsia="Times New Roman"/>
          <w:i/>
          <w:sz w:val="28"/>
        </w:rPr>
        <w:t xml:space="preserve">Рисунок 3.1: для Word — экспорт Mermaid через </w:t>
      </w:r>
      <w:r>
        <w:rPr>
          <w:rFonts w:ascii="Times New Roman" w:hAnsi="Times New Roman" w:eastAsia="Times New Roman"/>
          <w:i/>
          <w:sz w:val="28"/>
        </w:rPr>
        <w:t>mermaid.live</w:t>
      </w:r>
      <w:r>
        <w:rPr>
          <w:rFonts w:ascii="Times New Roman" w:hAnsi="Times New Roman" w:eastAsia="Times New Roman"/>
          <w:i/>
          <w:sz w:val="28"/>
        </w:rPr>
        <w:t xml:space="preserve">. Связь с главой 2: соответствие функционалов </w:t>
      </w:r>
      <w:r>
        <w:rPr>
          <w:rFonts w:ascii="Cambria Math" w:hAnsi="Cambria Math" w:eastAsia="Cambria Math"/>
          <w:i/>
          <w:sz w:val="28"/>
        </w:rPr>
        <w:t>\mathcal{L}_{J}</w:t>
      </w:r>
      <w:r>
        <w:rPr>
          <w:rFonts w:ascii="Times New Roman" w:hAnsi="Times New Roman" w:eastAsia="Times New Roman"/>
          <w:i/>
          <w:sz w:val="28"/>
        </w:rPr>
        <w:t xml:space="preserve">, </w:t>
      </w:r>
      <w:r>
        <w:rPr>
          <w:rFonts w:ascii="Cambria Math" w:hAnsi="Cambria Math" w:eastAsia="Cambria Math"/>
          <w:i/>
          <w:sz w:val="28"/>
        </w:rPr>
        <w:t>\mathcal{L}_{БК}</w:t>
      </w:r>
      <w:r>
        <w:rPr>
          <w:rFonts w:ascii="Times New Roman" w:hAnsi="Times New Roman" w:eastAsia="Times New Roman"/>
          <w:i/>
          <w:sz w:val="28"/>
        </w:rPr>
        <w:t xml:space="preserve"> и метрик; переход к главе 4: описание вычислительных экспериментов и интерпретация полученных оценок.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36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Rule="auto" w:line="36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Rule="auto" w:line="36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