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2A06F" w14:textId="77777777" w:rsidR="005E0507" w:rsidRDefault="00440B17" w:rsidP="00440B17">
      <w:pPr>
        <w:jc w:val="center"/>
        <w:rPr>
          <w:b/>
          <w:u w:val="single"/>
        </w:rPr>
      </w:pPr>
      <w:r w:rsidRPr="00440B17">
        <w:rPr>
          <w:b/>
          <w:u w:val="single"/>
        </w:rPr>
        <w:t xml:space="preserve">REACH </w:t>
      </w:r>
      <w:r w:rsidR="000A1997">
        <w:rPr>
          <w:b/>
          <w:u w:val="single"/>
        </w:rPr>
        <w:t>antenna specs</w:t>
      </w:r>
    </w:p>
    <w:p w14:paraId="77E19B1C" w14:textId="77777777" w:rsidR="00440B17" w:rsidRDefault="00440B17" w:rsidP="00440B17">
      <w:pPr>
        <w:jc w:val="center"/>
        <w:rPr>
          <w:b/>
          <w:u w:val="single"/>
        </w:rPr>
      </w:pPr>
    </w:p>
    <w:p w14:paraId="25088ABE" w14:textId="77777777" w:rsidR="00440B17" w:rsidRPr="000A1997" w:rsidRDefault="000A1997" w:rsidP="000A1997">
      <w:pPr>
        <w:jc w:val="both"/>
        <w:rPr>
          <w:b/>
        </w:rPr>
      </w:pPr>
      <w:r w:rsidRPr="000A1997">
        <w:rPr>
          <w:b/>
        </w:rPr>
        <w:t xml:space="preserve">Author: </w:t>
      </w:r>
      <w:r w:rsidRPr="000A1997">
        <w:t>Eloy de Lera Acedo</w:t>
      </w:r>
    </w:p>
    <w:p w14:paraId="53BF6161" w14:textId="77777777" w:rsidR="000A1997" w:rsidRDefault="000A1997" w:rsidP="000A1997">
      <w:pPr>
        <w:jc w:val="both"/>
        <w:rPr>
          <w:b/>
        </w:rPr>
      </w:pPr>
      <w:r w:rsidRPr="000A1997">
        <w:rPr>
          <w:b/>
        </w:rPr>
        <w:t xml:space="preserve">Date: </w:t>
      </w:r>
      <w:r w:rsidRPr="000A1997">
        <w:t>31/03/2019</w:t>
      </w:r>
    </w:p>
    <w:p w14:paraId="7007B594" w14:textId="77777777" w:rsidR="000A1997" w:rsidRDefault="000A1997" w:rsidP="000A1997">
      <w:pPr>
        <w:jc w:val="both"/>
        <w:rPr>
          <w:b/>
        </w:rPr>
      </w:pPr>
    </w:p>
    <w:tbl>
      <w:tblPr>
        <w:tblStyle w:val="TableGrid"/>
        <w:tblW w:w="0" w:type="auto"/>
        <w:tblLook w:val="04A0" w:firstRow="1" w:lastRow="0" w:firstColumn="1" w:lastColumn="0" w:noHBand="0" w:noVBand="1"/>
      </w:tblPr>
      <w:tblGrid>
        <w:gridCol w:w="2318"/>
        <w:gridCol w:w="1532"/>
        <w:gridCol w:w="2310"/>
        <w:gridCol w:w="1789"/>
      </w:tblGrid>
      <w:tr w:rsidR="00AE572D" w14:paraId="7110C7B0" w14:textId="5F602AB3" w:rsidTr="00D97118">
        <w:tc>
          <w:tcPr>
            <w:tcW w:w="2318" w:type="dxa"/>
          </w:tcPr>
          <w:p w14:paraId="72CDEBD1" w14:textId="4E7EAE07" w:rsidR="00AE572D" w:rsidRDefault="00AE572D" w:rsidP="000A1997">
            <w:pPr>
              <w:jc w:val="center"/>
              <w:rPr>
                <w:b/>
              </w:rPr>
            </w:pPr>
            <w:r>
              <w:rPr>
                <w:b/>
              </w:rPr>
              <w:t>Specs</w:t>
            </w:r>
          </w:p>
        </w:tc>
        <w:tc>
          <w:tcPr>
            <w:tcW w:w="1532" w:type="dxa"/>
          </w:tcPr>
          <w:p w14:paraId="60DCB745" w14:textId="77777777" w:rsidR="00AE572D" w:rsidRDefault="00AE572D" w:rsidP="000A1997">
            <w:pPr>
              <w:jc w:val="center"/>
              <w:rPr>
                <w:b/>
              </w:rPr>
            </w:pPr>
            <w:r>
              <w:rPr>
                <w:b/>
              </w:rPr>
              <w:t>Value</w:t>
            </w:r>
          </w:p>
        </w:tc>
        <w:tc>
          <w:tcPr>
            <w:tcW w:w="2310" w:type="dxa"/>
          </w:tcPr>
          <w:p w14:paraId="0E6FC622" w14:textId="77777777" w:rsidR="00AE572D" w:rsidRDefault="00AE572D" w:rsidP="000A1997">
            <w:pPr>
              <w:jc w:val="center"/>
              <w:rPr>
                <w:b/>
              </w:rPr>
            </w:pPr>
            <w:r>
              <w:rPr>
                <w:b/>
              </w:rPr>
              <w:t>Note</w:t>
            </w:r>
          </w:p>
        </w:tc>
        <w:tc>
          <w:tcPr>
            <w:tcW w:w="1789" w:type="dxa"/>
          </w:tcPr>
          <w:p w14:paraId="0752EF52" w14:textId="4BCB5814" w:rsidR="00AE572D" w:rsidRDefault="00AE572D" w:rsidP="000A1997">
            <w:pPr>
              <w:jc w:val="center"/>
              <w:rPr>
                <w:b/>
              </w:rPr>
            </w:pPr>
            <w:r>
              <w:rPr>
                <w:b/>
              </w:rPr>
              <w:t>Priority</w:t>
            </w:r>
          </w:p>
        </w:tc>
      </w:tr>
      <w:tr w:rsidR="00AE572D" w14:paraId="66C25E14" w14:textId="13B3E28D" w:rsidTr="00D97118">
        <w:tc>
          <w:tcPr>
            <w:tcW w:w="2318" w:type="dxa"/>
          </w:tcPr>
          <w:p w14:paraId="2BC993C4" w14:textId="00732719" w:rsidR="00AE572D" w:rsidRPr="00AE572D" w:rsidRDefault="00AE572D" w:rsidP="000A1997">
            <w:pPr>
              <w:jc w:val="center"/>
              <w:rPr>
                <w:i/>
              </w:rPr>
            </w:pPr>
            <w:r w:rsidRPr="00AE572D">
              <w:rPr>
                <w:i/>
              </w:rPr>
              <w:t>S</w:t>
            </w:r>
            <w:r w:rsidRPr="00AE572D">
              <w:rPr>
                <w:i/>
                <w:vertAlign w:val="subscript"/>
              </w:rPr>
              <w:t>11</w:t>
            </w:r>
          </w:p>
        </w:tc>
        <w:tc>
          <w:tcPr>
            <w:tcW w:w="1532" w:type="dxa"/>
          </w:tcPr>
          <w:p w14:paraId="6F367E2C" w14:textId="6CE73435" w:rsidR="00AE572D" w:rsidRPr="00AE572D" w:rsidRDefault="00AE572D" w:rsidP="000A1997">
            <w:pPr>
              <w:jc w:val="center"/>
            </w:pPr>
            <w:r>
              <w:t>&lt;-15 dB</w:t>
            </w:r>
          </w:p>
        </w:tc>
        <w:tc>
          <w:tcPr>
            <w:tcW w:w="2310" w:type="dxa"/>
          </w:tcPr>
          <w:p w14:paraId="18935220" w14:textId="1FB9B882" w:rsidR="00AE572D" w:rsidRPr="00AE572D" w:rsidRDefault="00AE572D" w:rsidP="00D97118">
            <w:r>
              <w:t>In order to reduce reflections in the matching with the LNA</w:t>
            </w:r>
            <w:r w:rsidR="00D967F0">
              <w:t>.</w:t>
            </w:r>
          </w:p>
        </w:tc>
        <w:tc>
          <w:tcPr>
            <w:tcW w:w="1789" w:type="dxa"/>
          </w:tcPr>
          <w:p w14:paraId="7706F2D1" w14:textId="74808D60" w:rsidR="00AE572D" w:rsidRDefault="00D967F0" w:rsidP="000A1997">
            <w:pPr>
              <w:jc w:val="center"/>
            </w:pPr>
            <w:r>
              <w:t>High</w:t>
            </w:r>
          </w:p>
        </w:tc>
      </w:tr>
      <w:tr w:rsidR="00AE572D" w14:paraId="1087023F" w14:textId="609E3396" w:rsidTr="00D97118">
        <w:tc>
          <w:tcPr>
            <w:tcW w:w="2318" w:type="dxa"/>
          </w:tcPr>
          <w:p w14:paraId="49A017E8" w14:textId="1DDFFEE5" w:rsidR="00AE572D" w:rsidRPr="00AE572D" w:rsidRDefault="00AE572D" w:rsidP="000A1997">
            <w:pPr>
              <w:jc w:val="center"/>
              <w:rPr>
                <w:i/>
              </w:rPr>
            </w:pPr>
            <w:r w:rsidRPr="00AE572D">
              <w:rPr>
                <w:i/>
              </w:rPr>
              <w:t>Beam patterns</w:t>
            </w:r>
          </w:p>
        </w:tc>
        <w:tc>
          <w:tcPr>
            <w:tcW w:w="1532" w:type="dxa"/>
          </w:tcPr>
          <w:p w14:paraId="1DC1F5AD" w14:textId="17F092FC" w:rsidR="00AE572D" w:rsidRPr="00AE572D" w:rsidRDefault="00AC4799" w:rsidP="000A1997">
            <w:pPr>
              <w:jc w:val="center"/>
            </w:pPr>
            <w:r>
              <w:t xml:space="preserve">Residuals after low order model fitting &lt; 10 </w:t>
            </w:r>
            <w:proofErr w:type="spellStart"/>
            <w:r>
              <w:t>mK</w:t>
            </w:r>
            <w:proofErr w:type="spellEnd"/>
          </w:p>
        </w:tc>
        <w:tc>
          <w:tcPr>
            <w:tcW w:w="2310" w:type="dxa"/>
          </w:tcPr>
          <w:p w14:paraId="34FAB1E2" w14:textId="71B44332" w:rsidR="00AE572D" w:rsidRPr="00AE572D" w:rsidRDefault="00AC4799" w:rsidP="00D97118">
            <w:r>
              <w:t xml:space="preserve">See </w:t>
            </w:r>
            <w:proofErr w:type="spellStart"/>
            <w:r>
              <w:t>eq</w:t>
            </w:r>
            <w:proofErr w:type="spellEnd"/>
            <w:r>
              <w:t xml:space="preserve"> 8 of Christo’s paper. Ultimately we need to evaluate </w:t>
            </w:r>
            <w:r w:rsidR="005409EF">
              <w:t xml:space="preserve">our ability to model the whole instrument response and we will assess that using Dominic’s pipeline. </w:t>
            </w:r>
          </w:p>
        </w:tc>
        <w:tc>
          <w:tcPr>
            <w:tcW w:w="1789" w:type="dxa"/>
          </w:tcPr>
          <w:p w14:paraId="302DDE7B" w14:textId="7E935F61" w:rsidR="00AE572D" w:rsidRPr="00AE572D" w:rsidRDefault="00D967F0" w:rsidP="000A1997">
            <w:pPr>
              <w:jc w:val="center"/>
            </w:pPr>
            <w:r>
              <w:t>High</w:t>
            </w:r>
          </w:p>
        </w:tc>
      </w:tr>
      <w:tr w:rsidR="00AE572D" w14:paraId="318E052B" w14:textId="6ABCD81E" w:rsidTr="00D97118">
        <w:tc>
          <w:tcPr>
            <w:tcW w:w="2318" w:type="dxa"/>
          </w:tcPr>
          <w:p w14:paraId="266DE7E1" w14:textId="7CCAC425" w:rsidR="00AE572D" w:rsidRPr="00AE572D" w:rsidRDefault="00AE572D" w:rsidP="000A1997">
            <w:pPr>
              <w:jc w:val="center"/>
              <w:rPr>
                <w:i/>
              </w:rPr>
            </w:pPr>
            <w:r>
              <w:rPr>
                <w:i/>
              </w:rPr>
              <w:t>Bandwidth</w:t>
            </w:r>
          </w:p>
        </w:tc>
        <w:tc>
          <w:tcPr>
            <w:tcW w:w="1532" w:type="dxa"/>
          </w:tcPr>
          <w:p w14:paraId="05A67DB6" w14:textId="66C24EED" w:rsidR="00D97118" w:rsidRDefault="00AE572D" w:rsidP="000A1997">
            <w:pPr>
              <w:jc w:val="center"/>
            </w:pPr>
            <w:r>
              <w:t>~&lt;50</w:t>
            </w:r>
            <w:r w:rsidR="00D97118">
              <w:t xml:space="preserve"> MHz</w:t>
            </w:r>
            <w:r>
              <w:t xml:space="preserve"> </w:t>
            </w:r>
          </w:p>
          <w:p w14:paraId="06216191" w14:textId="77777777" w:rsidR="00D97118" w:rsidRDefault="00AE572D" w:rsidP="000A1997">
            <w:pPr>
              <w:jc w:val="center"/>
            </w:pPr>
            <w:r>
              <w:t xml:space="preserve">- </w:t>
            </w:r>
          </w:p>
          <w:p w14:paraId="4352E130" w14:textId="549EAF92" w:rsidR="00D97118" w:rsidRDefault="00AE572D" w:rsidP="00D97118">
            <w:pPr>
              <w:jc w:val="center"/>
            </w:pPr>
            <w:r>
              <w:t xml:space="preserve">~&gt;180 MHz </w:t>
            </w:r>
          </w:p>
          <w:p w14:paraId="61657708" w14:textId="5D95BDC9" w:rsidR="00AE572D" w:rsidRPr="00AE572D" w:rsidRDefault="00AE572D" w:rsidP="000A1997">
            <w:pPr>
              <w:jc w:val="center"/>
            </w:pPr>
            <w:r>
              <w:t>(</w:t>
            </w:r>
            <w:proofErr w:type="gramStart"/>
            <w:r>
              <w:t>ideally</w:t>
            </w:r>
            <w:proofErr w:type="gramEnd"/>
            <w:r>
              <w:t xml:space="preserve"> up to 200 MHz)</w:t>
            </w:r>
          </w:p>
        </w:tc>
        <w:tc>
          <w:tcPr>
            <w:tcW w:w="2310" w:type="dxa"/>
          </w:tcPr>
          <w:p w14:paraId="0C945503" w14:textId="086E2C4F" w:rsidR="00AE572D" w:rsidRPr="00AE572D" w:rsidRDefault="00AE572D" w:rsidP="00D97118">
            <w:r>
              <w:t xml:space="preserve">This is a very demanding bandwidth. Based on the expected </w:t>
            </w:r>
            <w:r w:rsidR="00D97118">
              <w:t xml:space="preserve">signal and priorities, the low part of the band from ~&lt; 50 MHz up to as much as possible but at least 120 </w:t>
            </w:r>
            <w:proofErr w:type="spellStart"/>
            <w:r w:rsidR="00D97118">
              <w:t>MHz.</w:t>
            </w:r>
            <w:proofErr w:type="spellEnd"/>
            <w:r w:rsidR="00D97118">
              <w:t xml:space="preserve"> The final bandwidth will determine the total number of subsystems needed to cover the entire band.</w:t>
            </w:r>
          </w:p>
        </w:tc>
        <w:tc>
          <w:tcPr>
            <w:tcW w:w="1789" w:type="dxa"/>
          </w:tcPr>
          <w:p w14:paraId="69BBE305" w14:textId="774FD7D5" w:rsidR="00AE572D" w:rsidRDefault="00F82484" w:rsidP="000A1997">
            <w:pPr>
              <w:jc w:val="center"/>
            </w:pPr>
            <w:r>
              <w:t>High</w:t>
            </w:r>
          </w:p>
        </w:tc>
      </w:tr>
      <w:tr w:rsidR="00AE572D" w14:paraId="38D8E745" w14:textId="680114C6" w:rsidTr="00D97118">
        <w:tc>
          <w:tcPr>
            <w:tcW w:w="2318" w:type="dxa"/>
          </w:tcPr>
          <w:p w14:paraId="30691B7D" w14:textId="7212B9DE" w:rsidR="00AE572D" w:rsidRPr="00AE572D" w:rsidRDefault="00AE572D" w:rsidP="000A1997">
            <w:pPr>
              <w:jc w:val="center"/>
              <w:rPr>
                <w:i/>
              </w:rPr>
            </w:pPr>
            <w:r>
              <w:rPr>
                <w:i/>
              </w:rPr>
              <w:t>Physical dimensions</w:t>
            </w:r>
          </w:p>
        </w:tc>
        <w:tc>
          <w:tcPr>
            <w:tcW w:w="1532" w:type="dxa"/>
          </w:tcPr>
          <w:p w14:paraId="4B504E38" w14:textId="30ED6EA0" w:rsidR="00AE572D" w:rsidRPr="00AE572D" w:rsidRDefault="00D967F0" w:rsidP="000A1997">
            <w:pPr>
              <w:jc w:val="center"/>
            </w:pPr>
            <w:r>
              <w:t>TBD</w:t>
            </w:r>
          </w:p>
        </w:tc>
        <w:tc>
          <w:tcPr>
            <w:tcW w:w="2310" w:type="dxa"/>
          </w:tcPr>
          <w:p w14:paraId="62D5A2F1" w14:textId="7599C66C" w:rsidR="00AE572D" w:rsidRPr="00AE572D" w:rsidRDefault="00AE572D" w:rsidP="00D97118">
            <w:r>
              <w:t xml:space="preserve">There is no a fundamental constrain on the antenna dimensions or </w:t>
            </w:r>
            <w:proofErr w:type="gramStart"/>
            <w:r>
              <w:t xml:space="preserve">weight </w:t>
            </w:r>
            <w:r w:rsidR="005409EF">
              <w:t>,</w:t>
            </w:r>
            <w:proofErr w:type="gramEnd"/>
            <w:r w:rsidR="005409EF">
              <w:t xml:space="preserve"> </w:t>
            </w:r>
            <w:r w:rsidR="00D967F0">
              <w:t>within reason.</w:t>
            </w:r>
          </w:p>
        </w:tc>
        <w:tc>
          <w:tcPr>
            <w:tcW w:w="1789" w:type="dxa"/>
          </w:tcPr>
          <w:p w14:paraId="0C86E798" w14:textId="4D17F99E" w:rsidR="00AE572D" w:rsidRDefault="00F82484" w:rsidP="000A1997">
            <w:pPr>
              <w:jc w:val="center"/>
            </w:pPr>
            <w:r>
              <w:t>Medium</w:t>
            </w:r>
          </w:p>
        </w:tc>
      </w:tr>
      <w:tr w:rsidR="00AE572D" w14:paraId="138F04F6" w14:textId="2E6F68C5" w:rsidTr="00D97118">
        <w:tc>
          <w:tcPr>
            <w:tcW w:w="2318" w:type="dxa"/>
          </w:tcPr>
          <w:p w14:paraId="742D153C" w14:textId="53716F23" w:rsidR="00AE572D" w:rsidRPr="00AE572D" w:rsidRDefault="00AE572D" w:rsidP="000A1997">
            <w:pPr>
              <w:jc w:val="center"/>
              <w:rPr>
                <w:i/>
              </w:rPr>
            </w:pPr>
            <w:r>
              <w:rPr>
                <w:i/>
              </w:rPr>
              <w:t>Radiation efficiency</w:t>
            </w:r>
          </w:p>
        </w:tc>
        <w:tc>
          <w:tcPr>
            <w:tcW w:w="1532" w:type="dxa"/>
          </w:tcPr>
          <w:p w14:paraId="00949078" w14:textId="35FAB2BD" w:rsidR="00AE572D" w:rsidRPr="00AE572D" w:rsidRDefault="006F53B6" w:rsidP="000A1997">
            <w:pPr>
              <w:jc w:val="center"/>
            </w:pPr>
            <w:r>
              <w:t>&gt;98%</w:t>
            </w:r>
          </w:p>
        </w:tc>
        <w:tc>
          <w:tcPr>
            <w:tcW w:w="2310" w:type="dxa"/>
          </w:tcPr>
          <w:p w14:paraId="5E76EDD6" w14:textId="3E0A99B9" w:rsidR="00AE572D" w:rsidRPr="00AE572D" w:rsidRDefault="00D967F0" w:rsidP="00D97118">
            <w:r>
              <w:t xml:space="preserve">This parameter is strongly linked to the beam patterns, since low losses are not strictly necessary as long as </w:t>
            </w:r>
            <w:r>
              <w:lastRenderedPageBreak/>
              <w:t>they can be modeled well enough, however, as for the beams and S11, high values of radiation efficiency will ensure a smoother system and easier data analysis.</w:t>
            </w:r>
          </w:p>
        </w:tc>
        <w:tc>
          <w:tcPr>
            <w:tcW w:w="1789" w:type="dxa"/>
          </w:tcPr>
          <w:p w14:paraId="03130A0A" w14:textId="0F4ED4C2" w:rsidR="00AE572D" w:rsidRPr="00AE572D" w:rsidRDefault="00D967F0" w:rsidP="000A1997">
            <w:pPr>
              <w:jc w:val="center"/>
            </w:pPr>
            <w:r>
              <w:lastRenderedPageBreak/>
              <w:t>High</w:t>
            </w:r>
          </w:p>
        </w:tc>
      </w:tr>
      <w:tr w:rsidR="00AE572D" w14:paraId="11D20316" w14:textId="0C74C527" w:rsidTr="00D97118">
        <w:tc>
          <w:tcPr>
            <w:tcW w:w="2318" w:type="dxa"/>
          </w:tcPr>
          <w:p w14:paraId="70BE049E" w14:textId="41C1645C" w:rsidR="00AE572D" w:rsidRPr="00AE572D" w:rsidRDefault="00AE572D" w:rsidP="000A1997">
            <w:pPr>
              <w:jc w:val="center"/>
              <w:rPr>
                <w:i/>
              </w:rPr>
            </w:pPr>
            <w:r>
              <w:rPr>
                <w:i/>
              </w:rPr>
              <w:lastRenderedPageBreak/>
              <w:t>Effective length</w:t>
            </w:r>
          </w:p>
        </w:tc>
        <w:tc>
          <w:tcPr>
            <w:tcW w:w="1532" w:type="dxa"/>
          </w:tcPr>
          <w:p w14:paraId="44C40487" w14:textId="5406F711" w:rsidR="00AE572D" w:rsidRPr="00AE572D" w:rsidRDefault="005409EF" w:rsidP="000A1997">
            <w:pPr>
              <w:jc w:val="center"/>
            </w:pPr>
            <w:r>
              <w:t>TBD</w:t>
            </w:r>
          </w:p>
        </w:tc>
        <w:tc>
          <w:tcPr>
            <w:tcW w:w="2310" w:type="dxa"/>
          </w:tcPr>
          <w:p w14:paraId="2EEE94DF" w14:textId="6552763C" w:rsidR="00AE572D" w:rsidRPr="00AE572D" w:rsidRDefault="005409EF" w:rsidP="00D97118">
            <w:r>
              <w:t>T</w:t>
            </w:r>
            <w:bookmarkStart w:id="0" w:name="_GoBack"/>
            <w:bookmarkEnd w:id="0"/>
            <w:r>
              <w:t>he ultimate goal is to assess our ability to separate the cosmic signal from the foregrounds using the data analysis tools at hand, thus we will include any antenna models in Dominic’s pipeline to assess its goodness for REACH.</w:t>
            </w:r>
          </w:p>
        </w:tc>
        <w:tc>
          <w:tcPr>
            <w:tcW w:w="1789" w:type="dxa"/>
          </w:tcPr>
          <w:p w14:paraId="76BC2064" w14:textId="6728E984" w:rsidR="00AE572D" w:rsidRPr="00D967F0" w:rsidRDefault="00F82484" w:rsidP="000A1997">
            <w:pPr>
              <w:jc w:val="center"/>
              <w:rPr>
                <w:u w:val="single"/>
              </w:rPr>
            </w:pPr>
            <w:r w:rsidRPr="00D967F0">
              <w:rPr>
                <w:u w:val="single"/>
              </w:rPr>
              <w:t>Highest</w:t>
            </w:r>
          </w:p>
        </w:tc>
      </w:tr>
      <w:tr w:rsidR="00AE572D" w14:paraId="4E3EBA5D" w14:textId="2A338824" w:rsidTr="00D97118">
        <w:tc>
          <w:tcPr>
            <w:tcW w:w="2318" w:type="dxa"/>
          </w:tcPr>
          <w:p w14:paraId="7FEBAFC1" w14:textId="696D0762" w:rsidR="00AE572D" w:rsidRDefault="00AE572D" w:rsidP="000A1997">
            <w:pPr>
              <w:jc w:val="center"/>
              <w:rPr>
                <w:i/>
              </w:rPr>
            </w:pPr>
            <w:r>
              <w:rPr>
                <w:i/>
              </w:rPr>
              <w:t>Number of orthogonal polarizations</w:t>
            </w:r>
          </w:p>
        </w:tc>
        <w:tc>
          <w:tcPr>
            <w:tcW w:w="1532" w:type="dxa"/>
          </w:tcPr>
          <w:p w14:paraId="0FC27F65" w14:textId="16C12AD9" w:rsidR="00AE572D" w:rsidRPr="00AE572D" w:rsidRDefault="00AE572D" w:rsidP="000A1997">
            <w:pPr>
              <w:jc w:val="center"/>
            </w:pPr>
            <w:r>
              <w:t>2 (1)</w:t>
            </w:r>
          </w:p>
        </w:tc>
        <w:tc>
          <w:tcPr>
            <w:tcW w:w="2310" w:type="dxa"/>
          </w:tcPr>
          <w:p w14:paraId="339DF7F8" w14:textId="21408D60" w:rsidR="00AE572D" w:rsidRPr="00AE572D" w:rsidRDefault="00AE572D" w:rsidP="00D967F0">
            <w:r>
              <w:t xml:space="preserve">TBD, based on the </w:t>
            </w:r>
            <w:r w:rsidR="00D967F0">
              <w:t>ability to meet the highest priority requirements.</w:t>
            </w:r>
          </w:p>
        </w:tc>
        <w:tc>
          <w:tcPr>
            <w:tcW w:w="1789" w:type="dxa"/>
          </w:tcPr>
          <w:p w14:paraId="15FAA652" w14:textId="6FC2B77C" w:rsidR="00AE572D" w:rsidRDefault="00D967F0" w:rsidP="000A1997">
            <w:pPr>
              <w:jc w:val="center"/>
            </w:pPr>
            <w:r>
              <w:t>Medium</w:t>
            </w:r>
          </w:p>
        </w:tc>
      </w:tr>
      <w:tr w:rsidR="006F53B6" w14:paraId="237CE2EA" w14:textId="77777777" w:rsidTr="00D97118">
        <w:tc>
          <w:tcPr>
            <w:tcW w:w="2318" w:type="dxa"/>
          </w:tcPr>
          <w:p w14:paraId="21D22D85" w14:textId="536247FD" w:rsidR="006F53B6" w:rsidRDefault="006F53B6" w:rsidP="000A1997">
            <w:pPr>
              <w:jc w:val="center"/>
              <w:rPr>
                <w:i/>
              </w:rPr>
            </w:pPr>
            <w:r>
              <w:rPr>
                <w:i/>
              </w:rPr>
              <w:t>Field of View (3dB beam-width)</w:t>
            </w:r>
          </w:p>
        </w:tc>
        <w:tc>
          <w:tcPr>
            <w:tcW w:w="1532" w:type="dxa"/>
          </w:tcPr>
          <w:p w14:paraId="17290429" w14:textId="3D5AFAD2" w:rsidR="006F53B6" w:rsidRDefault="006F53B6" w:rsidP="000A1997">
            <w:pPr>
              <w:jc w:val="center"/>
            </w:pPr>
            <w:r>
              <w:t>&gt; 10 deg</w:t>
            </w:r>
            <w:r w:rsidRPr="006F53B6">
              <w:rPr>
                <w:vertAlign w:val="superscript"/>
              </w:rPr>
              <w:t>2</w:t>
            </w:r>
            <w:r>
              <w:t xml:space="preserve"> in the sky</w:t>
            </w:r>
          </w:p>
        </w:tc>
        <w:tc>
          <w:tcPr>
            <w:tcW w:w="2310" w:type="dxa"/>
          </w:tcPr>
          <w:p w14:paraId="1B915F41" w14:textId="0C6C7D2D" w:rsidR="006F53B6" w:rsidRDefault="006F53B6" w:rsidP="006F53B6">
            <w:r>
              <w:t xml:space="preserve">Provided that the </w:t>
            </w:r>
            <w:proofErr w:type="spellStart"/>
            <w:r>
              <w:t>FoV</w:t>
            </w:r>
            <w:proofErr w:type="spellEnd"/>
            <w:r>
              <w:t xml:space="preserve"> is larger than ~ 10 degrees squared in the sky in order to observe the monopole emission, the </w:t>
            </w:r>
            <w:proofErr w:type="spellStart"/>
            <w:r>
              <w:t>FoV</w:t>
            </w:r>
            <w:proofErr w:type="spellEnd"/>
            <w:r>
              <w:t xml:space="preserve"> could be as wide as required. Narrower beams will be less affected by foregrounds and are preferred though. Furthermore, gain values &lt;- 20 dB at the horizon (Within at least 10 degrees from the horizon) in all directions will reduce the effect of environmental factors and terrestrial RFI. The beam does not need to be looking at zenith necessarily. </w:t>
            </w:r>
          </w:p>
        </w:tc>
        <w:tc>
          <w:tcPr>
            <w:tcW w:w="1789" w:type="dxa"/>
          </w:tcPr>
          <w:p w14:paraId="33000998" w14:textId="63314960" w:rsidR="006F53B6" w:rsidRDefault="006F53B6" w:rsidP="000A1997">
            <w:pPr>
              <w:jc w:val="center"/>
            </w:pPr>
            <w:r>
              <w:t>Medium-high</w:t>
            </w:r>
          </w:p>
        </w:tc>
      </w:tr>
    </w:tbl>
    <w:p w14:paraId="40CD0ED3" w14:textId="77777777" w:rsidR="000A1997" w:rsidRPr="000A1997" w:rsidRDefault="000A1997" w:rsidP="000A1997">
      <w:pPr>
        <w:jc w:val="both"/>
      </w:pPr>
      <w:r w:rsidRPr="000A1997">
        <w:t>Table 1. Antenna specs for REACH</w:t>
      </w:r>
    </w:p>
    <w:sectPr w:rsidR="000A1997" w:rsidRPr="000A1997" w:rsidSect="005E05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8ED"/>
    <w:multiLevelType w:val="hybridMultilevel"/>
    <w:tmpl w:val="F9F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17"/>
    <w:rsid w:val="000A1997"/>
    <w:rsid w:val="001572A6"/>
    <w:rsid w:val="00440B17"/>
    <w:rsid w:val="005409EF"/>
    <w:rsid w:val="005E0507"/>
    <w:rsid w:val="006F53B6"/>
    <w:rsid w:val="008A642E"/>
    <w:rsid w:val="00A46816"/>
    <w:rsid w:val="00AC4799"/>
    <w:rsid w:val="00AE572D"/>
    <w:rsid w:val="00D967F0"/>
    <w:rsid w:val="00D97118"/>
    <w:rsid w:val="00F82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B98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17"/>
    <w:pPr>
      <w:ind w:left="720"/>
      <w:contextualSpacing/>
    </w:pPr>
  </w:style>
  <w:style w:type="table" w:styleId="TableGrid">
    <w:name w:val="Table Grid"/>
    <w:basedOn w:val="TableNormal"/>
    <w:uiPriority w:val="59"/>
    <w:rsid w:val="000A1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17"/>
    <w:pPr>
      <w:ind w:left="720"/>
      <w:contextualSpacing/>
    </w:pPr>
  </w:style>
  <w:style w:type="table" w:styleId="TableGrid">
    <w:name w:val="Table Grid"/>
    <w:basedOn w:val="TableNormal"/>
    <w:uiPriority w:val="59"/>
    <w:rsid w:val="000A1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314</Words>
  <Characters>1790</Characters>
  <Application>Microsoft Macintosh Word</Application>
  <DocSecurity>0</DocSecurity>
  <Lines>14</Lines>
  <Paragraphs>4</Paragraphs>
  <ScaleCrop>false</ScaleCrop>
  <Company>University of Cambridge</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de Lera Acedo</dc:creator>
  <cp:keywords/>
  <dc:description/>
  <cp:lastModifiedBy>Eloy de Lera Acedo</cp:lastModifiedBy>
  <cp:revision>8</cp:revision>
  <dcterms:created xsi:type="dcterms:W3CDTF">2019-03-31T21:14:00Z</dcterms:created>
  <dcterms:modified xsi:type="dcterms:W3CDTF">2019-04-01T13:37:00Z</dcterms:modified>
</cp:coreProperties>
</file>