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Agile AI Institutional Analytics Strategy v1.0</w:t>
      </w:r>
    </w:p>
    <w:p>
      <w:r>
        <w:t>Status: LOCKED</w:t>
      </w:r>
    </w:p>
    <w:p>
      <w:r>
        <w:t>Scope: Entire Agile AI Ecosystem</w:t>
      </w:r>
    </w:p>
    <w:p>
      <w:r>
        <w:t>Date Locked: 2026-02-25</w:t>
      </w:r>
    </w:p>
    <w:p/>
    <w:p>
      <w:r>
        <w:t xml:space="preserve">**Status:** LOCKED  </w:t>
      </w:r>
    </w:p>
    <w:p>
      <w:r>
        <w:t xml:space="preserve">**Scope:** Entire Agile AI Ecosystem  </w:t>
      </w:r>
    </w:p>
    <w:p>
      <w:r>
        <w:t>**Date Locked:** 2026-02-25</w:t>
      </w:r>
    </w:p>
    <w:p>
      <w:r>
        <w:t>---</w:t>
      </w:r>
    </w:p>
    <w:p>
      <w:pPr>
        <w:pStyle w:val="Heading2"/>
      </w:pPr>
      <w:r>
        <w:t>1. Strategic Principle</w:t>
      </w:r>
    </w:p>
    <w:p>
      <w:r>
        <w:t>Agile AI operates as a single institutional brand with multiple public surfaces.</w:t>
      </w:r>
    </w:p>
    <w:p>
      <w:r>
        <w:t>Analytics must reflect one institutional truth and must not be fragmented into surface-level silos.</w:t>
      </w:r>
    </w:p>
    <w:p>
      <w:r>
        <w:t>---</w:t>
      </w:r>
    </w:p>
    <w:p>
      <w:pPr>
        <w:pStyle w:val="Heading2"/>
      </w:pPr>
      <w:r>
        <w:t>2. Property Architecture (LOCKED)</w:t>
      </w:r>
    </w:p>
    <w:p>
      <w:r>
        <w:t>One unified GA4 property for the entire ecosystem.</w:t>
      </w:r>
    </w:p>
    <w:p>
      <w:r>
        <w:t>---</w:t>
      </w:r>
    </w:p>
    <w:p>
      <w:pPr>
        <w:pStyle w:val="Heading2"/>
      </w:pPr>
      <w:r>
        <w:t>3. Data Stream Structure (LOCKED)</w:t>
      </w:r>
    </w:p>
    <w:p>
      <w:r>
        <w:t>Separate web data streams for:</w:t>
      </w:r>
    </w:p>
    <w:p>
      <w:pPr>
        <w:pStyle w:val="ListBullet"/>
      </w:pPr>
      <w:r>
        <w:t xml:space="preserve">agileai.foundation  </w:t>
      </w:r>
    </w:p>
    <w:p>
      <w:pPr>
        <w:pStyle w:val="ListBullet"/>
      </w:pPr>
      <w:r>
        <w:t xml:space="preserve">agileai.university  </w:t>
      </w:r>
    </w:p>
    <w:p>
      <w:pPr>
        <w:pStyle w:val="ListBullet"/>
      </w:pPr>
      <w:r>
        <w:t xml:space="preserve">verify.agileai.university  </w:t>
      </w:r>
    </w:p>
    <w:p>
      <w:pPr>
        <w:pStyle w:val="ListBullet"/>
      </w:pPr>
      <w:r>
        <w:t xml:space="preserve">portal.agileai.university  </w:t>
      </w:r>
    </w:p>
    <w:p>
      <w:pPr>
        <w:pStyle w:val="ListBullet"/>
      </w:pPr>
      <w:r>
        <w:t xml:space="preserve">learn.agileai.university  </w:t>
      </w:r>
    </w:p>
    <w:p>
      <w:r>
        <w:t>All streams roll up into the same institutional GA4 property.</w:t>
      </w:r>
    </w:p>
    <w:p>
      <w:r>
        <w:t>---</w:t>
      </w:r>
    </w:p>
    <w:p>
      <w:pPr>
        <w:pStyle w:val="Heading2"/>
      </w:pPr>
      <w:r>
        <w:t>4. Surface Classification Model (LOCKED)</w:t>
      </w:r>
    </w:p>
    <w:p>
      <w:r>
        <w:t>Every surface must define:</w:t>
      </w:r>
    </w:p>
    <w:p>
      <w:r>
        <w:t>`&lt;body data-surface="..."&gt;`</w:t>
      </w:r>
    </w:p>
    <w:p>
      <w:r>
        <w:t>Approved values:</w:t>
      </w:r>
    </w:p>
    <w:p>
      <w:pPr>
        <w:pStyle w:val="ListBullet"/>
      </w:pPr>
      <w:r>
        <w:t xml:space="preserve">foundation  </w:t>
      </w:r>
    </w:p>
    <w:p>
      <w:pPr>
        <w:pStyle w:val="ListBullet"/>
      </w:pPr>
      <w:r>
        <w:t xml:space="preserve">site  </w:t>
      </w:r>
    </w:p>
    <w:p>
      <w:pPr>
        <w:pStyle w:val="ListBullet"/>
      </w:pPr>
      <w:r>
        <w:t xml:space="preserve">certs  </w:t>
      </w:r>
    </w:p>
    <w:p>
      <w:pPr>
        <w:pStyle w:val="ListBullet"/>
      </w:pPr>
      <w:r>
        <w:t xml:space="preserve">portal  </w:t>
      </w:r>
    </w:p>
    <w:p>
      <w:pPr>
        <w:pStyle w:val="ListBullet"/>
      </w:pPr>
      <w:r>
        <w:t xml:space="preserve">learn  </w:t>
      </w:r>
    </w:p>
    <w:p>
      <w:pPr>
        <w:pStyle w:val="ListBullet"/>
      </w:pPr>
      <w:r>
        <w:t xml:space="preserve">assessment  </w:t>
      </w:r>
    </w:p>
    <w:p>
      <w:pPr>
        <w:pStyle w:val="ListBullet"/>
      </w:pPr>
      <w:r>
        <w:t>unknown (fallback only)</w:t>
      </w:r>
    </w:p>
    <w:p>
      <w:r>
        <w:t>---</w:t>
      </w:r>
    </w:p>
    <w:p>
      <w:pPr>
        <w:pStyle w:val="Heading2"/>
      </w:pPr>
      <w:r>
        <w:t>5. Custom Dimension (MANDATORY)</w:t>
      </w:r>
    </w:p>
    <w:p>
      <w:r>
        <w:t xml:space="preserve">Custom Dimension Name: `surface`  </w:t>
      </w:r>
    </w:p>
    <w:p>
      <w:r>
        <w:t xml:space="preserve">Scope: Event  </w:t>
      </w:r>
    </w:p>
    <w:p>
      <w:r>
        <w:t>Source: `document.body.dataset.surface`</w:t>
      </w:r>
    </w:p>
    <w:p>
      <w:r>
        <w:t>---</w:t>
      </w:r>
    </w:p>
    <w:p>
      <w:pPr>
        <w:pStyle w:val="Heading2"/>
      </w:pPr>
      <w:r>
        <w:t>6. Event Governance (LOCKED)</w:t>
      </w:r>
    </w:p>
    <w:p>
      <w:r>
        <w:t>Standardized naming format:</w:t>
      </w:r>
    </w:p>
    <w:p>
      <w:r>
        <w:t>`action_object`</w:t>
      </w:r>
    </w:p>
    <w:p>
      <w:r>
        <w:t>Approved examples:</w:t>
      </w:r>
    </w:p>
    <w:p>
      <w:pPr>
        <w:pStyle w:val="ListBullet"/>
      </w:pPr>
      <w:r>
        <w:t xml:space="preserve">verify_attempt  </w:t>
      </w:r>
    </w:p>
    <w:p>
      <w:pPr>
        <w:pStyle w:val="ListBullet"/>
      </w:pPr>
      <w:r>
        <w:t xml:space="preserve">verify_success  </w:t>
      </w:r>
    </w:p>
    <w:p>
      <w:pPr>
        <w:pStyle w:val="ListBullet"/>
      </w:pPr>
      <w:r>
        <w:t xml:space="preserve">verify_failure  </w:t>
      </w:r>
    </w:p>
    <w:p>
      <w:pPr>
        <w:pStyle w:val="ListBullet"/>
      </w:pPr>
      <w:r>
        <w:t xml:space="preserve">portal_login  </w:t>
      </w:r>
    </w:p>
    <w:p>
      <w:pPr>
        <w:pStyle w:val="ListBullet"/>
      </w:pPr>
      <w:r>
        <w:t xml:space="preserve">assessment_start  </w:t>
      </w:r>
    </w:p>
    <w:p>
      <w:pPr>
        <w:pStyle w:val="ListBullet"/>
      </w:pPr>
      <w:r>
        <w:t xml:space="preserve">assessment_complete  </w:t>
      </w:r>
    </w:p>
    <w:p>
      <w:r>
        <w:t>No random event naming permitted.</w:t>
      </w:r>
    </w:p>
    <w:p>
      <w:r>
        <w:t>---</w:t>
      </w:r>
    </w:p>
    <w:p>
      <w:pPr>
        <w:pStyle w:val="Heading2"/>
      </w:pPr>
      <w:r>
        <w:t>7. Implementation Layer (LOCKED)</w:t>
      </w:r>
    </w:p>
    <w:p>
      <w:r>
        <w:t>GA4 must be injected only via:</w:t>
      </w:r>
    </w:p>
    <w:p>
      <w:r>
        <w:t>`shared/design-authority/js/header.js`</w:t>
      </w:r>
    </w:p>
    <w:p>
      <w:r>
        <w:t>No per-page analytics injection allowed.</w:t>
      </w:r>
    </w:p>
    <w:p>
      <w:r>
        <w:t>---</w:t>
      </w:r>
    </w:p>
    <w:p>
      <w:pPr>
        <w:pStyle w:val="Heading2"/>
      </w:pPr>
      <w:r>
        <w:t>8. Search Console Integration (MANDATORY)</w:t>
      </w:r>
    </w:p>
    <w:p>
      <w:r>
        <w:t>Link Search Console properties:</w:t>
      </w:r>
    </w:p>
    <w:p>
      <w:pPr>
        <w:pStyle w:val="ListBullet"/>
      </w:pPr>
      <w:r>
        <w:t xml:space="preserve">agileai.foundation  </w:t>
      </w:r>
    </w:p>
    <w:p>
      <w:pPr>
        <w:pStyle w:val="ListBullet"/>
      </w:pPr>
      <w:r>
        <w:t xml:space="preserve">agileai.university  </w:t>
      </w:r>
    </w:p>
    <w:p>
      <w:r>
        <w:t>Purpose:</w:t>
      </w:r>
    </w:p>
    <w:p>
      <w:pPr>
        <w:pStyle w:val="ListBullet"/>
      </w:pPr>
      <w:r>
        <w:t xml:space="preserve">Monitor brand growth  </w:t>
      </w:r>
    </w:p>
    <w:p>
      <w:pPr>
        <w:pStyle w:val="ListBullet"/>
      </w:pPr>
      <w:r>
        <w:t xml:space="preserve">Detect domain confusion  </w:t>
      </w:r>
    </w:p>
    <w:p>
      <w:pPr>
        <w:pStyle w:val="ListBullet"/>
      </w:pPr>
      <w:r>
        <w:t xml:space="preserve">Track keyword intent  </w:t>
      </w:r>
    </w:p>
    <w:p>
      <w:r>
        <w:t>---</w:t>
      </w:r>
    </w:p>
    <w:p>
      <w:pPr>
        <w:pStyle w:val="Heading2"/>
      </w:pPr>
      <w:r>
        <w:t>9. Governance Rules</w:t>
      </w:r>
    </w:p>
    <w:p>
      <w:pPr>
        <w:pStyle w:val="ListNumber"/>
      </w:pPr>
      <w:r>
        <w:t>1. No independent analytics per surface.</w:t>
      </w:r>
    </w:p>
    <w:p>
      <w:r>
        <w:t xml:space="preserve">2. No GA configuration overrides at surface level.  </w:t>
      </w:r>
    </w:p>
    <w:p>
      <w:r>
        <w:t xml:space="preserve">3. No unauthorized third-party trackers.  </w:t>
      </w:r>
    </w:p>
    <w:p>
      <w:r>
        <w:t xml:space="preserve">4. All measurement flows through shared design authority.  </w:t>
      </w:r>
    </w:p>
    <w:p>
      <w:r>
        <w:t>---</w:t>
      </w:r>
    </w:p>
    <w:p>
      <w:pPr>
        <w:pStyle w:val="Heading2"/>
      </w:pPr>
      <w:r>
        <w:t>10. Strategic Outcomes</w:t>
      </w:r>
    </w:p>
    <w:p>
      <w:r>
        <w:t>This measurement model enables:</w:t>
      </w:r>
    </w:p>
    <w:p>
      <w:pPr>
        <w:pStyle w:val="ListBullet"/>
      </w:pPr>
      <w:r>
        <w:t xml:space="preserve">Institutional growth tracking  </w:t>
      </w:r>
    </w:p>
    <w:p>
      <w:pPr>
        <w:pStyle w:val="ListBullet"/>
      </w:pPr>
      <w:r>
        <w:t xml:space="preserve">Employer verification monitoring  </w:t>
      </w:r>
    </w:p>
    <w:p>
      <w:pPr>
        <w:pStyle w:val="ListBullet"/>
      </w:pPr>
      <w:r>
        <w:t xml:space="preserve">Cross-surface intelligence  </w:t>
      </w:r>
    </w:p>
    <w:p>
      <w:pPr>
        <w:pStyle w:val="ListBullet"/>
      </w:pPr>
      <w:r>
        <w:t xml:space="preserve">Geographic engagement analysis  </w:t>
      </w:r>
    </w:p>
    <w:p>
      <w:pPr>
        <w:pStyle w:val="ListBullet"/>
      </w:pPr>
      <w:r>
        <w:t xml:space="preserve">Brand legitimacy measurement  </w:t>
      </w:r>
    </w:p>
    <w:p>
      <w:pPr>
        <w:pStyle w:val="ListBullet"/>
      </w:pPr>
      <w:r>
        <w:t xml:space="preserve">Fraud pattern identification  </w:t>
      </w:r>
    </w:p>
    <w:p>
      <w:r>
        <w:t>---</w:t>
      </w:r>
    </w:p>
    <w:p>
      <w:r>
        <w:t>**Institutional Analytics Strategy v1.0 — LOCKED**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