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AI University – Governance Index v1.0</w:t>
      </w:r>
    </w:p>
    <w:p>
      <w:r>
        <w:t>Date Locked: 25 Feb 2026</w:t>
      </w:r>
    </w:p>
    <w:p>
      <w:r>
        <w:t>Status: Master Registry</w:t>
      </w:r>
    </w:p>
    <w:p>
      <w:pPr>
        <w:pStyle w:val="Heading2"/>
      </w:pPr>
      <w:r>
        <w:t>Governance Artifacts</w:t>
      </w:r>
    </w:p>
    <w:p>
      <w:r>
        <w:t>1. analytics-governance-v1.md</w:t>
      </w:r>
    </w:p>
    <w:p>
      <w:r>
        <w:t>2. event-taxonomy-v1.md</w:t>
      </w:r>
    </w:p>
    <w:p>
      <w:r>
        <w:t>3. release-protocol.md</w:t>
      </w:r>
    </w:p>
    <w:p>
      <w:r>
        <w:t>4. surface-registry-v1.md</w:t>
      </w:r>
    </w:p>
    <w:p>
      <w:pPr>
        <w:pStyle w:val="Heading2"/>
      </w:pPr>
      <w:r>
        <w:t>Architecture Locks</w:t>
      </w:r>
    </w:p>
    <w:p>
      <w:r>
        <w:t>- Single GA4 Property Strategy</w:t>
      </w:r>
    </w:p>
    <w:p>
      <w:r>
        <w:t>- Centralized Analytics Engine</w:t>
      </w:r>
    </w:p>
    <w:p>
      <w:r>
        <w:t>- Custom Dimensions Registry</w:t>
      </w:r>
    </w:p>
    <w:p>
      <w:r>
        <w:t>- Full-File Replacement Rule</w:t>
      </w:r>
    </w:p>
    <w:p>
      <w:pPr>
        <w:pStyle w:val="Heading2"/>
      </w:pPr>
      <w:r>
        <w:t>Revision Policy</w:t>
      </w:r>
    </w:p>
    <w:p>
      <w:r>
        <w:t>All updates require version increment (v2.0, v3.0, etc.)</w:t>
      </w:r>
    </w:p>
    <w:p>
      <w:r>
        <w:t>Partial edits prohibited.</w:t>
      </w:r>
    </w:p>
    <w:p>
      <w:r>
        <w:t>Governance log entry mandatory.</w:t>
      </w:r>
    </w:p>
    <w:p>
      <w:r>
        <w:t>Cross-surface validation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