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GOVERNANCE CLOSURE NOTE — LEARNING PORTAL SCOPING</w:t>
      </w:r>
    </w:p>
    <w:p>
      <w:r>
        <w:t xml:space="preserve">Status: CLOSED · GOVERNANCE CONFIRMED  </w:t>
      </w:r>
    </w:p>
    <w:p>
      <w:r>
        <w:t xml:space="preserve">Date: 10 Feb 2026  </w:t>
      </w:r>
    </w:p>
    <w:p>
      <w:r>
        <w:t>Authority: System Context Lock — AgileAI Foundation &amp; Agile AI University</w:t>
      </w:r>
    </w:p>
    <w:p/>
    <w:p>
      <w:r>
        <w:t>## CLOSURE SUMMARY</w:t>
      </w:r>
    </w:p>
    <w:p>
      <w:r>
        <w:t>The concept of a unified “Learning Portal” is formally closed and retired.</w:t>
      </w:r>
    </w:p>
    <w:p/>
    <w:p>
      <w:r>
        <w:t>The system now recognizes and enforces two distinct, non-overlapping surfaces:</w:t>
      </w:r>
    </w:p>
    <w:p/>
    <w:p>
      <w:r>
        <w:t xml:space="preserve">1. Student &amp; Executive Portal (public-portal/)  </w:t>
      </w:r>
    </w:p>
    <w:p>
      <w:r>
        <w:t>— Institutional access, identity, entitlement, credentials, and Executive Insight.</w:t>
      </w:r>
    </w:p>
    <w:p/>
    <w:p>
      <w:r>
        <w:t xml:space="preserve">2. Learning Content Surface (learning.agileai.university, hosted via docs/)  </w:t>
      </w:r>
    </w:p>
    <w:p>
      <w:r>
        <w:t>— Static learning materials, reference content, and reading artifacts.</w:t>
      </w:r>
    </w:p>
    <w:p/>
    <w:p>
      <w:r>
        <w:t>There is no combined or hybrid portal in architecture, governance, or execution.</w:t>
      </w:r>
    </w:p>
    <w:p/>
    <w:p>
      <w:r>
        <w:t>## GOVERNANCE BASIS</w:t>
      </w:r>
    </w:p>
    <w:p>
      <w:r>
        <w:t>This closure is enforced by:</w:t>
      </w:r>
    </w:p>
    <w:p>
      <w:r>
        <w:t>- The System Context Lock</w:t>
      </w:r>
    </w:p>
    <w:p>
      <w:r>
        <w:t>- The governance record PORTAL-VS-LEARNING-SURFACE-BOUNDARY</w:t>
      </w:r>
    </w:p>
    <w:p/>
    <w:p>
      <w:r>
        <w:t>This note serves as the formal scoping closure to prevent ambiguity or future reinterpretation.</w:t>
      </w:r>
    </w:p>
    <w:p/>
    <w:p>
      <w:r>
        <w:t>## TERMINOLOGY ENFORCEMENT</w:t>
      </w:r>
    </w:p>
    <w:p>
      <w:r>
        <w:t>Effective immediately:</w:t>
      </w:r>
    </w:p>
    <w:p>
      <w:r>
        <w:t>- “Learning Portal” — deprecated, must not be used</w:t>
      </w:r>
    </w:p>
    <w:p>
      <w:r>
        <w:t>- “Student &amp; Executive Portal”</w:t>
      </w:r>
    </w:p>
    <w:p>
      <w:r>
        <w:t>- “Learning Content Surface”</w:t>
      </w:r>
    </w:p>
    <w:p/>
    <w:p>
      <w:r>
        <w:t>This applies across code, documentation, UI, and communication.</w:t>
      </w:r>
    </w:p>
    <w:p/>
    <w:p>
      <w:r>
        <w:t>## EXECUTION STATUS</w:t>
      </w:r>
    </w:p>
    <w:p>
      <w:r>
        <w:t xml:space="preserve">Scoping is final and closed.  </w:t>
      </w:r>
    </w:p>
    <w:p>
      <w:r>
        <w:t>Execution may proceed only within the defined surface boundaries.</w:t>
      </w:r>
    </w:p>
    <w:p/>
    <w:p>
      <w:r>
        <w:t>CLOSURE STATE: LOCKED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