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r>
        <w:rPr>
          <w:rFonts w:ascii="Calibri" w:cs="Calibri" w:eastAsia="Calibri" w:hAnsi="Calibri"/>
        </w:rPr>
        <w:t xml:space="preserve"/>
      </w:r>
    </w:p>
    <w:p>
      <w:pPr>
        <w:spacing w:after="60"/>
      </w:pPr>
      <w:r>
        <w:rPr>
          <w:rFonts w:ascii="Calibri" w:cs="Calibri" w:eastAsia="Calibri" w:hAnsi="Calibri"/>
          <w:b/>
          <w:bCs/>
          <w:color w:val="1F2A44"/>
          <w:sz w:val="56"/>
          <w:szCs w:val="56"/>
        </w:rPr>
        <w:t xml:space="preserve">ANTRIQUE WEB STUDIO</w:t>
      </w:r>
    </w:p>
    <w:p>
      <w:pPr>
        <w:pBdr>
          <w:bottom w:val="single" w:color="2E6E8E" w:sz="18"/>
        </w:pBdr>
        <w:spacing w:after="200"/>
      </w:pPr>
      <w:r>
        <w:rPr>
          <w:rFonts w:ascii="Calibri" w:cs="Calibri" w:eastAsia="Calibri" w:hAnsi="Calibri"/>
        </w:rPr>
        <w:t xml:space="preserve"/>
      </w:r>
    </w:p>
    <w:p>
      <w:pPr>
        <w:spacing w:after="40"/>
      </w:pPr>
      <w:r>
        <w:rPr>
          <w:rFonts w:ascii="Calibri" w:cs="Calibri" w:eastAsia="Calibri" w:hAnsi="Calibri"/>
          <w:color w:val="2E6E8E"/>
          <w:sz w:val="36"/>
          <w:szCs w:val="36"/>
        </w:rPr>
        <w:t xml:space="preserve">Master Product Specification</w:t>
      </w:r>
    </w:p>
    <w:p>
      <w:pPr>
        <w:spacing w:after="600"/>
      </w:pPr>
      <w:r>
        <w:rPr>
          <w:rFonts w:ascii="Calibri" w:cs="Calibri" w:eastAsia="Calibri" w:hAnsi="Calibri"/>
          <w:i/>
          <w:iCs/>
          <w:color w:val="6B7280"/>
          <w:sz w:val="20"/>
          <w:szCs w:val="20"/>
        </w:rPr>
        <w:t xml:space="preserve">Discovery · IA · Feature Design · Design System · UX · Architecture</w:t>
      </w:r>
    </w:p>
    <w:p>
      <w:pPr>
        <w:spacing w:after="40"/>
      </w:pPr>
      <w:r>
        <w:rPr>
          <w:rFonts w:ascii="Calibri" w:cs="Calibri" w:eastAsia="Calibri" w:hAnsi="Calibri"/>
          <w:b/>
          <w:bCs/>
          <w:color w:val="1F2A44"/>
          <w:sz w:val="20"/>
          <w:szCs w:val="20"/>
        </w:rPr>
        <w:t xml:space="preserve">Document Status:  </w:t>
      </w:r>
      <w:r>
        <w:rPr>
          <w:rFonts w:ascii="Calibri" w:cs="Calibri" w:eastAsia="Calibri" w:hAnsi="Calibri"/>
          <w:sz w:val="20"/>
          <w:szCs w:val="20"/>
        </w:rPr>
        <w:t xml:space="preserve">Consolidated Draft v1.0</w:t>
      </w:r>
    </w:p>
    <w:p>
      <w:pPr>
        <w:spacing w:after="40"/>
      </w:pPr>
      <w:r>
        <w:rPr>
          <w:rFonts w:ascii="Calibri" w:cs="Calibri" w:eastAsia="Calibri" w:hAnsi="Calibri"/>
          <w:b/>
          <w:bCs/>
          <w:color w:val="1F2A44"/>
          <w:sz w:val="20"/>
          <w:szCs w:val="20"/>
        </w:rPr>
        <w:t xml:space="preserve">Owner:  </w:t>
      </w:r>
      <w:r>
        <w:rPr>
          <w:rFonts w:ascii="Calibri" w:cs="Calibri" w:eastAsia="Calibri" w:hAnsi="Calibri"/>
          <w:sz w:val="20"/>
          <w:szCs w:val="20"/>
        </w:rPr>
        <w:t xml:space="preserve">Product &amp; Architecture</w:t>
      </w:r>
    </w:p>
    <w:p>
      <w:pPr>
        <w:spacing w:after="40"/>
      </w:pPr>
      <w:r>
        <w:rPr>
          <w:rFonts w:ascii="Calibri" w:cs="Calibri" w:eastAsia="Calibri" w:hAnsi="Calibri"/>
          <w:b/>
          <w:bCs/>
          <w:color w:val="1F2A44"/>
          <w:sz w:val="20"/>
          <w:szCs w:val="20"/>
        </w:rPr>
        <w:t xml:space="preserve">Date:  </w:t>
      </w:r>
      <w:r>
        <w:rPr>
          <w:rFonts w:ascii="Calibri" w:cs="Calibri" w:eastAsia="Calibri" w:hAnsi="Calibri"/>
          <w:sz w:val="20"/>
          <w:szCs w:val="20"/>
        </w:rPr>
        <w:t xml:space="preserve">July 14, 2026</w:t>
      </w:r>
    </w:p>
    <w:p>
      <w:r>
        <w:br w:type="page"/>
      </w:r>
    </w:p>
    <w:p>
      <w:pPr>
        <w:sectPr>
          <w:pgSz w:w="12240" w:h="15840" w:orient="portrait"/>
          <w:pgMar w:top="1440" w:right="1440" w:bottom="1440" w:left="1440" w:header="708" w:footer="708" w:gutter="0"/>
          <w:pgNumType/>
          <w:docGrid w:linePitch="360"/>
        </w:sectPr>
      </w:pPr>
    </w:p>
    <w:p>
      <w:pPr>
        <w:spacing w:after="160"/>
      </w:pPr>
      <w:r>
        <w:rPr>
          <w:rFonts w:ascii="Calibri" w:cs="Calibri" w:eastAsia="Calibri" w:hAnsi="Calibri"/>
          <w:b/>
          <w:bCs/>
          <w:color w:val="1F2A44"/>
          <w:sz w:val="30"/>
          <w:szCs w:val="30"/>
        </w:rPr>
        <w:t xml:space="preserve">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spacing w:after="140" w:before="320"/>
      </w:pPr>
      <w:r>
        <w:rPr>
          <w:rFonts w:ascii="Calibri" w:cs="Calibri" w:eastAsia="Calibri" w:hAnsi="Calibri"/>
          <w:b/>
          <w:bCs/>
          <w:color w:val="1F2A44"/>
          <w:sz w:val="30"/>
          <w:szCs w:val="30"/>
        </w:rPr>
        <w:t xml:space="preserve">How to Read This Document</w:t>
      </w:r>
    </w:p>
    <w:p>
      <w:pPr>
        <w:spacing w:after="120" w:line="276"/>
      </w:pPr>
      <w:r>
        <w:rPr>
          <w:rFonts w:ascii="Calibri" w:cs="Calibri" w:eastAsia="Calibri" w:hAnsi="Calibri"/>
          <w:color w:val="222222"/>
          <w:sz w:val="21"/>
          <w:szCs w:val="21"/>
        </w:rPr>
        <w:t xml:space="preserve">This master specification consolidates six phases of work into one reference. Each phase was produced and reviewed in sequence; this document is the aggregated, canonical version. Assumptions carried through the work are marked [ASSUMPTION] and remain open for confirmation.</w:t>
      </w:r>
    </w:p>
    <w:tbl>
      <w:tblPr>
        <w:tblW w:type="dxa" w:w="9360"/>
        <w:tblBorders>
          <w:top w:val="single" w:color="2E6E8E" w:sz="4"/>
          <w:left w:val="single" w:color="2E6E8E" w:sz="24"/>
          <w:bottom w:val="single" w:color="2E6E8E" w:sz="4"/>
          <w:right w:val="single" w:color="2E6E8E" w:sz="4"/>
          <w:insideH w:val="none"/>
          <w:insideV w:val="none"/>
        </w:tblBorders>
      </w:tblPr>
      <w:tblGrid>
        <w:gridCol w:w="9360"/>
      </w:tblGrid>
      <w:tr>
        <w:tc>
          <w:tcPr>
            <w:tcW w:type="dxa" w:w="9360"/>
            <w:shd w:fill="EDF2F5" w:color="auto" w:val="clear"/>
            <w:tcMar>
              <w:top w:type="dxa" w:w="120"/>
              <w:left w:type="dxa" w:w="160"/>
              <w:bottom w:type="dxa" w:w="120"/>
              <w:right w:type="dxa" w:w="160"/>
            </w:tcMar>
          </w:tcPr>
          <w:p>
            <w:pPr>
              <w:spacing w:after="60"/>
            </w:pPr>
            <w:r>
              <w:rPr>
                <w:rFonts w:ascii="Calibri" w:cs="Calibri" w:eastAsia="Calibri" w:hAnsi="Calibri"/>
                <w:b/>
                <w:bCs/>
                <w:color w:val="1F2A44"/>
                <w:sz w:val="20"/>
                <w:szCs w:val="20"/>
              </w:rPr>
              <w:t xml:space="preserve">Open decisions carried across all phases</w:t>
            </w:r>
          </w:p>
          <w:p>
            <w:pPr>
              <w:spacing w:after="40"/>
            </w:pPr>
            <w:r>
              <w:rPr>
                <w:rFonts w:ascii="Calibri" w:cs="Calibri" w:eastAsia="Calibri" w:hAnsi="Calibri"/>
                <w:color w:val="333333"/>
                <w:sz w:val="19"/>
                <w:szCs w:val="19"/>
              </w:rPr>
              <w:t xml:space="preserve">• Business model: hybrid services agency + delivery platform + client portal. Confirm before build.</w:t>
            </w:r>
          </w:p>
          <w:p>
            <w:pPr>
              <w:spacing w:after="40"/>
            </w:pPr>
            <w:r>
              <w:rPr>
                <w:rFonts w:ascii="Calibri" w:cs="Calibri" w:eastAsia="Calibri" w:hAnsi="Calibri"/>
                <w:color w:val="333333"/>
                <w:sz w:val="19"/>
                <w:szCs w:val="19"/>
              </w:rPr>
              <w:t xml:space="preserve">• Geography &amp; compliance: India-first launch (DPDP), international expansion later.</w:t>
            </w:r>
          </w:p>
          <w:p>
            <w:pPr>
              <w:spacing w:after="40"/>
            </w:pPr>
            <w:r>
              <w:rPr>
                <w:rFonts w:ascii="Calibri" w:cs="Calibri" w:eastAsia="Calibri" w:hAnsi="Calibri"/>
                <w:color w:val="333333"/>
                <w:sz w:val="19"/>
                <w:szCs w:val="19"/>
              </w:rPr>
              <w:t xml:space="preserve">• Beachhead vertical: recommended to narrow the 15-service / 11-industry scope to one vertical first.</w:t>
            </w:r>
          </w:p>
          <w:p>
            <w:pPr>
              <w:spacing w:after="40"/>
            </w:pPr>
            <w:r>
              <w:rPr>
                <w:rFonts w:ascii="Calibri" w:cs="Calibri" w:eastAsia="Calibri" w:hAnsi="Calibri"/>
                <w:color w:val="333333"/>
                <w:sz w:val="19"/>
                <w:szCs w:val="19"/>
              </w:rPr>
              <w:t xml:space="preserve">• Named technologies are defaults; the stated category is the real requirement.</w:t>
            </w:r>
          </w:p>
        </w:tc>
      </w:tr>
    </w:tbl>
    <w:p>
      <w:pPr>
        <w:pBdr>
          <w:bottom w:val="single" w:color="C9D2D9" w:sz="6"/>
        </w:pBdr>
        <w:spacing w:after="120"/>
      </w:pPr>
      <w:r>
        <w:rPr>
          <w:rFonts w:ascii="Calibri" w:cs="Calibri" w:eastAsia="Calibri" w:hAnsi="Calibri"/>
        </w:rPr>
        <w:t xml:space="preserve"/>
      </w:r>
    </w:p>
    <w:p>
      <w:pPr>
        <w:pStyle w:val="Heading1"/>
        <w:spacing w:after="140" w:before="320"/>
      </w:pPr>
      <w:r>
        <w:rPr>
          <w:rFonts w:ascii="Calibri" w:cs="Calibri" w:eastAsia="Calibri" w:hAnsi="Calibri"/>
          <w:b/>
          <w:bCs/>
          <w:color w:val="1F2A44"/>
          <w:sz w:val="30"/>
          <w:szCs w:val="30"/>
        </w:rPr>
        <w:t xml:space="preserve">1. Product Discovery</w:t>
      </w:r>
    </w:p>
    <w:p>
      <w:pPr>
        <w:pStyle w:val="Heading2"/>
        <w:spacing w:after="100" w:before="220"/>
      </w:pPr>
      <w:r>
        <w:rPr>
          <w:rFonts w:ascii="Calibri" w:cs="Calibri" w:eastAsia="Calibri" w:hAnsi="Calibri"/>
          <w:b/>
          <w:bCs/>
          <w:color w:val="2E6E8E"/>
          <w:sz w:val="24"/>
          <w:szCs w:val="24"/>
        </w:rPr>
        <w:t xml:space="preserve">Vision &amp; Mission</w:t>
      </w:r>
    </w:p>
    <w:p>
      <w:pPr>
        <w:spacing w:after="120" w:line="276"/>
      </w:pPr>
      <w:r>
        <w:rPr>
          <w:rFonts w:ascii="Calibri" w:cs="Calibri" w:eastAsia="Calibri" w:hAnsi="Calibri"/>
          <w:color w:val="222222"/>
          <w:sz w:val="21"/>
          <w:szCs w:val="21"/>
        </w:rPr>
        <w:t xml:space="preserve">Vision: to become the most trusted end-to-end web development partner for organizations across sectors — platform-led, not project-led. Mission: deliver secure, scalable, accessible web solutions by combining a productized delivery engine with expert human oversight, lowering time-to-launch and total cost of ownership.</w:t>
      </w:r>
    </w:p>
    <w:p>
      <w:pPr>
        <w:pStyle w:val="Heading2"/>
        <w:spacing w:after="100" w:before="220"/>
      </w:pPr>
      <w:r>
        <w:rPr>
          <w:rFonts w:ascii="Calibri" w:cs="Calibri" w:eastAsia="Calibri" w:hAnsi="Calibri"/>
          <w:b/>
          <w:bCs/>
          <w:color w:val="2E6E8E"/>
          <w:sz w:val="24"/>
          <w:szCs w:val="24"/>
        </w:rPr>
        <w:t xml:space="preserve">Business Goals</w:t>
      </w:r>
    </w:p>
    <w:tbl>
      <w:tblPr>
        <w:tblW w:type="dxa" w:w="9360"/>
        <w:tblBorders>
          <w:top w:val="single" w:color="C9D2D9" w:sz="4"/>
          <w:left w:val="single" w:color="C9D2D9" w:sz="4"/>
          <w:bottom w:val="single" w:color="C9D2D9" w:sz="4"/>
          <w:right w:val="single" w:color="C9D2D9" w:sz="4"/>
          <w:insideH w:val="single" w:color="C9D2D9" w:sz="4"/>
          <w:insideV w:val="single" w:color="C9D2D9" w:sz="4"/>
        </w:tblBorders>
      </w:tblPr>
      <w:tblGrid>
        <w:gridCol w:w="1500"/>
        <w:gridCol w:w="3660"/>
        <w:gridCol w:w="4200"/>
      </w:tblGrid>
      <w:tr>
        <w:trPr>
          <w:tblHeader/>
        </w:trPr>
        <w:tc>
          <w:tcPr>
            <w:tcW w:type="dxa" w:w="1500"/>
            <w:shd w:fill="1F2A44" w:color="auto" w:val="clear"/>
            <w:tcMar>
              <w:top w:type="dxa" w:w="50"/>
              <w:left w:type="dxa" w:w="90"/>
              <w:bottom w:type="dxa" w:w="50"/>
              <w:right w:type="dxa" w:w="90"/>
            </w:tcMar>
          </w:tcPr>
          <w:p>
            <w:pPr>
              <w:spacing w:after="20" w:before="20"/>
            </w:pPr>
            <w:r>
              <w:rPr>
                <w:rFonts w:ascii="Calibri" w:cs="Calibri" w:eastAsia="Calibri" w:hAnsi="Calibri"/>
                <w:b/>
                <w:bCs/>
                <w:color w:val="FFFFFF"/>
                <w:sz w:val="18"/>
                <w:szCs w:val="18"/>
              </w:rPr>
              <w:t xml:space="preserve">Horizon</w:t>
            </w:r>
          </w:p>
        </w:tc>
        <w:tc>
          <w:tcPr>
            <w:tcW w:type="dxa" w:w="3660"/>
            <w:shd w:fill="1F2A44" w:color="auto" w:val="clear"/>
            <w:tcMar>
              <w:top w:type="dxa" w:w="50"/>
              <w:left w:type="dxa" w:w="90"/>
              <w:bottom w:type="dxa" w:w="50"/>
              <w:right w:type="dxa" w:w="90"/>
            </w:tcMar>
          </w:tcPr>
          <w:p>
            <w:pPr>
              <w:spacing w:after="20" w:before="20"/>
            </w:pPr>
            <w:r>
              <w:rPr>
                <w:rFonts w:ascii="Calibri" w:cs="Calibri" w:eastAsia="Calibri" w:hAnsi="Calibri"/>
                <w:b/>
                <w:bCs/>
                <w:color w:val="FFFFFF"/>
                <w:sz w:val="18"/>
                <w:szCs w:val="18"/>
              </w:rPr>
              <w:t xml:space="preserve">Goal</w:t>
            </w:r>
          </w:p>
        </w:tc>
        <w:tc>
          <w:tcPr>
            <w:tcW w:type="dxa" w:w="4200"/>
            <w:shd w:fill="1F2A44" w:color="auto" w:val="clear"/>
            <w:tcMar>
              <w:top w:type="dxa" w:w="50"/>
              <w:left w:type="dxa" w:w="90"/>
              <w:bottom w:type="dxa" w:w="50"/>
              <w:right w:type="dxa" w:w="90"/>
            </w:tcMar>
          </w:tcPr>
          <w:p>
            <w:pPr>
              <w:spacing w:after="20" w:before="20"/>
            </w:pPr>
            <w:r>
              <w:rPr>
                <w:rFonts w:ascii="Calibri" w:cs="Calibri" w:eastAsia="Calibri" w:hAnsi="Calibri"/>
                <w:b/>
                <w:bCs/>
                <w:color w:val="FFFFFF"/>
                <w:sz w:val="18"/>
                <w:szCs w:val="18"/>
              </w:rPr>
              <w:t xml:space="preserve">Indicative Metric</w:t>
            </w:r>
          </w:p>
        </w:tc>
      </w:tr>
      <w:tr>
        <w:tc>
          <w:tcPr>
            <w:tcW w:type="dxa" w:w="1500"/>
            <w:tcMar>
              <w:top w:type="dxa" w:w="50"/>
              <w:left w:type="dxa" w:w="90"/>
              <w:bottom w:type="dxa" w:w="50"/>
              <w:right w:type="dxa" w:w="90"/>
            </w:tcMar>
          </w:tcPr>
          <w:p>
            <w:pPr>
              <w:spacing w:after="20" w:before="20"/>
            </w:pPr>
            <w:r>
              <w:rPr>
                <w:rFonts w:ascii="Calibri" w:cs="Calibri" w:eastAsia="Calibri" w:hAnsi="Calibri"/>
                <w:color w:val="222222"/>
                <w:sz w:val="18"/>
                <w:szCs w:val="18"/>
              </w:rPr>
              <w:t xml:space="preserve">0–6mo</w:t>
            </w:r>
          </w:p>
        </w:tc>
        <w:tc>
          <w:tcPr>
            <w:tcW w:type="dxa" w:w="3660"/>
            <w:tcMar>
              <w:top w:type="dxa" w:w="50"/>
              <w:left w:type="dxa" w:w="90"/>
              <w:bottom w:type="dxa" w:w="50"/>
              <w:right w:type="dxa" w:w="90"/>
            </w:tcMar>
          </w:tcPr>
          <w:p>
            <w:pPr>
              <w:spacing w:after="20" w:before="20"/>
            </w:pPr>
            <w:r>
              <w:rPr>
                <w:rFonts w:ascii="Calibri" w:cs="Calibri" w:eastAsia="Calibri" w:hAnsi="Calibri"/>
                <w:color w:val="222222"/>
                <w:sz w:val="18"/>
                <w:szCs w:val="18"/>
              </w:rPr>
              <w:t xml:space="preserve">Market presence &amp; lead pipeline</w:t>
            </w:r>
          </w:p>
        </w:tc>
        <w:tc>
          <w:tcPr>
            <w:tcW w:type="dxa" w:w="4200"/>
            <w:tcMar>
              <w:top w:type="dxa" w:w="50"/>
              <w:left w:type="dxa" w:w="90"/>
              <w:bottom w:type="dxa" w:w="50"/>
              <w:right w:type="dxa" w:w="90"/>
            </w:tcMar>
          </w:tcPr>
          <w:p>
            <w:pPr>
              <w:spacing w:after="20" w:before="20"/>
            </w:pPr>
            <w:r>
              <w:rPr>
                <w:rFonts w:ascii="Calibri" w:cs="Calibri" w:eastAsia="Calibri" w:hAnsi="Calibri"/>
                <w:color w:val="222222"/>
                <w:sz w:val="18"/>
                <w:szCs w:val="18"/>
              </w:rPr>
              <w:t xml:space="preserve">50+ qualified leads/month; portal MVP live</w:t>
            </w:r>
          </w:p>
        </w:tc>
      </w:tr>
      <w:tr>
        <w:tc>
          <w:tcPr>
            <w:tcW w:type="dxa" w:w="1500"/>
            <w:shd w:fill="EDF2F5" w:color="auto" w:val="clear"/>
            <w:tcMar>
              <w:top w:type="dxa" w:w="50"/>
              <w:left w:type="dxa" w:w="90"/>
              <w:bottom w:type="dxa" w:w="50"/>
              <w:right w:type="dxa" w:w="90"/>
            </w:tcMar>
          </w:tcPr>
          <w:p>
            <w:pPr>
              <w:spacing w:after="20" w:before="20"/>
            </w:pPr>
            <w:r>
              <w:rPr>
                <w:rFonts w:ascii="Calibri" w:cs="Calibri" w:eastAsia="Calibri" w:hAnsi="Calibri"/>
                <w:color w:val="222222"/>
                <w:sz w:val="18"/>
                <w:szCs w:val="18"/>
              </w:rPr>
              <w:t xml:space="preserve">6–12mo</w:t>
            </w:r>
          </w:p>
        </w:tc>
        <w:tc>
          <w:tcPr>
            <w:tcW w:type="dxa" w:w="3660"/>
            <w:shd w:fill="EDF2F5" w:color="auto" w:val="clear"/>
            <w:tcMar>
              <w:top w:type="dxa" w:w="50"/>
              <w:left w:type="dxa" w:w="90"/>
              <w:bottom w:type="dxa" w:w="50"/>
              <w:right w:type="dxa" w:w="90"/>
            </w:tcMar>
          </w:tcPr>
          <w:p>
            <w:pPr>
              <w:spacing w:after="20" w:before="20"/>
            </w:pPr>
            <w:r>
              <w:rPr>
                <w:rFonts w:ascii="Calibri" w:cs="Calibri" w:eastAsia="Calibri" w:hAnsi="Calibri"/>
                <w:color w:val="222222"/>
                <w:sz w:val="18"/>
                <w:szCs w:val="18"/>
              </w:rPr>
              <w:t xml:space="preserve">Convert to recurring revenue</w:t>
            </w:r>
          </w:p>
        </w:tc>
        <w:tc>
          <w:tcPr>
            <w:tcW w:type="dxa" w:w="4200"/>
            <w:shd w:fill="EDF2F5" w:color="auto" w:val="clear"/>
            <w:tcMar>
              <w:top w:type="dxa" w:w="50"/>
              <w:left w:type="dxa" w:w="90"/>
              <w:bottom w:type="dxa" w:w="50"/>
              <w:right w:type="dxa" w:w="90"/>
            </w:tcMar>
          </w:tcPr>
          <w:p>
            <w:pPr>
              <w:spacing w:after="20" w:before="20"/>
            </w:pPr>
            <w:r>
              <w:rPr>
                <w:rFonts w:ascii="Calibri" w:cs="Calibri" w:eastAsia="Calibri" w:hAnsi="Calibri"/>
                <w:color w:val="222222"/>
                <w:sz w:val="18"/>
                <w:szCs w:val="18"/>
              </w:rPr>
              <w:t xml:space="preserve">30% revenue from maintenance/SEO retainers</w:t>
            </w:r>
          </w:p>
        </w:tc>
      </w:tr>
      <w:tr>
        <w:tc>
          <w:tcPr>
            <w:tcW w:type="dxa" w:w="1500"/>
            <w:tcMar>
              <w:top w:type="dxa" w:w="50"/>
              <w:left w:type="dxa" w:w="90"/>
              <w:bottom w:type="dxa" w:w="50"/>
              <w:right w:type="dxa" w:w="90"/>
            </w:tcMar>
          </w:tcPr>
          <w:p>
            <w:pPr>
              <w:spacing w:after="20" w:before="20"/>
            </w:pPr>
            <w:r>
              <w:rPr>
                <w:rFonts w:ascii="Calibri" w:cs="Calibri" w:eastAsia="Calibri" w:hAnsi="Calibri"/>
                <w:color w:val="222222"/>
                <w:sz w:val="18"/>
                <w:szCs w:val="18"/>
              </w:rPr>
              <w:t xml:space="preserve">12–24mo</w:t>
            </w:r>
          </w:p>
        </w:tc>
        <w:tc>
          <w:tcPr>
            <w:tcW w:type="dxa" w:w="3660"/>
            <w:tcMar>
              <w:top w:type="dxa" w:w="50"/>
              <w:left w:type="dxa" w:w="90"/>
              <w:bottom w:type="dxa" w:w="50"/>
              <w:right w:type="dxa" w:w="90"/>
            </w:tcMar>
          </w:tcPr>
          <w:p>
            <w:pPr>
              <w:spacing w:after="20" w:before="20"/>
            </w:pPr>
            <w:r>
              <w:rPr>
                <w:rFonts w:ascii="Calibri" w:cs="Calibri" w:eastAsia="Calibri" w:hAnsi="Calibri"/>
                <w:color w:val="222222"/>
                <w:sz w:val="18"/>
                <w:szCs w:val="18"/>
              </w:rPr>
              <w:t xml:space="preserve">Productization</w:t>
            </w:r>
          </w:p>
        </w:tc>
        <w:tc>
          <w:tcPr>
            <w:tcW w:type="dxa" w:w="4200"/>
            <w:tcMar>
              <w:top w:type="dxa" w:w="50"/>
              <w:left w:type="dxa" w:w="90"/>
              <w:bottom w:type="dxa" w:w="50"/>
              <w:right w:type="dxa" w:w="90"/>
            </w:tcMar>
          </w:tcPr>
          <w:p>
            <w:pPr>
              <w:spacing w:after="20" w:before="20"/>
            </w:pPr>
            <w:r>
              <w:rPr>
                <w:rFonts w:ascii="Calibri" w:cs="Calibri" w:eastAsia="Calibri" w:hAnsi="Calibri"/>
                <w:color w:val="222222"/>
                <w:sz w:val="18"/>
                <w:szCs w:val="18"/>
              </w:rPr>
              <w:t xml:space="preserve">Self-serve tier contributing measurable revenue</w:t>
            </w:r>
          </w:p>
        </w:tc>
      </w:tr>
    </w:tbl>
    <w:p>
      <w:pPr>
        <w:spacing w:after="120" w:line="276"/>
      </w:pPr>
      <w:r>
        <w:rPr>
          <w:rFonts w:ascii="Calibri" w:cs="Calibri" w:eastAsia="Calibri" w:hAnsi="Calibri"/>
          <w:b/>
          <w:bCs/>
          <w:color w:val="1F2A44"/>
          <w:sz w:val="21"/>
          <w:szCs w:val="21"/>
        </w:rPr>
        <w:t xml:space="preserve">Strategic note: </w:t>
      </w:r>
      <w:r>
        <w:rPr>
          <w:rFonts w:ascii="Calibri" w:cs="Calibri" w:eastAsia="Calibri" w:hAnsi="Calibri"/>
          <w:sz w:val="21"/>
          <w:szCs w:val="21"/>
        </w:rPr>
        <w:t xml:space="preserve">recurring revenue is the enterprise-value driver; the recommended north-star is recurring-revenue mix, not project count.</w:t>
      </w:r>
    </w:p>
    <w:p>
      <w:pPr>
        <w:pStyle w:val="Heading2"/>
        <w:spacing w:after="100" w:before="220"/>
      </w:pPr>
      <w:r>
        <w:rPr>
          <w:rFonts w:ascii="Calibri" w:cs="Calibri" w:eastAsia="Calibri" w:hAnsi="Calibri"/>
          <w:b/>
          <w:bCs/>
          <w:color w:val="2E6E8E"/>
          <w:sz w:val="24"/>
          <w:szCs w:val="24"/>
        </w:rPr>
        <w:t xml:space="preserve">Personas, Journey &amp; Competitors</w:t>
      </w:r>
    </w:p>
    <w:p>
      <w:pPr>
        <w:spacing w:after="120" w:line="276"/>
      </w:pPr>
      <w:r>
        <w:rPr>
          <w:rFonts w:ascii="Calibri" w:cs="Calibri" w:eastAsia="Calibri" w:hAnsi="Calibri"/>
          <w:color w:val="222222"/>
          <w:sz w:val="21"/>
          <w:szCs w:val="21"/>
        </w:rPr>
        <w:t xml:space="preserve">Two persona sides: client-side (school admin, SME owner, startup founder, government procurement, hospital IT, enterprise marketing) and internal operators (PM, developer, sales, admin). The customer journey's two make-or-break moments are onboarding (requirement chaos) and the delivery silence gap — both solved by transparency, which is the platform's core value proposition. Against DIY builders, marketplaces, local agencies, and enterprise vendors, the wedge is platform-driven visibility plus productization.</w:t>
      </w:r>
    </w:p>
    <w:p>
      <w:pPr>
        <w:pStyle w:val="Heading2"/>
        <w:spacing w:after="100" w:before="220"/>
      </w:pPr>
      <w:r>
        <w:rPr>
          <w:rFonts w:ascii="Calibri" w:cs="Calibri" w:eastAsia="Calibri" w:hAnsi="Calibri"/>
          <w:b/>
          <w:bCs/>
          <w:color w:val="2E6E8E"/>
          <w:sz w:val="24"/>
          <w:szCs w:val="24"/>
        </w:rPr>
        <w:t xml:space="preserve">Top Risk</w:t>
      </w:r>
    </w:p>
    <w:p>
      <w:pPr>
        <w:spacing w:after="120" w:line="276"/>
      </w:pPr>
      <w:r>
        <w:rPr>
          <w:rFonts w:ascii="Calibri" w:cs="Calibri" w:eastAsia="Calibri" w:hAnsi="Calibri"/>
          <w:b/>
          <w:bCs/>
          <w:color w:val="1F2A44"/>
          <w:sz w:val="21"/>
          <w:szCs w:val="21"/>
        </w:rPr>
        <w:t xml:space="preserve">R1 — over-broad scope </w:t>
      </w:r>
      <w:r>
        <w:rPr>
          <w:rFonts w:ascii="Calibri" w:cs="Calibri" w:eastAsia="Calibri" w:hAnsi="Calibri"/>
          <w:sz w:val="21"/>
          <w:szCs w:val="21"/>
        </w:rPr>
        <w:t xml:space="preserve">(15 services × 11 verticals) dilutes brand and delivery quality. Mitigation: choose a beachhead vertical, phase the rest. This is the single most important strategic decision.</w:t>
      </w:r>
    </w:p>
    <w:p>
      <w:pPr>
        <w:pBdr>
          <w:bottom w:val="single" w:color="C9D2D9" w:sz="6"/>
        </w:pBdr>
        <w:spacing w:after="120"/>
      </w:pPr>
      <w:r>
        <w:rPr>
          <w:rFonts w:ascii="Calibri" w:cs="Calibri" w:eastAsia="Calibri" w:hAnsi="Calibri"/>
        </w:rPr>
        <w:t xml:space="preserve"/>
      </w:r>
    </w:p>
    <w:p>
      <w:pPr>
        <w:pStyle w:val="Heading1"/>
        <w:spacing w:after="140" w:before="320"/>
      </w:pPr>
      <w:r>
        <w:rPr>
          <w:rFonts w:ascii="Calibri" w:cs="Calibri" w:eastAsia="Calibri" w:hAnsi="Calibri"/>
          <w:b/>
          <w:bCs/>
          <w:color w:val="1F2A44"/>
          <w:sz w:val="30"/>
          <w:szCs w:val="30"/>
        </w:rPr>
        <w:t xml:space="preserve">2. Information Architecture</w:t>
      </w:r>
    </w:p>
    <w:p>
      <w:pPr>
        <w:spacing w:after="120" w:line="276"/>
      </w:pPr>
      <w:r>
        <w:rPr>
          <w:rFonts w:ascii="Calibri" w:cs="Calibri" w:eastAsia="Calibri" w:hAnsi="Calibri"/>
          <w:color w:val="222222"/>
          <w:sz w:val="21"/>
          <w:szCs w:val="21"/>
        </w:rPr>
        <w:t xml:space="preserve">Two-surface architecture: a public marketing site (SEO-driven, unauthenticated) and an authenticated client portal, with distinct navigation and footers. The 15 services and 10 industries are delivered through two reusable page templates rather than ~165 bespoke pages — the decision that makes the breadth maintainable.</w:t>
      </w:r>
    </w:p>
    <w:p>
      <w:pPr>
        <w:pStyle w:val="Heading2"/>
        <w:spacing w:after="100" w:before="220"/>
      </w:pPr>
      <w:r>
        <w:rPr>
          <w:rFonts w:ascii="Calibri" w:cs="Calibri" w:eastAsia="Calibri" w:hAnsi="Calibri"/>
          <w:b/>
          <w:bCs/>
          <w:color w:val="2E6E8E"/>
          <w:sz w:val="24"/>
          <w:szCs w:val="24"/>
        </w:rPr>
        <w:t xml:space="preserve">Navigation System</w:t>
      </w:r>
    </w:p>
    <w:p>
      <w:pPr>
        <w:pStyle w:val="ListParagraph"/>
        <w:numPr>
          <w:ilvl w:val="0"/>
          <w:numId w:val="2"/>
        </w:numPr>
        <w:spacing w:after="60" w:line="264"/>
      </w:pPr>
      <w:r>
        <w:rPr>
          <w:rFonts w:ascii="Calibri" w:cs="Calibri" w:eastAsia="Calibri" w:hAnsi="Calibri"/>
          <w:b/>
          <w:bCs/>
          <w:color w:val="1F2A44"/>
          <w:sz w:val="21"/>
          <w:szCs w:val="21"/>
        </w:rPr>
        <w:t xml:space="preserve">Header: </w:t>
      </w:r>
      <w:r>
        <w:rPr>
          <w:rFonts w:ascii="Calibri" w:cs="Calibri" w:eastAsia="Calibri" w:hAnsi="Calibri"/>
          <w:color w:val="222222"/>
          <w:sz w:val="21"/>
          <w:szCs w:val="21"/>
        </w:rPr>
        <w:t xml:space="preserve">Sticky header with logo, primary nav, utility (search, login), and a persistent “Get a Quote” CTA.</w:t>
      </w:r>
    </w:p>
    <w:p>
      <w:pPr>
        <w:pStyle w:val="ListParagraph"/>
        <w:numPr>
          <w:ilvl w:val="0"/>
          <w:numId w:val="2"/>
        </w:numPr>
        <w:spacing w:after="60" w:line="264"/>
      </w:pPr>
      <w:r>
        <w:rPr>
          <w:rFonts w:ascii="Calibri" w:cs="Calibri" w:eastAsia="Calibri" w:hAnsi="Calibri"/>
          <w:b/>
          <w:bCs/>
          <w:color w:val="1F2A44"/>
          <w:sz w:val="21"/>
          <w:szCs w:val="21"/>
        </w:rPr>
        <w:t xml:space="preserve">Mega menu: </w:t>
      </w:r>
      <w:r>
        <w:rPr>
          <w:rFonts w:ascii="Calibri" w:cs="Calibri" w:eastAsia="Calibri" w:hAnsi="Calibri"/>
          <w:color w:val="222222"/>
          <w:sz w:val="21"/>
          <w:szCs w:val="21"/>
        </w:rPr>
        <w:t xml:space="preserve">Services mega menu organized into 4 clusters (Web Dev, Commerce &amp; Platforms, Specialized Sites, Growth &amp; Support); Industries mega menu across 10 verticals.</w:t>
      </w:r>
    </w:p>
    <w:p>
      <w:pPr>
        <w:pStyle w:val="ListParagraph"/>
        <w:numPr>
          <w:ilvl w:val="0"/>
          <w:numId w:val="2"/>
        </w:numPr>
        <w:spacing w:after="60" w:line="264"/>
      </w:pPr>
      <w:r>
        <w:rPr>
          <w:rFonts w:ascii="Calibri" w:cs="Calibri" w:eastAsia="Calibri" w:hAnsi="Calibri"/>
          <w:b/>
          <w:bCs/>
          <w:color w:val="1F2A44"/>
          <w:sz w:val="21"/>
          <w:szCs w:val="21"/>
        </w:rPr>
        <w:t xml:space="preserve">Breadcrumbs: </w:t>
      </w:r>
      <w:r>
        <w:rPr>
          <w:rFonts w:ascii="Calibri" w:cs="Calibri" w:eastAsia="Calibri" w:hAnsi="Calibri"/>
          <w:color w:val="222222"/>
          <w:sz w:val="21"/>
          <w:szCs w:val="21"/>
        </w:rPr>
        <w:t xml:space="preserve">On all pages except Home and hubs, with schema.org BreadcrumbList markup.</w:t>
      </w:r>
    </w:p>
    <w:p>
      <w:pPr>
        <w:pStyle w:val="ListParagraph"/>
        <w:numPr>
          <w:ilvl w:val="0"/>
          <w:numId w:val="2"/>
        </w:numPr>
        <w:spacing w:after="60" w:line="264"/>
      </w:pPr>
      <w:r>
        <w:rPr>
          <w:rFonts w:ascii="Calibri" w:cs="Calibri" w:eastAsia="Calibri" w:hAnsi="Calibri"/>
          <w:b/>
          <w:bCs/>
          <w:color w:val="1F2A44"/>
          <w:sz w:val="21"/>
          <w:szCs w:val="21"/>
        </w:rPr>
        <w:t xml:space="preserve">Footer: </w:t>
      </w:r>
      <w:r>
        <w:rPr>
          <w:rFonts w:ascii="Calibri" w:cs="Calibri" w:eastAsia="Calibri" w:hAnsi="Calibri"/>
          <w:color w:val="222222"/>
          <w:sz w:val="21"/>
          <w:szCs w:val="21"/>
        </w:rPr>
        <w:t xml:space="preserve">Four-column fat footer + full-width CTA band + utility/legal bar.</w:t>
      </w:r>
    </w:p>
    <w:p>
      <w:pPr>
        <w:pStyle w:val="ListParagraph"/>
        <w:numPr>
          <w:ilvl w:val="0"/>
          <w:numId w:val="2"/>
        </w:numPr>
        <w:spacing w:after="60" w:line="264"/>
      </w:pPr>
      <w:r>
        <w:rPr>
          <w:rFonts w:ascii="Calibri" w:cs="Calibri" w:eastAsia="Calibri" w:hAnsi="Calibri"/>
          <w:b/>
          <w:bCs/>
          <w:color w:val="1F2A44"/>
          <w:sz w:val="21"/>
          <w:szCs w:val="21"/>
        </w:rPr>
        <w:t xml:space="preserve">Portal nav: </w:t>
      </w:r>
      <w:r>
        <w:rPr>
          <w:rFonts w:ascii="Calibri" w:cs="Calibri" w:eastAsia="Calibri" w:hAnsi="Calibri"/>
          <w:color w:val="222222"/>
          <w:sz w:val="21"/>
          <w:szCs w:val="21"/>
        </w:rPr>
        <w:t xml:space="preserve">Portal uses a left sidebar and minimal chrome — no mega menu, no marketing footer.</w:t>
      </w:r>
    </w:p>
    <w:p>
      <w:pPr>
        <w:pStyle w:val="Heading2"/>
        <w:spacing w:after="100" w:before="220"/>
      </w:pPr>
      <w:r>
        <w:rPr>
          <w:rFonts w:ascii="Calibri" w:cs="Calibri" w:eastAsia="Calibri" w:hAnsi="Calibri"/>
          <w:b/>
          <w:bCs/>
          <w:color w:val="2E6E8E"/>
          <w:sz w:val="24"/>
          <w:szCs w:val="24"/>
        </w:rPr>
        <w:t xml:space="preserve">CTA Strategy</w:t>
      </w:r>
    </w:p>
    <w:p>
      <w:pPr>
        <w:spacing w:after="120" w:line="276"/>
      </w:pPr>
      <w:r>
        <w:rPr>
          <w:rFonts w:ascii="Calibri" w:cs="Calibri" w:eastAsia="Calibri" w:hAnsi="Calibri"/>
          <w:color w:val="222222"/>
          <w:sz w:val="21"/>
          <w:szCs w:val="21"/>
        </w:rPr>
        <w:t xml:space="preserve">A layered model: Primary (Get a Quote) persistent in header, hero, and footer; Secondary (Book a Consultation); Tertiary (View Work / Download Guide); Micro (newsletter, chat). Every page ends in exactly one primary CTA block — no dead ends.</w:t>
      </w:r>
    </w:p>
    <w:p>
      <w:pPr>
        <w:pBdr>
          <w:bottom w:val="single" w:color="C9D2D9" w:sz="6"/>
        </w:pBdr>
        <w:spacing w:after="120"/>
      </w:pPr>
      <w:r>
        <w:rPr>
          <w:rFonts w:ascii="Calibri" w:cs="Calibri" w:eastAsia="Calibri" w:hAnsi="Calibri"/>
        </w:rPr>
        <w:t xml:space="preserve"/>
      </w:r>
    </w:p>
    <w:p>
      <w:pPr>
        <w:pStyle w:val="Heading1"/>
        <w:spacing w:after="140" w:before="320"/>
      </w:pPr>
      <w:r>
        <w:rPr>
          <w:rFonts w:ascii="Calibri" w:cs="Calibri" w:eastAsia="Calibri" w:hAnsi="Calibri"/>
          <w:b/>
          <w:bCs/>
          <w:color w:val="1F2A44"/>
          <w:sz w:val="30"/>
          <w:szCs w:val="30"/>
        </w:rPr>
        <w:t xml:space="preserve">3. Feature &amp; Page Design</w:t>
      </w:r>
    </w:p>
    <w:p>
      <w:pPr>
        <w:spacing w:after="120" w:line="276"/>
      </w:pPr>
      <w:r>
        <w:rPr>
          <w:rFonts w:ascii="Calibri" w:cs="Calibri" w:eastAsia="Calibri" w:hAnsi="Calibri"/>
          <w:color w:val="222222"/>
          <w:sz w:val="21"/>
          <w:szCs w:val="21"/>
        </w:rPr>
        <w:t xml:space="preserve">Every page was specified across 15 dimensions: purpose, business goal, components, sections, interactions, animations, validation, SEO, accessibility, responsive behavior, and the four state families (loading, empty, error, success). Cross-cutting standards — WCAG 2.1 AA baseline, mobile-first breakpoints, reduced-motion, and default state design — are stated once and inherited.</w:t>
      </w:r>
    </w:p>
    <w:p>
      <w:pPr>
        <w:pStyle w:val="Heading2"/>
        <w:spacing w:after="100" w:before="220"/>
      </w:pPr>
      <w:r>
        <w:rPr>
          <w:rFonts w:ascii="Calibri" w:cs="Calibri" w:eastAsia="Calibri" w:hAnsi="Calibri"/>
          <w:b/>
          <w:bCs/>
          <w:color w:val="2E6E8E"/>
          <w:sz w:val="24"/>
          <w:szCs w:val="24"/>
        </w:rPr>
        <w:t xml:space="preserve">The Quote Wizard (primary conversion)</w:t>
      </w:r>
    </w:p>
    <w:p>
      <w:pPr>
        <w:spacing w:after="120" w:line="276"/>
      </w:pPr>
      <w:r>
        <w:rPr>
          <w:rFonts w:ascii="Calibri" w:cs="Calibri" w:eastAsia="Calibri" w:hAnsi="Calibri"/>
          <w:color w:val="222222"/>
          <w:sz w:val="21"/>
          <w:szCs w:val="21"/>
        </w:rPr>
        <w:t xml:space="preserve">One question per screen with a visible progress indicator, pre-fill from the referring page, controlled inputs, contact details captured last, and a trust rail throughout. Per-step inline validation never loses entered data; submission is always user-initiated, never automated; failure preserves inputs and offers retry.</w:t>
      </w:r>
    </w:p>
    <w:p>
      <w:pPr>
        <w:pBdr>
          <w:bottom w:val="single" w:color="C9D2D9" w:sz="6"/>
        </w:pBdr>
        <w:spacing w:after="120"/>
      </w:pPr>
      <w:r>
        <w:rPr>
          <w:rFonts w:ascii="Calibri" w:cs="Calibri" w:eastAsia="Calibri" w:hAnsi="Calibri"/>
        </w:rPr>
        <w:t xml:space="preserve"/>
      </w:r>
    </w:p>
    <w:p>
      <w:pPr>
        <w:pStyle w:val="Heading1"/>
        <w:spacing w:after="140" w:before="320"/>
      </w:pPr>
      <w:r>
        <w:rPr>
          <w:rFonts w:ascii="Calibri" w:cs="Calibri" w:eastAsia="Calibri" w:hAnsi="Calibri"/>
          <w:b/>
          <w:bCs/>
          <w:color w:val="1F2A44"/>
          <w:sz w:val="30"/>
          <w:szCs w:val="30"/>
        </w:rPr>
        <w:t xml:space="preserve">4. Design System</w:t>
      </w:r>
    </w:p>
    <w:p>
      <w:pPr>
        <w:spacing w:after="120" w:line="276"/>
      </w:pPr>
      <w:r>
        <w:rPr>
          <w:rFonts w:ascii="Calibri" w:cs="Calibri" w:eastAsia="Calibri" w:hAnsi="Calibri"/>
          <w:color w:val="222222"/>
          <w:sz w:val="21"/>
          <w:szCs w:val="21"/>
        </w:rPr>
        <w:t xml:space="preserve">Token-first with a single source of truth. Components bind to a semantic token layer (surface, text-primary, action) that points at primitive ramps (Navy, Teal, Slate, feedback). Dark mode reassigns only the semantic layer, so the same markup themes automatically. “Design Tokens” and “Tailwind variables” are the same layer expressed twice: CSS custom properties are the runtime source of truth, mirrored into the Tailwind theme.</w:t>
      </w:r>
    </w:p>
    <w:p>
      <w:pPr>
        <w:pStyle w:val="Heading2"/>
        <w:spacing w:after="100" w:before="220"/>
      </w:pPr>
      <w:r>
        <w:rPr>
          <w:rFonts w:ascii="Calibri" w:cs="Calibri" w:eastAsia="Calibri" w:hAnsi="Calibri"/>
          <w:b/>
          <w:bCs/>
          <w:color w:val="2E6E8E"/>
          <w:sz w:val="24"/>
          <w:szCs w:val="24"/>
        </w:rPr>
        <w:t xml:space="preserve">Verified Token Output — Both Themes</w:t>
      </w:r>
    </w:p>
    <w:p>
      <w:pPr>
        <w:spacing w:after="120" w:line="276"/>
      </w:pPr>
      <w:r>
        <w:rPr>
          <w:rFonts w:ascii="Calibri" w:cs="Calibri" w:eastAsia="Calibri" w:hAnsi="Calibri"/>
          <w:color w:val="222222"/>
          <w:sz w:val="21"/>
          <w:szCs w:val="21"/>
        </w:rPr>
        <w:t xml:space="preserve">The implemented tokens (tokens.css) and Tailwind config were verified: 27/27 semantic color tokens matched across light and dark, all variable references resolve, and both themes render coherently.</w:t>
      </w:r>
    </w:p>
    <w:p>
      <w:pPr>
        <w:spacing w:after="40" w:before="120"/>
        <w:jc w:val="center"/>
      </w:pPr>
      <w:r>
        <w:drawing>
          <wp:inline distT="0" distB="0" distL="0" distR="0">
            <wp:extent cx="2857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2286000"/>
                    </a:xfrm>
                    <a:prstGeom prst="rect">
                      <a:avLst/>
                    </a:prstGeom>
                  </pic:spPr>
                </pic:pic>
              </a:graphicData>
            </a:graphic>
          </wp:inline>
        </w:drawing>
      </w:r>
    </w:p>
    <w:p>
      <w:pPr>
        <w:spacing w:after="160"/>
        <w:jc w:val="center"/>
      </w:pPr>
      <w:r>
        <w:rPr>
          <w:rFonts w:ascii="Calibri" w:cs="Calibri" w:eastAsia="Calibri" w:hAnsi="Calibri"/>
          <w:i/>
          <w:iCs/>
          <w:color w:val="6B7280"/>
          <w:sz w:val="18"/>
          <w:szCs w:val="18"/>
        </w:rPr>
        <w:t xml:space="preserve">Token proof — light theme</w:t>
      </w:r>
    </w:p>
    <w:p>
      <w:pPr>
        <w:spacing w:after="40" w:before="120"/>
        <w:jc w:val="center"/>
      </w:pPr>
      <w:r>
        <w:drawing>
          <wp:inline distT="0" distB="0" distL="0" distR="0">
            <wp:extent cx="2857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2286000"/>
                    </a:xfrm>
                    <a:prstGeom prst="rect">
                      <a:avLst/>
                    </a:prstGeom>
                  </pic:spPr>
                </pic:pic>
              </a:graphicData>
            </a:graphic>
          </wp:inline>
        </w:drawing>
      </w:r>
    </w:p>
    <w:p>
      <w:pPr>
        <w:spacing w:after="160"/>
        <w:jc w:val="center"/>
      </w:pPr>
      <w:r>
        <w:rPr>
          <w:rFonts w:ascii="Calibri" w:cs="Calibri" w:eastAsia="Calibri" w:hAnsi="Calibri"/>
          <w:i/>
          <w:iCs/>
          <w:color w:val="6B7280"/>
          <w:sz w:val="18"/>
          <w:szCs w:val="18"/>
        </w:rPr>
        <w:t xml:space="preserve">Token proof — dark theme</w:t>
      </w:r>
    </w:p>
    <w:p>
      <w:pPr>
        <w:pStyle w:val="Heading2"/>
        <w:spacing w:after="100" w:before="220"/>
      </w:pPr>
      <w:r>
        <w:rPr>
          <w:rFonts w:ascii="Calibri" w:cs="Calibri" w:eastAsia="Calibri" w:hAnsi="Calibri"/>
          <w:b/>
          <w:bCs/>
          <w:color w:val="2E6E8E"/>
          <w:sz w:val="24"/>
          <w:szCs w:val="24"/>
        </w:rPr>
        <w:t xml:space="preserve">Component Library</w:t>
      </w:r>
    </w:p>
    <w:p>
      <w:pPr>
        <w:spacing w:after="120" w:line="276"/>
      </w:pPr>
      <w:r>
        <w:rPr>
          <w:rFonts w:ascii="Calibri" w:cs="Calibri" w:eastAsia="Calibri" w:hAnsi="Calibri"/>
          <w:color w:val="222222"/>
          <w:sz w:val="21"/>
          <w:szCs w:val="21"/>
        </w:rPr>
        <w:t xml:space="preserve">A component library (components.css) built entirely on the token layer: buttons (variants, sizes, loading/disabled states), cards, form fields with validation states, badges/tags/chips, alerts, toasts, a responsive data table, and a confirmation modal. State is always dual-coded (color plus icon/text), focus is always visible, and destructive/irreversible actions require confirmation.</w:t>
      </w:r>
    </w:p>
    <w:p>
      <w:pPr>
        <w:spacing w:after="40" w:before="120"/>
        <w:jc w:val="center"/>
      </w:pPr>
      <w:r>
        <w:drawing>
          <wp:inline distT="0" distB="0" distL="0" distR="0">
            <wp:extent cx="3429000" cy="642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29000" cy="6429375"/>
                    </a:xfrm>
                    <a:prstGeom prst="rect">
                      <a:avLst/>
                    </a:prstGeom>
                  </pic:spPr>
                </pic:pic>
              </a:graphicData>
            </a:graphic>
          </wp:inline>
        </w:drawing>
      </w:r>
    </w:p>
    <w:p>
      <w:pPr>
        <w:spacing w:after="160"/>
        <w:jc w:val="center"/>
      </w:pPr>
      <w:r>
        <w:rPr>
          <w:rFonts w:ascii="Calibri" w:cs="Calibri" w:eastAsia="Calibri" w:hAnsi="Calibri"/>
          <w:i/>
          <w:iCs/>
          <w:color w:val="6B7280"/>
          <w:sz w:val="18"/>
          <w:szCs w:val="18"/>
        </w:rPr>
        <w:t xml:space="preserve">Component library — light theme</w:t>
      </w:r>
    </w:p>
    <w:p>
      <w:pPr>
        <w:pBdr>
          <w:bottom w:val="single" w:color="C9D2D9" w:sz="6"/>
        </w:pBdr>
        <w:spacing w:after="120"/>
      </w:pPr>
      <w:r>
        <w:rPr>
          <w:rFonts w:ascii="Calibri" w:cs="Calibri" w:eastAsia="Calibri" w:hAnsi="Calibri"/>
        </w:rPr>
        <w:t xml:space="preserve"/>
      </w:r>
    </w:p>
    <w:p>
      <w:pPr>
        <w:pStyle w:val="Heading1"/>
        <w:spacing w:after="140" w:before="320"/>
      </w:pPr>
      <w:r>
        <w:rPr>
          <w:rFonts w:ascii="Calibri" w:cs="Calibri" w:eastAsia="Calibri" w:hAnsi="Calibri"/>
          <w:b/>
          <w:bCs/>
          <w:color w:val="1F2A44"/>
          <w:sz w:val="30"/>
          <w:szCs w:val="30"/>
        </w:rPr>
        <w:t xml:space="preserve">5. UX Documentation</w:t>
      </w:r>
    </w:p>
    <w:p>
      <w:pPr>
        <w:spacing w:after="120" w:line="276"/>
      </w:pPr>
      <w:r>
        <w:rPr>
          <w:rFonts w:ascii="Calibri" w:cs="Calibri" w:eastAsia="Calibri" w:hAnsi="Calibri"/>
          <w:color w:val="222222"/>
          <w:sz w:val="21"/>
          <w:szCs w:val="21"/>
        </w:rPr>
        <w:t xml:space="preserve">Emotion-annotated journeys tie every design decision to a specific user anxiety: the wizard's one-question-per-screen serves the guarded, impatient commit moment; the portal's status-first dashboard serves the “is anything happening?” churn moment. Coverage includes micro-interactions (purposeful, reduced-motion-safe), loading UX (skeletons over spinners), accessibility as an experiential journey (full keyboard completion of the primary path), conversion optimization (one primary action per viewport, trust at the point of hesitation, no dark patterns), and mobile-first responsive design across mobile, tablet, and desktop.</w:t>
      </w:r>
    </w:p>
    <w:p>
      <w:pPr>
        <w:pStyle w:val="Heading2"/>
        <w:spacing w:after="100" w:before="220"/>
      </w:pPr>
      <w:r>
        <w:rPr>
          <w:rFonts w:ascii="Calibri" w:cs="Calibri" w:eastAsia="Calibri" w:hAnsi="Calibri"/>
          <w:b/>
          <w:bCs/>
          <w:color w:val="2E6E8E"/>
          <w:sz w:val="24"/>
          <w:szCs w:val="24"/>
        </w:rPr>
        <w:t xml:space="preserve">High-Fidelity Home — Both Themes</w:t>
      </w:r>
    </w:p>
    <w:p>
      <w:pPr>
        <w:spacing w:after="120" w:line="276"/>
      </w:pPr>
      <w:r>
        <w:rPr>
          <w:rFonts w:ascii="Calibri" w:cs="Calibri" w:eastAsia="Calibri" w:hAnsi="Calibri"/>
          <w:color w:val="222222"/>
          <w:sz w:val="21"/>
          <w:szCs w:val="21"/>
        </w:rPr>
        <w:t xml:space="preserve">The Home wireframe rendered with the real brand tokens and component library, verified on desktop (both themes) and mobile.</w:t>
      </w:r>
    </w:p>
    <w:p>
      <w:pPr>
        <w:spacing w:after="40" w:before="120"/>
        <w:jc w:val="center"/>
      </w:pPr>
      <w:r>
        <w:drawing>
          <wp:inline distT="0" distB="0" distL="0" distR="0">
            <wp:extent cx="43815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600325"/>
                    </a:xfrm>
                    <a:prstGeom prst="rect">
                      <a:avLst/>
                    </a:prstGeom>
                  </pic:spPr>
                </pic:pic>
              </a:graphicData>
            </a:graphic>
          </wp:inline>
        </w:drawing>
      </w:r>
    </w:p>
    <w:p>
      <w:pPr>
        <w:spacing w:after="160"/>
        <w:jc w:val="center"/>
      </w:pPr>
      <w:r>
        <w:rPr>
          <w:rFonts w:ascii="Calibri" w:cs="Calibri" w:eastAsia="Calibri" w:hAnsi="Calibri"/>
          <w:i/>
          <w:iCs/>
          <w:color w:val="6B7280"/>
          <w:sz w:val="18"/>
          <w:szCs w:val="18"/>
        </w:rPr>
        <w:t xml:space="preserve">Home comp — light theme (hero)</w:t>
      </w:r>
    </w:p>
    <w:p>
      <w:pPr>
        <w:spacing w:after="40" w:before="120"/>
        <w:jc w:val="center"/>
      </w:pPr>
      <w:r>
        <w:drawing>
          <wp:inline distT="0" distB="0" distL="0" distR="0">
            <wp:extent cx="43815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600325"/>
                    </a:xfrm>
                    <a:prstGeom prst="rect">
                      <a:avLst/>
                    </a:prstGeom>
                  </pic:spPr>
                </pic:pic>
              </a:graphicData>
            </a:graphic>
          </wp:inline>
        </w:drawing>
      </w:r>
    </w:p>
    <w:p>
      <w:pPr>
        <w:spacing w:after="160"/>
        <w:jc w:val="center"/>
      </w:pPr>
      <w:r>
        <w:rPr>
          <w:rFonts w:ascii="Calibri" w:cs="Calibri" w:eastAsia="Calibri" w:hAnsi="Calibri"/>
          <w:i/>
          <w:iCs/>
          <w:color w:val="6B7280"/>
          <w:sz w:val="18"/>
          <w:szCs w:val="18"/>
        </w:rPr>
        <w:t xml:space="preserve">Home comp — dark theme (hero)</w:t>
      </w:r>
    </w:p>
    <w:p>
      <w:pPr>
        <w:pBdr>
          <w:bottom w:val="single" w:color="C9D2D9" w:sz="6"/>
        </w:pBdr>
        <w:spacing w:after="120"/>
      </w:pPr>
      <w:r>
        <w:rPr>
          <w:rFonts w:ascii="Calibri" w:cs="Calibri" w:eastAsia="Calibri" w:hAnsi="Calibri"/>
        </w:rPr>
        <w:t xml:space="preserve"/>
      </w:r>
    </w:p>
    <w:p>
      <w:pPr>
        <w:pStyle w:val="Heading1"/>
        <w:spacing w:after="140" w:before="320"/>
      </w:pPr>
      <w:r>
        <w:rPr>
          <w:rFonts w:ascii="Calibri" w:cs="Calibri" w:eastAsia="Calibri" w:hAnsi="Calibri"/>
          <w:b/>
          <w:bCs/>
          <w:color w:val="1F2A44"/>
          <w:sz w:val="30"/>
          <w:szCs w:val="30"/>
        </w:rPr>
        <w:t xml:space="preserve">6. Production Architecture</w:t>
      </w:r>
    </w:p>
    <w:p>
      <w:pPr>
        <w:spacing w:after="120" w:line="276"/>
      </w:pPr>
      <w:r>
        <w:rPr>
          <w:rFonts w:ascii="Calibri" w:cs="Calibri" w:eastAsia="Calibri" w:hAnsi="Calibri"/>
          <w:color w:val="222222"/>
          <w:sz w:val="21"/>
          <w:szCs w:val="21"/>
        </w:rPr>
        <w:t xml:space="preserve">Three governing decisions: two workloads on one platform (cacheable SSG/ISR marketing site + authenticated SSR/SPA portal sharing one backend, auth, and database); a modular monolith on managed services rather than microservices and self-hosting; and named technologies as justified defaults with a stated category requirement behind each.</w:t>
      </w:r>
    </w:p>
    <w:p>
      <w:pPr>
        <w:pStyle w:val="Heading2"/>
        <w:spacing w:after="100" w:before="220"/>
      </w:pPr>
      <w:r>
        <w:rPr>
          <w:rFonts w:ascii="Calibri" w:cs="Calibri" w:eastAsia="Calibri" w:hAnsi="Calibri"/>
          <w:b/>
          <w:bCs/>
          <w:color w:val="2E6E8E"/>
          <w:sz w:val="24"/>
          <w:szCs w:val="24"/>
        </w:rPr>
        <w:t xml:space="preserve">Layer Summary</w:t>
      </w:r>
    </w:p>
    <w:tbl>
      <w:tblPr>
        <w:tblW w:type="dxa" w:w="9360"/>
        <w:tblBorders>
          <w:top w:val="single" w:color="C9D2D9" w:sz="4"/>
          <w:left w:val="single" w:color="C9D2D9" w:sz="4"/>
          <w:bottom w:val="single" w:color="C9D2D9" w:sz="4"/>
          <w:right w:val="single" w:color="C9D2D9" w:sz="4"/>
          <w:insideH w:val="single" w:color="C9D2D9" w:sz="4"/>
          <w:insideV w:val="single" w:color="C9D2D9" w:sz="4"/>
        </w:tblBorders>
      </w:tblPr>
      <w:tblGrid>
        <w:gridCol w:w="1700"/>
        <w:gridCol w:w="3260"/>
        <w:gridCol w:w="4400"/>
      </w:tblGrid>
      <w:tr>
        <w:trPr>
          <w:tblHeader/>
        </w:trPr>
        <w:tc>
          <w:tcPr>
            <w:tcW w:type="dxa" w:w="1700"/>
            <w:shd w:fill="1F2A44" w:color="auto" w:val="clear"/>
            <w:tcMar>
              <w:top w:type="dxa" w:w="50"/>
              <w:left w:type="dxa" w:w="90"/>
              <w:bottom w:type="dxa" w:w="50"/>
              <w:right w:type="dxa" w:w="90"/>
            </w:tcMar>
          </w:tcPr>
          <w:p>
            <w:pPr>
              <w:spacing w:after="20" w:before="20"/>
            </w:pPr>
            <w:r>
              <w:rPr>
                <w:rFonts w:ascii="Calibri" w:cs="Calibri" w:eastAsia="Calibri" w:hAnsi="Calibri"/>
                <w:b/>
                <w:bCs/>
                <w:color w:val="FFFFFF"/>
                <w:sz w:val="18"/>
                <w:szCs w:val="18"/>
              </w:rPr>
              <w:t xml:space="preserve">Layer</w:t>
            </w:r>
          </w:p>
        </w:tc>
        <w:tc>
          <w:tcPr>
            <w:tcW w:type="dxa" w:w="3260"/>
            <w:shd w:fill="1F2A44" w:color="auto" w:val="clear"/>
            <w:tcMar>
              <w:top w:type="dxa" w:w="50"/>
              <w:left w:type="dxa" w:w="90"/>
              <w:bottom w:type="dxa" w:w="50"/>
              <w:right w:type="dxa" w:w="90"/>
            </w:tcMar>
          </w:tcPr>
          <w:p>
            <w:pPr>
              <w:spacing w:after="20" w:before="20"/>
            </w:pPr>
            <w:r>
              <w:rPr>
                <w:rFonts w:ascii="Calibri" w:cs="Calibri" w:eastAsia="Calibri" w:hAnsi="Calibri"/>
                <w:b/>
                <w:bCs/>
                <w:color w:val="FFFFFF"/>
                <w:sz w:val="18"/>
                <w:szCs w:val="18"/>
              </w:rPr>
              <w:t xml:space="preserve">Selection</w:t>
            </w:r>
          </w:p>
        </w:tc>
        <w:tc>
          <w:tcPr>
            <w:tcW w:type="dxa" w:w="4400"/>
            <w:shd w:fill="1F2A44" w:color="auto" w:val="clear"/>
            <w:tcMar>
              <w:top w:type="dxa" w:w="50"/>
              <w:left w:type="dxa" w:w="90"/>
              <w:bottom w:type="dxa" w:w="50"/>
              <w:right w:type="dxa" w:w="90"/>
            </w:tcMar>
          </w:tcPr>
          <w:p>
            <w:pPr>
              <w:spacing w:after="20" w:before="20"/>
            </w:pPr>
            <w:r>
              <w:rPr>
                <w:rFonts w:ascii="Calibri" w:cs="Calibri" w:eastAsia="Calibri" w:hAnsi="Calibri"/>
                <w:b/>
                <w:bCs/>
                <w:color w:val="FFFFFF"/>
                <w:sz w:val="18"/>
                <w:szCs w:val="18"/>
              </w:rPr>
              <w:t xml:space="preserve">Rationale</w:t>
            </w:r>
          </w:p>
        </w:tc>
      </w:tr>
      <w:tr>
        <w:tc>
          <w:tcPr>
            <w:tcW w:type="dxa" w:w="1700"/>
            <w:tcMar>
              <w:top w:type="dxa" w:w="50"/>
              <w:left w:type="dxa" w:w="90"/>
              <w:bottom w:type="dxa" w:w="50"/>
              <w:right w:type="dxa" w:w="90"/>
            </w:tcMar>
          </w:tcPr>
          <w:p>
            <w:pPr>
              <w:spacing w:after="20" w:before="20"/>
            </w:pPr>
            <w:r>
              <w:rPr>
                <w:rFonts w:ascii="Calibri" w:cs="Calibri" w:eastAsia="Calibri" w:hAnsi="Calibri"/>
                <w:color w:val="222222"/>
                <w:sz w:val="18"/>
                <w:szCs w:val="18"/>
              </w:rPr>
              <w:t xml:space="preserve">Frontend</w:t>
            </w:r>
          </w:p>
        </w:tc>
        <w:tc>
          <w:tcPr>
            <w:tcW w:type="dxa" w:w="3260"/>
            <w:tcMar>
              <w:top w:type="dxa" w:w="50"/>
              <w:left w:type="dxa" w:w="90"/>
              <w:bottom w:type="dxa" w:w="50"/>
              <w:right w:type="dxa" w:w="90"/>
            </w:tcMar>
          </w:tcPr>
          <w:p>
            <w:pPr>
              <w:spacing w:after="20" w:before="20"/>
            </w:pPr>
            <w:r>
              <w:rPr>
                <w:rFonts w:ascii="Calibri" w:cs="Calibri" w:eastAsia="Calibri" w:hAnsi="Calibri"/>
                <w:color w:val="222222"/>
                <w:sz w:val="18"/>
                <w:szCs w:val="18"/>
              </w:rPr>
              <w:t xml:space="preserve">Next.js + TypeScript + Tailwind</w:t>
            </w:r>
          </w:p>
        </w:tc>
        <w:tc>
          <w:tcPr>
            <w:tcW w:type="dxa" w:w="4400"/>
            <w:tcMar>
              <w:top w:type="dxa" w:w="50"/>
              <w:left w:type="dxa" w:w="90"/>
              <w:bottom w:type="dxa" w:w="50"/>
              <w:right w:type="dxa" w:w="90"/>
            </w:tcMar>
          </w:tcPr>
          <w:p>
            <w:pPr>
              <w:spacing w:after="20" w:before="20"/>
            </w:pPr>
            <w:r>
              <w:rPr>
                <w:rFonts w:ascii="Calibri" w:cs="Calibri" w:eastAsia="Calibri" w:hAnsi="Calibri"/>
                <w:color w:val="222222"/>
                <w:sz w:val="18"/>
                <w:szCs w:val="18"/>
              </w:rPr>
              <w:t xml:space="preserve">Per-route rendering: SSG/ISR for SEO, SSR/CSR for the portal</w:t>
            </w:r>
          </w:p>
        </w:tc>
      </w:tr>
      <w:tr>
        <w:tc>
          <w:tcPr>
            <w:tcW w:type="dxa" w:w="1700"/>
            <w:shd w:fill="EDF2F5" w:color="auto" w:val="clear"/>
            <w:tcMar>
              <w:top w:type="dxa" w:w="50"/>
              <w:left w:type="dxa" w:w="90"/>
              <w:bottom w:type="dxa" w:w="50"/>
              <w:right w:type="dxa" w:w="90"/>
            </w:tcMar>
          </w:tcPr>
          <w:p>
            <w:pPr>
              <w:spacing w:after="20" w:before="20"/>
            </w:pPr>
            <w:r>
              <w:rPr>
                <w:rFonts w:ascii="Calibri" w:cs="Calibri" w:eastAsia="Calibri" w:hAnsi="Calibri"/>
                <w:color w:val="222222"/>
                <w:sz w:val="18"/>
                <w:szCs w:val="18"/>
              </w:rPr>
              <w:t xml:space="preserve">Backend</w:t>
            </w:r>
          </w:p>
        </w:tc>
        <w:tc>
          <w:tcPr>
            <w:tcW w:type="dxa" w:w="3260"/>
            <w:shd w:fill="EDF2F5" w:color="auto" w:val="clear"/>
            <w:tcMar>
              <w:top w:type="dxa" w:w="50"/>
              <w:left w:type="dxa" w:w="90"/>
              <w:bottom w:type="dxa" w:w="50"/>
              <w:right w:type="dxa" w:w="90"/>
            </w:tcMar>
          </w:tcPr>
          <w:p>
            <w:pPr>
              <w:spacing w:after="20" w:before="20"/>
            </w:pPr>
            <w:r>
              <w:rPr>
                <w:rFonts w:ascii="Calibri" w:cs="Calibri" w:eastAsia="Calibri" w:hAnsi="Calibri"/>
                <w:color w:val="222222"/>
                <w:sz w:val="18"/>
                <w:szCs w:val="18"/>
              </w:rPr>
              <w:t xml:space="preserve">Modular monolith (Node/TS)</w:t>
            </w:r>
          </w:p>
        </w:tc>
        <w:tc>
          <w:tcPr>
            <w:tcW w:type="dxa" w:w="4400"/>
            <w:shd w:fill="EDF2F5" w:color="auto" w:val="clear"/>
            <w:tcMar>
              <w:top w:type="dxa" w:w="50"/>
              <w:left w:type="dxa" w:w="90"/>
              <w:bottom w:type="dxa" w:w="50"/>
              <w:right w:type="dxa" w:w="90"/>
            </w:tcMar>
          </w:tcPr>
          <w:p>
            <w:pPr>
              <w:spacing w:after="20" w:before="20"/>
            </w:pPr>
            <w:r>
              <w:rPr>
                <w:rFonts w:ascii="Calibri" w:cs="Calibri" w:eastAsia="Calibri" w:hAnsi="Calibri"/>
                <w:color w:val="222222"/>
                <w:sz w:val="18"/>
                <w:szCs w:val="18"/>
              </w:rPr>
              <w:t xml:space="preserve">Simple to operate, clean seams to extract services later</w:t>
            </w:r>
          </w:p>
        </w:tc>
      </w:tr>
      <w:tr>
        <w:tc>
          <w:tcPr>
            <w:tcW w:type="dxa" w:w="1700"/>
            <w:tcMar>
              <w:top w:type="dxa" w:w="50"/>
              <w:left w:type="dxa" w:w="90"/>
              <w:bottom w:type="dxa" w:w="50"/>
              <w:right w:type="dxa" w:w="90"/>
            </w:tcMar>
          </w:tcPr>
          <w:p>
            <w:pPr>
              <w:spacing w:after="20" w:before="20"/>
            </w:pPr>
            <w:r>
              <w:rPr>
                <w:rFonts w:ascii="Calibri" w:cs="Calibri" w:eastAsia="Calibri" w:hAnsi="Calibri"/>
                <w:color w:val="222222"/>
                <w:sz w:val="18"/>
                <w:szCs w:val="18"/>
              </w:rPr>
              <w:t xml:space="preserve">Database</w:t>
            </w:r>
          </w:p>
        </w:tc>
        <w:tc>
          <w:tcPr>
            <w:tcW w:type="dxa" w:w="3260"/>
            <w:tcMar>
              <w:top w:type="dxa" w:w="50"/>
              <w:left w:type="dxa" w:w="90"/>
              <w:bottom w:type="dxa" w:w="50"/>
              <w:right w:type="dxa" w:w="90"/>
            </w:tcMar>
          </w:tcPr>
          <w:p>
            <w:pPr>
              <w:spacing w:after="20" w:before="20"/>
            </w:pPr>
            <w:r>
              <w:rPr>
                <w:rFonts w:ascii="Calibri" w:cs="Calibri" w:eastAsia="Calibri" w:hAnsi="Calibri"/>
                <w:color w:val="222222"/>
                <w:sz w:val="18"/>
                <w:szCs w:val="18"/>
              </w:rPr>
              <w:t xml:space="preserve">PostgreSQL + Redis</w:t>
            </w:r>
          </w:p>
        </w:tc>
        <w:tc>
          <w:tcPr>
            <w:tcW w:type="dxa" w:w="4400"/>
            <w:tcMar>
              <w:top w:type="dxa" w:w="50"/>
              <w:left w:type="dxa" w:w="90"/>
              <w:bottom w:type="dxa" w:w="50"/>
              <w:right w:type="dxa" w:w="90"/>
            </w:tcMar>
          </w:tcPr>
          <w:p>
            <w:pPr>
              <w:spacing w:after="20" w:before="20"/>
            </w:pPr>
            <w:r>
              <w:rPr>
                <w:rFonts w:ascii="Calibri" w:cs="Calibri" w:eastAsia="Calibri" w:hAnsi="Calibri"/>
                <w:color w:val="222222"/>
                <w:sz w:val="18"/>
                <w:szCs w:val="18"/>
              </w:rPr>
              <w:t xml:space="preserve">Relational core, ACID billing, RLS multi-tenancy; Redis cache/queue</w:t>
            </w:r>
          </w:p>
        </w:tc>
      </w:tr>
      <w:tr>
        <w:tc>
          <w:tcPr>
            <w:tcW w:type="dxa" w:w="1700"/>
            <w:shd w:fill="EDF2F5" w:color="auto" w:val="clear"/>
            <w:tcMar>
              <w:top w:type="dxa" w:w="50"/>
              <w:left w:type="dxa" w:w="90"/>
              <w:bottom w:type="dxa" w:w="50"/>
              <w:right w:type="dxa" w:w="90"/>
            </w:tcMar>
          </w:tcPr>
          <w:p>
            <w:pPr>
              <w:spacing w:after="20" w:before="20"/>
            </w:pPr>
            <w:r>
              <w:rPr>
                <w:rFonts w:ascii="Calibri" w:cs="Calibri" w:eastAsia="Calibri" w:hAnsi="Calibri"/>
                <w:color w:val="222222"/>
                <w:sz w:val="18"/>
                <w:szCs w:val="18"/>
              </w:rPr>
              <w:t xml:space="preserve">Auth</w:t>
            </w:r>
          </w:p>
        </w:tc>
        <w:tc>
          <w:tcPr>
            <w:tcW w:type="dxa" w:w="3260"/>
            <w:shd w:fill="EDF2F5" w:color="auto" w:val="clear"/>
            <w:tcMar>
              <w:top w:type="dxa" w:w="50"/>
              <w:left w:type="dxa" w:w="90"/>
              <w:bottom w:type="dxa" w:w="50"/>
              <w:right w:type="dxa" w:w="90"/>
            </w:tcMar>
          </w:tcPr>
          <w:p>
            <w:pPr>
              <w:spacing w:after="20" w:before="20"/>
            </w:pPr>
            <w:r>
              <w:rPr>
                <w:rFonts w:ascii="Calibri" w:cs="Calibri" w:eastAsia="Calibri" w:hAnsi="Calibri"/>
                <w:color w:val="222222"/>
                <w:sz w:val="18"/>
                <w:szCs w:val="18"/>
              </w:rPr>
              <w:t xml:space="preserve">Managed IdP, OIDC, RBAC</w:t>
            </w:r>
          </w:p>
        </w:tc>
        <w:tc>
          <w:tcPr>
            <w:tcW w:type="dxa" w:w="4400"/>
            <w:shd w:fill="EDF2F5" w:color="auto" w:val="clear"/>
            <w:tcMar>
              <w:top w:type="dxa" w:w="50"/>
              <w:left w:type="dxa" w:w="90"/>
              <w:bottom w:type="dxa" w:w="50"/>
              <w:right w:type="dxa" w:w="90"/>
            </w:tcMar>
          </w:tcPr>
          <w:p>
            <w:pPr>
              <w:spacing w:after="20" w:before="20"/>
            </w:pPr>
            <w:r>
              <w:rPr>
                <w:rFonts w:ascii="Calibri" w:cs="Calibri" w:eastAsia="Calibri" w:hAnsi="Calibri"/>
                <w:color w:val="222222"/>
                <w:sz w:val="18"/>
                <w:szCs w:val="18"/>
              </w:rPr>
              <w:t xml:space="preserve">MFA/SSO out of the box; never build auth in-house</w:t>
            </w:r>
          </w:p>
        </w:tc>
      </w:tr>
      <w:tr>
        <w:tc>
          <w:tcPr>
            <w:tcW w:type="dxa" w:w="1700"/>
            <w:tcMar>
              <w:top w:type="dxa" w:w="50"/>
              <w:left w:type="dxa" w:w="90"/>
              <w:bottom w:type="dxa" w:w="50"/>
              <w:right w:type="dxa" w:w="90"/>
            </w:tcMar>
          </w:tcPr>
          <w:p>
            <w:pPr>
              <w:spacing w:after="20" w:before="20"/>
            </w:pPr>
            <w:r>
              <w:rPr>
                <w:rFonts w:ascii="Calibri" w:cs="Calibri" w:eastAsia="Calibri" w:hAnsi="Calibri"/>
                <w:color w:val="222222"/>
                <w:sz w:val="18"/>
                <w:szCs w:val="18"/>
              </w:rPr>
              <w:t xml:space="preserve">Hosting/CDN</w:t>
            </w:r>
          </w:p>
        </w:tc>
        <w:tc>
          <w:tcPr>
            <w:tcW w:type="dxa" w:w="3260"/>
            <w:tcMar>
              <w:top w:type="dxa" w:w="50"/>
              <w:left w:type="dxa" w:w="90"/>
              <w:bottom w:type="dxa" w:w="50"/>
              <w:right w:type="dxa" w:w="90"/>
            </w:tcMar>
          </w:tcPr>
          <w:p>
            <w:pPr>
              <w:spacing w:after="20" w:before="20"/>
            </w:pPr>
            <w:r>
              <w:rPr>
                <w:rFonts w:ascii="Calibri" w:cs="Calibri" w:eastAsia="Calibri" w:hAnsi="Calibri"/>
                <w:color w:val="222222"/>
                <w:sz w:val="18"/>
                <w:szCs w:val="18"/>
              </w:rPr>
              <w:t xml:space="preserve">Edge + managed containers, India region</w:t>
            </w:r>
          </w:p>
        </w:tc>
        <w:tc>
          <w:tcPr>
            <w:tcW w:type="dxa" w:w="4400"/>
            <w:tcMar>
              <w:top w:type="dxa" w:w="50"/>
              <w:left w:type="dxa" w:w="90"/>
              <w:bottom w:type="dxa" w:w="50"/>
              <w:right w:type="dxa" w:w="90"/>
            </w:tcMar>
          </w:tcPr>
          <w:p>
            <w:pPr>
              <w:spacing w:after="20" w:before="20"/>
            </w:pPr>
            <w:r>
              <w:rPr>
                <w:rFonts w:ascii="Calibri" w:cs="Calibri" w:eastAsia="Calibri" w:hAnsi="Calibri"/>
                <w:color w:val="222222"/>
                <w:sz w:val="18"/>
                <w:szCs w:val="18"/>
              </w:rPr>
              <w:t xml:space="preserve">Workload-matched; global edge WAF + caching</w:t>
            </w:r>
          </w:p>
        </w:tc>
      </w:tr>
      <w:tr>
        <w:tc>
          <w:tcPr>
            <w:tcW w:type="dxa" w:w="1700"/>
            <w:shd w:fill="EDF2F5" w:color="auto" w:val="clear"/>
            <w:tcMar>
              <w:top w:type="dxa" w:w="50"/>
              <w:left w:type="dxa" w:w="90"/>
              <w:bottom w:type="dxa" w:w="50"/>
              <w:right w:type="dxa" w:w="90"/>
            </w:tcMar>
          </w:tcPr>
          <w:p>
            <w:pPr>
              <w:spacing w:after="20" w:before="20"/>
            </w:pPr>
            <w:r>
              <w:rPr>
                <w:rFonts w:ascii="Calibri" w:cs="Calibri" w:eastAsia="Calibri" w:hAnsi="Calibri"/>
                <w:color w:val="222222"/>
                <w:sz w:val="18"/>
                <w:szCs w:val="18"/>
              </w:rPr>
              <w:t xml:space="preserve">Payments</w:t>
            </w:r>
          </w:p>
        </w:tc>
        <w:tc>
          <w:tcPr>
            <w:tcW w:type="dxa" w:w="3260"/>
            <w:shd w:fill="EDF2F5" w:color="auto" w:val="clear"/>
            <w:tcMar>
              <w:top w:type="dxa" w:w="50"/>
              <w:left w:type="dxa" w:w="90"/>
              <w:bottom w:type="dxa" w:w="50"/>
              <w:right w:type="dxa" w:w="90"/>
            </w:tcMar>
          </w:tcPr>
          <w:p>
            <w:pPr>
              <w:spacing w:after="20" w:before="20"/>
            </w:pPr>
            <w:r>
              <w:rPr>
                <w:rFonts w:ascii="Calibri" w:cs="Calibri" w:eastAsia="Calibri" w:hAnsi="Calibri"/>
                <w:color w:val="222222"/>
                <w:sz w:val="18"/>
                <w:szCs w:val="18"/>
              </w:rPr>
              <w:t xml:space="preserve">Hosted PCI gateway</w:t>
            </w:r>
          </w:p>
        </w:tc>
        <w:tc>
          <w:tcPr>
            <w:tcW w:type="dxa" w:w="4400"/>
            <w:shd w:fill="EDF2F5" w:color="auto" w:val="clear"/>
            <w:tcMar>
              <w:top w:type="dxa" w:w="50"/>
              <w:left w:type="dxa" w:w="90"/>
              <w:bottom w:type="dxa" w:w="50"/>
              <w:right w:type="dxa" w:w="90"/>
            </w:tcMar>
          </w:tcPr>
          <w:p>
            <w:pPr>
              <w:spacing w:after="20" w:before="20"/>
            </w:pPr>
            <w:r>
              <w:rPr>
                <w:rFonts w:ascii="Calibri" w:cs="Calibri" w:eastAsia="Calibri" w:hAnsi="Calibri"/>
                <w:color w:val="222222"/>
                <w:sz w:val="18"/>
                <w:szCs w:val="18"/>
              </w:rPr>
              <w:t xml:space="preserve">Card data never touches our servers; webhook-driven</w:t>
            </w:r>
          </w:p>
        </w:tc>
      </w:tr>
      <w:tr>
        <w:tc>
          <w:tcPr>
            <w:tcW w:type="dxa" w:w="1700"/>
            <w:tcMar>
              <w:top w:type="dxa" w:w="50"/>
              <w:left w:type="dxa" w:w="90"/>
              <w:bottom w:type="dxa" w:w="50"/>
              <w:right w:type="dxa" w:w="90"/>
            </w:tcMar>
          </w:tcPr>
          <w:p>
            <w:pPr>
              <w:spacing w:after="20" w:before="20"/>
            </w:pPr>
            <w:r>
              <w:rPr>
                <w:rFonts w:ascii="Calibri" w:cs="Calibri" w:eastAsia="Calibri" w:hAnsi="Calibri"/>
                <w:color w:val="222222"/>
                <w:sz w:val="18"/>
                <w:szCs w:val="18"/>
              </w:rPr>
              <w:t xml:space="preserve">CI/CD</w:t>
            </w:r>
          </w:p>
        </w:tc>
        <w:tc>
          <w:tcPr>
            <w:tcW w:type="dxa" w:w="3260"/>
            <w:tcMar>
              <w:top w:type="dxa" w:w="50"/>
              <w:left w:type="dxa" w:w="90"/>
              <w:bottom w:type="dxa" w:w="50"/>
              <w:right w:type="dxa" w:w="90"/>
            </w:tcMar>
          </w:tcPr>
          <w:p>
            <w:pPr>
              <w:spacing w:after="20" w:before="20"/>
            </w:pPr>
            <w:r>
              <w:rPr>
                <w:rFonts w:ascii="Calibri" w:cs="Calibri" w:eastAsia="Calibri" w:hAnsi="Calibri"/>
                <w:color w:val="222222"/>
                <w:sz w:val="18"/>
                <w:szCs w:val="18"/>
              </w:rPr>
              <w:t xml:space="preserve">PR gates → staging → canary → blue-green</w:t>
            </w:r>
          </w:p>
        </w:tc>
        <w:tc>
          <w:tcPr>
            <w:tcW w:type="dxa" w:w="4400"/>
            <w:tcMar>
              <w:top w:type="dxa" w:w="50"/>
              <w:left w:type="dxa" w:w="90"/>
              <w:bottom w:type="dxa" w:w="50"/>
              <w:right w:type="dxa" w:w="90"/>
            </w:tcMar>
          </w:tcPr>
          <w:p>
            <w:pPr>
              <w:spacing w:after="20" w:before="20"/>
            </w:pPr>
            <w:r>
              <w:rPr>
                <w:rFonts w:ascii="Calibri" w:cs="Calibri" w:eastAsia="Calibri" w:hAnsi="Calibri"/>
                <w:color w:val="222222"/>
                <w:sz w:val="18"/>
                <w:szCs w:val="18"/>
              </w:rPr>
              <w:t xml:space="preserve">Zero-downtime, instant rollback, feature flags</w:t>
            </w:r>
          </w:p>
        </w:tc>
      </w:tr>
    </w:tbl>
    <w:p>
      <w:pPr>
        <w:pStyle w:val="Heading2"/>
        <w:spacing w:after="100" w:before="220"/>
      </w:pPr>
      <w:r>
        <w:rPr>
          <w:rFonts w:ascii="Calibri" w:cs="Calibri" w:eastAsia="Calibri" w:hAnsi="Calibri"/>
          <w:b/>
          <w:bCs/>
          <w:color w:val="2E6E8E"/>
          <w:sz w:val="24"/>
          <w:szCs w:val="24"/>
        </w:rPr>
        <w:t xml:space="preserve">Diagram Set (produced separately)</w:t>
      </w:r>
    </w:p>
    <w:p>
      <w:pPr>
        <w:spacing w:after="120" w:line="276"/>
      </w:pPr>
      <w:r>
        <w:rPr>
          <w:rFonts w:ascii="Calibri" w:cs="Calibri" w:eastAsia="Calibri" w:hAnsi="Calibri"/>
          <w:color w:val="222222"/>
          <w:sz w:val="21"/>
          <w:szCs w:val="21"/>
        </w:rPr>
        <w:t xml:space="preserve">Nine architecture diagrams accompany this specification: C4 system context, container, and component views; quote and payment sequence flows; deployment topology; CI/CD pipeline; the data ERD (tenant-isolated); and the auth/token sequence. They form a complete picture from context down to request flows, infrastructure, and delivery.</w:t>
      </w:r>
    </w:p>
    <w:p>
      <w:pPr>
        <w:pBdr>
          <w:bottom w:val="single" w:color="C9D2D9" w:sz="6"/>
        </w:pBdr>
        <w:spacing w:after="120"/>
      </w:pPr>
      <w:r>
        <w:rPr>
          <w:rFonts w:ascii="Calibri" w:cs="Calibri" w:eastAsia="Calibri" w:hAnsi="Calibri"/>
        </w:rPr>
        <w:t xml:space="preserve"/>
      </w:r>
    </w:p>
    <w:p>
      <w:pPr>
        <w:pStyle w:val="Heading1"/>
        <w:spacing w:after="140" w:before="320"/>
      </w:pPr>
      <w:r>
        <w:rPr>
          <w:rFonts w:ascii="Calibri" w:cs="Calibri" w:eastAsia="Calibri" w:hAnsi="Calibri"/>
          <w:b/>
          <w:bCs/>
          <w:color w:val="1F2A44"/>
          <w:sz w:val="30"/>
          <w:szCs w:val="30"/>
        </w:rPr>
        <w:t xml:space="preserve">Consolidated Next Steps</w:t>
      </w:r>
    </w:p>
    <w:p>
      <w:pPr>
        <w:pStyle w:val="ListParagraph"/>
        <w:numPr>
          <w:ilvl w:val="0"/>
          <w:numId w:val="2"/>
        </w:numPr>
        <w:spacing w:after="60" w:line="264"/>
      </w:pPr>
      <w:r>
        <w:rPr>
          <w:rFonts w:ascii="Calibri" w:cs="Calibri" w:eastAsia="Calibri" w:hAnsi="Calibri"/>
          <w:b/>
          <w:bCs/>
          <w:color w:val="1F2A44"/>
          <w:sz w:val="21"/>
          <w:szCs w:val="21"/>
        </w:rPr>
        <w:t xml:space="preserve">1: </w:t>
      </w:r>
      <w:r>
        <w:rPr>
          <w:rFonts w:ascii="Calibri" w:cs="Calibri" w:eastAsia="Calibri" w:hAnsi="Calibri"/>
          <w:color w:val="222222"/>
          <w:sz w:val="21"/>
          <w:szCs w:val="21"/>
        </w:rPr>
        <w:t xml:space="preserve">Confirm the open decisions (business model, geography/compliance, beachhead vertical) — these unblock the entire build.</w:t>
      </w:r>
    </w:p>
    <w:p>
      <w:pPr>
        <w:pStyle w:val="ListParagraph"/>
        <w:numPr>
          <w:ilvl w:val="0"/>
          <w:numId w:val="2"/>
        </w:numPr>
        <w:spacing w:after="60" w:line="264"/>
      </w:pPr>
      <w:r>
        <w:rPr>
          <w:rFonts w:ascii="Calibri" w:cs="Calibri" w:eastAsia="Calibri" w:hAnsi="Calibri"/>
          <w:b/>
          <w:bCs/>
          <w:color w:val="1F2A44"/>
          <w:sz w:val="21"/>
          <w:szCs w:val="21"/>
        </w:rPr>
        <w:t xml:space="preserve">2: </w:t>
      </w:r>
      <w:r>
        <w:rPr>
          <w:rFonts w:ascii="Calibri" w:cs="Calibri" w:eastAsia="Calibri" w:hAnsi="Calibri"/>
          <w:color w:val="222222"/>
          <w:sz w:val="21"/>
          <w:szCs w:val="21"/>
        </w:rPr>
        <w:t xml:space="preserve">Validate Discovery target metrics and pricing with buyer interviews before committing the full service list.</w:t>
      </w:r>
    </w:p>
    <w:p>
      <w:pPr>
        <w:pStyle w:val="ListParagraph"/>
        <w:numPr>
          <w:ilvl w:val="0"/>
          <w:numId w:val="2"/>
        </w:numPr>
        <w:spacing w:after="60" w:line="264"/>
      </w:pPr>
      <w:r>
        <w:rPr>
          <w:rFonts w:ascii="Calibri" w:cs="Calibri" w:eastAsia="Calibri" w:hAnsi="Calibri"/>
          <w:b/>
          <w:bCs/>
          <w:color w:val="1F2A44"/>
          <w:sz w:val="21"/>
          <w:szCs w:val="21"/>
        </w:rPr>
        <w:t xml:space="preserve">3: </w:t>
      </w:r>
      <w:r>
        <w:rPr>
          <w:rFonts w:ascii="Calibri" w:cs="Calibri" w:eastAsia="Calibri" w:hAnsi="Calibri"/>
          <w:color w:val="222222"/>
          <w:sz w:val="21"/>
          <w:szCs w:val="21"/>
        </w:rPr>
        <w:t xml:space="preserve">Bridge the token/component layer into the Next.js codebase and stand up the conversion spine (Home → Service Detail → Quote wizard → Portal dashboard).</w:t>
      </w:r>
    </w:p>
    <w:p>
      <w:pPr>
        <w:pStyle w:val="ListParagraph"/>
        <w:numPr>
          <w:ilvl w:val="0"/>
          <w:numId w:val="2"/>
        </w:numPr>
        <w:spacing w:after="60" w:line="264"/>
      </w:pPr>
      <w:r>
        <w:rPr>
          <w:rFonts w:ascii="Calibri" w:cs="Calibri" w:eastAsia="Calibri" w:hAnsi="Calibri"/>
          <w:b/>
          <w:bCs/>
          <w:color w:val="1F2A44"/>
          <w:sz w:val="21"/>
          <w:szCs w:val="21"/>
        </w:rPr>
        <w:t xml:space="preserve">4: </w:t>
      </w:r>
      <w:r>
        <w:rPr>
          <w:rFonts w:ascii="Calibri" w:cs="Calibri" w:eastAsia="Calibri" w:hAnsi="Calibri"/>
          <w:color w:val="222222"/>
          <w:sz w:val="21"/>
          <w:szCs w:val="21"/>
        </w:rPr>
        <w:t xml:space="preserve">Produce remaining build artifacts: repo/folder structure, OpenAPI outline, and the database schema DDL from the ERD.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D9" w:sz="4"/>
      </w:pBdr>
      <w:jc w:val="center"/>
    </w:pPr>
    <w:r>
      <w:rPr>
        <w:rFonts w:ascii="Calibri" w:cs="Calibri" w:eastAsia="Calibri" w:hAnsi="Calibri"/>
        <w:color w:val="6B7280"/>
        <w:sz w:val="16"/>
        <w:szCs w:val="16"/>
      </w:rPr>
      <w:t xml:space="preserve">Confidential — Consolidated Draft v1.0        Page </w:t>
    </w:r>
    <w:r>
      <w:rPr>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9" w:sz="4"/>
      </w:pBdr>
      <w:jc w:val="right"/>
    </w:pPr>
    <w:r>
      <w:rPr>
        <w:rFonts w:ascii="Calibri" w:cs="Calibri" w:eastAsia="Calibri" w:hAnsi="Calibri"/>
        <w:color w:val="6B7280"/>
        <w:sz w:val="16"/>
        <w:szCs w:val="16"/>
      </w:rPr>
      <w:t xml:space="preserve">Antrique Web Studio · Master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aa200b013c31d6904eec926b30b17b2513ef464.png"/><Relationship Id="rId10" Type="http://schemas.openxmlformats.org/officeDocument/2006/relationships/image" Target="media/25e6616edf3f4dd141fa20bc460d7f40be756ec4.png"/><Relationship Id="rId11" Type="http://schemas.openxmlformats.org/officeDocument/2006/relationships/image" Target="media/18d6a9df9742254f76706319b4fec9f9f439815a.png"/><Relationship Id="rId12" Type="http://schemas.openxmlformats.org/officeDocument/2006/relationships/image" Target="media/80bebe36262f51cd861b4ed31dd35bc9483c6684.png"/><Relationship Id="rId13" Type="http://schemas.openxmlformats.org/officeDocument/2006/relationships/image" Target="media/a2f5550dec7e108d42806a054501f1afd910e84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Product Specification</dc:title>
  <dc:creator>Antrique Web Studio</dc:creator>
  <cp:lastModifiedBy>Un-named</cp:lastModifiedBy>
  <cp:revision>1</cp:revision>
  <dcterms:created xsi:type="dcterms:W3CDTF">2026-07-14T06:47:43.356Z</dcterms:created>
  <dcterms:modified xsi:type="dcterms:W3CDTF">2026-07-14T06:47:43.366Z</dcterms:modified>
</cp:coreProperties>
</file>

<file path=docProps/custom.xml><?xml version="1.0" encoding="utf-8"?>
<Properties xmlns="http://schemas.openxmlformats.org/officeDocument/2006/custom-properties" xmlns:vt="http://schemas.openxmlformats.org/officeDocument/2006/docPropsVTypes"/>
</file>