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63.jpg" ContentType="image/jpeg"/>
  <Override PartName="/word/media/rId5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6"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2200 g de suelo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w:t>
      </w:r>
      <w:r>
        <w:t xml:space="preserve"> </w:t>
      </w:r>
      <w:r>
        <w:t xml:space="preserve">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3"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320"/>
        <w:gridCol w:w="1320"/>
        <w:gridCol w:w="1320"/>
        <w:gridCol w:w="1320"/>
        <w:gridCol w:w="1320"/>
        <w:gridCol w:w="1320"/>
      </w:tblGrid>
      <w:tr>
        <w:trPr>
          <w:tblHeader w:val="on"/>
        </w:trPr>
        <w:tc>
          <w:tcPr/>
          <w:p>
            <w:pPr>
              <w:pStyle w:val="Compact"/>
              <w:jc w:val="left"/>
            </w:pPr>
            <w:r>
              <w:t xml:space="preserve">Entrada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NA</w:t>
            </w:r>
          </w:p>
        </w:tc>
      </w:tr>
      <w:tr>
        <w:tc>
          <w:tcPr/>
          <w:p>
            <w:pPr>
              <w:pStyle w:val="Compact"/>
              <w:jc w:val="left"/>
            </w:pPr>
            <w:r>
              <w:t xml:space="preserve">BGSP-00425</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4" w:name="mapeo-y-descriptores-morfológicos"/>
    <w:p>
      <w:pPr>
        <w:pStyle w:val="Heading3"/>
      </w:pPr>
      <w:r>
        <w:rPr>
          <w:rStyle w:val="SectionNumber"/>
        </w:rPr>
        <w:t xml:space="preserve">1.4.2</w:t>
      </w:r>
      <w:r>
        <w:tab/>
      </w:r>
      <w:r>
        <w:t xml:space="preserve">Mapeo y descriptores morfológicos</w:t>
      </w:r>
    </w:p>
    <w:p>
      <w:pPr>
        <w:pStyle w:val="FirstParagraph"/>
      </w:pPr>
      <w:r>
        <w:t xml:space="preserve">Considerar colocar los siguiente datos obtenidos del mapeo: Precocidad</w:t>
      </w:r>
    </w:p>
    <w:p>
      <w:pPr>
        <w:pStyle w:val="BodyText"/>
      </w:pPr>
      <w:r>
        <w:t xml:space="preserve">Altura N° nudos totales</w:t>
      </w:r>
    </w:p>
    <w:p>
      <w:pPr>
        <w:pStyle w:val="BodyText"/>
      </w:pPr>
      <w:r>
        <w:t xml:space="preserve">N° ramas vegetativas</w:t>
      </w:r>
    </w:p>
    <w:p>
      <w:pPr>
        <w:pStyle w:val="BodyText"/>
      </w:pPr>
      <w:r>
        <w:t xml:space="preserve">N° ramas reproductivas</w:t>
      </w:r>
    </w:p>
    <w:p>
      <w:pPr>
        <w:pStyle w:val="BodyText"/>
      </w:pPr>
      <w:r>
        <w:t xml:space="preserve">Nudo de inserción de la primera rama reproductiva</w:t>
      </w:r>
    </w:p>
    <w:p>
      <w:pPr>
        <w:pStyle w:val="BodyText"/>
      </w:pPr>
      <w:r>
        <w:t xml:space="preserve">Distancia de la primera posición al tallo principal</w:t>
      </w:r>
    </w:p>
    <w:p>
      <w:pPr>
        <w:pStyle w:val="BodyText"/>
      </w:pPr>
      <w:r>
        <w:t xml:space="preserve">Porcentajede retención final</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34"/>
    <w:bookmarkStart w:id="42" w:name="Xae11bacf5b32a875e55697df92f3e7bf4524ae3"/>
    <w:p>
      <w:pPr>
        <w:pStyle w:val="Heading3"/>
      </w:pPr>
      <w:r>
        <w:rPr>
          <w:rStyle w:val="SectionNumber"/>
        </w:rPr>
        <w:t xml:space="preserve">1.4.3</w:t>
      </w:r>
      <w:r>
        <w:tab/>
      </w:r>
      <w:r>
        <w:t xml:space="preserve">Componentes del rendimiento y calidad de fibra</w:t>
      </w:r>
    </w:p>
    <w:p>
      <w:pPr>
        <w:pStyle w:val="TableCaption"/>
      </w:pPr>
      <w:bookmarkStart w:id="35" w:name="tab:table-charac"/>
      <w:bookmarkEnd w:id="3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 (0.2)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 (0.3)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TableCaption"/>
      </w:pPr>
      <w:bookmarkStart w:id="36" w:name="tab:table-charac"/>
      <w:bookmarkEnd w:id="3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respectivamiente.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1}, MIC: Micronaire, FU: Fibre uniformity in %." title="" id="38" name="Picture"/>
            <a:graphic>
              <a:graphicData uri="http://schemas.openxmlformats.org/drawingml/2006/picture">
                <pic:pic>
                  <pic:nvPicPr>
                    <pic:cNvPr descr="figure/chap1/Para_compuestas/PCA_juntas.png" id="39" name="Picture"/>
                    <pic:cNvPicPr>
                      <a:picLocks noChangeArrowheads="1" noChangeAspect="1"/>
                    </pic:cNvPicPr>
                  </pic:nvPicPr>
                  <pic:blipFill>
                    <a:blip r:embed="rId37"/>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0" w:name="fig:img-PC"/>
      <w:bookmarkEnd w:id="40"/>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w:t>
      </w:r>
      <m:oMath>
        <m:sSup>
          <m:e>
            <m:r>
              <m:t>​</m:t>
            </m:r>
          </m:e>
          <m:sup>
            <m:r>
              <m:rPr>
                <m:sty m:val="p"/>
              </m:rPr>
              <m:t>−</m:t>
            </m:r>
            <m:r>
              <m:t>1</m:t>
            </m:r>
          </m:sup>
        </m:sSup>
      </m:oMath>
      <w:r>
        <w:t xml:space="preserve">, MIC: Micronaire, FU: Fibre uniformity in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1" w:name="tab:correlation-greenhouse"/>
      <w:bookmarkEnd w:id="41"/>
      <w:r>
        <w:t xml:space="preserve">Table 1.4: Correlación de Pearson entre los rasgos evaluados en el germoplasma de colección</w:t>
      </w:r>
    </w:p>
    <w:tbl>
      <w:tblPr>
        <w:tblStyle w:val="Table"/>
        <w:tblW w:type="pct" w:w="5000"/>
        <w:tblLayout w:type="fixed"/>
        <w:tblLook w:firstRow="1" w:lastRow="0" w:firstColumn="0" w:lastColumn="0" w:noHBand="0" w:noVBand="0" w:val="0020"/>
        <w:tblCaption w:val="Table 1.4: Correlación de Pearson entre los rasgos evaluados en el germoplasma de colección"/>
      </w:tblPr>
      <w:tblGrid>
        <w:gridCol w:w="495"/>
        <w:gridCol w:w="693"/>
        <w:gridCol w:w="693"/>
        <w:gridCol w:w="792"/>
        <w:gridCol w:w="693"/>
        <w:gridCol w:w="693"/>
        <w:gridCol w:w="594"/>
        <w:gridCol w:w="792"/>
        <w:gridCol w:w="495"/>
        <w:gridCol w:w="792"/>
        <w:gridCol w:w="693"/>
        <w:gridCol w:w="495"/>
      </w:tblGrid>
      <w:tr>
        <w:trPr>
          <w:tblHeader w:val="on"/>
        </w:trPr>
        <w:tc>
          <w:tcPr/>
          <w:p>
            <w:pPr>
              <w:pStyle w:val="Compact"/>
            </w:pPr>
          </w:p>
        </w:tc>
        <w:tc>
          <w:tcPr/>
          <w:p>
            <w:pPr>
              <w:pStyle w:val="Compact"/>
              <w:jc w:val="left"/>
            </w:pPr>
            <w:r>
              <w:t xml:space="preserve">RB</w:t>
            </w:r>
          </w:p>
        </w:tc>
        <w:tc>
          <w:tcPr/>
          <w:p>
            <w:pPr>
              <w:pStyle w:val="Compact"/>
              <w:jc w:val="left"/>
            </w:pPr>
            <w:r>
              <w:t xml:space="preserve">RF</w:t>
            </w:r>
          </w:p>
        </w:tc>
        <w:tc>
          <w:tcPr/>
          <w:p>
            <w:pPr>
              <w:pStyle w:val="Compact"/>
              <w:jc w:val="left"/>
            </w:pPr>
            <w:r>
              <w:t xml:space="preserve">RFD</w:t>
            </w:r>
          </w:p>
        </w:tc>
        <w:tc>
          <w:tcPr/>
          <w:p>
            <w:pPr>
              <w:pStyle w:val="Compact"/>
              <w:jc w:val="left"/>
            </w:pPr>
            <w:r>
              <w:t xml:space="preserve">PC</w:t>
            </w:r>
          </w:p>
        </w:tc>
        <w:tc>
          <w:tcPr/>
          <w:p>
            <w:pPr>
              <w:pStyle w:val="Compact"/>
              <w:jc w:val="left"/>
            </w:pPr>
            <w:r>
              <w:t xml:space="preserve">NC</w:t>
            </w:r>
          </w:p>
        </w:tc>
        <w:tc>
          <w:tcPr/>
          <w:p>
            <w:pPr>
              <w:pStyle w:val="Compact"/>
              <w:jc w:val="left"/>
            </w:pPr>
            <w:r>
              <w:t xml:space="preserve">IS</w:t>
            </w:r>
          </w:p>
        </w:tc>
        <w:tc>
          <w:tcPr/>
          <w:p>
            <w:pPr>
              <w:pStyle w:val="Compact"/>
              <w:jc w:val="left"/>
            </w:pPr>
            <w:r>
              <w:t xml:space="preserve">IF</w:t>
            </w:r>
          </w:p>
        </w:tc>
        <w:tc>
          <w:tcPr/>
          <w:p>
            <w:pPr>
              <w:pStyle w:val="Compact"/>
              <w:jc w:val="left"/>
            </w:pPr>
            <w:r>
              <w:t xml:space="preserve">NSC</w:t>
            </w:r>
          </w:p>
        </w:tc>
        <w:tc>
          <w:tcPr/>
          <w:p>
            <w:pPr>
              <w:pStyle w:val="Compact"/>
              <w:jc w:val="left"/>
            </w:pPr>
            <w:r>
              <w:t xml:space="preserve">UHML</w:t>
            </w:r>
          </w:p>
        </w:tc>
        <w:tc>
          <w:tcPr/>
          <w:p>
            <w:pPr>
              <w:pStyle w:val="Compact"/>
              <w:jc w:val="left"/>
            </w:pPr>
            <w:r>
              <w:t xml:space="preserve">Str</w:t>
            </w:r>
          </w:p>
        </w:tc>
        <w:tc>
          <w:tcPr/>
          <w:p>
            <w:pPr>
              <w:pStyle w:val="Compact"/>
              <w:jc w:val="left"/>
            </w:pPr>
            <w:r>
              <w:t xml:space="preserve">Mic</w:t>
            </w:r>
          </w:p>
        </w:tc>
      </w:tr>
      <w:tr>
        <w:tc>
          <w:tcPr/>
          <w:p>
            <w:pPr>
              <w:pStyle w:val="Compact"/>
              <w:jc w:val="left"/>
            </w:pPr>
            <w:r>
              <w:t xml:space="preserve">RF</w:t>
            </w:r>
          </w:p>
        </w:tc>
        <w:tc>
          <w:tcPr/>
          <w:p>
            <w:pPr>
              <w:pStyle w:val="Compact"/>
              <w:jc w:val="left"/>
            </w:pPr>
            <w:r>
              <w:t xml:space="preserve">.97***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RFD</w:t>
            </w:r>
          </w:p>
        </w:tc>
        <w:tc>
          <w:tcPr/>
          <w:p>
            <w:pPr>
              <w:pStyle w:val="Compact"/>
              <w:jc w:val="left"/>
            </w:pPr>
            <w:r>
              <w:t xml:space="preserve">.18</w:t>
            </w:r>
          </w:p>
        </w:tc>
        <w:tc>
          <w:tcPr/>
          <w:p>
            <w:pPr>
              <w:pStyle w:val="Compact"/>
              <w:jc w:val="left"/>
            </w:pPr>
            <w:r>
              <w:t xml:space="preserve">.41**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PC</w:t>
            </w:r>
          </w:p>
        </w:tc>
        <w:tc>
          <w:tcPr/>
          <w:p>
            <w:pPr>
              <w:pStyle w:val="Compact"/>
              <w:jc w:val="left"/>
            </w:pPr>
            <w:r>
              <w:t xml:space="preserve">.78***</w:t>
            </w:r>
          </w:p>
        </w:tc>
        <w:tc>
          <w:tcPr/>
          <w:p>
            <w:pPr>
              <w:pStyle w:val="Compact"/>
              <w:jc w:val="left"/>
            </w:pPr>
            <w:r>
              <w:t xml:space="preserve">.66***</w:t>
            </w:r>
          </w:p>
        </w:tc>
        <w:tc>
          <w:tcPr/>
          <w:p>
            <w:pPr>
              <w:pStyle w:val="Compact"/>
              <w:jc w:val="left"/>
            </w:pPr>
            <w:r>
              <w:t xml:space="preserve">-.21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NC</w:t>
            </w:r>
          </w:p>
        </w:tc>
        <w:tc>
          <w:tcPr/>
          <w:p>
            <w:pPr>
              <w:pStyle w:val="Compact"/>
              <w:jc w:val="left"/>
            </w:pPr>
            <w:r>
              <w:t xml:space="preserve">.86***</w:t>
            </w:r>
          </w:p>
        </w:tc>
        <w:tc>
          <w:tcPr/>
          <w:p>
            <w:pPr>
              <w:pStyle w:val="Compact"/>
              <w:jc w:val="left"/>
            </w:pPr>
            <w:r>
              <w:t xml:space="preserve">.91***</w:t>
            </w:r>
          </w:p>
        </w:tc>
        <w:tc>
          <w:tcPr/>
          <w:p>
            <w:pPr>
              <w:pStyle w:val="Compact"/>
              <w:jc w:val="left"/>
            </w:pPr>
            <w:r>
              <w:t xml:space="preserve">.44**</w:t>
            </w:r>
          </w:p>
        </w:tc>
        <w:tc>
          <w:tcPr/>
          <w:p>
            <w:pPr>
              <w:pStyle w:val="Compact"/>
              <w:jc w:val="left"/>
            </w:pPr>
            <w:r>
              <w:t xml:space="preserve">.37**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w:t>
            </w:r>
          </w:p>
        </w:tc>
        <w:tc>
          <w:tcPr/>
          <w:p>
            <w:pPr>
              <w:pStyle w:val="Compact"/>
              <w:jc w:val="left"/>
            </w:pPr>
            <w:r>
              <w:t xml:space="preserve">.09</w:t>
            </w:r>
          </w:p>
        </w:tc>
        <w:tc>
          <w:tcPr/>
          <w:p>
            <w:pPr>
              <w:pStyle w:val="Compact"/>
              <w:jc w:val="left"/>
            </w:pPr>
            <w:r>
              <w:t xml:space="preserve">-.09</w:t>
            </w:r>
          </w:p>
        </w:tc>
        <w:tc>
          <w:tcPr/>
          <w:p>
            <w:pPr>
              <w:pStyle w:val="Compact"/>
              <w:jc w:val="left"/>
            </w:pPr>
            <w:r>
              <w:t xml:space="preserve">-.51***</w:t>
            </w:r>
          </w:p>
        </w:tc>
        <w:tc>
          <w:tcPr/>
          <w:p>
            <w:pPr>
              <w:pStyle w:val="Compact"/>
              <w:jc w:val="left"/>
            </w:pPr>
            <w:r>
              <w:t xml:space="preserve">.54***</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IF</w:t>
            </w:r>
          </w:p>
        </w:tc>
        <w:tc>
          <w:tcPr/>
          <w:p>
            <w:pPr>
              <w:pStyle w:val="Compact"/>
              <w:jc w:val="left"/>
            </w:pPr>
            <w:r>
              <w:t xml:space="preserve">.55***</w:t>
            </w:r>
          </w:p>
        </w:tc>
        <w:tc>
          <w:tcPr/>
          <w:p>
            <w:pPr>
              <w:pStyle w:val="Compact"/>
              <w:jc w:val="left"/>
            </w:pPr>
            <w:r>
              <w:t xml:space="preserve">.63***</w:t>
            </w:r>
          </w:p>
        </w:tc>
        <w:tc>
          <w:tcPr/>
          <w:p>
            <w:pPr>
              <w:pStyle w:val="Compact"/>
              <w:jc w:val="left"/>
            </w:pPr>
            <w:r>
              <w:t xml:space="preserve">.62***</w:t>
            </w:r>
          </w:p>
        </w:tc>
        <w:tc>
          <w:tcPr/>
          <w:p>
            <w:pPr>
              <w:pStyle w:val="Compact"/>
              <w:jc w:val="left"/>
            </w:pPr>
            <w:r>
              <w:t xml:space="preserve">.47***</w:t>
            </w:r>
          </w:p>
        </w:tc>
        <w:tc>
          <w:tcPr/>
          <w:p>
            <w:pPr>
              <w:pStyle w:val="Compact"/>
              <w:jc w:val="left"/>
            </w:pPr>
            <w:r>
              <w:t xml:space="preserve">.47***</w:t>
            </w:r>
          </w:p>
        </w:tc>
        <w:tc>
          <w:tcPr/>
          <w:p>
            <w:pPr>
              <w:pStyle w:val="Compact"/>
              <w:jc w:val="left"/>
            </w:pPr>
            <w:r>
              <w:t xml:space="preserve">.28</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NSC</w:t>
            </w:r>
          </w:p>
        </w:tc>
        <w:tc>
          <w:tcPr/>
          <w:p>
            <w:pPr>
              <w:pStyle w:val="Compact"/>
              <w:jc w:val="left"/>
            </w:pPr>
            <w:r>
              <w:t xml:space="preserve">.62***</w:t>
            </w:r>
          </w:p>
        </w:tc>
        <w:tc>
          <w:tcPr/>
          <w:p>
            <w:pPr>
              <w:pStyle w:val="Compact"/>
              <w:jc w:val="left"/>
            </w:pPr>
            <w:r>
              <w:t xml:space="preserve">.54***</w:t>
            </w:r>
          </w:p>
        </w:tc>
        <w:tc>
          <w:tcPr/>
          <w:p>
            <w:pPr>
              <w:pStyle w:val="Compact"/>
              <w:jc w:val="left"/>
            </w:pPr>
            <w:r>
              <w:t xml:space="preserve">-.31*</w:t>
            </w:r>
          </w:p>
        </w:tc>
        <w:tc>
          <w:tcPr/>
          <w:p>
            <w:pPr>
              <w:pStyle w:val="Compact"/>
              <w:jc w:val="left"/>
            </w:pPr>
            <w:r>
              <w:t xml:space="preserve">.72***</w:t>
            </w:r>
          </w:p>
        </w:tc>
        <w:tc>
          <w:tcPr/>
          <w:p>
            <w:pPr>
              <w:pStyle w:val="Compact"/>
              <w:jc w:val="left"/>
            </w:pPr>
            <w:r>
              <w:t xml:space="preserve">.32*</w:t>
            </w:r>
          </w:p>
        </w:tc>
        <w:tc>
          <w:tcPr/>
          <w:p>
            <w:pPr>
              <w:pStyle w:val="Compact"/>
              <w:jc w:val="left"/>
            </w:pPr>
            <w:r>
              <w:t xml:space="preserve">.00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c>
          <w:tcPr/>
          <w:p>
            <w:pPr>
              <w:pStyle w:val="Compact"/>
            </w:pPr>
          </w:p>
        </w:tc>
      </w:tr>
      <w:tr>
        <w:tc>
          <w:tcPr/>
          <w:p>
            <w:pPr>
              <w:pStyle w:val="Compact"/>
              <w:jc w:val="left"/>
            </w:pPr>
            <w:r>
              <w:t xml:space="preserve">UHML</w:t>
            </w:r>
          </w:p>
        </w:tc>
        <w:tc>
          <w:tcPr/>
          <w:p>
            <w:pPr>
              <w:pStyle w:val="Compact"/>
              <w:jc w:val="left"/>
            </w:pPr>
            <w:r>
              <w:t xml:space="preserve">-.36*</w:t>
            </w:r>
          </w:p>
        </w:tc>
        <w:tc>
          <w:tcPr/>
          <w:p>
            <w:pPr>
              <w:pStyle w:val="Compact"/>
              <w:jc w:val="left"/>
            </w:pPr>
            <w:r>
              <w:t xml:space="preserve">-.43**</w:t>
            </w:r>
          </w:p>
        </w:tc>
        <w:tc>
          <w:tcPr/>
          <w:p>
            <w:pPr>
              <w:pStyle w:val="Compact"/>
              <w:jc w:val="left"/>
            </w:pPr>
            <w:r>
              <w:t xml:space="preserve">-.49***</w:t>
            </w:r>
          </w:p>
        </w:tc>
        <w:tc>
          <w:tcPr/>
          <w:p>
            <w:pPr>
              <w:pStyle w:val="Compact"/>
              <w:jc w:val="left"/>
            </w:pPr>
            <w:r>
              <w:t xml:space="preserve">-.09</w:t>
            </w:r>
          </w:p>
        </w:tc>
        <w:tc>
          <w:tcPr/>
          <w:p>
            <w:pPr>
              <w:pStyle w:val="Compact"/>
              <w:jc w:val="left"/>
            </w:pPr>
            <w:r>
              <w:t xml:space="preserve">-.44**</w:t>
            </w:r>
          </w:p>
        </w:tc>
        <w:tc>
          <w:tcPr/>
          <w:p>
            <w:pPr>
              <w:pStyle w:val="Compact"/>
              <w:jc w:val="left"/>
            </w:pPr>
            <w:r>
              <w:t xml:space="preserve">.12</w:t>
            </w:r>
          </w:p>
        </w:tc>
        <w:tc>
          <w:tcPr/>
          <w:p>
            <w:pPr>
              <w:pStyle w:val="Compact"/>
              <w:jc w:val="left"/>
            </w:pPr>
            <w:r>
              <w:t xml:space="preserve">-.50***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Str</w:t>
            </w:r>
          </w:p>
        </w:tc>
        <w:tc>
          <w:tcPr/>
          <w:p>
            <w:pPr>
              <w:pStyle w:val="Compact"/>
              <w:jc w:val="left"/>
            </w:pPr>
            <w:r>
              <w:t xml:space="preserve">-.25</w:t>
            </w:r>
          </w:p>
        </w:tc>
        <w:tc>
          <w:tcPr/>
          <w:p>
            <w:pPr>
              <w:pStyle w:val="Compact"/>
              <w:jc w:val="left"/>
            </w:pPr>
            <w:r>
              <w:t xml:space="preserve">-.33*</w:t>
            </w:r>
          </w:p>
        </w:tc>
        <w:tc>
          <w:tcPr/>
          <w:p>
            <w:pPr>
              <w:pStyle w:val="Compact"/>
              <w:jc w:val="left"/>
            </w:pPr>
            <w:r>
              <w:t xml:space="preserve">-.43**</w:t>
            </w:r>
          </w:p>
        </w:tc>
        <w:tc>
          <w:tcPr/>
          <w:p>
            <w:pPr>
              <w:pStyle w:val="Compact"/>
              <w:jc w:val="left"/>
            </w:pPr>
            <w:r>
              <w:t xml:space="preserve">-.01</w:t>
            </w:r>
          </w:p>
        </w:tc>
        <w:tc>
          <w:tcPr/>
          <w:p>
            <w:pPr>
              <w:pStyle w:val="Compact"/>
              <w:jc w:val="left"/>
            </w:pPr>
            <w:r>
              <w:t xml:space="preserve">-.37*</w:t>
            </w:r>
          </w:p>
        </w:tc>
        <w:tc>
          <w:tcPr/>
          <w:p>
            <w:pPr>
              <w:pStyle w:val="Compact"/>
              <w:jc w:val="left"/>
            </w:pPr>
            <w:r>
              <w:t xml:space="preserve">.41**</w:t>
            </w:r>
          </w:p>
        </w:tc>
        <w:tc>
          <w:tcPr/>
          <w:p>
            <w:pPr>
              <w:pStyle w:val="Compact"/>
              <w:jc w:val="left"/>
            </w:pPr>
            <w:r>
              <w:t xml:space="preserve">-.25</w:t>
            </w:r>
          </w:p>
        </w:tc>
        <w:tc>
          <w:tcPr/>
          <w:p>
            <w:pPr>
              <w:pStyle w:val="Compact"/>
              <w:jc w:val="left"/>
            </w:pPr>
            <w:r>
              <w:t xml:space="preserve">-.08</w:t>
            </w:r>
          </w:p>
        </w:tc>
        <w:tc>
          <w:tcPr/>
          <w:p>
            <w:pPr>
              <w:pStyle w:val="Compact"/>
              <w:jc w:val="left"/>
            </w:pPr>
            <w:r>
              <w:t xml:space="preserve">.41**</w:t>
            </w:r>
          </w:p>
        </w:tc>
        <w:tc>
          <w:tcPr/>
          <w:p>
            <w:pPr>
              <w:pStyle w:val="Compact"/>
              <w:jc w:val="left"/>
            </w:pPr>
            <w:r>
              <w:t xml:space="preserve">-</w:t>
            </w:r>
          </w:p>
        </w:tc>
        <w:tc>
          <w:tcPr/>
          <w:p>
            <w:pPr>
              <w:pStyle w:val="Compact"/>
            </w:pPr>
          </w:p>
        </w:tc>
      </w:tr>
      <w:tr>
        <w:tc>
          <w:tcPr/>
          <w:p>
            <w:pPr>
              <w:pStyle w:val="Compact"/>
              <w:jc w:val="left"/>
            </w:pPr>
            <w:r>
              <w:t xml:space="preserve">Mic</w:t>
            </w:r>
          </w:p>
        </w:tc>
        <w:tc>
          <w:tcPr/>
          <w:p>
            <w:pPr>
              <w:pStyle w:val="Compact"/>
              <w:jc w:val="left"/>
            </w:pPr>
            <w:r>
              <w:t xml:space="preserve">.85***</w:t>
            </w:r>
          </w:p>
        </w:tc>
        <w:tc>
          <w:tcPr/>
          <w:p>
            <w:pPr>
              <w:pStyle w:val="Compact"/>
              <w:jc w:val="left"/>
            </w:pPr>
            <w:r>
              <w:t xml:space="preserve">.84***</w:t>
            </w:r>
          </w:p>
        </w:tc>
        <w:tc>
          <w:tcPr/>
          <w:p>
            <w:pPr>
              <w:pStyle w:val="Compact"/>
              <w:jc w:val="left"/>
            </w:pPr>
            <w:r>
              <w:t xml:space="preserve">.32*</w:t>
            </w:r>
          </w:p>
        </w:tc>
        <w:tc>
          <w:tcPr/>
          <w:p>
            <w:pPr>
              <w:pStyle w:val="Compact"/>
              <w:jc w:val="left"/>
            </w:pPr>
            <w:r>
              <w:t xml:space="preserve">.67***</w:t>
            </w:r>
          </w:p>
        </w:tc>
        <w:tc>
          <w:tcPr/>
          <w:p>
            <w:pPr>
              <w:pStyle w:val="Compact"/>
              <w:jc w:val="left"/>
            </w:pPr>
            <w:r>
              <w:t xml:space="preserve">.75***</w:t>
            </w:r>
          </w:p>
        </w:tc>
        <w:tc>
          <w:tcPr/>
          <w:p>
            <w:pPr>
              <w:pStyle w:val="Compact"/>
              <w:jc w:val="left"/>
            </w:pPr>
            <w:r>
              <w:t xml:space="preserve">.19</w:t>
            </w:r>
          </w:p>
        </w:tc>
        <w:tc>
          <w:tcPr/>
          <w:p>
            <w:pPr>
              <w:pStyle w:val="Compact"/>
              <w:jc w:val="left"/>
            </w:pPr>
            <w:r>
              <w:t xml:space="preserve">.73***</w:t>
            </w:r>
          </w:p>
        </w:tc>
        <w:tc>
          <w:tcPr/>
          <w:p>
            <w:pPr>
              <w:pStyle w:val="Compact"/>
              <w:jc w:val="left"/>
            </w:pPr>
            <w:r>
              <w:t xml:space="preserve">.34*</w:t>
            </w:r>
          </w:p>
        </w:tc>
        <w:tc>
          <w:tcPr/>
          <w:p>
            <w:pPr>
              <w:pStyle w:val="Compact"/>
              <w:jc w:val="left"/>
            </w:pPr>
            <w:r>
              <w:t xml:space="preserve">-.52***</w:t>
            </w:r>
          </w:p>
        </w:tc>
        <w:tc>
          <w:tcPr/>
          <w:p>
            <w:pPr>
              <w:pStyle w:val="Compact"/>
              <w:jc w:val="left"/>
            </w:pPr>
            <w:r>
              <w:t xml:space="preserve">-.30*</w:t>
            </w:r>
          </w:p>
        </w:tc>
        <w:tc>
          <w:tcPr/>
          <w:p>
            <w:pPr>
              <w:pStyle w:val="Compact"/>
              <w:jc w:val="left"/>
            </w:pPr>
            <w:r>
              <w:t xml:space="preserve">-</w:t>
            </w:r>
          </w:p>
        </w:tc>
      </w:tr>
      <w:tr>
        <w:tc>
          <w:tcPr/>
          <w:p>
            <w:pPr>
              <w:pStyle w:val="Compact"/>
              <w:jc w:val="left"/>
            </w:pPr>
            <w:r>
              <w:t xml:space="preserve">IU</w:t>
            </w:r>
          </w:p>
        </w:tc>
        <w:tc>
          <w:tcPr/>
          <w:p>
            <w:pPr>
              <w:pStyle w:val="Compact"/>
              <w:jc w:val="left"/>
            </w:pPr>
            <w:r>
              <w:t xml:space="preserve">-.07</w:t>
            </w:r>
          </w:p>
        </w:tc>
        <w:tc>
          <w:tcPr/>
          <w:p>
            <w:pPr>
              <w:pStyle w:val="Compact"/>
              <w:jc w:val="left"/>
            </w:pPr>
            <w:r>
              <w:t xml:space="preserve">-.08</w:t>
            </w:r>
          </w:p>
        </w:tc>
        <w:tc>
          <w:tcPr/>
          <w:p>
            <w:pPr>
              <w:pStyle w:val="Compact"/>
              <w:jc w:val="left"/>
            </w:pPr>
            <w:r>
              <w:t xml:space="preserve">-.07</w:t>
            </w:r>
          </w:p>
        </w:tc>
        <w:tc>
          <w:tcPr/>
          <w:p>
            <w:pPr>
              <w:pStyle w:val="Compact"/>
              <w:jc w:val="left"/>
            </w:pPr>
            <w:r>
              <w:t xml:space="preserve">.09</w:t>
            </w:r>
          </w:p>
        </w:tc>
        <w:tc>
          <w:tcPr/>
          <w:p>
            <w:pPr>
              <w:pStyle w:val="Compact"/>
              <w:jc w:val="left"/>
            </w:pPr>
            <w:r>
              <w:t xml:space="preserve">-.14</w:t>
            </w:r>
          </w:p>
        </w:tc>
        <w:tc>
          <w:tcPr/>
          <w:p>
            <w:pPr>
              <w:pStyle w:val="Compact"/>
              <w:jc w:val="left"/>
            </w:pPr>
            <w:r>
              <w:t xml:space="preserve">.29*</w:t>
            </w:r>
          </w:p>
        </w:tc>
        <w:tc>
          <w:tcPr/>
          <w:p>
            <w:pPr>
              <w:pStyle w:val="Compact"/>
              <w:jc w:val="left"/>
            </w:pPr>
            <w:r>
              <w:t xml:space="preserve">.09</w:t>
            </w:r>
          </w:p>
        </w:tc>
        <w:tc>
          <w:tcPr/>
          <w:p>
            <w:pPr>
              <w:pStyle w:val="Compact"/>
              <w:jc w:val="left"/>
            </w:pPr>
            <w:r>
              <w:t xml:space="preserve">-.08</w:t>
            </w:r>
          </w:p>
        </w:tc>
        <w:tc>
          <w:tcPr/>
          <w:p>
            <w:pPr>
              <w:pStyle w:val="Compact"/>
              <w:jc w:val="left"/>
            </w:pPr>
            <w:r>
              <w:t xml:space="preserve">.40**</w:t>
            </w:r>
          </w:p>
        </w:tc>
        <w:tc>
          <w:tcPr/>
          <w:p>
            <w:pPr>
              <w:pStyle w:val="Compact"/>
              <w:jc w:val="left"/>
            </w:pPr>
            <w:r>
              <w:t xml:space="preserve">.50***</w:t>
            </w:r>
          </w:p>
        </w:tc>
        <w:tc>
          <w:tcPr/>
          <w:p>
            <w:pPr>
              <w:pStyle w:val="Compact"/>
              <w:jc w:val="left"/>
            </w:pPr>
            <w:r>
              <w:t xml:space="preserve">-.07</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2"/>
    <w:bookmarkEnd w:id="43"/>
    <w:bookmarkStart w:id="44"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44"/>
    <w:bookmarkStart w:id="45"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5"/>
    <w:bookmarkEnd w:id="46"/>
    <w:bookmarkStart w:id="53" w:name="math-sci"/>
    <w:p>
      <w:pPr>
        <w:pStyle w:val="Heading1"/>
      </w:pPr>
      <w:r>
        <w:rPr>
          <w:rStyle w:val="SectionNumber"/>
        </w:rPr>
        <w:t xml:space="preserve">2</w:t>
      </w:r>
      <w:r>
        <w:tab/>
      </w:r>
      <w:r>
        <w:t xml:space="preserve">Caracterización fisiológica</w:t>
      </w:r>
    </w:p>
    <w:bookmarkStart w:id="47"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7"/>
    <w:bookmarkStart w:id="48"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8"/>
    <w:bookmarkStart w:id="49"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9"/>
    <w:bookmarkStart w:id="50"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50"/>
    <w:bookmarkStart w:id="51"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1"/>
    <w:bookmarkStart w:id="52"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2"/>
    <w:bookmarkEnd w:id="53"/>
    <w:bookmarkStart w:id="72" w:name="ref-labels"/>
    <w:p>
      <w:pPr>
        <w:pStyle w:val="Heading1"/>
      </w:pPr>
      <w:r>
        <w:rPr>
          <w:rStyle w:val="SectionNumber"/>
        </w:rPr>
        <w:t xml:space="preserve">3</w:t>
      </w:r>
      <w:r>
        <w:tab/>
      </w:r>
      <w:r>
        <w:t xml:space="preserve">Caracterización molecular</w:t>
      </w:r>
    </w:p>
    <w:bookmarkStart w:id="54"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4"/>
    <w:bookmarkStart w:id="55"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5"/>
    <w:bookmarkStart w:id="62"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6">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3.2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3.1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3.1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1"/>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3.1: Descripción del ensayo de campo, mostrando las dos poblaciones generadas a partir del cruce en la dirección SP-41255 x BGSP-00166 y su recíproco. En el ensayo se distribuyeron al azar plantas del parental SP-41255 (1), Filial 1 (2) y del parental BGSP-00166 (3)." title="" id="58" name="Picture"/>
            <a:graphic>
              <a:graphicData uri="http://schemas.openxmlformats.org/drawingml/2006/picture">
                <pic:pic>
                  <pic:nvPicPr>
                    <pic:cNvPr descr="figure/chap3/croquis_campo.jpg" id="59" name="Picture"/>
                    <pic:cNvPicPr>
                      <a:picLocks noChangeArrowheads="1" noChangeAspect="1"/>
                    </pic:cNvPicPr>
                  </pic:nvPicPr>
                  <pic:blipFill>
                    <a:blip r:embed="rId57"/>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60" w:name="fig:img-croquis"/>
      <w:bookmarkEnd w:id="60"/>
      <w:r>
        <w:t xml:space="preserve">Figure 3.1: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61" w:name="análisis-estadístico-1"/>
    <w:p>
      <w:pPr>
        <w:pStyle w:val="Heading3"/>
      </w:pPr>
      <w:r>
        <w:rPr>
          <w:rStyle w:val="SectionNumber"/>
        </w:rPr>
        <w:t xml:space="preserve">3.3.1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61"/>
    <w:bookmarkEnd w:id="62"/>
    <w:bookmarkStart w:id="69" w:name="resultados-2"/>
    <w:p>
      <w:pPr>
        <w:pStyle w:val="Heading2"/>
      </w:pPr>
      <w:r>
        <w:rPr>
          <w:rStyle w:val="SectionNumber"/>
        </w:rPr>
        <w:t xml:space="preserve">3.4</w:t>
      </w:r>
      <w:r>
        <w:tab/>
      </w:r>
      <w:r>
        <w:t xml:space="preserve">Resultados</w:t>
      </w:r>
    </w:p>
    <w:p>
      <w:pPr>
        <w:pStyle w:val="CaptionedFigure"/>
      </w:pPr>
      <w:r>
        <w:drawing>
          <wp:inline>
            <wp:extent cx="3810000" cy="3843194"/>
            <wp:effectExtent b="0" l="0" r="0" t="0"/>
            <wp:docPr descr="Figure 3.2: Planta de los genotipos parentales SP-41255 y BGSP-00166" title="" id="64" name="Picture"/>
            <a:graphic>
              <a:graphicData uri="http://schemas.openxmlformats.org/drawingml/2006/picture">
                <pic:pic>
                  <pic:nvPicPr>
                    <pic:cNvPr descr="figure/chap3/Parentales.jpg" id="65" name="Picture"/>
                    <pic:cNvPicPr>
                      <a:picLocks noChangeArrowheads="1" noChangeAspect="1"/>
                    </pic:cNvPicPr>
                  </pic:nvPicPr>
                  <pic:blipFill>
                    <a:blip r:embed="rId63"/>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6" w:name="fig:img-parental"/>
      <w:bookmarkEnd w:id="66"/>
      <w:r>
        <w:t xml:space="preserve">Figure 3.2: Planta de los genotipos parentales SP-41255 y BGSP-00166</w:t>
      </w:r>
    </w:p>
    <w:bookmarkStart w:id="68" w:name="Xf47c9be4772caff3191b56187f27158b3d29f76"/>
    <w:p>
      <w:pPr>
        <w:pStyle w:val="Heading3"/>
      </w:pPr>
      <w:r>
        <w:rPr>
          <w:rStyle w:val="SectionNumber"/>
        </w:rPr>
        <w:t xml:space="preserve">3.4.1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67" w:name="tab:table-charac"/>
      <w:bookmarkEnd w:id="67"/>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8"/>
    <w:bookmarkEnd w:id="69"/>
    <w:bookmarkStart w:id="70"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70"/>
    <w:bookmarkStart w:id="71"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71"/>
    <w:bookmarkEnd w:id="72"/>
    <w:bookmarkStart w:id="73" w:name="conclusión-3"/>
    <w:p>
      <w:pPr>
        <w:pStyle w:val="Heading1"/>
      </w:pPr>
      <w:r>
        <w:t xml:space="preserve">Conclusión</w:t>
      </w:r>
    </w:p>
    <w:p>
      <w:pPr>
        <w:pStyle w:val="FirstParagraph"/>
      </w:pPr>
      <w:r>
        <w:t xml:space="preserve">Las conclusiones de la tesis aquí..</w:t>
      </w:r>
    </w:p>
    <w:bookmarkEnd w:id="73"/>
    <w:bookmarkStart w:id="74" w:name="appendix-apéndice"/>
    <w:p>
      <w:pPr>
        <w:pStyle w:val="Heading1"/>
      </w:pPr>
      <w:r>
        <w:t xml:space="preserve">(APPENDIX) Apéndice</w:t>
      </w:r>
    </w:p>
    <w:bookmarkEnd w:id="74"/>
    <w:bookmarkStart w:id="75"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75"/>
    <w:bookmarkStart w:id="76"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76"/>
    <w:bookmarkStart w:id="156" w:name="referencias"/>
    <w:p>
      <w:pPr>
        <w:pStyle w:val="Heading1"/>
      </w:pPr>
      <w:r>
        <w:t xml:space="preserve">Referencias</w:t>
      </w:r>
    </w:p>
    <w:p>
      <w:pPr>
        <w:pStyle w:val="FirstParagraph"/>
      </w:pPr>
    </w:p>
    <w:p>
      <w:pPr>
        <w:pStyle w:val="BodyText"/>
      </w:pPr>
    </w:p>
    <w:bookmarkStart w:id="155" w:name="refs"/>
    <w:bookmarkStart w:id="77"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77"/>
    <w:bookmarkStart w:id="79"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78">
        <w:r>
          <w:rPr>
            <w:rStyle w:val="Hyperlink"/>
          </w:rPr>
          <w:t xml:space="preserve">https://doi.org/10.1007/s00438-017-1346-9</w:t>
        </w:r>
      </w:hyperlink>
    </w:p>
    <w:bookmarkEnd w:id="79"/>
    <w:bookmarkStart w:id="81"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80">
        <w:r>
          <w:rPr>
            <w:rStyle w:val="Hyperlink"/>
          </w:rPr>
          <w:t xml:space="preserve">https://doi.org/10.1007/s10681-009-0009-2</w:t>
        </w:r>
      </w:hyperlink>
    </w:p>
    <w:bookmarkEnd w:id="81"/>
    <w:bookmarkStart w:id="82"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82"/>
    <w:bookmarkStart w:id="84"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83">
        <w:r>
          <w:rPr>
            <w:rStyle w:val="Hyperlink"/>
          </w:rPr>
          <w:t xml:space="preserve">https://doi.org/10.5772/intechopen.74513</w:t>
        </w:r>
      </w:hyperlink>
    </w:p>
    <w:bookmarkEnd w:id="84"/>
    <w:bookmarkStart w:id="86"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85">
        <w:r>
          <w:rPr>
            <w:rStyle w:val="Hyperlink"/>
          </w:rPr>
          <w:t xml:space="preserve">https://doi.org/10.1007/s11032-018-0831-0</w:t>
        </w:r>
      </w:hyperlink>
    </w:p>
    <w:bookmarkEnd w:id="86"/>
    <w:bookmarkStart w:id="88"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87">
        <w:r>
          <w:rPr>
            <w:rStyle w:val="Hyperlink"/>
          </w:rPr>
          <w:t xml:space="preserve">https://doi.org/10.2134/jpa1992.0532</w:t>
        </w:r>
      </w:hyperlink>
    </w:p>
    <w:bookmarkEnd w:id="88"/>
    <w:bookmarkStart w:id="90"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89">
        <w:r>
          <w:rPr>
            <w:rStyle w:val="Hyperlink"/>
          </w:rPr>
          <w:t xml:space="preserve">https://doi.org/10.1002/agj2.21176</w:t>
        </w:r>
      </w:hyperlink>
    </w:p>
    <w:bookmarkEnd w:id="90"/>
    <w:bookmarkStart w:id="91"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91"/>
    <w:bookmarkStart w:id="93"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92">
        <w:r>
          <w:rPr>
            <w:rStyle w:val="Hyperlink"/>
          </w:rPr>
          <w:t xml:space="preserve">https://doi.org/10.3389/fpls.2017.00086</w:t>
        </w:r>
      </w:hyperlink>
    </w:p>
    <w:bookmarkEnd w:id="93"/>
    <w:bookmarkStart w:id="95"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94">
        <w:r>
          <w:rPr>
            <w:rStyle w:val="Hyperlink"/>
          </w:rPr>
          <w:t xml:space="preserve">https://doi.org/10.1007/978-1-4899-4441-2</w:t>
        </w:r>
      </w:hyperlink>
    </w:p>
    <w:bookmarkEnd w:id="95"/>
    <w:bookmarkStart w:id="97"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96">
        <w:r>
          <w:rPr>
            <w:rStyle w:val="Hyperlink"/>
          </w:rPr>
          <w:t xml:space="preserve">https://doi.org/10.1007/978-90-481-3195-2_27</w:t>
        </w:r>
      </w:hyperlink>
    </w:p>
    <w:bookmarkEnd w:id="97"/>
    <w:bookmarkStart w:id="98"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98"/>
    <w:bookmarkStart w:id="100"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99">
        <w:r>
          <w:rPr>
            <w:rStyle w:val="Hyperlink"/>
          </w:rPr>
          <w:t xml:space="preserve">https://doi.org/10.1017/S0021859616000745</w:t>
        </w:r>
      </w:hyperlink>
    </w:p>
    <w:bookmarkEnd w:id="100"/>
    <w:bookmarkStart w:id="102"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01">
        <w:r>
          <w:rPr>
            <w:rStyle w:val="Hyperlink"/>
          </w:rPr>
          <w:t xml:space="preserve">https://doi.org/10.1111/j.1439-0523.2004.01039.x</w:t>
        </w:r>
      </w:hyperlink>
    </w:p>
    <w:bookmarkEnd w:id="102"/>
    <w:bookmarkStart w:id="104"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03">
        <w:r>
          <w:rPr>
            <w:rStyle w:val="Hyperlink"/>
          </w:rPr>
          <w:t xml:space="preserve">https://doi.org/10.3389/fpls.2018.01067</w:t>
        </w:r>
      </w:hyperlink>
    </w:p>
    <w:bookmarkEnd w:id="104"/>
    <w:bookmarkStart w:id="106"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05">
        <w:r>
          <w:rPr>
            <w:rStyle w:val="Hyperlink"/>
          </w:rPr>
          <w:t xml:space="preserve">https://doi.org/10.1007/s11032-011-9547-0</w:t>
        </w:r>
      </w:hyperlink>
    </w:p>
    <w:bookmarkEnd w:id="106"/>
    <w:bookmarkStart w:id="108"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07">
        <w:r>
          <w:rPr>
            <w:rStyle w:val="Hyperlink"/>
          </w:rPr>
          <w:t xml:space="preserve">https://doi.org/10.1007/s00438-017-1347-8</w:t>
        </w:r>
      </w:hyperlink>
    </w:p>
    <w:bookmarkEnd w:id="108"/>
    <w:bookmarkStart w:id="110"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09">
        <w:r>
          <w:rPr>
            <w:rStyle w:val="Hyperlink"/>
          </w:rPr>
          <w:t xml:space="preserve">https://doi.org/10.1007/s11099-016-0223-9</w:t>
        </w:r>
      </w:hyperlink>
    </w:p>
    <w:bookmarkEnd w:id="110"/>
    <w:bookmarkStart w:id="112"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1">
        <w:r>
          <w:rPr>
            <w:rStyle w:val="Hyperlink"/>
          </w:rPr>
          <w:t xml:space="preserve">https://doi.org/10.2134/agronmonogr24.c5</w:t>
        </w:r>
      </w:hyperlink>
    </w:p>
    <w:bookmarkEnd w:id="112"/>
    <w:bookmarkStart w:id="113"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13"/>
    <w:bookmarkStart w:id="115"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14">
        <w:r>
          <w:rPr>
            <w:rStyle w:val="Hyperlink"/>
          </w:rPr>
          <w:t xml:space="preserve">https://doi.org/10.31783/elsr.2023.92265275</w:t>
        </w:r>
      </w:hyperlink>
    </w:p>
    <w:bookmarkEnd w:id="115"/>
    <w:bookmarkStart w:id="117"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16">
        <w:r>
          <w:rPr>
            <w:rStyle w:val="Hyperlink"/>
          </w:rPr>
          <w:t xml:space="preserve">https://doi.org/10.1007/BF02670470</w:t>
        </w:r>
      </w:hyperlink>
    </w:p>
    <w:bookmarkEnd w:id="117"/>
    <w:bookmarkStart w:id="118"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18"/>
    <w:bookmarkStart w:id="119"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19"/>
    <w:bookmarkStart w:id="121"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20">
        <w:r>
          <w:rPr>
            <w:rStyle w:val="Hyperlink"/>
          </w:rPr>
          <w:t xml:space="preserve">https://doi.org/10.1371/journal.pone.0118073</w:t>
        </w:r>
      </w:hyperlink>
    </w:p>
    <w:bookmarkEnd w:id="121"/>
    <w:bookmarkStart w:id="123"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22">
        <w:r>
          <w:rPr>
            <w:rStyle w:val="Hyperlink"/>
          </w:rPr>
          <w:t xml:space="preserve">https://doi.org/10.1590/1678-4499.2017329</w:t>
        </w:r>
      </w:hyperlink>
    </w:p>
    <w:bookmarkEnd w:id="123"/>
    <w:bookmarkStart w:id="125"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24">
        <w:r>
          <w:rPr>
            <w:rStyle w:val="Hyperlink"/>
          </w:rPr>
          <w:t xml:space="preserve">https://doi.org/10.1080/01140671.2005.9514373</w:t>
        </w:r>
      </w:hyperlink>
    </w:p>
    <w:bookmarkEnd w:id="125"/>
    <w:bookmarkStart w:id="126"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26"/>
    <w:bookmarkStart w:id="128"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27">
        <w:r>
          <w:rPr>
            <w:rStyle w:val="Hyperlink"/>
          </w:rPr>
          <w:t xml:space="preserve">https://doi.org/10.1016/j.fcr.2023.109106</w:t>
        </w:r>
      </w:hyperlink>
    </w:p>
    <w:bookmarkEnd w:id="128"/>
    <w:bookmarkStart w:id="130"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29">
        <w:r>
          <w:rPr>
            <w:rStyle w:val="Hyperlink"/>
          </w:rPr>
          <w:t xml:space="preserve">https://doi.org/10.1016/j.fcr.2021.108322</w:t>
        </w:r>
      </w:hyperlink>
    </w:p>
    <w:bookmarkEnd w:id="130"/>
    <w:bookmarkStart w:id="132"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31">
        <w:r>
          <w:rPr>
            <w:rStyle w:val="Hyperlink"/>
          </w:rPr>
          <w:t xml:space="preserve">https://doi.org/10.1007/s10681-006-9338-6</w:t>
        </w:r>
      </w:hyperlink>
    </w:p>
    <w:bookmarkEnd w:id="132"/>
    <w:bookmarkStart w:id="133"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33"/>
    <w:bookmarkStart w:id="135"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34">
        <w:r>
          <w:rPr>
            <w:rStyle w:val="Hyperlink"/>
          </w:rPr>
          <w:t xml:space="preserve">https://doi.org/10.3389/fpls.2016.01576</w:t>
        </w:r>
      </w:hyperlink>
    </w:p>
    <w:bookmarkEnd w:id="135"/>
    <w:bookmarkStart w:id="137"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36">
        <w:r>
          <w:rPr>
            <w:rStyle w:val="Hyperlink"/>
          </w:rPr>
          <w:t xml:space="preserve">https://doi.org/10.1007/BF00033093</w:t>
        </w:r>
      </w:hyperlink>
    </w:p>
    <w:bookmarkEnd w:id="137"/>
    <w:bookmarkStart w:id="139"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38">
        <w:r>
          <w:rPr>
            <w:rStyle w:val="Hyperlink"/>
          </w:rPr>
          <w:t xml:space="preserve">https://doi.org/10.1016/S1673-8527(07)60005-8</w:t>
        </w:r>
      </w:hyperlink>
    </w:p>
    <w:bookmarkEnd w:id="139"/>
    <w:bookmarkStart w:id="141"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40">
        <w:r>
          <w:rPr>
            <w:rStyle w:val="Hyperlink"/>
          </w:rPr>
          <w:t xml:space="preserve">https://doi.org/10.1371/journal.pone.0130742</w:t>
        </w:r>
      </w:hyperlink>
    </w:p>
    <w:bookmarkEnd w:id="141"/>
    <w:bookmarkStart w:id="143"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42">
        <w:r>
          <w:rPr>
            <w:rStyle w:val="Hyperlink"/>
          </w:rPr>
          <w:t xml:space="preserve">https://doi.org/10.1007/s12041-014-0385-9</w:t>
        </w:r>
      </w:hyperlink>
    </w:p>
    <w:bookmarkEnd w:id="143"/>
    <w:bookmarkStart w:id="145"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44">
        <w:r>
          <w:rPr>
            <w:rStyle w:val="Hyperlink"/>
          </w:rPr>
          <w:t xml:space="preserve">https://doi.org/10.2135/cropsci1984.0011183X002400050010x</w:t>
        </w:r>
      </w:hyperlink>
    </w:p>
    <w:bookmarkEnd w:id="145"/>
    <w:bookmarkStart w:id="146"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46"/>
    <w:bookmarkStart w:id="148"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47">
        <w:r>
          <w:rPr>
            <w:rStyle w:val="Hyperlink"/>
          </w:rPr>
          <w:t xml:space="preserve">https://doi.org/10.1016/S2095-3119(13)60508-0</w:t>
        </w:r>
      </w:hyperlink>
    </w:p>
    <w:bookmarkEnd w:id="148"/>
    <w:bookmarkStart w:id="149"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49"/>
    <w:bookmarkStart w:id="150"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50"/>
    <w:bookmarkStart w:id="152"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1">
        <w:r>
          <w:rPr>
            <w:rStyle w:val="Hyperlink"/>
          </w:rPr>
          <w:t xml:space="preserve">https://doi.org/10.1007/s00122-002-1101-3</w:t>
        </w:r>
      </w:hyperlink>
    </w:p>
    <w:bookmarkEnd w:id="152"/>
    <w:bookmarkStart w:id="154"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53">
        <w:r>
          <w:rPr>
            <w:rStyle w:val="Hyperlink"/>
          </w:rPr>
          <w:t xml:space="preserve">https://doi.org/10.1007/s10681-005-4629-x</w:t>
        </w:r>
      </w:hyperlink>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63" Target="media/rId63.jpg" /><Relationship Type="http://schemas.openxmlformats.org/officeDocument/2006/relationships/image" Id="rId57" Target="media/rId57.jpg" /><Relationship Type="http://schemas.openxmlformats.org/officeDocument/2006/relationships/hyperlink" Id="rId56" Target="http://www.cottongen.org" TargetMode="External" /><Relationship Type="http://schemas.openxmlformats.org/officeDocument/2006/relationships/hyperlink" Id="rId89" Target="https://doi.org/10.1002/agj2.21176" TargetMode="External" /><Relationship Type="http://schemas.openxmlformats.org/officeDocument/2006/relationships/hyperlink" Id="rId94" Target="https://doi.org/10.1007/978-1-4899-4441-2" TargetMode="External" /><Relationship Type="http://schemas.openxmlformats.org/officeDocument/2006/relationships/hyperlink" Id="rId96" Target="https://doi.org/10.1007/978-90-481-3195-2_27" TargetMode="External" /><Relationship Type="http://schemas.openxmlformats.org/officeDocument/2006/relationships/hyperlink" Id="rId136" Target="https://doi.org/10.1007/BF00033093" TargetMode="External" /><Relationship Type="http://schemas.openxmlformats.org/officeDocument/2006/relationships/hyperlink" Id="rId116" Target="https://doi.org/10.1007/BF02670470" TargetMode="External" /><Relationship Type="http://schemas.openxmlformats.org/officeDocument/2006/relationships/hyperlink" Id="rId151" Target="https://doi.org/10.1007/s00122-002-1101-3" TargetMode="External" /><Relationship Type="http://schemas.openxmlformats.org/officeDocument/2006/relationships/hyperlink" Id="rId78" Target="https://doi.org/10.1007/s00438-017-1346-9" TargetMode="External" /><Relationship Type="http://schemas.openxmlformats.org/officeDocument/2006/relationships/hyperlink" Id="rId107" Target="https://doi.org/10.1007/s00438-017-1347-8" TargetMode="External" /><Relationship Type="http://schemas.openxmlformats.org/officeDocument/2006/relationships/hyperlink" Id="rId153" Target="https://doi.org/10.1007/s10681-005-4629-x" TargetMode="External" /><Relationship Type="http://schemas.openxmlformats.org/officeDocument/2006/relationships/hyperlink" Id="rId131" Target="https://doi.org/10.1007/s10681-006-9338-6" TargetMode="External" /><Relationship Type="http://schemas.openxmlformats.org/officeDocument/2006/relationships/hyperlink" Id="rId80" Target="https://doi.org/10.1007/s10681-009-0009-2" TargetMode="External" /><Relationship Type="http://schemas.openxmlformats.org/officeDocument/2006/relationships/hyperlink" Id="rId105" Target="https://doi.org/10.1007/s11032-011-9547-0" TargetMode="External" /><Relationship Type="http://schemas.openxmlformats.org/officeDocument/2006/relationships/hyperlink" Id="rId85" Target="https://doi.org/10.1007/s11032-018-0831-0" TargetMode="External" /><Relationship Type="http://schemas.openxmlformats.org/officeDocument/2006/relationships/hyperlink" Id="rId109" Target="https://doi.org/10.1007/s11099-016-0223-9" TargetMode="External" /><Relationship Type="http://schemas.openxmlformats.org/officeDocument/2006/relationships/hyperlink" Id="rId142" Target="https://doi.org/10.1007/s12041-014-0385-9" TargetMode="External" /><Relationship Type="http://schemas.openxmlformats.org/officeDocument/2006/relationships/hyperlink" Id="rId138" Target="https://doi.org/10.1016/S1673-8527(07)60005-8" TargetMode="External" /><Relationship Type="http://schemas.openxmlformats.org/officeDocument/2006/relationships/hyperlink" Id="rId147" Target="https://doi.org/10.1016/S2095-3119(13)60508-0" TargetMode="External" /><Relationship Type="http://schemas.openxmlformats.org/officeDocument/2006/relationships/hyperlink" Id="rId129" Target="https://doi.org/10.1016/j.fcr.2021.108322" TargetMode="External" /><Relationship Type="http://schemas.openxmlformats.org/officeDocument/2006/relationships/hyperlink" Id="rId127" Target="https://doi.org/10.1016/j.fcr.2023.109106" TargetMode="External" /><Relationship Type="http://schemas.openxmlformats.org/officeDocument/2006/relationships/hyperlink" Id="rId99" Target="https://doi.org/10.1017/S0021859616000745" TargetMode="External" /><Relationship Type="http://schemas.openxmlformats.org/officeDocument/2006/relationships/hyperlink" Id="rId124" Target="https://doi.org/10.1080/01140671.2005.9514373" TargetMode="External" /><Relationship Type="http://schemas.openxmlformats.org/officeDocument/2006/relationships/hyperlink" Id="rId101" Target="https://doi.org/10.1111/j.1439-0523.2004.01039.x" TargetMode="External" /><Relationship Type="http://schemas.openxmlformats.org/officeDocument/2006/relationships/hyperlink" Id="rId120" Target="https://doi.org/10.1371/journal.pone.0118073" TargetMode="External" /><Relationship Type="http://schemas.openxmlformats.org/officeDocument/2006/relationships/hyperlink" Id="rId140" Target="https://doi.org/10.1371/journal.pone.0130742" TargetMode="External" /><Relationship Type="http://schemas.openxmlformats.org/officeDocument/2006/relationships/hyperlink" Id="rId122" Target="https://doi.org/10.1590/1678-4499.2017329" TargetMode="External" /><Relationship Type="http://schemas.openxmlformats.org/officeDocument/2006/relationships/hyperlink" Id="rId111" Target="https://doi.org/10.2134/agronmonogr24.c5" TargetMode="External" /><Relationship Type="http://schemas.openxmlformats.org/officeDocument/2006/relationships/hyperlink" Id="rId87" Target="https://doi.org/10.2134/jpa1992.0532" TargetMode="External" /><Relationship Type="http://schemas.openxmlformats.org/officeDocument/2006/relationships/hyperlink" Id="rId144" Target="https://doi.org/10.2135/cropsci1984.0011183X002400050010x" TargetMode="External" /><Relationship Type="http://schemas.openxmlformats.org/officeDocument/2006/relationships/hyperlink" Id="rId114" Target="https://doi.org/10.31783/elsr.2023.92265275" TargetMode="External" /><Relationship Type="http://schemas.openxmlformats.org/officeDocument/2006/relationships/hyperlink" Id="rId134" Target="https://doi.org/10.3389/fpls.2016.01576" TargetMode="External" /><Relationship Type="http://schemas.openxmlformats.org/officeDocument/2006/relationships/hyperlink" Id="rId92" Target="https://doi.org/10.3389/fpls.2017.00086" TargetMode="External" /><Relationship Type="http://schemas.openxmlformats.org/officeDocument/2006/relationships/hyperlink" Id="rId103" Target="https://doi.org/10.3389/fpls.2018.01067" TargetMode="External" /><Relationship Type="http://schemas.openxmlformats.org/officeDocument/2006/relationships/hyperlink" Id="rId83"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6" Target="http://www.cottongen.org" TargetMode="External" /><Relationship Type="http://schemas.openxmlformats.org/officeDocument/2006/relationships/hyperlink" Id="rId89" Target="https://doi.org/10.1002/agj2.21176" TargetMode="External" /><Relationship Type="http://schemas.openxmlformats.org/officeDocument/2006/relationships/hyperlink" Id="rId94" Target="https://doi.org/10.1007/978-1-4899-4441-2" TargetMode="External" /><Relationship Type="http://schemas.openxmlformats.org/officeDocument/2006/relationships/hyperlink" Id="rId96" Target="https://doi.org/10.1007/978-90-481-3195-2_27" TargetMode="External" /><Relationship Type="http://schemas.openxmlformats.org/officeDocument/2006/relationships/hyperlink" Id="rId136" Target="https://doi.org/10.1007/BF00033093" TargetMode="External" /><Relationship Type="http://schemas.openxmlformats.org/officeDocument/2006/relationships/hyperlink" Id="rId116" Target="https://doi.org/10.1007/BF02670470" TargetMode="External" /><Relationship Type="http://schemas.openxmlformats.org/officeDocument/2006/relationships/hyperlink" Id="rId151" Target="https://doi.org/10.1007/s00122-002-1101-3" TargetMode="External" /><Relationship Type="http://schemas.openxmlformats.org/officeDocument/2006/relationships/hyperlink" Id="rId78" Target="https://doi.org/10.1007/s00438-017-1346-9" TargetMode="External" /><Relationship Type="http://schemas.openxmlformats.org/officeDocument/2006/relationships/hyperlink" Id="rId107" Target="https://doi.org/10.1007/s00438-017-1347-8" TargetMode="External" /><Relationship Type="http://schemas.openxmlformats.org/officeDocument/2006/relationships/hyperlink" Id="rId153" Target="https://doi.org/10.1007/s10681-005-4629-x" TargetMode="External" /><Relationship Type="http://schemas.openxmlformats.org/officeDocument/2006/relationships/hyperlink" Id="rId131" Target="https://doi.org/10.1007/s10681-006-9338-6" TargetMode="External" /><Relationship Type="http://schemas.openxmlformats.org/officeDocument/2006/relationships/hyperlink" Id="rId80" Target="https://doi.org/10.1007/s10681-009-0009-2" TargetMode="External" /><Relationship Type="http://schemas.openxmlformats.org/officeDocument/2006/relationships/hyperlink" Id="rId105" Target="https://doi.org/10.1007/s11032-011-9547-0" TargetMode="External" /><Relationship Type="http://schemas.openxmlformats.org/officeDocument/2006/relationships/hyperlink" Id="rId85" Target="https://doi.org/10.1007/s11032-018-0831-0" TargetMode="External" /><Relationship Type="http://schemas.openxmlformats.org/officeDocument/2006/relationships/hyperlink" Id="rId109" Target="https://doi.org/10.1007/s11099-016-0223-9" TargetMode="External" /><Relationship Type="http://schemas.openxmlformats.org/officeDocument/2006/relationships/hyperlink" Id="rId142" Target="https://doi.org/10.1007/s12041-014-0385-9" TargetMode="External" /><Relationship Type="http://schemas.openxmlformats.org/officeDocument/2006/relationships/hyperlink" Id="rId138" Target="https://doi.org/10.1016/S1673-8527(07)60005-8" TargetMode="External" /><Relationship Type="http://schemas.openxmlformats.org/officeDocument/2006/relationships/hyperlink" Id="rId147" Target="https://doi.org/10.1016/S2095-3119(13)60508-0" TargetMode="External" /><Relationship Type="http://schemas.openxmlformats.org/officeDocument/2006/relationships/hyperlink" Id="rId129" Target="https://doi.org/10.1016/j.fcr.2021.108322" TargetMode="External" /><Relationship Type="http://schemas.openxmlformats.org/officeDocument/2006/relationships/hyperlink" Id="rId127" Target="https://doi.org/10.1016/j.fcr.2023.109106" TargetMode="External" /><Relationship Type="http://schemas.openxmlformats.org/officeDocument/2006/relationships/hyperlink" Id="rId99" Target="https://doi.org/10.1017/S0021859616000745" TargetMode="External" /><Relationship Type="http://schemas.openxmlformats.org/officeDocument/2006/relationships/hyperlink" Id="rId124" Target="https://doi.org/10.1080/01140671.2005.9514373" TargetMode="External" /><Relationship Type="http://schemas.openxmlformats.org/officeDocument/2006/relationships/hyperlink" Id="rId101" Target="https://doi.org/10.1111/j.1439-0523.2004.01039.x" TargetMode="External" /><Relationship Type="http://schemas.openxmlformats.org/officeDocument/2006/relationships/hyperlink" Id="rId120" Target="https://doi.org/10.1371/journal.pone.0118073" TargetMode="External" /><Relationship Type="http://schemas.openxmlformats.org/officeDocument/2006/relationships/hyperlink" Id="rId140" Target="https://doi.org/10.1371/journal.pone.0130742" TargetMode="External" /><Relationship Type="http://schemas.openxmlformats.org/officeDocument/2006/relationships/hyperlink" Id="rId122" Target="https://doi.org/10.1590/1678-4499.2017329" TargetMode="External" /><Relationship Type="http://schemas.openxmlformats.org/officeDocument/2006/relationships/hyperlink" Id="rId111" Target="https://doi.org/10.2134/agronmonogr24.c5" TargetMode="External" /><Relationship Type="http://schemas.openxmlformats.org/officeDocument/2006/relationships/hyperlink" Id="rId87" Target="https://doi.org/10.2134/jpa1992.0532" TargetMode="External" /><Relationship Type="http://schemas.openxmlformats.org/officeDocument/2006/relationships/hyperlink" Id="rId144" Target="https://doi.org/10.2135/cropsci1984.0011183X002400050010x" TargetMode="External" /><Relationship Type="http://schemas.openxmlformats.org/officeDocument/2006/relationships/hyperlink" Id="rId114" Target="https://doi.org/10.31783/elsr.2023.92265275" TargetMode="External" /><Relationship Type="http://schemas.openxmlformats.org/officeDocument/2006/relationships/hyperlink" Id="rId134" Target="https://doi.org/10.3389/fpls.2016.01576" TargetMode="External" /><Relationship Type="http://schemas.openxmlformats.org/officeDocument/2006/relationships/hyperlink" Id="rId92" Target="https://doi.org/10.3389/fpls.2017.00086" TargetMode="External" /><Relationship Type="http://schemas.openxmlformats.org/officeDocument/2006/relationships/hyperlink" Id="rId103" Target="https://doi.org/10.3389/fpls.2018.01067" TargetMode="External" /><Relationship Type="http://schemas.openxmlformats.org/officeDocument/2006/relationships/hyperlink" Id="rId83"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2025-02-10T18:22:23Z</dcterms:created>
  <dcterms:modified xsi:type="dcterms:W3CDTF">2025-02-10T18:22:23Z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