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Override PartName="/word/media/rId53.png" ContentType="image/png"/>
  <Override PartName="/word/media/rId39.png" ContentType="image/png"/>
  <Override PartName="/word/media/rId46.png" ContentType="image/png"/>
  <Override PartName="/word/media/rId79.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1.6</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69"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6"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este estudio se realizó una caracterización inicial de 26 entradas (Tabla</w:t>
      </w:r>
      <w:r>
        <w:t xml:space="preserve"> </w:t>
      </w:r>
      <w:r>
        <w:t xml:space="preserve">1.1</w:t>
      </w:r>
      <w:r>
        <w:t xml:space="preserve">) de algodón (Gossypium hirsutum L.) provenientes del banco de germoplasma, siguiendo un diseño experimental en bloques completos al azar con tres repeticiones. La selección de las accesiones se llevó a cabo considerando la diversidad de sus orígenes geográficos, incluyendo países como Argentina, Australia, Camerún, Chad, China, Costa de Marfil, Estados Unidos, Pakistán y Senegal. Además, se tomó en cuenta la presencia de características morfológicas contrastantes, según los datos proporcionados por el banco de germoplasma.</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Las variables que se mencionan a continuación fueron registradas con la siguiente metodología:</w:t>
      </w:r>
    </w:p>
    <w:p>
      <w:pPr>
        <w:numPr>
          <w:ilvl w:val="0"/>
          <w:numId w:val="1002"/>
        </w:numPr>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con cuatro repeticiones. Los equipos utilizados para las mediciones propuestas fueron a) Fotosíntesis: LICOR 6400; b) Contenido de clorofila: Minolta SPAD 502; c) Apertura y cierre estomático: LICOR 6400.</w:t>
      </w:r>
    </w:p>
    <w:p>
      <w:pPr>
        <w:numPr>
          <w:ilvl w:val="0"/>
          <w:numId w:val="1002"/>
        </w:numPr>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 anteriormente en el apartado</w:t>
      </w:r>
      <w:r>
        <w:t xml:space="preserve"> </w:t>
      </w:r>
      <w:r>
        <w:t xml:space="preserve">“</w:t>
      </w:r>
      <w:r>
        <w:t xml:space="preserve">Caracterización morfológica de 26 entradas de algodón</w:t>
      </w:r>
      <w:r>
        <w:t xml:space="preserve">”</w:t>
      </w:r>
      <w:r>
        <w:t xml:space="preserve"> </w:t>
      </w:r>
      <w:r>
        <w:t xml:space="preserve">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numPr>
          <w:ilvl w:val="0"/>
          <w:numId w:val="1002"/>
        </w:numPr>
      </w:pPr>
      <w:r>
        <w:t xml:space="preserve">Por otra parte, se realizaron muestreos destructivos de plantas para la determinación de materia seca y partición de los asimilados. Los cortes se realizaron en cuatro momentos, correspondientes a los estados fenológicos primer pimpollo, primera flor, primera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como parcela principal y las entradas como subparcela, con cuatro repeticiones. En estos cuatros momentos mencionados también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5" w:name="análisis-estadístico"/>
    <w:p>
      <w:pPr>
        <w:pStyle w:val="Heading3"/>
      </w:pPr>
      <w:r>
        <w:rPr>
          <w:rStyle w:val="SectionNumber"/>
        </w:rPr>
        <w:t xml:space="preserve">1.3.3</w:t>
      </w:r>
      <w:r>
        <w:tab/>
      </w:r>
      <w:r>
        <w:t xml:space="preserve">Análisis estadístico</w:t>
      </w:r>
    </w:p>
    <w:bookmarkStart w:id="33" w:name="X3bffa6b9ccf60cd7295f3e22e1612a89152e666"/>
    <w:p>
      <w:pPr>
        <w:pStyle w:val="Heading4"/>
      </w:pPr>
      <w:r>
        <w:rPr>
          <w:rStyle w:val="SectionNumber"/>
        </w:rPr>
        <w:t xml:space="preserve">1.3.3.1</w:t>
      </w:r>
      <w:r>
        <w:tab/>
      </w:r>
      <w:r>
        <w:t xml:space="preserve">Caracterización morfológica de 26 entradas de algodón</w:t>
      </w:r>
    </w:p>
    <w:p>
      <w:pPr>
        <w:pStyle w:val="FirstParagraph"/>
      </w:pPr>
      <w:r>
        <w:t xml:space="preserve">Para las características morfológicas cualitativas, se analizaron las frecuencias relativas de cada descriptor evaluado en las entradas del banco de germoplasma. En las características cuantitativas, se realizó un análisis de varianza (ANOVA) para determinar la significancia de las diferencias observadas entre las entradas en los parámetros evaluados. Los parámetros con diferencias significativas fueron sometidos a comparaciones múltiples mediante la prueba L.S.D. de Fisher (p ≤ 0.05). Además, se llevó a cabo un análisis de conglomerados jerárquicos utilizando la métrica de distancia de Gower y el método Ward.D, integrando las características cualitativas y cuantitativas. Este análisis permitió identificar agrupaciones homogéneas de entradas, lo cual se visualizó en dendrogramas. Para facilitar la interpretación de las relaciones entre las entradas, se utilizó un mapa de calor que incluye clustering en filas y columnas. Los análisis fueron realizados empleando el software estadístico R (versión 4.4.2) junto con paquetes como cluster, dplyr y ComplexHeatmap.</w:t>
      </w:r>
    </w:p>
    <w:bookmarkEnd w:id="33"/>
    <w:bookmarkStart w:id="34" w:name="X7ce8b588c28808dd6ba52a283070043269a307d"/>
    <w:p>
      <w:pPr>
        <w:pStyle w:val="Heading4"/>
      </w:pPr>
      <w:r>
        <w:rPr>
          <w:rStyle w:val="SectionNumber"/>
        </w:rPr>
        <w:t xml:space="preserve">1.3.3.2</w:t>
      </w:r>
      <w:r>
        <w:tab/>
      </w:r>
      <w:r>
        <w:t xml:space="preserve">Caracterización de ocho entradas seleccionadas de algodón</w:t>
      </w:r>
    </w:p>
    <w:p>
      <w:pPr>
        <w:pStyle w:val="FirstParagraph"/>
      </w:pPr>
      <w:r>
        <w:t xml:space="preserve">Para evaluar las diferencias entre las entradas seleccionadas de algodón (Gossypium hirsutum L.) en términos de rendimiento, componentes del rendimiento y calidad de fibra, se utilizaron modelos lineales mixtos (LMM, por sus siglas en inglés). El análisis de varianza (ANOVA) se llevó a cabo con el paquete nlme en R, empleando la metodología de Máxima Verosimilitud Restringida (REML). Los modelos incluyeron las entradas como efecto fijo y consideraron como efectos aleatorios el experimento y la repetición, con el propósito de controlar la variabilidad inherente a estas fuentes. Para identificar diferencias significativas entre las medias de las entradas (p ≤ 0.05), se realizaron comparaciones múltiples mediante el método de Mínima Diferencia Significativa (LSD, por sus siglas en inglés), utilizando la biblioteca predictmeans.</w:t>
      </w:r>
    </w:p>
    <w:p>
      <w:pPr>
        <w:pStyle w:val="BodyText"/>
      </w:pPr>
      <w:r>
        <w:t xml:space="preserve">Además, para explorar las asociaciones entre los caracteres medidos y reducir la dimensionalidad de los datos, se llevó a cabo un análisis de componentes principales (PCA). Las correlaciones entre caracteres se evaluaron mediante el coeficiente de correlación de Spearman, clasificándolas como fuertes, moderadas o bajas según su magnitud.</w:t>
      </w:r>
    </w:p>
    <w:p>
      <w:pPr>
        <w:pStyle w:val="BodyText"/>
      </w:pPr>
      <w:r>
        <w:t xml:space="preserve">Para evaluar la influencia de las entradas y los momentos de medición sobre la biomasa total, su partición y la retención de estructuras reproductivas, se emplearon modelos lineales mixtos (LMM) adaptados para un diseño en bloques en parcelas divididas, utilizando el paquete nlme en R. Los factores Momento, Entradas y su interacción (Momento:Entradas) se incluyeron como efectos fijos, mientras que los efectos aleatorios consideraron el experimento, los bloques y los momentos (parcela principal). Este enfoque permitió capturar adecuadamente la variabilidad en los datos y modelar las diferencias entre parcelas y subparcelas. Además, se implementaron estructuras de varianza específicas (varIdent) para abordar la heterogeneidad entre los momentos de medición.</w:t>
      </w:r>
    </w:p>
    <w:p>
      <w:pPr>
        <w:pStyle w:val="BodyText"/>
      </w:pPr>
      <w:r>
        <w:t xml:space="preserve">Para el análisis de rasgos fisiológicos, se abordaron como medidas repetidas en el tiempo. Los modelos evaluaron la influencia de los días después de la emergencia (DDE), las entradas y su interacción (DDE:Entradas) como efectos fijos, mientras que los efectos aleatorios incluyeron bloque e individuo para capturar la variabilidad experimental. Este análisis permitió estudiar las diferencias entre entradas y su comportamiento dinámico a lo largo del tiempo, incorporando estructuras específicas para manejar datos longitudinales.</w:t>
      </w:r>
    </w:p>
    <w:bookmarkEnd w:id="34"/>
    <w:bookmarkEnd w:id="35"/>
    <w:bookmarkEnd w:id="36"/>
    <w:bookmarkStart w:id="66" w:name="resultados"/>
    <w:p>
      <w:pPr>
        <w:pStyle w:val="Heading2"/>
      </w:pPr>
      <w:r>
        <w:rPr>
          <w:rStyle w:val="SectionNumber"/>
        </w:rPr>
        <w:t xml:space="preserve">1.4</w:t>
      </w:r>
      <w:r>
        <w:tab/>
      </w:r>
      <w:r>
        <w:t xml:space="preserve">Resultados</w:t>
      </w:r>
    </w:p>
    <w:bookmarkStart w:id="44"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8"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7" w:name="tab:tabla-descriptores"/>
      <w:bookmarkEnd w:id="37"/>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8"/>
    <w:bookmarkStart w:id="43"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t xml:space="preserve">En la Figura</w:t>
      </w:r>
      <w:r>
        <w:t xml:space="preserve"> </w:t>
      </w:r>
      <w:r>
        <w:t xml:space="preserve">1.1</w:t>
      </w:r>
      <w:r>
        <w:t xml:space="preserve"> </w:t>
      </w:r>
      <w:r>
        <w:t xml:space="preserve">se muestra un</w:t>
      </w:r>
      <w:r>
        <w:t xml:space="preserve"> </w:t>
      </w:r>
      <w:r>
        <w:rPr>
          <w:i/>
          <w:iCs/>
        </w:rPr>
        <w:t xml:space="preserve">heatmap</w:t>
      </w:r>
      <w:r>
        <w:t xml:space="preserve"> </w:t>
      </w:r>
      <w:r>
        <w:t xml:space="preserve">que representa las distancias calculadas mediante la métrica de</w:t>
      </w:r>
      <w:r>
        <w:t xml:space="preserve"> </w:t>
      </w:r>
      <w:r>
        <w:rPr>
          <w:i/>
          <w:iCs/>
        </w:rPr>
        <w:t xml:space="preserve">Gower</w:t>
      </w:r>
      <w:r>
        <w:t xml:space="preserve">, acompañado de los dendrogramas correspondientes, los cuales fueron generados mediante el análisis jerárquico de conglomerados utilizando el método de agrupamiento</w:t>
      </w:r>
      <w:r>
        <w:t xml:space="preserve"> </w:t>
      </w:r>
      <w:r>
        <w:rPr>
          <w:i/>
          <w:iCs/>
        </w:rPr>
        <w:t xml:space="preserve">Ward.D</w:t>
      </w:r>
      <w:r>
        <w:t xml:space="preserve">. Esta herramienta fue utilizada para la identificación y selección de entradas contrastantes para profundizar el estudio. A partir de los patrones observados, se distinguieron dos agrupamientos principales, y se seleccionaron ocho accesiones señaladas con un asterisco: cuatro provenientes de un agrupamiento y las otras cuatro del segundo, asegurando una representación adecuada de la diversidad morfológica presente en las entradas evaluadas.</w:t>
      </w:r>
    </w:p>
    <w:p>
      <w:pPr>
        <w:pStyle w:val="CaptionedFigure"/>
      </w:pPr>
      <w:r>
        <w:drawing>
          <wp:inline>
            <wp:extent cx="4620126" cy="3696101"/>
            <wp:effectExtent b="0" l="0" r="0" t="0"/>
            <wp:docPr descr="Figure 1.1: Heatmap que muestra las distancias calculadas entre los datos utilizando la métrica de Gower." title="" id="40" name="Picture"/>
            <a:graphic>
              <a:graphicData uri="http://schemas.openxmlformats.org/drawingml/2006/picture">
                <pic:pic>
                  <pic:nvPicPr>
                    <pic:cNvPr descr="Tesis_Dileo_files/figure-docx/cluster-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2" w:name="fig:cluster"/>
      <w:bookmarkEnd w:id="42"/>
      <w:r>
        <w:t xml:space="preserve">Figure 1.1: Heatmap que muestra las distancias calculadas entre los datos utilizando la métrica de Gower.</w:t>
      </w:r>
    </w:p>
    <w:bookmarkEnd w:id="43"/>
    <w:bookmarkEnd w:id="44"/>
    <w:bookmarkStart w:id="65"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51"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evaluación más detallada de las características de rendimiento y calidad de fibra se indican con un asterisco en la Tabla</w:t>
      </w:r>
      <w:r>
        <w:t xml:space="preserve"> </w:t>
      </w:r>
      <w:r>
        <w:t xml:space="preserve">1.1</w:t>
      </w:r>
      <w:r>
        <w:t xml:space="preserve">. La selección se llevó a cabo considerando principalmente aquellas entradas que pertenecen a agrupamientos distintos según el análisis jerárquico de conglomerados (Figura</w:t>
      </w:r>
      <w:r>
        <w:t xml:space="preserve"> </w:t>
      </w:r>
      <w:r>
        <w:t xml:space="preserve">1.1</w:t>
      </w:r>
      <w:r>
        <w:t xml:space="preserve">), así como los datos presentados en la Tabla</w:t>
      </w:r>
      <w:r>
        <w:t xml:space="preserve"> </w:t>
      </w:r>
      <w:r>
        <w:t xml:space="preserve">??</w:t>
      </w:r>
      <w:r>
        <w:t xml:space="preserve">. Se priorizó la elección de entradas con contrastes significativos en términos de rendimiento y sus componentes, especialmente RFD, además de calidad de fibra. Asimismo, se incluyeron algunas accesiones con baja NRV y una estructura de canopia compacta, como en el caso de la entrada BGSP-00166.</w:t>
      </w:r>
    </w:p>
    <w:p>
      <w:pPr>
        <w:pStyle w:val="TableCaption"/>
      </w:pPr>
      <w:bookmarkStart w:id="45" w:name="tab:table-charac"/>
      <w:bookmarkEnd w:id="4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análisis de componentes principales incluyendo todas las variables, el primer componente principal explicó el 45,6% de la varianza de los datos, mientras que el segundo componente principal explicó el 21,9% (Figura</w:t>
      </w:r>
      <w:r>
        <w:t xml:space="preserve"> </w:t>
      </w:r>
      <w:r>
        <w:t xml:space="preserve">1.2</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2: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7" name="Picture"/>
            <a:graphic>
              <a:graphicData uri="http://schemas.openxmlformats.org/drawingml/2006/picture">
                <pic:pic>
                  <pic:nvPicPr>
                    <pic:cNvPr descr="figure/chap1/Para_compuestas/PCA_juntas.png" id="48" name="Picture"/>
                    <pic:cNvPicPr>
                      <a:picLocks noChangeArrowheads="1" noChangeAspect="1"/>
                    </pic:cNvPicPr>
                  </pic:nvPicPr>
                  <pic:blipFill>
                    <a:blip r:embed="rId4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9" w:name="fig:img-PC"/>
      <w:bookmarkEnd w:id="49"/>
      <w:r>
        <w:t xml:space="preserve">Figure 1.2: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50" w:name="tab:correlation-greenhouse"/>
      <w:bookmarkEnd w:id="5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51"/>
    <w:bookmarkStart w:id="64"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TableCaption"/>
      </w:pPr>
      <w:bookmarkStart w:id="52" w:name="tab:Anova-biomasa-particion-rep2"/>
      <w:bookmarkEnd w:id="52"/>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5082138" cy="4620126"/>
            <wp:effectExtent b="0" l="0" r="0" t="0"/>
            <wp:docPr descr="" title="" id="54" name="Picture"/>
            <a:graphic>
              <a:graphicData uri="http://schemas.openxmlformats.org/drawingml/2006/picture">
                <pic:pic>
                  <pic:nvPicPr>
                    <pic:cNvPr descr="Tesis_Dileo_files/figure-docx/Graficos-biomasa-1.png" id="55" name="Picture"/>
                    <pic:cNvPicPr>
                      <a:picLocks noChangeArrowheads="1" noChangeAspect="1"/>
                    </pic:cNvPicPr>
                  </pic:nvPicPr>
                  <pic:blipFill>
                    <a:blip r:embed="rId53"/>
                    <a:stretch>
                      <a:fillRect/>
                    </a:stretch>
                  </pic:blipFill>
                  <pic:spPr bwMode="auto">
                    <a:xfrm>
                      <a:off x="0" y="0"/>
                      <a:ext cx="5082138" cy="4620126"/>
                    </a:xfrm>
                    <a:prstGeom prst="rect">
                      <a:avLst/>
                    </a:prstGeom>
                    <a:noFill/>
                    <a:ln w="9525">
                      <a:noFill/>
                      <a:headEnd/>
                      <a:tailEnd/>
                    </a:ln>
                  </pic:spPr>
                </pic:pic>
              </a:graphicData>
            </a:graphic>
          </wp:inline>
        </w:drawing>
      </w:r>
    </w:p>
    <w:p>
      <w:pPr>
        <w:pStyle w:val="BodyText"/>
      </w:pPr>
      <w:r>
        <w:t xml:space="preserve">Retención global</w:t>
      </w:r>
    </w:p>
    <w:p>
      <w:pPr>
        <w:pStyle w:val="TableCaption"/>
      </w:pPr>
      <w:bookmarkStart w:id="56" w:name="tab:Anova-retencion"/>
      <w:bookmarkEnd w:id="56"/>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5082138" cy="3696101"/>
            <wp:effectExtent b="0" l="0" r="0" t="0"/>
            <wp:docPr descr="" title="" id="58" name="Picture"/>
            <a:graphic>
              <a:graphicData uri="http://schemas.openxmlformats.org/drawingml/2006/picture">
                <pic:pic>
                  <pic:nvPicPr>
                    <pic:cNvPr descr="Tesis_Dileo_files/figure-docx/Anova-retencion-1.png" id="59" name="Picture"/>
                    <pic:cNvPicPr>
                      <a:picLocks noChangeArrowheads="1" noChangeAspect="1"/>
                    </pic:cNvPicPr>
                  </pic:nvPicPr>
                  <pic:blipFill>
                    <a:blip r:embed="rId57"/>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Fotosíntesis, conductancia estomática y SPAD</w:t>
      </w:r>
    </w:p>
    <w:p>
      <w:pPr>
        <w:pStyle w:val="TableCaption"/>
      </w:pPr>
      <w:bookmarkStart w:id="60" w:name="tab:Anova-retencion"/>
      <w:bookmarkEnd w:id="6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Fotosintesis,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conductancia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estomatica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0.2814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0.5085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0.0122</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0.0046</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5082138" cy="3234088"/>
            <wp:effectExtent b="0" l="0" r="0" t="0"/>
            <wp:docPr descr="" title="" id="62" name="Picture"/>
            <a:graphic>
              <a:graphicData uri="http://schemas.openxmlformats.org/drawingml/2006/picture">
                <pic:pic>
                  <pic:nvPicPr>
                    <pic:cNvPr descr="Tesis_Dileo_files/figure-docx/Anova-fotosintesis-cond-spad-1.png" id="63" name="Picture"/>
                    <pic:cNvPicPr>
                      <a:picLocks noChangeArrowheads="1" noChangeAspect="1"/>
                    </pic:cNvPicPr>
                  </pic:nvPicPr>
                  <pic:blipFill>
                    <a:blip r:embed="rId61"/>
                    <a:stretch>
                      <a:fillRect/>
                    </a:stretch>
                  </pic:blipFill>
                  <pic:spPr bwMode="auto">
                    <a:xfrm>
                      <a:off x="0" y="0"/>
                      <a:ext cx="5082138" cy="3234088"/>
                    </a:xfrm>
                    <a:prstGeom prst="rect">
                      <a:avLst/>
                    </a:prstGeom>
                    <a:noFill/>
                    <a:ln w="9525">
                      <a:noFill/>
                      <a:headEnd/>
                      <a:tailEnd/>
                    </a:ln>
                  </pic:spPr>
                </pic:pic>
              </a:graphicData>
            </a:graphic>
          </wp:inline>
        </w:drawing>
      </w:r>
    </w:p>
    <w:bookmarkEnd w:id="64"/>
    <w:bookmarkEnd w:id="65"/>
    <w:bookmarkEnd w:id="66"/>
    <w:bookmarkStart w:id="67"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67"/>
    <w:bookmarkStart w:id="68"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68"/>
    <w:bookmarkEnd w:id="69"/>
    <w:bookmarkStart w:id="88" w:name="math-sci"/>
    <w:p>
      <w:pPr>
        <w:pStyle w:val="Heading1"/>
      </w:pPr>
      <w:r>
        <w:rPr>
          <w:rStyle w:val="SectionNumber"/>
        </w:rPr>
        <w:t xml:space="preserve">2</w:t>
      </w:r>
      <w:r>
        <w:tab/>
      </w:r>
      <w:r>
        <w:t xml:space="preserve">Identificación de QTL de importancia agronómica</w:t>
      </w:r>
    </w:p>
    <w:bookmarkStart w:id="70"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70"/>
    <w:bookmarkStart w:id="71"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71"/>
    <w:bookmarkStart w:id="78"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72">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3"/>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3"/>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3"/>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74" name="Picture"/>
            <a:graphic>
              <a:graphicData uri="http://schemas.openxmlformats.org/drawingml/2006/picture">
                <pic:pic>
                  <pic:nvPicPr>
                    <pic:cNvPr descr="figure/chap3/croquis_campo.jpg" id="75" name="Picture"/>
                    <pic:cNvPicPr>
                      <a:picLocks noChangeArrowheads="1" noChangeAspect="1"/>
                    </pic:cNvPicPr>
                  </pic:nvPicPr>
                  <pic:blipFill>
                    <a:blip r:embed="rId73"/>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76" w:name="fig:img-croquis"/>
      <w:bookmarkEnd w:id="76"/>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77"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77"/>
    <w:bookmarkEnd w:id="78"/>
    <w:bookmarkStart w:id="85"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80" name="Picture"/>
            <a:graphic>
              <a:graphicData uri="http://schemas.openxmlformats.org/drawingml/2006/picture">
                <pic:pic>
                  <pic:nvPicPr>
                    <pic:cNvPr descr="figure/chap3/Parentales.jpg" id="81" name="Picture"/>
                    <pic:cNvPicPr>
                      <a:picLocks noChangeArrowheads="1" noChangeAspect="1"/>
                    </pic:cNvPicPr>
                  </pic:nvPicPr>
                  <pic:blipFill>
                    <a:blip r:embed="rId79"/>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82" w:name="fig:img-parental"/>
      <w:bookmarkEnd w:id="82"/>
      <w:r>
        <w:t xml:space="preserve">Figure 2.2: Planta de los genotipos parentales SP-41255 y BGSP-00166</w:t>
      </w:r>
    </w:p>
    <w:bookmarkStart w:id="84"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83" w:name="tab:table-charac"/>
      <w:bookmarkEnd w:id="83"/>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4"/>
    <w:bookmarkEnd w:id="85"/>
    <w:bookmarkStart w:id="86"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86"/>
    <w:bookmarkStart w:id="87"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87"/>
    <w:bookmarkEnd w:id="88"/>
    <w:bookmarkStart w:id="94" w:name="ref-labels"/>
    <w:p>
      <w:pPr>
        <w:pStyle w:val="Heading1"/>
      </w:pPr>
      <w:r>
        <w:rPr>
          <w:rStyle w:val="SectionNumber"/>
        </w:rPr>
        <w:t xml:space="preserve">3</w:t>
      </w:r>
      <w:r>
        <w:tab/>
      </w:r>
      <w:r>
        <w:t xml:space="preserve">Si es necesario un tercer capítulo</w:t>
      </w:r>
    </w:p>
    <w:bookmarkStart w:id="89"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89"/>
    <w:bookmarkStart w:id="90"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90"/>
    <w:bookmarkStart w:id="91"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91"/>
    <w:bookmarkStart w:id="92"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92"/>
    <w:bookmarkStart w:id="93"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93"/>
    <w:bookmarkEnd w:id="94"/>
    <w:bookmarkStart w:id="95" w:name="conclusión-3"/>
    <w:p>
      <w:pPr>
        <w:pStyle w:val="Heading1"/>
      </w:pPr>
      <w:r>
        <w:t xml:space="preserve">Conclusión</w:t>
      </w:r>
    </w:p>
    <w:p>
      <w:pPr>
        <w:pStyle w:val="FirstParagraph"/>
      </w:pPr>
      <w:r>
        <w:t xml:space="preserve">Las conclusiones de la tesis aquí..</w:t>
      </w:r>
    </w:p>
    <w:bookmarkEnd w:id="95"/>
    <w:bookmarkStart w:id="96" w:name="appendix-apéndice"/>
    <w:p>
      <w:pPr>
        <w:pStyle w:val="Heading1"/>
      </w:pPr>
      <w:r>
        <w:t xml:space="preserve">(APPENDIX) Apéndice</w:t>
      </w:r>
    </w:p>
    <w:bookmarkEnd w:id="96"/>
    <w:bookmarkStart w:id="9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97"/>
    <w:bookmarkStart w:id="9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98"/>
    <w:bookmarkStart w:id="174" w:name="referencias"/>
    <w:p>
      <w:pPr>
        <w:pStyle w:val="Heading1"/>
      </w:pPr>
      <w:r>
        <w:t xml:space="preserve">Referencias</w:t>
      </w:r>
    </w:p>
    <w:p>
      <w:pPr>
        <w:pStyle w:val="FirstParagraph"/>
      </w:pPr>
    </w:p>
    <w:p>
      <w:pPr>
        <w:pStyle w:val="BodyText"/>
      </w:pPr>
    </w:p>
    <w:bookmarkStart w:id="173" w:name="refs"/>
    <w:bookmarkStart w:id="99"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99"/>
    <w:bookmarkStart w:id="101"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100">
        <w:r>
          <w:rPr>
            <w:rStyle w:val="Hyperlink"/>
          </w:rPr>
          <w:t xml:space="preserve">https://doi.org/10.1007/s00438-017-1346-9</w:t>
        </w:r>
      </w:hyperlink>
    </w:p>
    <w:bookmarkEnd w:id="101"/>
    <w:bookmarkStart w:id="103"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102">
        <w:r>
          <w:rPr>
            <w:rStyle w:val="Hyperlink"/>
          </w:rPr>
          <w:t xml:space="preserve">https://doi.org/10.1007/s10681-009-0009-2</w:t>
        </w:r>
      </w:hyperlink>
    </w:p>
    <w:bookmarkEnd w:id="103"/>
    <w:bookmarkStart w:id="104"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104"/>
    <w:bookmarkStart w:id="106"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105">
        <w:r>
          <w:rPr>
            <w:rStyle w:val="Hyperlink"/>
          </w:rPr>
          <w:t xml:space="preserve">https://doi.org/10.5772/intechopen.74513</w:t>
        </w:r>
      </w:hyperlink>
    </w:p>
    <w:bookmarkEnd w:id="106"/>
    <w:bookmarkStart w:id="108"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107">
        <w:r>
          <w:rPr>
            <w:rStyle w:val="Hyperlink"/>
          </w:rPr>
          <w:t xml:space="preserve">https://doi.org/10.1007/s11032-018-0831-0</w:t>
        </w:r>
      </w:hyperlink>
    </w:p>
    <w:bookmarkEnd w:id="108"/>
    <w:bookmarkStart w:id="110"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109">
        <w:r>
          <w:rPr>
            <w:rStyle w:val="Hyperlink"/>
          </w:rPr>
          <w:t xml:space="preserve">https://doi.org/10.2134/jpa1992.0532</w:t>
        </w:r>
      </w:hyperlink>
    </w:p>
    <w:bookmarkEnd w:id="110"/>
    <w:bookmarkStart w:id="112"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111">
        <w:r>
          <w:rPr>
            <w:rStyle w:val="Hyperlink"/>
          </w:rPr>
          <w:t xml:space="preserve">https://doi.org/10.1002/agj2.21176</w:t>
        </w:r>
      </w:hyperlink>
    </w:p>
    <w:bookmarkEnd w:id="112"/>
    <w:bookmarkStart w:id="113"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13"/>
    <w:bookmarkStart w:id="115"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14">
        <w:r>
          <w:rPr>
            <w:rStyle w:val="Hyperlink"/>
          </w:rPr>
          <w:t xml:space="preserve">https://doi.org/10.3389/fpls.2017.00086</w:t>
        </w:r>
      </w:hyperlink>
    </w:p>
    <w:bookmarkEnd w:id="115"/>
    <w:bookmarkStart w:id="117"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16">
        <w:r>
          <w:rPr>
            <w:rStyle w:val="Hyperlink"/>
          </w:rPr>
          <w:t xml:space="preserve">https://doi.org/10.1007/978-1-4899-4441-2</w:t>
        </w:r>
      </w:hyperlink>
    </w:p>
    <w:bookmarkEnd w:id="117"/>
    <w:bookmarkStart w:id="119"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18">
        <w:r>
          <w:rPr>
            <w:rStyle w:val="Hyperlink"/>
          </w:rPr>
          <w:t xml:space="preserve">https://doi.org/10.1007/978-90-481-3195-2_27</w:t>
        </w:r>
      </w:hyperlink>
    </w:p>
    <w:bookmarkEnd w:id="119"/>
    <w:bookmarkStart w:id="120"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20"/>
    <w:bookmarkStart w:id="122"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21">
        <w:r>
          <w:rPr>
            <w:rStyle w:val="Hyperlink"/>
          </w:rPr>
          <w:t xml:space="preserve">https://doi.org/10.1017/S0021859616000745</w:t>
        </w:r>
      </w:hyperlink>
    </w:p>
    <w:bookmarkEnd w:id="122"/>
    <w:bookmarkStart w:id="124"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23">
        <w:r>
          <w:rPr>
            <w:rStyle w:val="Hyperlink"/>
          </w:rPr>
          <w:t xml:space="preserve">https://doi.org/10.1111/j.1439-0523.2004.01039.x</w:t>
        </w:r>
      </w:hyperlink>
    </w:p>
    <w:bookmarkEnd w:id="124"/>
    <w:bookmarkStart w:id="126"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25">
        <w:r>
          <w:rPr>
            <w:rStyle w:val="Hyperlink"/>
          </w:rPr>
          <w:t xml:space="preserve">https://doi.org/10.3389/fpls.2018.01067</w:t>
        </w:r>
      </w:hyperlink>
    </w:p>
    <w:bookmarkEnd w:id="126"/>
    <w:bookmarkStart w:id="128"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27">
        <w:r>
          <w:rPr>
            <w:rStyle w:val="Hyperlink"/>
          </w:rPr>
          <w:t xml:space="preserve">https://doi.org/10.1007/s11032-011-9547-0</w:t>
        </w:r>
      </w:hyperlink>
    </w:p>
    <w:bookmarkEnd w:id="128"/>
    <w:bookmarkStart w:id="130"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29">
        <w:r>
          <w:rPr>
            <w:rStyle w:val="Hyperlink"/>
          </w:rPr>
          <w:t xml:space="preserve">https://doi.org/10.1007/s00438-017-1347-8</w:t>
        </w:r>
      </w:hyperlink>
    </w:p>
    <w:bookmarkEnd w:id="130"/>
    <w:bookmarkStart w:id="13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31">
        <w:r>
          <w:rPr>
            <w:rStyle w:val="Hyperlink"/>
          </w:rPr>
          <w:t xml:space="preserve">https://doi.org/10.2134/agronmonogr24.c5</w:t>
        </w:r>
      </w:hyperlink>
    </w:p>
    <w:bookmarkEnd w:id="132"/>
    <w:bookmarkStart w:id="13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33"/>
    <w:bookmarkStart w:id="13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34">
        <w:r>
          <w:rPr>
            <w:rStyle w:val="Hyperlink"/>
          </w:rPr>
          <w:t xml:space="preserve">https://doi.org/10.31783/elsr.2023.92265275</w:t>
        </w:r>
      </w:hyperlink>
    </w:p>
    <w:bookmarkEnd w:id="135"/>
    <w:bookmarkStart w:id="13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36">
        <w:r>
          <w:rPr>
            <w:rStyle w:val="Hyperlink"/>
          </w:rPr>
          <w:t xml:space="preserve">https://doi.org/10.1007/BF02670470</w:t>
        </w:r>
      </w:hyperlink>
    </w:p>
    <w:bookmarkEnd w:id="137"/>
    <w:bookmarkStart w:id="13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38"/>
    <w:bookmarkStart w:id="13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39"/>
    <w:bookmarkStart w:id="14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40">
        <w:r>
          <w:rPr>
            <w:rStyle w:val="Hyperlink"/>
          </w:rPr>
          <w:t xml:space="preserve">https://doi.org/10.1371/journal.pone.0118073</w:t>
        </w:r>
      </w:hyperlink>
    </w:p>
    <w:bookmarkEnd w:id="141"/>
    <w:bookmarkStart w:id="143"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42">
        <w:r>
          <w:rPr>
            <w:rStyle w:val="Hyperlink"/>
          </w:rPr>
          <w:t xml:space="preserve">https://doi.org/10.1590/1678-4499.2017329</w:t>
        </w:r>
      </w:hyperlink>
    </w:p>
    <w:bookmarkEnd w:id="143"/>
    <w:bookmarkStart w:id="145"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44">
        <w:r>
          <w:rPr>
            <w:rStyle w:val="Hyperlink"/>
          </w:rPr>
          <w:t xml:space="preserve">https://doi.org/10.1080/01140671.2005.9514373</w:t>
        </w:r>
      </w:hyperlink>
    </w:p>
    <w:bookmarkEnd w:id="145"/>
    <w:bookmarkStart w:id="146"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46"/>
    <w:bookmarkStart w:id="148"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47">
        <w:r>
          <w:rPr>
            <w:rStyle w:val="Hyperlink"/>
          </w:rPr>
          <w:t xml:space="preserve">https://doi.org/10.1016/j.fcr.2023.109106</w:t>
        </w:r>
      </w:hyperlink>
    </w:p>
    <w:bookmarkEnd w:id="148"/>
    <w:bookmarkStart w:id="150"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49">
        <w:r>
          <w:rPr>
            <w:rStyle w:val="Hyperlink"/>
          </w:rPr>
          <w:t xml:space="preserve">https://doi.org/10.1016/j.fcr.2021.108322</w:t>
        </w:r>
      </w:hyperlink>
    </w:p>
    <w:bookmarkEnd w:id="150"/>
    <w:bookmarkStart w:id="152"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51">
        <w:r>
          <w:rPr>
            <w:rStyle w:val="Hyperlink"/>
          </w:rPr>
          <w:t xml:space="preserve">https://doi.org/10.1007/s10681-006-9338-6</w:t>
        </w:r>
      </w:hyperlink>
    </w:p>
    <w:bookmarkEnd w:id="152"/>
    <w:bookmarkStart w:id="153"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53"/>
    <w:bookmarkStart w:id="155"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54">
        <w:r>
          <w:rPr>
            <w:rStyle w:val="Hyperlink"/>
          </w:rPr>
          <w:t xml:space="preserve">https://doi.org/10.3389/fpls.2016.01576</w:t>
        </w:r>
      </w:hyperlink>
    </w:p>
    <w:bookmarkEnd w:id="155"/>
    <w:bookmarkStart w:id="157"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56">
        <w:r>
          <w:rPr>
            <w:rStyle w:val="Hyperlink"/>
          </w:rPr>
          <w:t xml:space="preserve">https://doi.org/10.1007/BF00033093</w:t>
        </w:r>
      </w:hyperlink>
    </w:p>
    <w:bookmarkEnd w:id="157"/>
    <w:bookmarkStart w:id="159"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58">
        <w:r>
          <w:rPr>
            <w:rStyle w:val="Hyperlink"/>
          </w:rPr>
          <w:t xml:space="preserve">https://doi.org/10.1016/S1673-8527(07)60005-8</w:t>
        </w:r>
      </w:hyperlink>
    </w:p>
    <w:bookmarkEnd w:id="159"/>
    <w:bookmarkStart w:id="161"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60">
        <w:r>
          <w:rPr>
            <w:rStyle w:val="Hyperlink"/>
          </w:rPr>
          <w:t xml:space="preserve">https://doi.org/10.1371/journal.pone.0130742</w:t>
        </w:r>
      </w:hyperlink>
    </w:p>
    <w:bookmarkEnd w:id="161"/>
    <w:bookmarkStart w:id="163"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62">
        <w:r>
          <w:rPr>
            <w:rStyle w:val="Hyperlink"/>
          </w:rPr>
          <w:t xml:space="preserve">https://doi.org/10.1007/s12041-014-0385-9</w:t>
        </w:r>
      </w:hyperlink>
    </w:p>
    <w:bookmarkEnd w:id="163"/>
    <w:bookmarkStart w:id="164"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64"/>
    <w:bookmarkStart w:id="166"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65">
        <w:r>
          <w:rPr>
            <w:rStyle w:val="Hyperlink"/>
          </w:rPr>
          <w:t xml:space="preserve">https://doi.org/10.1016/S2095-3119(13)60508-0</w:t>
        </w:r>
      </w:hyperlink>
    </w:p>
    <w:bookmarkEnd w:id="166"/>
    <w:bookmarkStart w:id="167"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67"/>
    <w:bookmarkStart w:id="168"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68"/>
    <w:bookmarkStart w:id="170"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69">
        <w:r>
          <w:rPr>
            <w:rStyle w:val="Hyperlink"/>
          </w:rPr>
          <w:t xml:space="preserve">https://doi.org/10.1007/s00122-002-1101-3</w:t>
        </w:r>
      </w:hyperlink>
    </w:p>
    <w:bookmarkEnd w:id="170"/>
    <w:bookmarkStart w:id="172"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71">
        <w:r>
          <w:rPr>
            <w:rStyle w:val="Hyperlink"/>
          </w:rPr>
          <w:t xml:space="preserve">https://doi.org/10.1007/s10681-005-4629-x</w:t>
        </w:r>
      </w:hyperlink>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79" Target="media/rId79.jpg" /><Relationship Type="http://schemas.openxmlformats.org/officeDocument/2006/relationships/image" Id="rId73" Target="media/rId73.jpg" /><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6"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69"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1" Target="https://doi.org/10.1007/s10681-005-4629-x" TargetMode="External" /><Relationship Type="http://schemas.openxmlformats.org/officeDocument/2006/relationships/hyperlink" Id="rId151"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2" Target="https://doi.org/10.1007/s12041-014-0385-9" TargetMode="External" /><Relationship Type="http://schemas.openxmlformats.org/officeDocument/2006/relationships/hyperlink" Id="rId158" Target="https://doi.org/10.1016/S1673-8527(07)60005-8" TargetMode="External" /><Relationship Type="http://schemas.openxmlformats.org/officeDocument/2006/relationships/hyperlink" Id="rId165" Target="https://doi.org/10.1016/S2095-3119(13)60508-0" TargetMode="External" /><Relationship Type="http://schemas.openxmlformats.org/officeDocument/2006/relationships/hyperlink" Id="rId149" Target="https://doi.org/10.1016/j.fcr.2021.108322" TargetMode="External" /><Relationship Type="http://schemas.openxmlformats.org/officeDocument/2006/relationships/hyperlink" Id="rId147"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4"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0" Target="https://doi.org/10.1371/journal.pone.0130742" TargetMode="External" /><Relationship Type="http://schemas.openxmlformats.org/officeDocument/2006/relationships/hyperlink" Id="rId142"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4"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6"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69"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1" Target="https://doi.org/10.1007/s10681-005-4629-x" TargetMode="External" /><Relationship Type="http://schemas.openxmlformats.org/officeDocument/2006/relationships/hyperlink" Id="rId151"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2" Target="https://doi.org/10.1007/s12041-014-0385-9" TargetMode="External" /><Relationship Type="http://schemas.openxmlformats.org/officeDocument/2006/relationships/hyperlink" Id="rId158" Target="https://doi.org/10.1016/S1673-8527(07)60005-8" TargetMode="External" /><Relationship Type="http://schemas.openxmlformats.org/officeDocument/2006/relationships/hyperlink" Id="rId165" Target="https://doi.org/10.1016/S2095-3119(13)60508-0" TargetMode="External" /><Relationship Type="http://schemas.openxmlformats.org/officeDocument/2006/relationships/hyperlink" Id="rId149" Target="https://doi.org/10.1016/j.fcr.2021.108322" TargetMode="External" /><Relationship Type="http://schemas.openxmlformats.org/officeDocument/2006/relationships/hyperlink" Id="rId147"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4"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0" Target="https://doi.org/10.1371/journal.pone.0130742" TargetMode="External" /><Relationship Type="http://schemas.openxmlformats.org/officeDocument/2006/relationships/hyperlink" Id="rId142"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4"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2025-04-24T13:27:33Z</dcterms:created>
  <dcterms:modified xsi:type="dcterms:W3CDTF">2025-04-24T13:27:33Z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1.6</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