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62.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Versión</w:t>
      </w:r>
      <w:r>
        <w:t xml:space="preserve"> </w:t>
      </w:r>
      <w:r>
        <w:t xml:space="preserve">1.1</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45" w:name="rmd-basics"/>
    <w:p>
      <w:pPr>
        <w:pStyle w:val="Heading1"/>
      </w:pPr>
      <w:r>
        <w:rPr>
          <w:rStyle w:val="SectionNumber"/>
        </w:rPr>
        <w:t xml:space="preserve">1</w:t>
      </w:r>
      <w:r>
        <w:tab/>
      </w:r>
      <w:r>
        <w:t xml:space="preserve">Caracterización de entradas de algodón (</w:t>
      </w:r>
      <w:r>
        <w:rPr>
          <w:i/>
          <w:iCs/>
        </w:rPr>
        <w:t xml:space="preserve">Gossypium hirsutum</w:t>
      </w:r>
      <w:r>
        <w:t xml:space="preserve"> </w:t>
      </w:r>
      <w:r>
        <w:t xml:space="preserve">L.) del banco de germoplasma de INTA mediante caracteres morfológicos</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31" w:name="materiales-y-métodos"/>
    <w:p>
      <w:pPr>
        <w:pStyle w:val="Heading2"/>
      </w:pPr>
      <w:r>
        <w:rPr>
          <w:rStyle w:val="SectionNumber"/>
        </w:rPr>
        <w:t xml:space="preserve">1.3</w:t>
      </w:r>
      <w:r>
        <w:tab/>
      </w:r>
      <w:r>
        <w:t xml:space="preserve">Materiales y métodos</w:t>
      </w:r>
    </w:p>
    <w:p>
      <w:pPr>
        <w:pStyle w:val="FirstParagraph"/>
      </w:pPr>
      <w:r>
        <w:t xml:space="preserve">En el estudio se llevó a cabo una caracterización inicial de 26 entradas de algodón (</w:t>
      </w:r>
      <w:r>
        <w:rPr>
          <w:i/>
          <w:iCs/>
        </w:rPr>
        <w:t xml:space="preserve">Gossypium hirsutum</w:t>
      </w:r>
      <w:r>
        <w:t xml:space="preserve"> </w:t>
      </w:r>
      <w:r>
        <w:t xml:space="preserve">L.) del banco de germoplasma utilizando un diseño experimental en bloques completos al azar con tres repeticiones (Tabla</w:t>
      </w:r>
      <w:r>
        <w:t xml:space="preserve"> </w:t>
      </w:r>
      <w:r>
        <w:t xml:space="preserve">1.1</w:t>
      </w:r>
      <w:r>
        <w:t xml:space="preserve">).</w:t>
      </w:r>
    </w:p>
    <w:p>
      <w:pPr>
        <w:pStyle w:val="BodyText"/>
      </w:pPr>
      <w:r>
        <w:t xml:space="preserve">Para una profundización del análisis, se llevaron a cabo experimentos adicionales replicados en dos momentos con nueve repeticiones en cada momento, utilizando un diseño en bloques completos al azar. Esto fue realizado para encontrar entradas contrastantes en términos de rendimiento y calidad de fibra. Se aumentó la cantidad de réplicas para obtener repeticiones en los parámetros de calidad de fibra y poder analizar estadísticamente las diferencias. En estos experimentos adicionales solo se evaluaron ocho entradas seleccionadas.</w:t>
      </w:r>
    </w:p>
    <w:p>
      <w:pPr>
        <w:pStyle w:val="BodyText"/>
      </w:pPr>
      <w:r>
        <w:t xml:space="preserve">Los ensayos se realizaron en invernadero con condiciones controladas en la Estación Experimental INTA Reconquista. Se utilizaron macetas de 5 litros con 2200 g de suelo de monte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1 planta por maceta.</w:t>
      </w:r>
    </w:p>
    <w:p>
      <w:pPr>
        <w:pStyle w:val="TableCaption"/>
      </w:pPr>
      <w:bookmarkStart w:id="28" w:name="tab:tablaEntradas"/>
      <w:bookmarkEnd w:id="28"/>
      <w:r>
        <w:t xml:space="preserve">Table 1.1: Entradas de</w:t>
      </w:r>
      <w:r>
        <w:t xml:space="preserve"> </w:t>
      </w:r>
      <w:r>
        <w:rPr>
          <w:i/>
          <w:iCs/>
        </w:rPr>
        <w:t xml:space="preserve">Gossypium hirsutum</w:t>
      </w:r>
      <w:r>
        <w:t xml:space="preserve"> </w:t>
      </w:r>
      <w:r>
        <w:t xml:space="preserve">L. y su procedencia</w:t>
      </w:r>
    </w:p>
    <w:tbl>
      <w:tblPr>
        <w:tblStyle w:val="Table"/>
        <w:tblW w:type="auto" w:w="0"/>
        <w:tblLook w:firstRow="1" w:lastRow="0" w:firstColumn="0" w:lastColumn="0" w:noHBand="0" w:noVBand="0" w:val="0020"/>
        <w:tblCaption w:val="Table 1.1: Entradas de Gossypium hirsutum L. y su procedencia"/>
      </w:tblPr>
      <w:tblGrid>
        <w:gridCol w:w="1980"/>
        <w:gridCol w:w="1980"/>
        <w:gridCol w:w="1980"/>
        <w:gridCol w:w="1980"/>
      </w:tblGrid>
      <w:tr>
        <w:trPr>
          <w:tblHeader w:val="on"/>
        </w:trPr>
        <w:tc>
          <w:tcPr/>
          <w:p>
            <w:pPr>
              <w:pStyle w:val="Compact"/>
              <w:jc w:val="left"/>
            </w:pPr>
            <w:r>
              <w:t xml:space="preserve">Entradas</w:t>
            </w:r>
          </w:p>
        </w:tc>
        <w:tc>
          <w:tcPr/>
          <w:p>
            <w:pPr>
              <w:pStyle w:val="Compact"/>
              <w:jc w:val="left"/>
            </w:pPr>
            <w:r>
              <w:t xml:space="preserve">Procedencia</w:t>
            </w:r>
          </w:p>
        </w:tc>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BGSP-00177</w:t>
            </w:r>
          </w:p>
        </w:tc>
        <w:tc>
          <w:tcPr/>
          <w:p>
            <w:pPr>
              <w:pStyle w:val="Compact"/>
              <w:jc w:val="left"/>
            </w:pPr>
            <w:r>
              <w:t xml:space="preserve">Argentina</w:t>
            </w:r>
          </w:p>
        </w:tc>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BGSP-00192</w:t>
            </w:r>
          </w:p>
        </w:tc>
        <w:tc>
          <w:tcPr/>
          <w:p>
            <w:pPr>
              <w:pStyle w:val="Compact"/>
              <w:jc w:val="left"/>
            </w:pPr>
            <w:r>
              <w:t xml:space="preserve">Argentina</w:t>
            </w:r>
          </w:p>
        </w:tc>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BGSP-00193</w:t>
            </w:r>
          </w:p>
        </w:tc>
        <w:tc>
          <w:tcPr/>
          <w:p>
            <w:pPr>
              <w:pStyle w:val="Compact"/>
              <w:jc w:val="left"/>
            </w:pPr>
            <w:r>
              <w:t xml:space="preserve">Argentina</w:t>
            </w:r>
          </w:p>
        </w:tc>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BGSP-00194</w:t>
            </w:r>
          </w:p>
        </w:tc>
        <w:tc>
          <w:tcPr/>
          <w:p>
            <w:pPr>
              <w:pStyle w:val="Compact"/>
              <w:jc w:val="left"/>
            </w:pPr>
            <w:r>
              <w:t xml:space="preserve">Argentina</w:t>
            </w:r>
          </w:p>
        </w:tc>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BGSP-00207</w:t>
            </w:r>
          </w:p>
        </w:tc>
        <w:tc>
          <w:tcPr/>
          <w:p>
            <w:pPr>
              <w:pStyle w:val="Compact"/>
              <w:jc w:val="left"/>
            </w:pPr>
            <w:r>
              <w:t xml:space="preserve">Argentina</w:t>
            </w:r>
          </w:p>
        </w:tc>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BGSP-00269</w:t>
            </w:r>
          </w:p>
        </w:tc>
        <w:tc>
          <w:tcPr/>
          <w:p>
            <w:pPr>
              <w:pStyle w:val="Compact"/>
              <w:jc w:val="left"/>
            </w:pPr>
            <w:r>
              <w:t xml:space="preserve">Argentina</w:t>
            </w:r>
          </w:p>
        </w:tc>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BGSP-00514</w:t>
            </w:r>
          </w:p>
        </w:tc>
        <w:tc>
          <w:tcPr/>
          <w:p>
            <w:pPr>
              <w:pStyle w:val="Compact"/>
              <w:jc w:val="left"/>
            </w:pPr>
            <w:r>
              <w:t xml:space="preserve">Australia</w:t>
            </w:r>
          </w:p>
        </w:tc>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BGSP-00072</w:t>
            </w:r>
          </w:p>
        </w:tc>
        <w:tc>
          <w:tcPr/>
          <w:p>
            <w:pPr>
              <w:pStyle w:val="Compact"/>
              <w:jc w:val="left"/>
            </w:pPr>
            <w:r>
              <w:t xml:space="preserve">Camerún</w:t>
            </w:r>
          </w:p>
        </w:tc>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BGSP-00088</w:t>
            </w:r>
          </w:p>
        </w:tc>
        <w:tc>
          <w:tcPr/>
          <w:p>
            <w:pPr>
              <w:pStyle w:val="Compact"/>
              <w:jc w:val="left"/>
            </w:pPr>
            <w:r>
              <w:t xml:space="preserve">Camerún</w:t>
            </w:r>
          </w:p>
        </w:tc>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BGSP-00070</w:t>
            </w:r>
          </w:p>
        </w:tc>
        <w:tc>
          <w:tcPr/>
          <w:p>
            <w:pPr>
              <w:pStyle w:val="Compact"/>
              <w:jc w:val="left"/>
            </w:pPr>
            <w:r>
              <w:t xml:space="preserve">Chad</w:t>
            </w:r>
          </w:p>
        </w:tc>
        <w:tc>
          <w:tcPr/>
          <w:p>
            <w:pPr>
              <w:pStyle w:val="Compact"/>
              <w:jc w:val="left"/>
            </w:pPr>
            <w:r>
              <w:t xml:space="preserve">BGSP-00126</w:t>
            </w:r>
          </w:p>
        </w:tc>
        <w:tc>
          <w:tcPr/>
          <w:p>
            <w:pPr>
              <w:pStyle w:val="Compact"/>
              <w:jc w:val="left"/>
            </w:pPr>
            <w:r>
              <w:t xml:space="preserve">Senegal</w:t>
            </w:r>
          </w:p>
        </w:tc>
      </w:tr>
    </w:tbl>
    <w:bookmarkStart w:id="29" w:name="variables-medidas"/>
    <w:p>
      <w:pPr>
        <w:pStyle w:val="Heading3"/>
      </w:pPr>
      <w:r>
        <w:rPr>
          <w:rStyle w:val="SectionNumber"/>
        </w:rPr>
        <w:t xml:space="preserve">1.3.1</w:t>
      </w:r>
      <w:r>
        <w:tab/>
      </w:r>
      <w:r>
        <w:t xml:space="preserve">Variables medidas:</w:t>
      </w:r>
    </w:p>
    <w:p>
      <w:pPr>
        <w:pStyle w:val="FirstParagraph"/>
      </w:pPr>
      <w:r>
        <w:t xml:space="preserve">Las variables que se mencionan a continuación fueron registradas en todas las plantas de las 26 entradas: i) Características Morfológicas Cualitativas: Forma de la planta, aspecto de la canopia, tipo de floraciones, forma y pubescencia de la hoja, tipo de bráctea y forma de cápsula. ii) Características Morfológicas Cuantitativas: Altura de planta (AP en cm, medido desde la base del tallo hasta el ápice), Altura a la primera rama reproductiva (A1RR en cm, medido desde la base del tallo hasta la primera rama reproductiva), número de nudos (NN, número de nudos presentes en el tallo), número de ramas vegetativas (NRV) y reproductivas (NRR), nudo de inserción de la primera rama reproductiva (N1RR, nudo donde se inserta la 1º rama reproductiva en la planta), y distancia de la primera posición al tallo principal (D1P en cm, distancia que existe entre el tallo principal y la primera posición de la primera rama reproductiva de la planta). iii) Rendimiento y sus componentes: Para calcular el rendimiento de las diferentes entradas y sus componentes se efectuaron las siguientes mediciones: Rendimiento bruto de algodón (RB, en g): se recolectó la fibra-semilla de algodón de todas las cápsulas presentes en las plantas. Las muestras obtenidas fueron pesadas en balanzas de precisión y se realizó medición de la humedad de cada una de ellas; Rendimiento de fibra al desmote (RFD, en %): se tomó cada muestra de algodón proveniente de las mediciones de rendimiento bruto, se realizó el desmote en una mini-desmotadora experimental y se pesó en una balanza de precisión la fibra y semillas por separado. El rendimiento de fibra al desmote fue la relación entre el peso de la fibra sobre el peso de la fibra más la semilla; Rendimiento de fibra (RF en g): se multiplicó el rendimiento bruto de algodón por el rendimiento de fibra al desmote obtenido; Nº de cápsulas por planta (NC): se determinará dividiendo el peso total de la muestra recolectada en cada parcela con el peso por cápsula</w:t>
      </w:r>
      <w:r>
        <w:t xml:space="preserve"> </w:t>
      </w:r>
      <w:r>
        <w:t xml:space="preserve">(Wells &amp; Meredith, 1984)</w:t>
      </w:r>
      <w:r>
        <w:t xml:space="preserve">. iv) Parámetros de calidad tecnológica de fibra de algodón: Para obtener estos parámetros se enviaron las muestras de fibra de algodón obtenidas al laboratorio de HVI (Uster 1000) de la Asociación para la Promoción de la Producción (APPA) en Reconquista, Santa Fe. Los parámetros de calidad tecnológica de fibra registrados fueron: Índice de Hilabilidad (SCI, por sus siglas en inglés), Micronaire (Mic), Índice de madurez (Mac), longitud promedio de la mitad superior (UHML en mm, por sus siglas en inglés), longitud media (ML, por sus siglas en inglés), índice de uniformidad (UI en %, por sus siglas en inglés), índice de fibras cortas (SFI, por sus siglas en inglés), resistencia de fibra (Str en g tex-1), elongación (Elg en %), contenido de humedad de la muestra, color (Rd y +b), grado de color (C.G) y contenido de basura. Debido a los requisitos de peso mínimo de muestra de fibra del instrumento HVI, las muestras se mezclaron cada tres réplicas. v) Fenología: Tiempo en días para alcanzar los estados de primer pimpollo (DPP), primera flor abierta (DPF), cut out (DCO), primera bocha abierta (DPCA) y fin de ciclo (DFC). El estado de cut out se determina cuando el número de nudos por encima de la última flor blanca en el tallo sea menor que 4</w:t>
      </w:r>
      <w:r>
        <w:t xml:space="preserve"> </w:t>
      </w:r>
      <w:r>
        <w:t xml:space="preserve">(Bourland et al., 1992)</w:t>
      </w:r>
      <w:r>
        <w:t xml:space="preserve">.</w:t>
      </w:r>
    </w:p>
    <w:p>
      <w:pPr>
        <w:pStyle w:val="BodyText"/>
      </w:pPr>
      <w:r>
        <w:t xml:space="preserve">Para los experimentos adicionales en las ocho entradas, se registraron las variables de rendimiento y calidad de fibra mencinados anteriormente sumado las siguientes variables: número de semillas por cápsula (NSC)</w:t>
      </w:r>
      <w:r>
        <w:t xml:space="preserve">(Worley et al., 1974)</w:t>
      </w:r>
      <w:r>
        <w:t xml:space="preserve">, índice de fibra (IF en g, peso de la fibra proveniente de 100 semillas) y el índice de semillas (IS en g, peso de 100 semillas de cada muestra)</w:t>
      </w:r>
      <w:r>
        <w:t xml:space="preserve"> </w:t>
      </w:r>
      <w:r>
        <w:t xml:space="preserve">(Pettigrew et al., 2013)</w:t>
      </w:r>
      <w:r>
        <w:t xml:space="preserve">.</w:t>
      </w:r>
    </w:p>
    <w:bookmarkEnd w:id="29"/>
    <w:bookmarkStart w:id="30" w:name="análisis-estadístico"/>
    <w:p>
      <w:pPr>
        <w:pStyle w:val="Heading3"/>
      </w:pPr>
      <w:r>
        <w:rPr>
          <w:rStyle w:val="SectionNumber"/>
        </w:rPr>
        <w:t xml:space="preserve">1.3.2</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rPr>
          <w:rStyle w:val="VerbatimChar"/>
        </w:rP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0"/>
    <w:bookmarkEnd w:id="31"/>
    <w:bookmarkStart w:id="42" w:name="resultados"/>
    <w:p>
      <w:pPr>
        <w:pStyle w:val="Heading2"/>
      </w:pPr>
      <w:r>
        <w:rPr>
          <w:rStyle w:val="SectionNumber"/>
        </w:rPr>
        <w:t xml:space="preserve">1.4</w:t>
      </w:r>
      <w:r>
        <w:tab/>
      </w:r>
      <w:r>
        <w:t xml:space="preserve">Resultados</w:t>
      </w:r>
    </w:p>
    <w:bookmarkStart w:id="33" w:name="X111ed621966575b77c25677ff72c492d797122c"/>
    <w:p>
      <w:pPr>
        <w:pStyle w:val="Heading3"/>
      </w:pPr>
      <w:r>
        <w:rPr>
          <w:rStyle w:val="SectionNumber"/>
        </w:rPr>
        <w:t xml:space="preserve">1.4.1</w:t>
      </w:r>
      <w:r>
        <w:tab/>
      </w:r>
      <w:r>
        <w:t xml:space="preserve">Características cualitativas de las entradas del Banco de Germoplasma de Algodón (</w:t>
      </w:r>
      <w:r>
        <w:rPr>
          <w:i/>
          <w:iCs/>
        </w:rPr>
        <w:t xml:space="preserve">Gossypium hirsutum</w:t>
      </w:r>
      <w:r>
        <w:t xml:space="preserve"> </w:t>
      </w:r>
      <w:r>
        <w:t xml:space="preserve">L.)</w:t>
      </w:r>
    </w:p>
    <w:p>
      <w:pPr>
        <w:pStyle w:val="FirstParagraph"/>
      </w:pPr>
      <w:r>
        <w:t xml:space="preserve">La tabla</w:t>
      </w:r>
      <w:r>
        <w:t xml:space="preserve"> </w:t>
      </w:r>
      <w:r>
        <w:t xml:space="preserve">1.2</w:t>
      </w:r>
      <w:r>
        <w:t xml:space="preserve"> </w:t>
      </w:r>
      <w:r>
        <w:t xml:space="preserve">detalla las características de las entradas del banco de germoplasma de algodón evaluadas. En términos de la forma de la planta, varían entre cilíndricas y cónicas. En cuanto al aspecto de la canopia, se destacan las categorías</w:t>
      </w:r>
      <w:r>
        <w:t xml:space="preserve"> </w:t>
      </w:r>
      <w:r>
        <w:t xml:space="preserve">“</w:t>
      </w:r>
      <w:r>
        <w:t xml:space="preserve">medio</w:t>
      </w:r>
      <w:r>
        <w:t xml:space="preserve">”</w:t>
      </w:r>
      <w:r>
        <w:t xml:space="preserve"> </w:t>
      </w:r>
      <w:r>
        <w:t xml:space="preserve">y</w:t>
      </w:r>
      <w:r>
        <w:t xml:space="preserve"> </w:t>
      </w:r>
      <w:r>
        <w:t xml:space="preserve">“</w:t>
      </w:r>
      <w:r>
        <w:t xml:space="preserve">abierta</w:t>
      </w:r>
      <w:r>
        <w:t xml:space="preserve">”</w:t>
      </w:r>
      <w:r>
        <w:t xml:space="preserve">. Sin embargo, algunas antradas presentan una canopia</w:t>
      </w:r>
      <w:r>
        <w:t xml:space="preserve"> </w:t>
      </w:r>
      <w:r>
        <w:t xml:space="preserve">“</w:t>
      </w:r>
      <w:r>
        <w:t xml:space="preserve">compacta</w:t>
      </w:r>
      <w:r>
        <w:t xml:space="preserve">”</w:t>
      </w:r>
      <w:r>
        <w:t xml:space="preserve">, como los genotipos BGSP-00166 y BGSP-00194. El tipo de floraciones varía entre individual, agrupada o medio agrupada. Las hojas se presentan principalmente en forma palmada y plana, con niveles variados de pubescencia. Solo la entrada BGSP-00514 presenta forma digitada (Okra). En todas las entradas, el tipo de bráctea es normal, mientras que la forma de la bocha varía entre cónica, elíptica y redonda.</w:t>
      </w:r>
    </w:p>
    <w:p>
      <w:pPr>
        <w:pStyle w:val="TableCaption"/>
      </w:pPr>
      <w:bookmarkStart w:id="32" w:name="tab:tabla-descriptores"/>
      <w:bookmarkEnd w:id="32"/>
      <w:r>
        <w:t xml:space="preserve">Table 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Canopia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 Floración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Lámina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Pubescencia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Digitada (Okra)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Elíptica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 copa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footnote</w:t>
            </w:r>
          </w:p>
        </w:tc>
      </w:tr>
    </w:tbl>
    <w:bookmarkEnd w:id="33"/>
    <w:bookmarkStart w:id="34" w:name="X8bdba54fd643fa4c07257f9e9d5a9c2063e08ec"/>
    <w:p>
      <w:pPr>
        <w:pStyle w:val="Heading3"/>
      </w:pPr>
      <w:r>
        <w:rPr>
          <w:rStyle w:val="SectionNumber"/>
        </w:rPr>
        <w:t xml:space="preserve">1.4.2</w:t>
      </w:r>
      <w:r>
        <w:tab/>
      </w:r>
      <w:r>
        <w:t xml:space="preserve">Características morfológicas cuantitativas, componentes del rendimiento y calidad de fibra</w:t>
      </w:r>
    </w:p>
    <w:p>
      <w:pPr>
        <w:pStyle w:val="FirstParagraph"/>
      </w:pPr>
      <w:r>
        <w:t xml:space="preserve">La tabla</w:t>
      </w:r>
      <w:r>
        <w:t xml:space="preserve"> </w:t>
      </w:r>
      <w:r>
        <w:t xml:space="preserve">??</w:t>
      </w:r>
      <w:r>
        <w:t xml:space="preserve"> </w:t>
      </w:r>
      <w:r>
        <w:t xml:space="preserve">muestra diversas características morfológicas de las entradas del banco de germoplasma de algodón (Gossypium hirsutum), incluyendo la altura de planta (AP), número de nudos (NN), número de ramas vegetativas (NRV), número de ramas reproductivas (NRR), nudos a la primera rama reproductiva (N1RR), altura a la primera rama reproductiva (A1RR) y distancia de la primera posición al tallo principal (D1P). Los valores de estos parámetros variaron significativamente entre las entradas, con alturas de planta que oscilaron entre 89,0 cm y 126,3 cm, y números de nudos entre 13,0 y 17,0. El número de ramas vegetativas fluctuaron entre 0,3 y 2,7, mientras que el número de ramas reproductivas varió entre 9,7 y 13,3. Los nudos a la primera rama reproductiva estuvieron entre 3,7 a 5,7, y la altura a la primera rama reproductiva varió de 25,0 cm a 40,7 cm. La distancia de la primera posición al tallo principal osciló entre 3,9 cm y 14,3 cm.</w:t>
      </w:r>
    </w:p>
    <w:p>
      <w:pPr>
        <w:pStyle w:val="BodyText"/>
      </w:pPr>
      <w:r>
        <w:t xml:space="preserve">La tabla</w:t>
      </w:r>
      <w:r>
        <w:t xml:space="preserve"> </w:t>
      </w:r>
      <w:r>
        <w:t xml:space="preserve">??</w:t>
      </w:r>
      <w:r>
        <w:t xml:space="preserve"> </w:t>
      </w:r>
      <w:r>
        <w:t xml:space="preserve">también presenta un resumen de las características de rendimiento, calidad de fibra y fenología de las entradas. Los parámetros medidos incluyen rendimiento bruto de algodón (RB), rendimiento de fibra (RF), rendimiento de fibra al desmote (RFD), peso promedio de capullos (PC), número de capullos (NC), longitud promedio de fibra de la mitad superior (UHML), resistencia de las fibras (Str), micronaire (Mic), índice de uniformidad de fibras (IU), días a primer pimpollo (DPP), días a primera flor (DPF), días a cut out (DCO), días a primera cápsula abierta (DPCA) y días a fin de ciclo (DFC). Los valores muestran una amplia variabilidad entre las entradas, con rendimientos brutos de algodón que oscilaron entre 14,3 g planta</w:t>
      </w:r>
      <w:r>
        <w:rPr>
          <w:vertAlign w:val="superscript"/>
        </w:rPr>
        <w:t xml:space="preserve">-1</w:t>
      </w:r>
      <w:r>
        <w:t xml:space="preserve"> </w:t>
      </w:r>
      <w:r>
        <w:t xml:space="preserve">y 33,5 g planta</w:t>
      </w:r>
      <w:r>
        <w:rPr>
          <w:vertAlign w:val="superscript"/>
        </w:rPr>
        <w:t xml:space="preserve">-1</w:t>
      </w:r>
      <w:r>
        <w:t xml:space="preserve">, rendimientos de fibra que varió de 4,6 g planta</w:t>
      </w:r>
      <w:r>
        <w:rPr>
          <w:vertAlign w:val="superscript"/>
        </w:rPr>
        <w:t xml:space="preserve">-1</w:t>
      </w:r>
      <w:r>
        <w:t xml:space="preserve"> </w:t>
      </w:r>
      <w:r>
        <w:t xml:space="preserve">a 12,3 g planta</w:t>
      </w:r>
      <w:r>
        <w:rPr>
          <w:vertAlign w:val="superscript"/>
        </w:rPr>
        <w:t xml:space="preserve">-1</w:t>
      </w:r>
      <w:r>
        <w:t xml:space="preserve">, peso promedio de capullo entre 2,6 g a 4,7 g y número de capullos entre 4,7 a 8,7. La calidad de la fibra se refleja en características como UHML, que varió de 25,1 mm a 33,9 mm, y la resistencia de las fibras, que osciló entre 21,5 g tex</w:t>
      </w:r>
      <w:r>
        <w:rPr>
          <w:vertAlign w:val="superscript"/>
        </w:rPr>
        <w:t xml:space="preserve">-1</w:t>
      </w:r>
      <w:r>
        <w:t xml:space="preserve"> </w:t>
      </w:r>
      <w:r>
        <w:t xml:space="preserve">y 37,6 g tex</w:t>
      </w:r>
      <w:r>
        <w:rPr>
          <w:vertAlign w:val="superscript"/>
        </w:rPr>
        <w:t xml:space="preserve">-1</w:t>
      </w:r>
      <w:r>
        <w:t xml:space="preserve">. En términos fenológicos, los días a primer pimpollo varió de 22 a 27 días, los días a primera flor de 49 a 55 días, los días a cut out de 73 a 80 días, los días a primera cápsula abierta de 113 a 137 días, y los días a fin de ciclo de 161 a 164 días.</w:t>
      </w:r>
    </w:p>
    <w:p>
      <w:pPr>
        <w:pStyle w:val="SourceCode"/>
      </w:pPr>
      <w:r>
        <w:rPr>
          <w:rStyle w:val="VerbatimChar"/>
        </w:rPr>
        <w:t xml:space="preserve">[1] "Tabla con formato no admitido para Word, ver en formato pdf."</w:t>
      </w:r>
    </w:p>
    <w:bookmarkEnd w:id="34"/>
    <w:bookmarkStart w:id="41" w:name="Xb12f17c93cef9dffb7af0147e29d4742be13114"/>
    <w:p>
      <w:pPr>
        <w:pStyle w:val="Heading3"/>
      </w:pPr>
      <w:r>
        <w:rPr>
          <w:rStyle w:val="SectionNumber"/>
        </w:rPr>
        <w:t xml:space="preserve">1.4.3</w:t>
      </w:r>
      <w:r>
        <w:tab/>
      </w:r>
      <w:r>
        <w:t xml:space="preserve">Entradas seleccionadas para mayor profundización en el análisis de las características de rendimiento y calidad de fibra</w:t>
      </w:r>
    </w:p>
    <w:p>
      <w:pPr>
        <w:pStyle w:val="FirstParagraph"/>
      </w:pPr>
      <w:r>
        <w:t xml:space="preserve">Las entradas seleccionadas para una mayor profundización en la evaluación de las características de rendimiento y calidad se muestran en la tabla</w:t>
      </w:r>
      <w:r>
        <w:t xml:space="preserve"> </w:t>
      </w:r>
      <w:r>
        <w:t xml:space="preserve">1.3</w:t>
      </w:r>
      <w:r>
        <w:t xml:space="preserve">. La selección se realizó principalmente mediante los datos mostrados en la tabla</w:t>
      </w:r>
      <w:r>
        <w:t xml:space="preserve"> </w:t>
      </w:r>
      <w:r>
        <w:t xml:space="preserve">??</w:t>
      </w:r>
      <w:r>
        <w:t xml:space="preserve">, eligiendo entradas contrastantes en términos de rendimiento y sus componentes (principalmente RFD) y calidad de fibra. Adicionalmente, se seleccionaron algunas entradas que presentaban baja NRV y aspecto de canopia compacta, como es el caso de la entrada BGSP-00166.</w:t>
      </w:r>
    </w:p>
    <w:p>
      <w:pPr>
        <w:pStyle w:val="TableCaption"/>
      </w:pPr>
      <w:bookmarkStart w:id="35" w:name="tab:table-charac"/>
      <w:bookmarkEnd w:id="3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5"/>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31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El primer componente principal explicó el 45,61% de la varianza de los datos, mientras que el segundo componente principal explicó el 21,97%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1; Mic: Micronaire; IU: Índice de uniformidad de fibras en %." title="" id="37" name="Picture"/>
            <a:graphic>
              <a:graphicData uri="http://schemas.openxmlformats.org/drawingml/2006/picture">
                <pic:pic>
                  <pic:nvPicPr>
                    <pic:cNvPr descr="figure/chap1/Para_compuestas/PCA_juntas.png" id="38" name="Picture"/>
                    <pic:cNvPicPr>
                      <a:picLocks noChangeArrowheads="1" noChangeAspect="1"/>
                    </pic:cNvPicPr>
                  </pic:nvPicPr>
                  <pic:blipFill>
                    <a:blip r:embed="rId36"/>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39" w:name="fig:img-PC"/>
      <w:bookmarkEnd w:id="39"/>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w:t>
      </w:r>
      <w:r>
        <w:rPr>
          <w:vertAlign w:val="superscript"/>
        </w:rPr>
        <w:t xml:space="preserve">-1</w:t>
      </w:r>
      <w:r>
        <w:t xml:space="preserve">; Mic: Micronaire; IU: Índice de uniformidad de fibras en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TableCaption"/>
      </w:pPr>
      <w:bookmarkStart w:id="40" w:name="tab:correlation-greenhouse"/>
      <w:bookmarkEnd w:id="40"/>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germoplasma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colección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1"/>
        <w:gridCol w:w="751"/>
        <w:gridCol w:w="819"/>
        <w:gridCol w:w="751"/>
        <w:gridCol w:w="751"/>
        <w:gridCol w:w="642"/>
        <w:gridCol w:w="819"/>
        <w:gridCol w:w="532"/>
        <w:gridCol w:w="819"/>
        <w:gridCol w:w="751"/>
        <w:gridCol w:w="490"/>
      </w:tblGrid>
      <w:tr>
        <w:trPr>
          <w:trHeight w:val="2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1"/>
    <w:bookmarkEnd w:id="42"/>
    <w:bookmarkStart w:id="43" w:name="discusión"/>
    <w:p>
      <w:pPr>
        <w:pStyle w:val="Heading2"/>
      </w:pPr>
      <w:r>
        <w:rPr>
          <w:rStyle w:val="SectionNumber"/>
        </w:rPr>
        <w:t xml:space="preserve">1.5</w:t>
      </w:r>
      <w:r>
        <w:tab/>
      </w:r>
      <w:r>
        <w:t xml:space="preserve">Discusión</w:t>
      </w:r>
    </w:p>
    <w:p>
      <w:pPr>
        <w:pStyle w:val="FirstParagraph"/>
      </w:pPr>
      <w:r>
        <w:t xml:space="preserve">Aquí la discusión del capítulo 1</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43"/>
    <w:bookmarkStart w:id="44"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44"/>
    <w:bookmarkEnd w:id="45"/>
    <w:bookmarkStart w:id="52" w:name="math-sci"/>
    <w:p>
      <w:pPr>
        <w:pStyle w:val="Heading1"/>
      </w:pPr>
      <w:r>
        <w:rPr>
          <w:rStyle w:val="SectionNumber"/>
        </w:rPr>
        <w:t xml:space="preserve">2</w:t>
      </w:r>
      <w:r>
        <w:tab/>
      </w:r>
      <w:r>
        <w:t xml:space="preserve">Caracterización fisiológica</w:t>
      </w:r>
    </w:p>
    <w:bookmarkStart w:id="46"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46"/>
    <w:bookmarkStart w:id="47"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47"/>
    <w:bookmarkStart w:id="48"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De mapeo (Ajustar al texto) vii) Área foliar: para el cálculo de esta variable, se midieron todas las hojas de las plantas a través de los equipos LICOR 3000 y LICOR 3050; viii)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48"/>
    <w:bookmarkStart w:id="49"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49"/>
    <w:bookmarkStart w:id="50"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50"/>
    <w:bookmarkStart w:id="51"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51"/>
    <w:bookmarkEnd w:id="52"/>
    <w:bookmarkStart w:id="71" w:name="ref-labels"/>
    <w:p>
      <w:pPr>
        <w:pStyle w:val="Heading1"/>
      </w:pPr>
      <w:r>
        <w:rPr>
          <w:rStyle w:val="SectionNumber"/>
        </w:rPr>
        <w:t xml:space="preserve">3</w:t>
      </w:r>
      <w:r>
        <w:tab/>
      </w:r>
      <w:r>
        <w:t xml:space="preserve">Caracterización molecular</w:t>
      </w:r>
    </w:p>
    <w:bookmarkStart w:id="53"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53"/>
    <w:bookmarkStart w:id="54"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4"/>
    <w:bookmarkStart w:id="61"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5">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3.2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3.1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3.1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1"/>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3.1: Descripción del ensayo de campo, mostrando las dos poblaciones generadas a partir del cruce en la dirección SP-41255 x BGSP-00166 y su recíproco. En el ensayo se distribuyeron al azar plantas del parental SP-41255 (1), Filial 1 (2) y del parental BGSP-00166 (3)." title="" id="57" name="Picture"/>
            <a:graphic>
              <a:graphicData uri="http://schemas.openxmlformats.org/drawingml/2006/picture">
                <pic:pic>
                  <pic:nvPicPr>
                    <pic:cNvPr descr="figure/chap3/croquis_campo.jpg" id="58" name="Picture"/>
                    <pic:cNvPicPr>
                      <a:picLocks noChangeArrowheads="1" noChangeAspect="1"/>
                    </pic:cNvPicPr>
                  </pic:nvPicPr>
                  <pic:blipFill>
                    <a:blip r:embed="rId56"/>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59" w:name="fig:img-croquis"/>
      <w:bookmarkEnd w:id="59"/>
      <w:r>
        <w:t xml:space="preserve">Figure 3.1: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60" w:name="análisis-estadístico-1"/>
    <w:p>
      <w:pPr>
        <w:pStyle w:val="Heading3"/>
      </w:pPr>
      <w:r>
        <w:rPr>
          <w:rStyle w:val="SectionNumber"/>
        </w:rPr>
        <w:t xml:space="preserve">3.3.1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60"/>
    <w:bookmarkEnd w:id="61"/>
    <w:bookmarkStart w:id="68" w:name="resultados-2"/>
    <w:p>
      <w:pPr>
        <w:pStyle w:val="Heading2"/>
      </w:pPr>
      <w:r>
        <w:rPr>
          <w:rStyle w:val="SectionNumber"/>
        </w:rPr>
        <w:t xml:space="preserve">3.4</w:t>
      </w:r>
      <w:r>
        <w:tab/>
      </w:r>
      <w:r>
        <w:t xml:space="preserve">Resultados</w:t>
      </w:r>
    </w:p>
    <w:p>
      <w:pPr>
        <w:pStyle w:val="CaptionedFigure"/>
      </w:pPr>
      <w:r>
        <w:drawing>
          <wp:inline>
            <wp:extent cx="3810000" cy="3843194"/>
            <wp:effectExtent b="0" l="0" r="0" t="0"/>
            <wp:docPr descr="Figure 3.2: Planta de los genotipos parentales SP-41255 y BGSP-00166" title="" id="63" name="Picture"/>
            <a:graphic>
              <a:graphicData uri="http://schemas.openxmlformats.org/drawingml/2006/picture">
                <pic:pic>
                  <pic:nvPicPr>
                    <pic:cNvPr descr="figure/chap3/Parentales.jpg" id="64" name="Picture"/>
                    <pic:cNvPicPr>
                      <a:picLocks noChangeArrowheads="1" noChangeAspect="1"/>
                    </pic:cNvPicPr>
                  </pic:nvPicPr>
                  <pic:blipFill>
                    <a:blip r:embed="rId62"/>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65" w:name="fig:img-parental"/>
      <w:bookmarkEnd w:id="65"/>
      <w:r>
        <w:t xml:space="preserve">Figure 3.2: Planta de los genotipos parentales SP-41255 y BGSP-00166</w:t>
      </w:r>
    </w:p>
    <w:bookmarkStart w:id="67" w:name="Xf47c9be4772caff3191b56187f27158b3d29f76"/>
    <w:p>
      <w:pPr>
        <w:pStyle w:val="Heading3"/>
      </w:pPr>
      <w:r>
        <w:rPr>
          <w:rStyle w:val="SectionNumber"/>
        </w:rPr>
        <w:t xml:space="preserve">3.4.1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66" w:name="tab:table-charac"/>
      <w:bookmarkEnd w:id="66"/>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7"/>
    <w:bookmarkEnd w:id="68"/>
    <w:bookmarkStart w:id="69"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69"/>
    <w:bookmarkStart w:id="70"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70"/>
    <w:bookmarkEnd w:id="71"/>
    <w:bookmarkStart w:id="72" w:name="conclusión-3"/>
    <w:p>
      <w:pPr>
        <w:pStyle w:val="Heading1"/>
      </w:pPr>
      <w:r>
        <w:t xml:space="preserve">Conclusión</w:t>
      </w:r>
    </w:p>
    <w:p>
      <w:pPr>
        <w:pStyle w:val="FirstParagraph"/>
      </w:pPr>
      <w:r>
        <w:t xml:space="preserve">Las conclusiones de la tesis aquí..</w:t>
      </w:r>
    </w:p>
    <w:bookmarkEnd w:id="72"/>
    <w:bookmarkStart w:id="73" w:name="appendix-apéndice"/>
    <w:p>
      <w:pPr>
        <w:pStyle w:val="Heading1"/>
      </w:pPr>
      <w:r>
        <w:t xml:space="preserve">(APPENDIX) Apéndice</w:t>
      </w:r>
    </w:p>
    <w:bookmarkEnd w:id="73"/>
    <w:bookmarkStart w:id="74"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74"/>
    <w:bookmarkStart w:id="75"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75"/>
    <w:bookmarkStart w:id="155" w:name="referencias"/>
    <w:p>
      <w:pPr>
        <w:pStyle w:val="Heading1"/>
      </w:pPr>
      <w:r>
        <w:t xml:space="preserve">Referencias</w:t>
      </w:r>
    </w:p>
    <w:p>
      <w:pPr>
        <w:pStyle w:val="FirstParagraph"/>
      </w:pPr>
    </w:p>
    <w:p>
      <w:pPr>
        <w:pStyle w:val="BodyText"/>
      </w:pPr>
    </w:p>
    <w:bookmarkStart w:id="154" w:name="refs"/>
    <w:bookmarkStart w:id="76"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76"/>
    <w:bookmarkStart w:id="78"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77">
        <w:r>
          <w:rPr>
            <w:rStyle w:val="Hyperlink"/>
          </w:rPr>
          <w:t xml:space="preserve">https://doi.org/10.1007/s00438-017-1346-9</w:t>
        </w:r>
      </w:hyperlink>
    </w:p>
    <w:bookmarkEnd w:id="78"/>
    <w:bookmarkStart w:id="80"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79">
        <w:r>
          <w:rPr>
            <w:rStyle w:val="Hyperlink"/>
          </w:rPr>
          <w:t xml:space="preserve">https://doi.org/10.1007/s10681-009-0009-2</w:t>
        </w:r>
      </w:hyperlink>
    </w:p>
    <w:bookmarkEnd w:id="80"/>
    <w:bookmarkStart w:id="81"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81"/>
    <w:bookmarkStart w:id="83"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82">
        <w:r>
          <w:rPr>
            <w:rStyle w:val="Hyperlink"/>
          </w:rPr>
          <w:t xml:space="preserve">https://doi.org/10.5772/intechopen.74513</w:t>
        </w:r>
      </w:hyperlink>
    </w:p>
    <w:bookmarkEnd w:id="83"/>
    <w:bookmarkStart w:id="85"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84">
        <w:r>
          <w:rPr>
            <w:rStyle w:val="Hyperlink"/>
          </w:rPr>
          <w:t xml:space="preserve">https://doi.org/10.1007/s11032-018-0831-0</w:t>
        </w:r>
      </w:hyperlink>
    </w:p>
    <w:bookmarkEnd w:id="85"/>
    <w:bookmarkStart w:id="87"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86">
        <w:r>
          <w:rPr>
            <w:rStyle w:val="Hyperlink"/>
          </w:rPr>
          <w:t xml:space="preserve">https://doi.org/10.2134/jpa1992.0532</w:t>
        </w:r>
      </w:hyperlink>
    </w:p>
    <w:bookmarkEnd w:id="87"/>
    <w:bookmarkStart w:id="89"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88">
        <w:r>
          <w:rPr>
            <w:rStyle w:val="Hyperlink"/>
          </w:rPr>
          <w:t xml:space="preserve">https://doi.org/10.1002/agj2.21176</w:t>
        </w:r>
      </w:hyperlink>
    </w:p>
    <w:bookmarkEnd w:id="89"/>
    <w:bookmarkStart w:id="90"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90"/>
    <w:bookmarkStart w:id="92"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91">
        <w:r>
          <w:rPr>
            <w:rStyle w:val="Hyperlink"/>
          </w:rPr>
          <w:t xml:space="preserve">https://doi.org/10.3389/fpls.2017.00086</w:t>
        </w:r>
      </w:hyperlink>
    </w:p>
    <w:bookmarkEnd w:id="92"/>
    <w:bookmarkStart w:id="94"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93">
        <w:r>
          <w:rPr>
            <w:rStyle w:val="Hyperlink"/>
          </w:rPr>
          <w:t xml:space="preserve">https://doi.org/10.1007/978-1-4899-4441-2</w:t>
        </w:r>
      </w:hyperlink>
    </w:p>
    <w:bookmarkEnd w:id="94"/>
    <w:bookmarkStart w:id="96"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95">
        <w:r>
          <w:rPr>
            <w:rStyle w:val="Hyperlink"/>
          </w:rPr>
          <w:t xml:space="preserve">https://doi.org/10.1007/978-90-481-3195-2_27</w:t>
        </w:r>
      </w:hyperlink>
    </w:p>
    <w:bookmarkEnd w:id="96"/>
    <w:bookmarkStart w:id="97"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97"/>
    <w:bookmarkStart w:id="99"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98">
        <w:r>
          <w:rPr>
            <w:rStyle w:val="Hyperlink"/>
          </w:rPr>
          <w:t xml:space="preserve">https://doi.org/10.1017/S0021859616000745</w:t>
        </w:r>
      </w:hyperlink>
    </w:p>
    <w:bookmarkEnd w:id="99"/>
    <w:bookmarkStart w:id="101"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00">
        <w:r>
          <w:rPr>
            <w:rStyle w:val="Hyperlink"/>
          </w:rPr>
          <w:t xml:space="preserve">https://doi.org/10.1111/j.1439-0523.2004.01039.x</w:t>
        </w:r>
      </w:hyperlink>
    </w:p>
    <w:bookmarkEnd w:id="101"/>
    <w:bookmarkStart w:id="103"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02">
        <w:r>
          <w:rPr>
            <w:rStyle w:val="Hyperlink"/>
          </w:rPr>
          <w:t xml:space="preserve">https://doi.org/10.3389/fpls.2018.01067</w:t>
        </w:r>
      </w:hyperlink>
    </w:p>
    <w:bookmarkEnd w:id="103"/>
    <w:bookmarkStart w:id="105"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04">
        <w:r>
          <w:rPr>
            <w:rStyle w:val="Hyperlink"/>
          </w:rPr>
          <w:t xml:space="preserve">https://doi.org/10.1007/s11032-011-9547-0</w:t>
        </w:r>
      </w:hyperlink>
    </w:p>
    <w:bookmarkEnd w:id="105"/>
    <w:bookmarkStart w:id="107"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06">
        <w:r>
          <w:rPr>
            <w:rStyle w:val="Hyperlink"/>
          </w:rPr>
          <w:t xml:space="preserve">https://doi.org/10.1007/s00438-017-1347-8</w:t>
        </w:r>
      </w:hyperlink>
    </w:p>
    <w:bookmarkEnd w:id="107"/>
    <w:bookmarkStart w:id="109"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108">
        <w:r>
          <w:rPr>
            <w:rStyle w:val="Hyperlink"/>
          </w:rPr>
          <w:t xml:space="preserve">https://doi.org/10.1007/s11099-016-0223-9</w:t>
        </w:r>
      </w:hyperlink>
    </w:p>
    <w:bookmarkEnd w:id="109"/>
    <w:bookmarkStart w:id="111"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10">
        <w:r>
          <w:rPr>
            <w:rStyle w:val="Hyperlink"/>
          </w:rPr>
          <w:t xml:space="preserve">https://doi.org/10.2134/agronmonogr24.c5</w:t>
        </w:r>
      </w:hyperlink>
    </w:p>
    <w:bookmarkEnd w:id="111"/>
    <w:bookmarkStart w:id="112"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12"/>
    <w:bookmarkStart w:id="114"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13">
        <w:r>
          <w:rPr>
            <w:rStyle w:val="Hyperlink"/>
          </w:rPr>
          <w:t xml:space="preserve">https://doi.org/10.31783/elsr.2023.92265275</w:t>
        </w:r>
      </w:hyperlink>
    </w:p>
    <w:bookmarkEnd w:id="114"/>
    <w:bookmarkStart w:id="116"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15">
        <w:r>
          <w:rPr>
            <w:rStyle w:val="Hyperlink"/>
          </w:rPr>
          <w:t xml:space="preserve">https://doi.org/10.1007/BF02670470</w:t>
        </w:r>
      </w:hyperlink>
    </w:p>
    <w:bookmarkEnd w:id="116"/>
    <w:bookmarkStart w:id="117"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17"/>
    <w:bookmarkStart w:id="118"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18"/>
    <w:bookmarkStart w:id="120"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19">
        <w:r>
          <w:rPr>
            <w:rStyle w:val="Hyperlink"/>
          </w:rPr>
          <w:t xml:space="preserve">https://doi.org/10.1371/journal.pone.0118073</w:t>
        </w:r>
      </w:hyperlink>
    </w:p>
    <w:bookmarkEnd w:id="120"/>
    <w:bookmarkStart w:id="122"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21">
        <w:r>
          <w:rPr>
            <w:rStyle w:val="Hyperlink"/>
          </w:rPr>
          <w:t xml:space="preserve">https://doi.org/10.1590/1678-4499.2017329</w:t>
        </w:r>
      </w:hyperlink>
    </w:p>
    <w:bookmarkEnd w:id="122"/>
    <w:bookmarkStart w:id="124"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23">
        <w:r>
          <w:rPr>
            <w:rStyle w:val="Hyperlink"/>
          </w:rPr>
          <w:t xml:space="preserve">https://doi.org/10.1080/01140671.2005.9514373</w:t>
        </w:r>
      </w:hyperlink>
    </w:p>
    <w:bookmarkEnd w:id="124"/>
    <w:bookmarkStart w:id="125"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25"/>
    <w:bookmarkStart w:id="127"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26">
        <w:r>
          <w:rPr>
            <w:rStyle w:val="Hyperlink"/>
          </w:rPr>
          <w:t xml:space="preserve">https://doi.org/10.1016/j.fcr.2023.109106</w:t>
        </w:r>
      </w:hyperlink>
    </w:p>
    <w:bookmarkEnd w:id="127"/>
    <w:bookmarkStart w:id="129"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28">
        <w:r>
          <w:rPr>
            <w:rStyle w:val="Hyperlink"/>
          </w:rPr>
          <w:t xml:space="preserve">https://doi.org/10.1016/j.fcr.2021.108322</w:t>
        </w:r>
      </w:hyperlink>
    </w:p>
    <w:bookmarkEnd w:id="129"/>
    <w:bookmarkStart w:id="131"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30">
        <w:r>
          <w:rPr>
            <w:rStyle w:val="Hyperlink"/>
          </w:rPr>
          <w:t xml:space="preserve">https://doi.org/10.1007/s10681-006-9338-6</w:t>
        </w:r>
      </w:hyperlink>
    </w:p>
    <w:bookmarkEnd w:id="131"/>
    <w:bookmarkStart w:id="132"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32"/>
    <w:bookmarkStart w:id="134"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33">
        <w:r>
          <w:rPr>
            <w:rStyle w:val="Hyperlink"/>
          </w:rPr>
          <w:t xml:space="preserve">https://doi.org/10.3389/fpls.2016.01576</w:t>
        </w:r>
      </w:hyperlink>
    </w:p>
    <w:bookmarkEnd w:id="134"/>
    <w:bookmarkStart w:id="136"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35">
        <w:r>
          <w:rPr>
            <w:rStyle w:val="Hyperlink"/>
          </w:rPr>
          <w:t xml:space="preserve">https://doi.org/10.1007/BF00033093</w:t>
        </w:r>
      </w:hyperlink>
    </w:p>
    <w:bookmarkEnd w:id="136"/>
    <w:bookmarkStart w:id="138"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37">
        <w:r>
          <w:rPr>
            <w:rStyle w:val="Hyperlink"/>
          </w:rPr>
          <w:t xml:space="preserve">https://doi.org/10.1016/S1673-8527(07)60005-8</w:t>
        </w:r>
      </w:hyperlink>
    </w:p>
    <w:bookmarkEnd w:id="138"/>
    <w:bookmarkStart w:id="140"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39">
        <w:r>
          <w:rPr>
            <w:rStyle w:val="Hyperlink"/>
          </w:rPr>
          <w:t xml:space="preserve">https://doi.org/10.1371/journal.pone.0130742</w:t>
        </w:r>
      </w:hyperlink>
    </w:p>
    <w:bookmarkEnd w:id="140"/>
    <w:bookmarkStart w:id="142"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41">
        <w:r>
          <w:rPr>
            <w:rStyle w:val="Hyperlink"/>
          </w:rPr>
          <w:t xml:space="preserve">https://doi.org/10.1007/s12041-014-0385-9</w:t>
        </w:r>
      </w:hyperlink>
    </w:p>
    <w:bookmarkEnd w:id="142"/>
    <w:bookmarkStart w:id="144"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143">
        <w:r>
          <w:rPr>
            <w:rStyle w:val="Hyperlink"/>
          </w:rPr>
          <w:t xml:space="preserve">https://doi.org/10.2135/cropsci1984.0011183X002400050010x</w:t>
        </w:r>
      </w:hyperlink>
    </w:p>
    <w:bookmarkEnd w:id="144"/>
    <w:bookmarkStart w:id="145"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45"/>
    <w:bookmarkStart w:id="147"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46">
        <w:r>
          <w:rPr>
            <w:rStyle w:val="Hyperlink"/>
          </w:rPr>
          <w:t xml:space="preserve">https://doi.org/10.1016/S2095-3119(13)60508-0</w:t>
        </w:r>
      </w:hyperlink>
    </w:p>
    <w:bookmarkEnd w:id="147"/>
    <w:bookmarkStart w:id="148"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48"/>
    <w:bookmarkStart w:id="149"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49"/>
    <w:bookmarkStart w:id="151"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50">
        <w:r>
          <w:rPr>
            <w:rStyle w:val="Hyperlink"/>
          </w:rPr>
          <w:t xml:space="preserve">https://doi.org/10.1007/s00122-002-1101-3</w:t>
        </w:r>
      </w:hyperlink>
    </w:p>
    <w:bookmarkEnd w:id="151"/>
    <w:bookmarkStart w:id="153"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52">
        <w:r>
          <w:rPr>
            <w:rStyle w:val="Hyperlink"/>
          </w:rPr>
          <w:t xml:space="preserve">https://doi.org/10.1007/s10681-005-4629-x</w:t>
        </w:r>
      </w:hyperlink>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62" Target="media/rId62.jpg" /><Relationship Type="http://schemas.openxmlformats.org/officeDocument/2006/relationships/image" Id="rId56" Target="media/rId56.jpg" /><Relationship Type="http://schemas.openxmlformats.org/officeDocument/2006/relationships/hyperlink" Id="rId55" Target="http://www.cottongen.org" TargetMode="External" /><Relationship Type="http://schemas.openxmlformats.org/officeDocument/2006/relationships/hyperlink" Id="rId88" Target="https://doi.org/10.1002/agj2.21176" TargetMode="External" /><Relationship Type="http://schemas.openxmlformats.org/officeDocument/2006/relationships/hyperlink" Id="rId93" Target="https://doi.org/10.1007/978-1-4899-4441-2" TargetMode="External" /><Relationship Type="http://schemas.openxmlformats.org/officeDocument/2006/relationships/hyperlink" Id="rId95" Target="https://doi.org/10.1007/978-90-481-3195-2_27" TargetMode="External" /><Relationship Type="http://schemas.openxmlformats.org/officeDocument/2006/relationships/hyperlink" Id="rId135" Target="https://doi.org/10.1007/BF00033093" TargetMode="External" /><Relationship Type="http://schemas.openxmlformats.org/officeDocument/2006/relationships/hyperlink" Id="rId115" Target="https://doi.org/10.1007/BF02670470" TargetMode="External" /><Relationship Type="http://schemas.openxmlformats.org/officeDocument/2006/relationships/hyperlink" Id="rId150" Target="https://doi.org/10.1007/s00122-002-1101-3" TargetMode="External" /><Relationship Type="http://schemas.openxmlformats.org/officeDocument/2006/relationships/hyperlink" Id="rId77" Target="https://doi.org/10.1007/s00438-017-1346-9" TargetMode="External" /><Relationship Type="http://schemas.openxmlformats.org/officeDocument/2006/relationships/hyperlink" Id="rId106" Target="https://doi.org/10.1007/s00438-017-1347-8" TargetMode="External" /><Relationship Type="http://schemas.openxmlformats.org/officeDocument/2006/relationships/hyperlink" Id="rId152" Target="https://doi.org/10.1007/s10681-005-4629-x" TargetMode="External" /><Relationship Type="http://schemas.openxmlformats.org/officeDocument/2006/relationships/hyperlink" Id="rId130" Target="https://doi.org/10.1007/s10681-006-9338-6" TargetMode="External" /><Relationship Type="http://schemas.openxmlformats.org/officeDocument/2006/relationships/hyperlink" Id="rId79" Target="https://doi.org/10.1007/s10681-009-0009-2" TargetMode="External" /><Relationship Type="http://schemas.openxmlformats.org/officeDocument/2006/relationships/hyperlink" Id="rId104" Target="https://doi.org/10.1007/s11032-011-9547-0" TargetMode="External" /><Relationship Type="http://schemas.openxmlformats.org/officeDocument/2006/relationships/hyperlink" Id="rId84" Target="https://doi.org/10.1007/s11032-018-0831-0" TargetMode="External" /><Relationship Type="http://schemas.openxmlformats.org/officeDocument/2006/relationships/hyperlink" Id="rId108" Target="https://doi.org/10.1007/s11099-016-0223-9" TargetMode="External" /><Relationship Type="http://schemas.openxmlformats.org/officeDocument/2006/relationships/hyperlink" Id="rId141" Target="https://doi.org/10.1007/s12041-014-0385-9" TargetMode="External" /><Relationship Type="http://schemas.openxmlformats.org/officeDocument/2006/relationships/hyperlink" Id="rId137" Target="https://doi.org/10.1016/S1673-8527(07)60005-8" TargetMode="External" /><Relationship Type="http://schemas.openxmlformats.org/officeDocument/2006/relationships/hyperlink" Id="rId146" Target="https://doi.org/10.1016/S2095-3119(13)60508-0" TargetMode="External" /><Relationship Type="http://schemas.openxmlformats.org/officeDocument/2006/relationships/hyperlink" Id="rId128" Target="https://doi.org/10.1016/j.fcr.2021.108322" TargetMode="External" /><Relationship Type="http://schemas.openxmlformats.org/officeDocument/2006/relationships/hyperlink" Id="rId126" Target="https://doi.org/10.1016/j.fcr.2023.109106" TargetMode="External" /><Relationship Type="http://schemas.openxmlformats.org/officeDocument/2006/relationships/hyperlink" Id="rId98" Target="https://doi.org/10.1017/S0021859616000745" TargetMode="External" /><Relationship Type="http://schemas.openxmlformats.org/officeDocument/2006/relationships/hyperlink" Id="rId123" Target="https://doi.org/10.1080/01140671.2005.9514373" TargetMode="External" /><Relationship Type="http://schemas.openxmlformats.org/officeDocument/2006/relationships/hyperlink" Id="rId100" Target="https://doi.org/10.1111/j.1439-0523.2004.01039.x" TargetMode="External" /><Relationship Type="http://schemas.openxmlformats.org/officeDocument/2006/relationships/hyperlink" Id="rId119" Target="https://doi.org/10.1371/journal.pone.0118073" TargetMode="External" /><Relationship Type="http://schemas.openxmlformats.org/officeDocument/2006/relationships/hyperlink" Id="rId139" Target="https://doi.org/10.1371/journal.pone.0130742" TargetMode="External" /><Relationship Type="http://schemas.openxmlformats.org/officeDocument/2006/relationships/hyperlink" Id="rId121" Target="https://doi.org/10.1590/1678-4499.2017329" TargetMode="External" /><Relationship Type="http://schemas.openxmlformats.org/officeDocument/2006/relationships/hyperlink" Id="rId110" Target="https://doi.org/10.2134/agronmonogr24.c5" TargetMode="External" /><Relationship Type="http://schemas.openxmlformats.org/officeDocument/2006/relationships/hyperlink" Id="rId86" Target="https://doi.org/10.2134/jpa1992.0532" TargetMode="External" /><Relationship Type="http://schemas.openxmlformats.org/officeDocument/2006/relationships/hyperlink" Id="rId143" Target="https://doi.org/10.2135/cropsci1984.0011183X002400050010x" TargetMode="External" /><Relationship Type="http://schemas.openxmlformats.org/officeDocument/2006/relationships/hyperlink" Id="rId113" Target="https://doi.org/10.31783/elsr.2023.92265275" TargetMode="External" /><Relationship Type="http://schemas.openxmlformats.org/officeDocument/2006/relationships/hyperlink" Id="rId133" Target="https://doi.org/10.3389/fpls.2016.01576" TargetMode="External" /><Relationship Type="http://schemas.openxmlformats.org/officeDocument/2006/relationships/hyperlink" Id="rId91" Target="https://doi.org/10.3389/fpls.2017.00086" TargetMode="External" /><Relationship Type="http://schemas.openxmlformats.org/officeDocument/2006/relationships/hyperlink" Id="rId102" Target="https://doi.org/10.3389/fpls.2018.01067" TargetMode="External" /><Relationship Type="http://schemas.openxmlformats.org/officeDocument/2006/relationships/hyperlink" Id="rId82"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55" Target="http://www.cottongen.org" TargetMode="External" /><Relationship Type="http://schemas.openxmlformats.org/officeDocument/2006/relationships/hyperlink" Id="rId88" Target="https://doi.org/10.1002/agj2.21176" TargetMode="External" /><Relationship Type="http://schemas.openxmlformats.org/officeDocument/2006/relationships/hyperlink" Id="rId93" Target="https://doi.org/10.1007/978-1-4899-4441-2" TargetMode="External" /><Relationship Type="http://schemas.openxmlformats.org/officeDocument/2006/relationships/hyperlink" Id="rId95" Target="https://doi.org/10.1007/978-90-481-3195-2_27" TargetMode="External" /><Relationship Type="http://schemas.openxmlformats.org/officeDocument/2006/relationships/hyperlink" Id="rId135" Target="https://doi.org/10.1007/BF00033093" TargetMode="External" /><Relationship Type="http://schemas.openxmlformats.org/officeDocument/2006/relationships/hyperlink" Id="rId115" Target="https://doi.org/10.1007/BF02670470" TargetMode="External" /><Relationship Type="http://schemas.openxmlformats.org/officeDocument/2006/relationships/hyperlink" Id="rId150" Target="https://doi.org/10.1007/s00122-002-1101-3" TargetMode="External" /><Relationship Type="http://schemas.openxmlformats.org/officeDocument/2006/relationships/hyperlink" Id="rId77" Target="https://doi.org/10.1007/s00438-017-1346-9" TargetMode="External" /><Relationship Type="http://schemas.openxmlformats.org/officeDocument/2006/relationships/hyperlink" Id="rId106" Target="https://doi.org/10.1007/s00438-017-1347-8" TargetMode="External" /><Relationship Type="http://schemas.openxmlformats.org/officeDocument/2006/relationships/hyperlink" Id="rId152" Target="https://doi.org/10.1007/s10681-005-4629-x" TargetMode="External" /><Relationship Type="http://schemas.openxmlformats.org/officeDocument/2006/relationships/hyperlink" Id="rId130" Target="https://doi.org/10.1007/s10681-006-9338-6" TargetMode="External" /><Relationship Type="http://schemas.openxmlformats.org/officeDocument/2006/relationships/hyperlink" Id="rId79" Target="https://doi.org/10.1007/s10681-009-0009-2" TargetMode="External" /><Relationship Type="http://schemas.openxmlformats.org/officeDocument/2006/relationships/hyperlink" Id="rId104" Target="https://doi.org/10.1007/s11032-011-9547-0" TargetMode="External" /><Relationship Type="http://schemas.openxmlformats.org/officeDocument/2006/relationships/hyperlink" Id="rId84" Target="https://doi.org/10.1007/s11032-018-0831-0" TargetMode="External" /><Relationship Type="http://schemas.openxmlformats.org/officeDocument/2006/relationships/hyperlink" Id="rId108" Target="https://doi.org/10.1007/s11099-016-0223-9" TargetMode="External" /><Relationship Type="http://schemas.openxmlformats.org/officeDocument/2006/relationships/hyperlink" Id="rId141" Target="https://doi.org/10.1007/s12041-014-0385-9" TargetMode="External" /><Relationship Type="http://schemas.openxmlformats.org/officeDocument/2006/relationships/hyperlink" Id="rId137" Target="https://doi.org/10.1016/S1673-8527(07)60005-8" TargetMode="External" /><Relationship Type="http://schemas.openxmlformats.org/officeDocument/2006/relationships/hyperlink" Id="rId146" Target="https://doi.org/10.1016/S2095-3119(13)60508-0" TargetMode="External" /><Relationship Type="http://schemas.openxmlformats.org/officeDocument/2006/relationships/hyperlink" Id="rId128" Target="https://doi.org/10.1016/j.fcr.2021.108322" TargetMode="External" /><Relationship Type="http://schemas.openxmlformats.org/officeDocument/2006/relationships/hyperlink" Id="rId126" Target="https://doi.org/10.1016/j.fcr.2023.109106" TargetMode="External" /><Relationship Type="http://schemas.openxmlformats.org/officeDocument/2006/relationships/hyperlink" Id="rId98" Target="https://doi.org/10.1017/S0021859616000745" TargetMode="External" /><Relationship Type="http://schemas.openxmlformats.org/officeDocument/2006/relationships/hyperlink" Id="rId123" Target="https://doi.org/10.1080/01140671.2005.9514373" TargetMode="External" /><Relationship Type="http://schemas.openxmlformats.org/officeDocument/2006/relationships/hyperlink" Id="rId100" Target="https://doi.org/10.1111/j.1439-0523.2004.01039.x" TargetMode="External" /><Relationship Type="http://schemas.openxmlformats.org/officeDocument/2006/relationships/hyperlink" Id="rId119" Target="https://doi.org/10.1371/journal.pone.0118073" TargetMode="External" /><Relationship Type="http://schemas.openxmlformats.org/officeDocument/2006/relationships/hyperlink" Id="rId139" Target="https://doi.org/10.1371/journal.pone.0130742" TargetMode="External" /><Relationship Type="http://schemas.openxmlformats.org/officeDocument/2006/relationships/hyperlink" Id="rId121" Target="https://doi.org/10.1590/1678-4499.2017329" TargetMode="External" /><Relationship Type="http://schemas.openxmlformats.org/officeDocument/2006/relationships/hyperlink" Id="rId110" Target="https://doi.org/10.2134/agronmonogr24.c5" TargetMode="External" /><Relationship Type="http://schemas.openxmlformats.org/officeDocument/2006/relationships/hyperlink" Id="rId86" Target="https://doi.org/10.2134/jpa1992.0532" TargetMode="External" /><Relationship Type="http://schemas.openxmlformats.org/officeDocument/2006/relationships/hyperlink" Id="rId143" Target="https://doi.org/10.2135/cropsci1984.0011183X002400050010x" TargetMode="External" /><Relationship Type="http://schemas.openxmlformats.org/officeDocument/2006/relationships/hyperlink" Id="rId113" Target="https://doi.org/10.31783/elsr.2023.92265275" TargetMode="External" /><Relationship Type="http://schemas.openxmlformats.org/officeDocument/2006/relationships/hyperlink" Id="rId133" Target="https://doi.org/10.3389/fpls.2016.01576" TargetMode="External" /><Relationship Type="http://schemas.openxmlformats.org/officeDocument/2006/relationships/hyperlink" Id="rId91" Target="https://doi.org/10.3389/fpls.2017.00086" TargetMode="External" /><Relationship Type="http://schemas.openxmlformats.org/officeDocument/2006/relationships/hyperlink" Id="rId102" Target="https://doi.org/10.3389/fpls.2018.01067" TargetMode="External" /><Relationship Type="http://schemas.openxmlformats.org/officeDocument/2006/relationships/hyperlink" Id="rId82"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2025-02-19T17:36:15Z</dcterms:created>
  <dcterms:modified xsi:type="dcterms:W3CDTF">2025-02-19T17:36:15Z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Versión 1.1</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