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Año</w:t>
      </w:r>
      <w:r>
        <w:t xml:space="preserve"> </w:t>
      </w:r>
      <w:r>
        <w:t xml:space="preserve">2025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46" w:name="rmd-basics"/>
    <w:p>
      <w:pPr>
        <w:pStyle w:val="Heading1"/>
      </w:pPr>
      <w:r>
        <w:rPr>
          <w:rStyle w:val="SectionNumber"/>
        </w:rPr>
        <w:t xml:space="preserve">1</w:t>
      </w:r>
      <w:r>
        <w:tab/>
      </w:r>
      <w:r>
        <w:t xml:space="preserve">Caracterización morfológica</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w:t>
      </w:r>
    </w:p>
    <w:bookmarkEnd w:id="27"/>
    <w:bookmarkStart w:id="31" w:name="materiales-y-métodos"/>
    <w:p>
      <w:pPr>
        <w:pStyle w:val="Heading2"/>
      </w:pPr>
      <w:r>
        <w:rPr>
          <w:rStyle w:val="SectionNumber"/>
        </w:rPr>
        <w:t xml:space="preserve">1.3</w:t>
      </w:r>
      <w:r>
        <w:tab/>
      </w:r>
      <w:r>
        <w:t xml:space="preserve">Materiales y métodos</w:t>
      </w:r>
    </w:p>
    <w:p>
      <w:pPr>
        <w:pStyle w:val="FirstParagraph"/>
      </w:pPr>
      <w:r>
        <w:t xml:space="preserve">Los ensayos se llevaron adelante en invernadero con condiciones semi-controladas de la Estación Experimental INTA Reconquista. Se utilizaron 26 entradas de</w:t>
      </w:r>
      <w:r>
        <w:t xml:space="preserve"> </w:t>
      </w:r>
      <w:r>
        <w:rPr>
          <w:i/>
          <w:iCs/>
        </w:rPr>
        <w:t xml:space="preserve">Gossypium hirsutum L.</w:t>
      </w:r>
      <w:r>
        <w:t xml:space="preserve">, coleccionados por el banco de germoplasma de INTA, procedentes de diversos sitios tanto nacionales como del extranjero (Tabla</w:t>
      </w:r>
      <w:r>
        <w:t xml:space="preserve"> </w:t>
      </w:r>
      <w:r>
        <w:t xml:space="preserve">1.1</w:t>
      </w:r>
      <w:r>
        <w:t xml:space="preserve">).</w:t>
      </w:r>
    </w:p>
    <w:p>
      <w:pPr>
        <w:pStyle w:val="TableCaption"/>
      </w:pPr>
      <w:bookmarkStart w:id="28" w:name="tab:tablaEntradas"/>
      <w:bookmarkEnd w:id="28"/>
      <w:r>
        <w:t xml:space="preserve">Table 1.1: Entradas de Gossypium hirsutum L. y su procedencia</w:t>
      </w:r>
    </w:p>
    <w:tbl>
      <w:tblPr>
        <w:tblStyle w:val="Table"/>
        <w:tblW w:type="auto" w:w="0"/>
        <w:tblLook w:firstRow="1" w:lastRow="0" w:firstColumn="0" w:lastColumn="0" w:noHBand="0" w:noVBand="0" w:val="0020"/>
        <w:tblCaption w:val="Table 1.1: Entradas de Gossypium hirsutum L. y su procedencia"/>
      </w:tblPr>
      <w:tblGrid>
        <w:gridCol w:w="3960"/>
        <w:gridCol w:w="3960"/>
      </w:tblGrid>
      <w:tr>
        <w:trPr>
          <w:tblHeader w:val="on"/>
        </w:trPr>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BGSP-00177</w:t>
            </w:r>
          </w:p>
        </w:tc>
        <w:tc>
          <w:tcPr/>
          <w:p>
            <w:pPr>
              <w:pStyle w:val="Compact"/>
              <w:jc w:val="left"/>
            </w:pPr>
            <w:r>
              <w:t xml:space="preserve">Argentina</w:t>
            </w:r>
          </w:p>
        </w:tc>
      </w:tr>
      <w:tr>
        <w:tc>
          <w:tcPr/>
          <w:p>
            <w:pPr>
              <w:pStyle w:val="Compact"/>
              <w:jc w:val="left"/>
            </w:pPr>
            <w:r>
              <w:t xml:space="preserve">BGSP-00192</w:t>
            </w:r>
          </w:p>
        </w:tc>
        <w:tc>
          <w:tcPr/>
          <w:p>
            <w:pPr>
              <w:pStyle w:val="Compact"/>
              <w:jc w:val="left"/>
            </w:pPr>
            <w:r>
              <w:t xml:space="preserve">Argentina</w:t>
            </w:r>
          </w:p>
        </w:tc>
      </w:tr>
      <w:tr>
        <w:tc>
          <w:tcPr/>
          <w:p>
            <w:pPr>
              <w:pStyle w:val="Compact"/>
              <w:jc w:val="left"/>
            </w:pPr>
            <w:r>
              <w:t xml:space="preserve">BGSP-00193</w:t>
            </w:r>
          </w:p>
        </w:tc>
        <w:tc>
          <w:tcPr/>
          <w:p>
            <w:pPr>
              <w:pStyle w:val="Compact"/>
              <w:jc w:val="left"/>
            </w:pPr>
            <w:r>
              <w:t xml:space="preserve">Argentina</w:t>
            </w:r>
          </w:p>
        </w:tc>
      </w:tr>
      <w:tr>
        <w:tc>
          <w:tcPr/>
          <w:p>
            <w:pPr>
              <w:pStyle w:val="Compact"/>
              <w:jc w:val="left"/>
            </w:pPr>
            <w:r>
              <w:t xml:space="preserve">BGSP-00194</w:t>
            </w:r>
          </w:p>
        </w:tc>
        <w:tc>
          <w:tcPr/>
          <w:p>
            <w:pPr>
              <w:pStyle w:val="Compact"/>
              <w:jc w:val="left"/>
            </w:pPr>
            <w:r>
              <w:t xml:space="preserve">Argentina</w:t>
            </w:r>
          </w:p>
        </w:tc>
      </w:tr>
      <w:tr>
        <w:tc>
          <w:tcPr/>
          <w:p>
            <w:pPr>
              <w:pStyle w:val="Compact"/>
              <w:jc w:val="left"/>
            </w:pPr>
            <w:r>
              <w:t xml:space="preserve">BGSP-00166</w:t>
            </w:r>
          </w:p>
        </w:tc>
        <w:tc>
          <w:tcPr/>
          <w:p>
            <w:pPr>
              <w:pStyle w:val="Compact"/>
              <w:jc w:val="left"/>
            </w:pPr>
            <w:r>
              <w:t xml:space="preserve">Argentina</w:t>
            </w:r>
          </w:p>
        </w:tc>
      </w:tr>
      <w:tr>
        <w:tc>
          <w:tcPr/>
          <w:p>
            <w:pPr>
              <w:pStyle w:val="Compact"/>
              <w:jc w:val="left"/>
            </w:pPr>
            <w:r>
              <w:t xml:space="preserve">BGSP-00207</w:t>
            </w:r>
          </w:p>
        </w:tc>
        <w:tc>
          <w:tcPr/>
          <w:p>
            <w:pPr>
              <w:pStyle w:val="Compact"/>
              <w:jc w:val="left"/>
            </w:pPr>
            <w:r>
              <w:t xml:space="preserve">Argentina</w:t>
            </w:r>
          </w:p>
        </w:tc>
      </w:tr>
      <w:tr>
        <w:tc>
          <w:tcPr/>
          <w:p>
            <w:pPr>
              <w:pStyle w:val="Compact"/>
              <w:jc w:val="left"/>
            </w:pPr>
            <w:r>
              <w:t xml:space="preserve">BGSP-00269</w:t>
            </w:r>
          </w:p>
        </w:tc>
        <w:tc>
          <w:tcPr/>
          <w:p>
            <w:pPr>
              <w:pStyle w:val="Compact"/>
              <w:jc w:val="left"/>
            </w:pPr>
            <w:r>
              <w:t xml:space="preserve">Argentina</w:t>
            </w:r>
          </w:p>
        </w:tc>
      </w:tr>
      <w:tr>
        <w:tc>
          <w:tcPr/>
          <w:p>
            <w:pPr>
              <w:pStyle w:val="Compact"/>
              <w:jc w:val="left"/>
            </w:pPr>
            <w:r>
              <w:t xml:space="preserve">SP 41255</w:t>
            </w:r>
          </w:p>
        </w:tc>
        <w:tc>
          <w:tcPr/>
          <w:p>
            <w:pPr>
              <w:pStyle w:val="Compact"/>
              <w:jc w:val="left"/>
            </w:pPr>
            <w:r>
              <w:t xml:space="preserve">Argentina-Línea avanzada</w:t>
            </w:r>
          </w:p>
        </w:tc>
      </w:tr>
      <w:tr>
        <w:tc>
          <w:tcPr/>
          <w:p>
            <w:pPr>
              <w:pStyle w:val="Compact"/>
              <w:jc w:val="left"/>
            </w:pPr>
            <w:r>
              <w:t xml:space="preserve">SP 6565</w:t>
            </w:r>
          </w:p>
        </w:tc>
        <w:tc>
          <w:tcPr/>
          <w:p>
            <w:pPr>
              <w:pStyle w:val="Compact"/>
              <w:jc w:val="left"/>
            </w:pPr>
            <w:r>
              <w:t xml:space="preserve">Argentina-Línea avanzada</w:t>
            </w:r>
          </w:p>
        </w:tc>
      </w:tr>
      <w:tr>
        <w:tc>
          <w:tcPr/>
          <w:p>
            <w:pPr>
              <w:pStyle w:val="Compact"/>
              <w:jc w:val="left"/>
            </w:pPr>
            <w:r>
              <w:t xml:space="preserve">BGSP-00514</w:t>
            </w:r>
          </w:p>
        </w:tc>
        <w:tc>
          <w:tcPr/>
          <w:p>
            <w:pPr>
              <w:pStyle w:val="Compact"/>
              <w:jc w:val="left"/>
            </w:pPr>
            <w:r>
              <w:t xml:space="preserve">Australia</w:t>
            </w:r>
          </w:p>
        </w:tc>
      </w:tr>
      <w:tr>
        <w:tc>
          <w:tcPr/>
          <w:p>
            <w:pPr>
              <w:pStyle w:val="Compact"/>
              <w:jc w:val="left"/>
            </w:pPr>
            <w:r>
              <w:t xml:space="preserve">BGSP-00072</w:t>
            </w:r>
          </w:p>
        </w:tc>
        <w:tc>
          <w:tcPr/>
          <w:p>
            <w:pPr>
              <w:pStyle w:val="Compact"/>
              <w:jc w:val="left"/>
            </w:pPr>
            <w:r>
              <w:t xml:space="preserve">Camerún</w:t>
            </w:r>
          </w:p>
        </w:tc>
      </w:tr>
      <w:tr>
        <w:tc>
          <w:tcPr/>
          <w:p>
            <w:pPr>
              <w:pStyle w:val="Compact"/>
              <w:jc w:val="left"/>
            </w:pPr>
            <w:r>
              <w:t xml:space="preserve">BGSP-00088</w:t>
            </w:r>
          </w:p>
        </w:tc>
        <w:tc>
          <w:tcPr/>
          <w:p>
            <w:pPr>
              <w:pStyle w:val="Compact"/>
              <w:jc w:val="left"/>
            </w:pPr>
            <w:r>
              <w:t xml:space="preserve">Camerún</w:t>
            </w:r>
          </w:p>
        </w:tc>
      </w:tr>
      <w:tr>
        <w:tc>
          <w:tcPr/>
          <w:p>
            <w:pPr>
              <w:pStyle w:val="Compact"/>
              <w:jc w:val="left"/>
            </w:pPr>
            <w:r>
              <w:t xml:space="preserve">BGSP-00070</w:t>
            </w:r>
          </w:p>
        </w:tc>
        <w:tc>
          <w:tcPr/>
          <w:p>
            <w:pPr>
              <w:pStyle w:val="Compact"/>
              <w:jc w:val="left"/>
            </w:pPr>
            <w:r>
              <w:t xml:space="preserve">Chad</w:t>
            </w:r>
          </w:p>
        </w:tc>
      </w:tr>
      <w:tr>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BGSP-00126</w:t>
            </w:r>
          </w:p>
        </w:tc>
        <w:tc>
          <w:tcPr/>
          <w:p>
            <w:pPr>
              <w:pStyle w:val="Compact"/>
              <w:jc w:val="left"/>
            </w:pPr>
            <w:r>
              <w:t xml:space="preserve">Senegal</w:t>
            </w:r>
          </w:p>
        </w:tc>
      </w:tr>
    </w:tbl>
    <w:bookmarkStart w:id="29" w:name="variables-medidas"/>
    <w:p>
      <w:pPr>
        <w:pStyle w:val="Heading3"/>
      </w:pPr>
      <w:r>
        <w:rPr>
          <w:rStyle w:val="SectionNumber"/>
        </w:rPr>
        <w:t xml:space="preserve">1.3.1</w:t>
      </w:r>
      <w:r>
        <w:tab/>
      </w:r>
      <w:r>
        <w:t xml:space="preserve">Variables medidas:</w:t>
      </w:r>
    </w:p>
    <w:p>
      <w:pPr>
        <w:pStyle w:val="FirstParagraph"/>
      </w:pPr>
      <w:r>
        <w:t xml:space="preserve">Las variables que se mencionan a continuación fueron registradas en todas las plantas</w:t>
      </w:r>
      <w:r>
        <w:t xml:space="preserve"> </w:t>
      </w:r>
      <w:r>
        <w:t xml:space="preserve">(Kerby et al., 2010)</w:t>
      </w:r>
      <w:r>
        <w:t xml:space="preserve">: i) Precocidad: se determinó tomando el porcentaje de cápsulas abiertas a 100 días después de la emergencia (DDE); ii) Altura: se midieron las plantas desde la base del tallo hasta la punta del ápice; iii) Nº de nudos: se contó el número de nudos presentes en el tallo de cada planta muestreada; iv) Nº de ramas vegetativas: se contaron las ramas vegetativas presentes en cada momento de muestreo; v) Nº de ramas reproductivas: se contaron el número de ramas reproductivas presentes en todas las plantas de cada momento de muestreo; vi) Nudo de inserción de la primera rama reproductiva: se registró el nudo donde se inserta la 1º rama reproductiva en cada planta muestreada; vii) Distancia de la primera posición al tallo principal: se midió la distancia que existe entre el tallo principal y la primera posición de la primera rama reproductiva de cada una de las plantas; viii) Área foliar: para el cálculo de esta variable, se midieron todas las hojas de las plantas a través de los equipos LICOR 3000 y LICOR 3050; ix)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variedades y porcentaje de retención final a la que llegan cada una de las plantas seleccionadas para el mapeo; x) Rendimiento: Para calcular el rendimiento de las diferentes entradas y sus componentes se efectuaron las siguientes mediciones: a) Rendimiento bruto de algodón: se recolectó la fibra-semilla de algodón de todas las cápsulas presentes en las plantas. Las muestras obtenidas fueron pesadas en balanzas de precisión y se realizó medición de la humedad de cada una de ellas; b) % de desmote: se tomó cada muestra de algodón proveniente de las mediciones de rendimiento bruto, se realizó el desmote en una mini-desmotadora experimental y se pesó en una balanza de precisión la fibra y semillas por separado. El porcentaje de desmote fue la relación entre el peso de la fibra sobre el peso de la fibra más la semilla; c) Rendimiento de fibra: se multiplicó el rendimiento bruto de algodón por el % de desmote obtenido; d) Nº de cápsulas por planta: se determinará dividiendo el peso total de la muestra recolectada en cada parcela con el peso por cápsula</w:t>
      </w:r>
      <w:r>
        <w:t xml:space="preserve"> </w:t>
      </w:r>
      <w:r>
        <w:t xml:space="preserve">(Wells &amp; Meredith, 1984)</w:t>
      </w:r>
      <w:r>
        <w:t xml:space="preserve">; e) N° semillas / cápsula: se contó el número de semillas presentes en la muestra</w:t>
      </w:r>
      <w:r>
        <w:t xml:space="preserve"> </w:t>
      </w:r>
      <w:r>
        <w:t xml:space="preserve">(Worley et al., 1974)</w:t>
      </w:r>
      <w:r>
        <w:t xml:space="preserve">; f) Fibra/semilla: este valor surge al dividir el peso de la fibra de algodón que resulta luego de desmotar los capullos por el número de semillas que tiene la muestra; g) Índice de semillas: se obtuvo al pesar 100 semillas de cada una de las muestras de las variedades de algodón</w:t>
      </w:r>
      <w:r>
        <w:t xml:space="preserve"> </w:t>
      </w:r>
      <w:r>
        <w:t xml:space="preserve">(Pettigrew et al., 2013)</w:t>
      </w:r>
      <w:r>
        <w:t xml:space="preserve">; x) Parámetros de calidad tecnológica de fibra de algodón. Para obtener estos parámetros se enviaron las muestras de fibra de algodón obtenidas al laboratorio de HVI (Uster 1000) en Reconquista, Santa Fe. Los parámetros de calidad tecnológica de fibra a evaluar fueron: Índice de Hilabilidad (SCI, por sus siglas en inglés), Micronaire (MIC), Índice de madurez (MAC), longitud promedio de la mitad superior (UHML, por sus siglas en inglés), longitud media (ML, por sus siglas en inglés), % de uniformidad, índice de fibras cortas (SFI, por sus siglas en inglés), resistencia de fibra (Str), elongación (Elg), contenido de humedad de la muestra, color (Rd y +b), grado de color (C.G) y contenido de basura; xi) Fenología. Se registró el tiempo en días necesario para que las plantas alcancen los estados de: emergencia, 1º pimpollo, 1º flor abierta, cut out y 1º bocha abierta. El estado de cut out se determinará cuando el número de nudos por encima de la última flor blanca en el tallo sea menor que 4</w:t>
      </w:r>
      <w:r>
        <w:t xml:space="preserve"> </w:t>
      </w:r>
      <w:r>
        <w:t xml:space="preserve">(Bourland et al., 1992)</w:t>
      </w:r>
      <w:r>
        <w:t xml:space="preserve">.</w:t>
      </w:r>
    </w:p>
    <w:p>
      <w:pPr>
        <w:pStyle w:val="BodyText"/>
      </w:pPr>
      <w:r>
        <w:t xml:space="preserve">El ensayo se realizó en un diseño en bloque completamente aleatorizado, utilizando macetas de 5 litros (con una mezcla de suelo y sustrato comercial) en el cual se colocó 1 planta por maceta. Se utilizaron las entradas detalladas en las tablas N°</w:t>
      </w:r>
      <w:r>
        <w:t xml:space="preserve"> </w:t>
      </w:r>
      <w:r>
        <w:t xml:space="preserve">1.1</w:t>
      </w:r>
      <w:r>
        <w:t xml:space="preserve">.</w:t>
      </w:r>
      <w:r>
        <w:t xml:space="preserve"> </w:t>
      </w:r>
      <w:r>
        <w:rPr>
          <w:rStyle w:val="VerbatimChar"/>
          <w:b/>
          <w:bCs/>
        </w:rPr>
        <w:t xml:space="preserve">Detallar el número de repeticiones</w:t>
      </w:r>
    </w:p>
    <w:bookmarkEnd w:id="29"/>
    <w:bookmarkStart w:id="30" w:name="análisis-estadístico"/>
    <w:p>
      <w:pPr>
        <w:pStyle w:val="Heading3"/>
      </w:pPr>
      <w:r>
        <w:rPr>
          <w:rStyle w:val="SectionNumber"/>
        </w:rPr>
        <w:t xml:space="preserve">1.3.2</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rPr>
          <w:rStyle w:val="VerbatimChar"/>
        </w:rP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0"/>
    <w:bookmarkEnd w:id="31"/>
    <w:bookmarkStart w:id="43" w:name="resultados"/>
    <w:p>
      <w:pPr>
        <w:pStyle w:val="Heading2"/>
      </w:pPr>
      <w:r>
        <w:rPr>
          <w:rStyle w:val="SectionNumber"/>
        </w:rPr>
        <w:t xml:space="preserve">1.4</w:t>
      </w:r>
      <w:r>
        <w:tab/>
      </w:r>
      <w:r>
        <w:t xml:space="preserve">Resultados</w:t>
      </w:r>
    </w:p>
    <w:bookmarkStart w:id="33" w:name="fenología"/>
    <w:p>
      <w:pPr>
        <w:pStyle w:val="Heading3"/>
      </w:pPr>
      <w:r>
        <w:rPr>
          <w:rStyle w:val="SectionNumber"/>
        </w:rPr>
        <w:t xml:space="preserve">1.4.1</w:t>
      </w:r>
      <w:r>
        <w:tab/>
      </w:r>
      <w:r>
        <w:t xml:space="preserve">Fenología</w:t>
      </w:r>
    </w:p>
    <w:p>
      <w:pPr>
        <w:pStyle w:val="FirstParagraph"/>
      </w:pPr>
      <w:r>
        <w:t xml:space="preserve">La fenología se muestra en la tabla</w:t>
      </w:r>
      <w:r>
        <w:t xml:space="preserve"> </w:t>
      </w:r>
      <w:r>
        <w:t xml:space="preserve">1.2</w:t>
      </w:r>
    </w:p>
    <w:p>
      <w:pPr>
        <w:pStyle w:val="TableCaption"/>
      </w:pPr>
      <w:bookmarkStart w:id="32" w:name="tab:tabla-fenologia"/>
      <w:bookmarkEnd w:id="32"/>
      <w:r>
        <w:t xml:space="preserve">Table 1.2: Fenología de las entradas evaluadas</w:t>
      </w:r>
    </w:p>
    <w:tbl>
      <w:tblPr>
        <w:tblStyle w:val="Table"/>
        <w:tblW w:type="auto" w:w="0"/>
        <w:tblLook w:firstRow="1" w:lastRow="0" w:firstColumn="0" w:lastColumn="0" w:noHBand="0" w:noVBand="0" w:val="0020"/>
        <w:tblCaption w:val="Table 1.2: Fenología de las entradas evaluadas"/>
      </w:tblPr>
      <w:tblGrid>
        <w:gridCol w:w="1131"/>
        <w:gridCol w:w="1131"/>
        <w:gridCol w:w="1131"/>
        <w:gridCol w:w="1131"/>
        <w:gridCol w:w="1131"/>
        <w:gridCol w:w="1131"/>
        <w:gridCol w:w="1131"/>
      </w:tblGrid>
      <w:tr>
        <w:trPr>
          <w:tblHeader w:val="on"/>
        </w:trPr>
        <w:tc>
          <w:tcPr/>
          <w:p>
            <w:pPr>
              <w:pStyle w:val="Compact"/>
              <w:jc w:val="left"/>
            </w:pPr>
            <w:r>
              <w:t xml:space="preserve">Entrada</w:t>
            </w:r>
          </w:p>
        </w:tc>
        <w:tc>
          <w:tcPr/>
          <w:p>
            <w:pPr>
              <w:pStyle w:val="Compact"/>
              <w:jc w:val="left"/>
            </w:pPr>
            <w:r>
              <w:t xml:space="preserve">Procedencia</w:t>
            </w:r>
          </w:p>
        </w:tc>
        <w:tc>
          <w:tcPr/>
          <w:p>
            <w:pPr>
              <w:pStyle w:val="Compact"/>
              <w:jc w:val="right"/>
            </w:pPr>
            <w:r>
              <w:t xml:space="preserve">DPP</w:t>
            </w:r>
          </w:p>
        </w:tc>
        <w:tc>
          <w:tcPr/>
          <w:p>
            <w:pPr>
              <w:pStyle w:val="Compact"/>
              <w:jc w:val="right"/>
            </w:pPr>
            <w:r>
              <w:t xml:space="preserve">DPF</w:t>
            </w:r>
          </w:p>
        </w:tc>
        <w:tc>
          <w:tcPr/>
          <w:p>
            <w:pPr>
              <w:pStyle w:val="Compact"/>
              <w:jc w:val="right"/>
            </w:pPr>
            <w:r>
              <w:t xml:space="preserve">DCO</w:t>
            </w:r>
          </w:p>
        </w:tc>
        <w:tc>
          <w:tcPr/>
          <w:p>
            <w:pPr>
              <w:pStyle w:val="Compact"/>
              <w:jc w:val="right"/>
            </w:pPr>
            <w:r>
              <w:t xml:space="preserve">DPCA</w:t>
            </w:r>
          </w:p>
        </w:tc>
        <w:tc>
          <w:tcPr/>
          <w:p>
            <w:pPr>
              <w:pStyle w:val="Compact"/>
              <w:jc w:val="right"/>
            </w:pPr>
            <w:r>
              <w:t xml:space="preserve">DFC</w:t>
            </w:r>
          </w:p>
        </w:tc>
      </w:tr>
      <w:tr>
        <w:tc>
          <w:tcPr/>
          <w:p>
            <w:pPr>
              <w:pStyle w:val="Compact"/>
              <w:jc w:val="left"/>
            </w:pPr>
            <w:r>
              <w:t xml:space="preserve">BGSP-00159</w:t>
            </w:r>
          </w:p>
        </w:tc>
        <w:tc>
          <w:tcPr/>
          <w:p>
            <w:pPr>
              <w:pStyle w:val="Compact"/>
              <w:jc w:val="left"/>
            </w:pPr>
            <w:r>
              <w:t xml:space="preserve">USA</w:t>
            </w:r>
          </w:p>
        </w:tc>
        <w:tc>
          <w:tcPr/>
          <w:p>
            <w:pPr>
              <w:pStyle w:val="Compact"/>
              <w:jc w:val="right"/>
            </w:pPr>
            <w:r>
              <w:t xml:space="preserve">22</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114</w:t>
            </w:r>
          </w:p>
        </w:tc>
        <w:tc>
          <w:tcPr/>
          <w:p>
            <w:pPr>
              <w:pStyle w:val="Compact"/>
              <w:jc w:val="right"/>
            </w:pPr>
            <w:r>
              <w:t xml:space="preserve">161</w:t>
            </w:r>
          </w:p>
        </w:tc>
      </w:tr>
      <w:tr>
        <w:tc>
          <w:tcPr/>
          <w:p>
            <w:pPr>
              <w:pStyle w:val="Compact"/>
              <w:jc w:val="left"/>
            </w:pPr>
            <w:r>
              <w:t xml:space="preserve">BGSP-00428</w:t>
            </w:r>
          </w:p>
        </w:tc>
        <w:tc>
          <w:tcPr/>
          <w:p>
            <w:pPr>
              <w:pStyle w:val="Compact"/>
              <w:jc w:val="left"/>
            </w:pPr>
            <w:r>
              <w:t xml:space="preserve">USA</w:t>
            </w:r>
          </w:p>
        </w:tc>
        <w:tc>
          <w:tcPr/>
          <w:p>
            <w:pPr>
              <w:pStyle w:val="Compact"/>
              <w:jc w:val="right"/>
            </w:pPr>
            <w:r>
              <w:t xml:space="preserve">23</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113</w:t>
            </w:r>
          </w:p>
        </w:tc>
        <w:tc>
          <w:tcPr/>
          <w:p>
            <w:pPr>
              <w:pStyle w:val="Compact"/>
              <w:jc w:val="right"/>
            </w:pPr>
            <w:r>
              <w:t xml:space="preserve">163</w:t>
            </w:r>
          </w:p>
        </w:tc>
      </w:tr>
      <w:tr>
        <w:tc>
          <w:tcPr/>
          <w:p>
            <w:pPr>
              <w:pStyle w:val="Compact"/>
              <w:jc w:val="left"/>
            </w:pPr>
            <w:r>
              <w:t xml:space="preserve">BGSP-00028</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51</w:t>
            </w:r>
          </w:p>
        </w:tc>
        <w:tc>
          <w:tcPr/>
          <w:p>
            <w:pPr>
              <w:pStyle w:val="Compact"/>
              <w:jc w:val="right"/>
            </w:pPr>
            <w:r>
              <w:t xml:space="preserve">74</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BGSP-00207</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164</w:t>
            </w:r>
          </w:p>
        </w:tc>
      </w:tr>
      <w:tr>
        <w:tc>
          <w:tcPr/>
          <w:p>
            <w:pPr>
              <w:pStyle w:val="Compact"/>
              <w:jc w:val="left"/>
            </w:pPr>
            <w:r>
              <w:t xml:space="preserve">BGSP-00269</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75</w:t>
            </w:r>
          </w:p>
        </w:tc>
        <w:tc>
          <w:tcPr/>
          <w:p>
            <w:pPr>
              <w:pStyle w:val="Compact"/>
              <w:jc w:val="right"/>
            </w:pPr>
            <w:r>
              <w:t xml:space="preserve">133</w:t>
            </w:r>
          </w:p>
        </w:tc>
        <w:tc>
          <w:tcPr/>
          <w:p>
            <w:pPr>
              <w:pStyle w:val="Compact"/>
              <w:jc w:val="right"/>
            </w:pPr>
            <w:r>
              <w:t xml:space="preserve">163</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BGSP-00166</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BGSP-00145</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52</w:t>
            </w:r>
          </w:p>
        </w:tc>
        <w:tc>
          <w:tcPr/>
          <w:p>
            <w:pPr>
              <w:pStyle w:val="Compact"/>
              <w:jc w:val="right"/>
            </w:pPr>
            <w:r>
              <w:t xml:space="preserve">73</w:t>
            </w:r>
          </w:p>
        </w:tc>
        <w:tc>
          <w:tcPr/>
          <w:p>
            <w:pPr>
              <w:pStyle w:val="Compact"/>
              <w:jc w:val="right"/>
            </w:pPr>
            <w:r>
              <w:t xml:space="preserve">121</w:t>
            </w:r>
          </w:p>
        </w:tc>
        <w:tc>
          <w:tcPr/>
          <w:p>
            <w:pPr>
              <w:pStyle w:val="Compact"/>
              <w:jc w:val="right"/>
            </w:pPr>
            <w:r>
              <w:t xml:space="preserve">163</w:t>
            </w:r>
          </w:p>
        </w:tc>
      </w:tr>
      <w:tr>
        <w:tc>
          <w:tcPr/>
          <w:p>
            <w:pPr>
              <w:pStyle w:val="Compact"/>
              <w:jc w:val="left"/>
            </w:pPr>
            <w:r>
              <w:t xml:space="preserve">BGSP-00514</w:t>
            </w:r>
          </w:p>
        </w:tc>
        <w:tc>
          <w:tcPr/>
          <w:p>
            <w:pPr>
              <w:pStyle w:val="Compact"/>
              <w:jc w:val="left"/>
            </w:pPr>
            <w:r>
              <w:t xml:space="preserve">Australia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117</w:t>
            </w:r>
          </w:p>
        </w:tc>
        <w:tc>
          <w:tcPr/>
          <w:p>
            <w:pPr>
              <w:pStyle w:val="Compact"/>
              <w:jc w:val="right"/>
            </w:pPr>
            <w:r>
              <w:t xml:space="preserve">161</w:t>
            </w:r>
          </w:p>
        </w:tc>
      </w:tr>
      <w:tr>
        <w:tc>
          <w:tcPr/>
          <w:p>
            <w:pPr>
              <w:pStyle w:val="Compact"/>
              <w:jc w:val="left"/>
            </w:pPr>
            <w:r>
              <w:t xml:space="preserve">BGSP-00748</w:t>
            </w:r>
          </w:p>
        </w:tc>
        <w:tc>
          <w:tcPr/>
          <w:p>
            <w:pPr>
              <w:pStyle w:val="Compact"/>
              <w:jc w:val="left"/>
            </w:pPr>
            <w:r>
              <w:t xml:space="preserve">China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135</w:t>
            </w:r>
          </w:p>
        </w:tc>
        <w:tc>
          <w:tcPr/>
          <w:p>
            <w:pPr>
              <w:pStyle w:val="Compact"/>
              <w:jc w:val="right"/>
            </w:pPr>
            <w:r>
              <w:t xml:space="preserve">NA</w:t>
            </w:r>
          </w:p>
        </w:tc>
      </w:tr>
      <w:tr>
        <w:tc>
          <w:tcPr/>
          <w:p>
            <w:pPr>
              <w:pStyle w:val="Compact"/>
              <w:jc w:val="left"/>
            </w:pPr>
            <w:r>
              <w:t xml:space="preserve">BGSP-00425</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73</w:t>
            </w:r>
          </w:p>
        </w:tc>
        <w:tc>
          <w:tcPr/>
          <w:p>
            <w:pPr>
              <w:pStyle w:val="Compact"/>
              <w:jc w:val="right"/>
            </w:pPr>
            <w:r>
              <w:t xml:space="preserve">130</w:t>
            </w:r>
          </w:p>
        </w:tc>
        <w:tc>
          <w:tcPr/>
          <w:p>
            <w:pPr>
              <w:pStyle w:val="Compact"/>
              <w:jc w:val="right"/>
            </w:pPr>
            <w:r>
              <w:t xml:space="preserve">163</w:t>
            </w:r>
          </w:p>
        </w:tc>
      </w:tr>
      <w:tr>
        <w:tc>
          <w:tcPr/>
          <w:p>
            <w:pPr>
              <w:pStyle w:val="Compact"/>
              <w:jc w:val="left"/>
            </w:pPr>
            <w:r>
              <w:t xml:space="preserve">BGSP-00177</w:t>
            </w:r>
          </w:p>
        </w:tc>
        <w:tc>
          <w:tcPr/>
          <w:p>
            <w:pPr>
              <w:pStyle w:val="Compact"/>
              <w:jc w:val="left"/>
            </w:pPr>
            <w:r>
              <w:t xml:space="preserve">Argentina</w:t>
            </w:r>
          </w:p>
        </w:tc>
        <w:tc>
          <w:tcPr/>
          <w:p>
            <w:pPr>
              <w:pStyle w:val="Compact"/>
              <w:jc w:val="right"/>
            </w:pPr>
            <w:r>
              <w:t xml:space="preserve">26</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127</w:t>
            </w:r>
          </w:p>
        </w:tc>
        <w:tc>
          <w:tcPr/>
          <w:p>
            <w:pPr>
              <w:pStyle w:val="Compact"/>
              <w:jc w:val="right"/>
            </w:pPr>
            <w:r>
              <w:t xml:space="preserve">164</w:t>
            </w:r>
          </w:p>
        </w:tc>
      </w:tr>
      <w:tr>
        <w:tc>
          <w:tcPr/>
          <w:p>
            <w:pPr>
              <w:pStyle w:val="Compact"/>
              <w:jc w:val="left"/>
            </w:pPr>
            <w:r>
              <w:t xml:space="preserve">BGSP-00070</w:t>
            </w:r>
          </w:p>
        </w:tc>
        <w:tc>
          <w:tcPr/>
          <w:p>
            <w:pPr>
              <w:pStyle w:val="Compact"/>
              <w:jc w:val="left"/>
            </w:pPr>
            <w:r>
              <w:t xml:space="preserve">Chad</w:t>
            </w:r>
          </w:p>
        </w:tc>
        <w:tc>
          <w:tcPr/>
          <w:p>
            <w:pPr>
              <w:pStyle w:val="Compact"/>
              <w:jc w:val="right"/>
            </w:pPr>
            <w:r>
              <w:t xml:space="preserve">27</w:t>
            </w:r>
          </w:p>
        </w:tc>
        <w:tc>
          <w:tcPr/>
          <w:p>
            <w:pPr>
              <w:pStyle w:val="Compact"/>
              <w:jc w:val="right"/>
            </w:pPr>
            <w:r>
              <w:t xml:space="preserve">53</w:t>
            </w:r>
          </w:p>
        </w:tc>
        <w:tc>
          <w:tcPr/>
          <w:p>
            <w:pPr>
              <w:pStyle w:val="Compact"/>
              <w:jc w:val="right"/>
            </w:pPr>
            <w:r>
              <w:t xml:space="preserve">76</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BGSP-00755</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BGSP-00126</w:t>
            </w:r>
          </w:p>
        </w:tc>
        <w:tc>
          <w:tcPr/>
          <w:p>
            <w:pPr>
              <w:pStyle w:val="Compact"/>
              <w:jc w:val="left"/>
            </w:pPr>
            <w:r>
              <w:t xml:space="preserve">Senegal</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79</w:t>
            </w:r>
          </w:p>
        </w:tc>
        <w:tc>
          <w:tcPr/>
          <w:p>
            <w:pPr>
              <w:pStyle w:val="Compact"/>
              <w:jc w:val="right"/>
            </w:pPr>
            <w:r>
              <w:t xml:space="preserve">132</w:t>
            </w:r>
          </w:p>
        </w:tc>
        <w:tc>
          <w:tcPr/>
          <w:p>
            <w:pPr>
              <w:pStyle w:val="Compact"/>
              <w:jc w:val="right"/>
            </w:pPr>
            <w:r>
              <w:t xml:space="preserve">163</w:t>
            </w:r>
          </w:p>
        </w:tc>
      </w:tr>
      <w:tr>
        <w:tc>
          <w:tcPr/>
          <w:p>
            <w:pPr>
              <w:pStyle w:val="Compact"/>
              <w:jc w:val="left"/>
            </w:pPr>
            <w:r>
              <w:t xml:space="preserve">BGSP-00067</w:t>
            </w:r>
          </w:p>
        </w:tc>
        <w:tc>
          <w:tcPr/>
          <w:p>
            <w:pPr>
              <w:pStyle w:val="Compact"/>
              <w:jc w:val="left"/>
            </w:pPr>
            <w:r>
              <w:t xml:space="preserve">Costa de Marfil</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74</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BGSP-00192</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BGSP-00759</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77</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BGSP-00072</w:t>
            </w:r>
          </w:p>
        </w:tc>
        <w:tc>
          <w:tcPr/>
          <w:p>
            <w:pPr>
              <w:pStyle w:val="Compact"/>
              <w:jc w:val="left"/>
            </w:pPr>
            <w:r>
              <w:t xml:space="preserve">Camerún</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80</w:t>
            </w:r>
          </w:p>
        </w:tc>
        <w:tc>
          <w:tcPr/>
          <w:p>
            <w:pPr>
              <w:pStyle w:val="Compact"/>
              <w:jc w:val="right"/>
            </w:pPr>
            <w:r>
              <w:t xml:space="preserve">130</w:t>
            </w:r>
          </w:p>
        </w:tc>
        <w:tc>
          <w:tcPr/>
          <w:p>
            <w:pPr>
              <w:pStyle w:val="Compact"/>
              <w:jc w:val="right"/>
            </w:pPr>
            <w:r>
              <w:t xml:space="preserve">162</w:t>
            </w:r>
          </w:p>
        </w:tc>
      </w:tr>
      <w:tr>
        <w:tc>
          <w:tcPr/>
          <w:p>
            <w:pPr>
              <w:pStyle w:val="Compact"/>
              <w:jc w:val="left"/>
            </w:pPr>
            <w:r>
              <w:t xml:space="preserve">BGSP-00088</w:t>
            </w:r>
          </w:p>
        </w:tc>
        <w:tc>
          <w:tcPr/>
          <w:p>
            <w:pPr>
              <w:pStyle w:val="Compact"/>
              <w:jc w:val="left"/>
            </w:pPr>
            <w:r>
              <w:t xml:space="preserve">Camerún</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78</w:t>
            </w:r>
          </w:p>
        </w:tc>
        <w:tc>
          <w:tcPr/>
          <w:p>
            <w:pPr>
              <w:pStyle w:val="Compact"/>
              <w:jc w:val="right"/>
            </w:pPr>
            <w:r>
              <w:t xml:space="preserve">135</w:t>
            </w:r>
          </w:p>
        </w:tc>
        <w:tc>
          <w:tcPr/>
          <w:p>
            <w:pPr>
              <w:pStyle w:val="Compact"/>
              <w:jc w:val="right"/>
            </w:pPr>
            <w:r>
              <w:t xml:space="preserve">163</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131</w:t>
            </w:r>
          </w:p>
        </w:tc>
        <w:tc>
          <w:tcPr/>
          <w:p>
            <w:pPr>
              <w:pStyle w:val="Compact"/>
              <w:jc w:val="right"/>
            </w:pPr>
            <w:r>
              <w:t xml:space="preserve">162</w:t>
            </w:r>
          </w:p>
        </w:tc>
      </w:tr>
      <w:tr>
        <w:tc>
          <w:tcPr/>
          <w:p>
            <w:pPr>
              <w:pStyle w:val="Compact"/>
              <w:jc w:val="left"/>
            </w:pPr>
            <w:r>
              <w:t xml:space="preserve">BGSP-00715</w:t>
            </w:r>
          </w:p>
        </w:tc>
        <w:tc>
          <w:tcPr/>
          <w:p>
            <w:pPr>
              <w:pStyle w:val="Compact"/>
              <w:jc w:val="left"/>
            </w:pPr>
            <w:r>
              <w:t xml:space="preserve">Pakistán</w:t>
            </w:r>
          </w:p>
        </w:tc>
        <w:tc>
          <w:tcPr/>
          <w:p>
            <w:pPr>
              <w:pStyle w:val="Compact"/>
              <w:jc w:val="right"/>
            </w:pPr>
            <w:r>
              <w:t xml:space="preserve">24</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BGSP-00752</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162</w:t>
            </w:r>
          </w:p>
        </w:tc>
      </w:tr>
      <w:tr>
        <w:tc>
          <w:tcPr/>
          <w:p>
            <w:pPr>
              <w:pStyle w:val="Compact"/>
              <w:jc w:val="left"/>
            </w:pPr>
            <w:r>
              <w:t xml:space="preserve">BGSP-00194</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75</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BGSP-00193</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137</w:t>
            </w:r>
          </w:p>
        </w:tc>
        <w:tc>
          <w:tcPr/>
          <w:p>
            <w:pPr>
              <w:pStyle w:val="Compact"/>
              <w:jc w:val="right"/>
            </w:pPr>
            <w:r>
              <w:t xml:space="preserve">162</w:t>
            </w:r>
          </w:p>
        </w:tc>
      </w:tr>
      <w:tr>
        <w:tc>
          <w:tcPr/>
          <w:p>
            <w:pPr>
              <w:pStyle w:val="Compact"/>
              <w:jc w:val="left"/>
            </w:pPr>
            <w:r>
              <w:t xml:space="preserve">BGSP-00779</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76</w:t>
            </w:r>
          </w:p>
        </w:tc>
        <w:tc>
          <w:tcPr/>
          <w:p>
            <w:pPr>
              <w:pStyle w:val="Compact"/>
              <w:jc w:val="right"/>
            </w:pPr>
            <w:r>
              <w:t xml:space="preserve">126</w:t>
            </w:r>
          </w:p>
        </w:tc>
        <w:tc>
          <w:tcPr/>
          <w:p>
            <w:pPr>
              <w:pStyle w:val="Compact"/>
              <w:jc w:val="right"/>
            </w:pPr>
            <w:r>
              <w:t xml:space="preserve">161</w:t>
            </w:r>
          </w:p>
        </w:tc>
      </w:tr>
    </w:tbl>
    <w:bookmarkEnd w:id="33"/>
    <w:bookmarkStart w:id="34" w:name="mapeo-y-descriptores-morfológicos"/>
    <w:p>
      <w:pPr>
        <w:pStyle w:val="Heading3"/>
      </w:pPr>
      <w:r>
        <w:rPr>
          <w:rStyle w:val="SectionNumber"/>
        </w:rPr>
        <w:t xml:space="preserve">1.4.2</w:t>
      </w:r>
      <w:r>
        <w:tab/>
      </w:r>
      <w:r>
        <w:t xml:space="preserve">Mapeo y descriptores morfológicos</w:t>
      </w:r>
    </w:p>
    <w:p>
      <w:pPr>
        <w:pStyle w:val="FirstParagraph"/>
      </w:pPr>
      <w:r>
        <w:t xml:space="preserve">Puede incluirse resultados morfológicos de las entradas…</w:t>
      </w:r>
    </w:p>
    <w:bookmarkEnd w:id="34"/>
    <w:bookmarkStart w:id="42" w:name="Xae11bacf5b32a875e55697df92f3e7bf4524ae3"/>
    <w:p>
      <w:pPr>
        <w:pStyle w:val="Heading3"/>
      </w:pPr>
      <w:r>
        <w:rPr>
          <w:rStyle w:val="SectionNumber"/>
        </w:rPr>
        <w:t xml:space="preserve">1.4.3</w:t>
      </w:r>
      <w:r>
        <w:tab/>
      </w:r>
      <w:r>
        <w:t xml:space="preserve">Componentes del rendimiento y calidad de fibra</w:t>
      </w:r>
    </w:p>
    <w:p>
      <w:pPr>
        <w:pStyle w:val="TableCaption"/>
      </w:pPr>
      <w:bookmarkStart w:id="35" w:name="tab:table-charac"/>
      <w:bookmarkEnd w:id="35"/>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42.9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 (0.2)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(1.5)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 (0.3)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desmote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promedio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planta.</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TableCaption"/>
      </w:pPr>
      <w:bookmarkStart w:id="36" w:name="tab:table-charac"/>
      <w:bookmarkEnd w:id="36"/>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7"/>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29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respectivamiente.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The first principal component explained 45.61% of the variance in the data, while the second principal component explained 21.97% (Figure</w:t>
      </w:r>
      <w:r>
        <w:t xml:space="preserve"> </w:t>
      </w:r>
      <w:r>
        <w:t xml:space="preserve">1.1</w:t>
      </w:r>
      <w:r>
        <w:t xml:space="preserve">). The traits most associated with the first component were RB, Mic, RF, IF and NC, while UHML, Str, IU, IS, NSC, PC and RFD were most associated with the second component. The accessions located in the upper left quadrant were BGSP-00166, BGSP-00159 and BGSP-00425 being these accessions associated with higher values of fibre quality (UHML, Str, IU) and seed size (IS) and lower values in yield-related traits such as RB, RF, IF, NC, RFD. The accessions located in the lower right quadrant like SP-41255, BGSP-00269, BGSP-00207 and BGSP-00126, showed opposite performance to those described.</w:t>
      </w:r>
    </w:p>
    <w:p>
      <w:pPr>
        <w:pStyle w:val="CaptionedFigure"/>
      </w:pPr>
      <w:r>
        <w:drawing>
          <wp:inline>
            <wp:extent cx="3810000" cy="5275384"/>
            <wp:effectExtent b="0" l="0" r="0" t="0"/>
            <wp:docPr descr="Figure 1.1: Biplot of the Principal component analysis with point representing the projections of accessions (1) and variables (2) in the space defined by the first two dimensions (Dim) or principal components." title="" id="38" name="Picture"/>
            <a:graphic>
              <a:graphicData uri="http://schemas.openxmlformats.org/drawingml/2006/picture">
                <pic:pic>
                  <pic:nvPicPr>
                    <pic:cNvPr descr="figure/chap1/Para_compuestas/PCA_juntas.png" id="39" name="Picture"/>
                    <pic:cNvPicPr>
                      <a:picLocks noChangeArrowheads="1" noChangeAspect="1"/>
                    </pic:cNvPicPr>
                  </pic:nvPicPr>
                  <pic:blipFill>
                    <a:blip r:embed="rId37"/>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0" w:name="fig:img-PC"/>
      <w:bookmarkEnd w:id="40"/>
      <w:r>
        <w:t xml:space="preserve">Figure 1.1: Biplot of the Principal component analysis with point representing the projections of accessions (1) and variables (2) in the space defined by the first two dimensions (Dim) or principal components.</w:t>
      </w:r>
    </w:p>
    <w:p>
      <w:pPr>
        <w:pStyle w:val="BodyText"/>
      </w:pPr>
      <w:r>
        <w:t xml:space="preserve">In particular, the accessions BGSP-00166 and SP-41255 presented more contrast in terms of the measured traits. These accessions showed different values for most of the measured traits related to both yield and fibre quality. Therefore, we selected those accessions to make a biparental cross and to generate a segregating population for estimating genetic parameters and then select promising phenotypes for yield and quality-related traits.</w:t>
      </w:r>
    </w:p>
    <w:p>
      <w:pPr>
        <w:pStyle w:val="TableCaption"/>
      </w:pPr>
      <w:bookmarkStart w:id="41" w:name="tab:correlation-greenhouse"/>
      <w:bookmarkEnd w:id="41"/>
      <w:r>
        <w:t xml:space="preserve">Table 1.4: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germplasm.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03"/>
        <w:gridCol w:w="751"/>
        <w:gridCol w:w="751"/>
        <w:gridCol w:w="819"/>
        <w:gridCol w:w="751"/>
        <w:gridCol w:w="751"/>
        <w:gridCol w:w="642"/>
        <w:gridCol w:w="819"/>
        <w:gridCol w:w="608"/>
        <w:gridCol w:w="819"/>
        <w:gridCol w:w="751"/>
        <w:gridCol w:w="490"/>
      </w:tblGrid>
      <w:tr>
        <w:trPr>
          <w:trHeight w:val="30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p>
        </w:tc>
      </w:tr>
      <w:tr>
        <w:trPr>
          <w:trHeight w:val="29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RFD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UHML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r>
      <w:tr>
        <w:trPr>
          <w:trHeight w:val="298"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IU</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r>
    </w:tbl>
    <w:p>
      <w:pPr>
        <w:pStyle w:val="BodyText"/>
      </w:pPr>
      <w:r>
        <w:t xml:space="preserve">Several phenotypic correlations were statistically significant (Table</w:t>
      </w:r>
      <w:r>
        <w:t xml:space="preserve"> </w:t>
      </w:r>
      <w:r>
        <w:t xml:space="preserve">1.4</w:t>
      </w:r>
      <w:r>
        <w:t xml:space="preserve">). For the analysis, values greater than 0.80 were considered as strong correlation, moderate correlation were those between 0.40 to 0.80, and low were those less than 0.40. The RF showed a strong positive correlation with NC. It also showed a moderate positive correlation with PC. RFD showed a moderate positive correlation with RF and NC. However, it showed a moderate negative correlation with IS. The LF showed moderate negative correlations with RF, indicating that as the fibre length increases, the lint yield decreases.</w:t>
      </w:r>
    </w:p>
    <w:bookmarkEnd w:id="42"/>
    <w:bookmarkEnd w:id="43"/>
    <w:bookmarkStart w:id="44" w:name="discusión"/>
    <w:p>
      <w:pPr>
        <w:pStyle w:val="Heading2"/>
      </w:pPr>
      <w:r>
        <w:rPr>
          <w:rStyle w:val="SectionNumber"/>
        </w:rPr>
        <w:t xml:space="preserve">1.5</w:t>
      </w:r>
      <w:r>
        <w:tab/>
      </w:r>
      <w:r>
        <w:t xml:space="preserve">Discusión</w:t>
      </w:r>
    </w:p>
    <w:p>
      <w:pPr>
        <w:pStyle w:val="FirstParagraph"/>
      </w:pPr>
      <w:r>
        <w:t xml:space="preserve">Aquí la discusión del capítulo 1</w:t>
      </w:r>
    </w:p>
    <w:bookmarkEnd w:id="44"/>
    <w:bookmarkStart w:id="45"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45"/>
    <w:bookmarkEnd w:id="46"/>
    <w:bookmarkStart w:id="53" w:name="math-sci"/>
    <w:p>
      <w:pPr>
        <w:pStyle w:val="Heading1"/>
      </w:pPr>
      <w:r>
        <w:rPr>
          <w:rStyle w:val="SectionNumber"/>
        </w:rPr>
        <w:t xml:space="preserve">2</w:t>
      </w:r>
      <w:r>
        <w:tab/>
      </w:r>
      <w:r>
        <w:t xml:space="preserve">Caracterización fisiológica</w:t>
      </w:r>
    </w:p>
    <w:bookmarkStart w:id="47"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47"/>
    <w:bookmarkStart w:id="48" w:name="objetivo-1"/>
    <w:p>
      <w:pPr>
        <w:pStyle w:val="Heading2"/>
      </w:pPr>
      <w:r>
        <w:rPr>
          <w:rStyle w:val="SectionNumber"/>
        </w:rPr>
        <w:t xml:space="preserve">2.2</w:t>
      </w:r>
      <w:r>
        <w:tab/>
      </w:r>
      <w:r>
        <w:t xml:space="preserve">Objetivo</w:t>
      </w:r>
    </w:p>
    <w:p>
      <w:pPr>
        <w:pStyle w:val="FirstParagraph"/>
      </w:pPr>
      <w:r>
        <w:t xml:space="preserve">Evaluar procesos fisiológicos que intervienen en la determinación del rendimiento de fibra de entradas de algodón del banco de germoplasma de INTA.</w:t>
      </w:r>
    </w:p>
    <w:bookmarkEnd w:id="48"/>
    <w:bookmarkStart w:id="49" w:name="materiales-y-métodos-1"/>
    <w:p>
      <w:pPr>
        <w:pStyle w:val="Heading2"/>
      </w:pPr>
      <w:r>
        <w:rPr>
          <w:rStyle w:val="SectionNumber"/>
        </w:rPr>
        <w:t xml:space="preserve">2.3</w:t>
      </w:r>
      <w:r>
        <w:tab/>
      </w:r>
      <w:r>
        <w:t xml:space="preserve">Materiales y métodos</w:t>
      </w:r>
    </w:p>
    <w:p>
      <w:pPr>
        <w:pStyle w:val="FirstParagraph"/>
      </w:pPr>
      <w:r>
        <w:t xml:space="preserve">Variables medidas:</w:t>
      </w:r>
    </w:p>
    <w:p>
      <w:pPr>
        <w:pStyle w:val="BodyText"/>
      </w:pPr>
      <w:r>
        <w:t xml:space="preserve">La medición de las variables fisiológicas se llevaron a cabo en un ensayo en invernadero. Las mediciones se realizaron en seis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 Para las mediciones de estas variables, se utilizaron las entradas</w:t>
      </w:r>
      <w:r>
        <w:t xml:space="preserve"> </w:t>
      </w:r>
      <w:r>
        <w:rPr>
          <w:rStyle w:val="VerbatimChar"/>
          <w:b/>
          <w:bCs/>
        </w:rPr>
        <w:t xml:space="preserve">detallar entradas</w:t>
      </w:r>
      <w:r>
        <w:t xml:space="preserve"> </w:t>
      </w:r>
      <w:r>
        <w:t xml:space="preserve">del diseño planteado en</w:t>
      </w:r>
      <w:r>
        <w:t xml:space="preserve"> </w:t>
      </w:r>
      <w:r>
        <w:t xml:space="preserve">“</w:t>
      </w:r>
      <w:r>
        <w:t xml:space="preserve">Caracterización morfológica</w:t>
      </w:r>
      <w:r>
        <w:t xml:space="preserve">”</w:t>
      </w:r>
      <w:r>
        <w:t xml:space="preserve">.</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Se utilizaron macetas de 5 litros (con una mezcla de suelo y sustrato comercial), en el cual se colocó 1 planta por maceta.</w:t>
      </w:r>
    </w:p>
    <w:bookmarkEnd w:id="49"/>
    <w:bookmarkStart w:id="50" w:name="resultados-1"/>
    <w:p>
      <w:pPr>
        <w:pStyle w:val="Heading2"/>
      </w:pPr>
      <w:r>
        <w:rPr>
          <w:rStyle w:val="SectionNumber"/>
        </w:rPr>
        <w:t xml:space="preserve">2.4</w:t>
      </w:r>
      <w:r>
        <w:tab/>
      </w:r>
      <w:r>
        <w:t xml:space="preserve">Resultados</w:t>
      </w:r>
    </w:p>
    <w:p>
      <w:pPr>
        <w:pStyle w:val="FirstParagraph"/>
      </w:pPr>
      <w:r>
        <w:t xml:space="preserve">Aquí los resultados del capítulo 2</w:t>
      </w:r>
    </w:p>
    <w:bookmarkEnd w:id="50"/>
    <w:bookmarkStart w:id="51" w:name="discusión-1"/>
    <w:p>
      <w:pPr>
        <w:pStyle w:val="Heading2"/>
      </w:pPr>
      <w:r>
        <w:rPr>
          <w:rStyle w:val="SectionNumber"/>
        </w:rPr>
        <w:t xml:space="preserve">2.5</w:t>
      </w:r>
      <w:r>
        <w:tab/>
      </w:r>
      <w:r>
        <w:t xml:space="preserve">Discusión</w:t>
      </w:r>
    </w:p>
    <w:p>
      <w:pPr>
        <w:pStyle w:val="FirstParagraph"/>
      </w:pPr>
      <w:r>
        <w:t xml:space="preserve">Aquí la discusión del capítulo 2</w:t>
      </w:r>
    </w:p>
    <w:bookmarkEnd w:id="51"/>
    <w:bookmarkStart w:id="52" w:name="conclusión-1"/>
    <w:p>
      <w:pPr>
        <w:pStyle w:val="Heading2"/>
      </w:pPr>
      <w:r>
        <w:rPr>
          <w:rStyle w:val="SectionNumber"/>
        </w:rPr>
        <w:t xml:space="preserve">2.6</w:t>
      </w:r>
      <w:r>
        <w:tab/>
      </w:r>
      <w:r>
        <w:t xml:space="preserve">Conclusión</w:t>
      </w:r>
    </w:p>
    <w:p>
      <w:pPr>
        <w:pStyle w:val="FirstParagraph"/>
      </w:pPr>
      <w:r>
        <w:t xml:space="preserve">Aquí la conclusión del capítulo 2</w:t>
      </w:r>
    </w:p>
    <w:bookmarkEnd w:id="52"/>
    <w:bookmarkEnd w:id="53"/>
    <w:bookmarkStart w:id="61" w:name="ref-labels"/>
    <w:p>
      <w:pPr>
        <w:pStyle w:val="Heading1"/>
      </w:pPr>
      <w:r>
        <w:rPr>
          <w:rStyle w:val="SectionNumber"/>
        </w:rPr>
        <w:t xml:space="preserve">3</w:t>
      </w:r>
      <w:r>
        <w:tab/>
      </w:r>
      <w:r>
        <w:t xml:space="preserve">Caracterización molecular</w:t>
      </w:r>
    </w:p>
    <w:bookmarkStart w:id="54"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54"/>
    <w:bookmarkStart w:id="55" w:name="objetivo-2"/>
    <w:p>
      <w:pPr>
        <w:pStyle w:val="Heading2"/>
      </w:pPr>
      <w:r>
        <w:rPr>
          <w:rStyle w:val="SectionNumber"/>
        </w:rPr>
        <w:t xml:space="preserve">3.2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5"/>
    <w:bookmarkStart w:id="57" w:name="materiales-y-métodos-2"/>
    <w:p>
      <w:pPr>
        <w:pStyle w:val="Heading2"/>
      </w:pPr>
      <w:r>
        <w:rPr>
          <w:rStyle w:val="SectionNumber"/>
        </w:rPr>
        <w:t xml:space="preserve">3.3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6">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1"/>
        </w:numPr>
      </w:pPr>
      <w:r>
        <w:t xml:space="preserve">Medición de la característica fenotípica controlada por los QTL. Se realizarán las mediciones de rendimiento y calidad de fibra detalladas en el apartado ¨Caracterización morfológica¨.</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6%</w:t>
      </w:r>
      <w:r>
        <w:t xml:space="preserve"> </w:t>
      </w:r>
      <w:r>
        <w:t xml:space="preserve">y revelados con carbonato de sodio</w:t>
      </w:r>
      <w:r>
        <w:t xml:space="preserve">(Lin et al., 2005)</w:t>
      </w:r>
      <w:r>
        <w:t xml:space="preserve">.</w:t>
      </w:r>
    </w:p>
    <w:bookmarkEnd w:id="57"/>
    <w:bookmarkStart w:id="58" w:name="resultados-2"/>
    <w:p>
      <w:pPr>
        <w:pStyle w:val="Heading2"/>
      </w:pPr>
      <w:r>
        <w:rPr>
          <w:rStyle w:val="SectionNumber"/>
        </w:rPr>
        <w:t xml:space="preserve">3.4</w:t>
      </w:r>
      <w:r>
        <w:tab/>
      </w:r>
      <w:r>
        <w:t xml:space="preserve">Resultados</w:t>
      </w:r>
    </w:p>
    <w:p>
      <w:pPr>
        <w:pStyle w:val="FirstParagraph"/>
      </w:pPr>
      <w:r>
        <w:t xml:space="preserve">Aquí los resultados del capítulo 3</w:t>
      </w:r>
    </w:p>
    <w:bookmarkEnd w:id="58"/>
    <w:bookmarkStart w:id="59" w:name="discusión-2"/>
    <w:p>
      <w:pPr>
        <w:pStyle w:val="Heading2"/>
      </w:pPr>
      <w:r>
        <w:rPr>
          <w:rStyle w:val="SectionNumber"/>
        </w:rPr>
        <w:t xml:space="preserve">3.5</w:t>
      </w:r>
      <w:r>
        <w:tab/>
      </w:r>
      <w:r>
        <w:t xml:space="preserve">Discusión</w:t>
      </w:r>
    </w:p>
    <w:p>
      <w:pPr>
        <w:pStyle w:val="FirstParagraph"/>
      </w:pPr>
      <w:r>
        <w:t xml:space="preserve">Aquí la discusión del capítulo 3</w:t>
      </w:r>
    </w:p>
    <w:bookmarkEnd w:id="59"/>
    <w:bookmarkStart w:id="60" w:name="conclusión-2"/>
    <w:p>
      <w:pPr>
        <w:pStyle w:val="Heading2"/>
      </w:pPr>
      <w:r>
        <w:rPr>
          <w:rStyle w:val="SectionNumber"/>
        </w:rPr>
        <w:t xml:space="preserve">3.6</w:t>
      </w:r>
      <w:r>
        <w:tab/>
      </w:r>
      <w:r>
        <w:t xml:space="preserve">Conclusión</w:t>
      </w:r>
    </w:p>
    <w:p>
      <w:pPr>
        <w:pStyle w:val="FirstParagraph"/>
      </w:pPr>
      <w:r>
        <w:t xml:space="preserve">Aquí la conclusión del capítulo 3</w:t>
      </w:r>
      <w:r>
        <w:br/>
      </w:r>
    </w:p>
    <w:p>
      <w:pPr>
        <w:pStyle w:val="BodyText"/>
      </w:pPr>
      <w:r>
        <w:br/>
      </w:r>
    </w:p>
    <w:bookmarkEnd w:id="60"/>
    <w:bookmarkEnd w:id="61"/>
    <w:bookmarkStart w:id="62" w:name="conclusión-3"/>
    <w:p>
      <w:pPr>
        <w:pStyle w:val="Heading1"/>
      </w:pPr>
      <w:r>
        <w:t xml:space="preserve">Conclusión</w:t>
      </w:r>
    </w:p>
    <w:p>
      <w:pPr>
        <w:pStyle w:val="FirstParagraph"/>
      </w:pPr>
      <w:r>
        <w:t xml:space="preserve">Las conclusiones de la tesis aquí..</w:t>
      </w:r>
    </w:p>
    <w:bookmarkEnd w:id="62"/>
    <w:bookmarkStart w:id="63" w:name="appendix-apéndice"/>
    <w:p>
      <w:pPr>
        <w:pStyle w:val="Heading1"/>
      </w:pPr>
      <w:r>
        <w:t xml:space="preserve">(APPENDIX) Apéndice</w:t>
      </w:r>
    </w:p>
    <w:bookmarkEnd w:id="63"/>
    <w:bookmarkStart w:id="64"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64"/>
    <w:bookmarkStart w:id="65"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65"/>
    <w:bookmarkStart w:id="142" w:name="referencias"/>
    <w:p>
      <w:pPr>
        <w:pStyle w:val="Heading1"/>
      </w:pPr>
      <w:r>
        <w:t xml:space="preserve">Referencias</w:t>
      </w:r>
    </w:p>
    <w:p>
      <w:pPr>
        <w:pStyle w:val="FirstParagraph"/>
      </w:pPr>
    </w:p>
    <w:p>
      <w:pPr>
        <w:pStyle w:val="BodyText"/>
      </w:pPr>
    </w:p>
    <w:bookmarkStart w:id="141" w:name="refs"/>
    <w:bookmarkStart w:id="67"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66">
        <w:r>
          <w:rPr>
            <w:rStyle w:val="Hyperlink"/>
          </w:rPr>
          <w:t xml:space="preserve">https://doi.org/10.1007/s00438-017-1346-9</w:t>
        </w:r>
      </w:hyperlink>
    </w:p>
    <w:bookmarkEnd w:id="67"/>
    <w:bookmarkStart w:id="69"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68">
        <w:r>
          <w:rPr>
            <w:rStyle w:val="Hyperlink"/>
          </w:rPr>
          <w:t xml:space="preserve">https://doi.org/10.1007/s10681-009-0009-2</w:t>
        </w:r>
      </w:hyperlink>
    </w:p>
    <w:bookmarkEnd w:id="69"/>
    <w:bookmarkStart w:id="70"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70"/>
    <w:bookmarkStart w:id="72"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71">
        <w:r>
          <w:rPr>
            <w:rStyle w:val="Hyperlink"/>
          </w:rPr>
          <w:t xml:space="preserve">https://doi.org/10.5772/intechopen.74513</w:t>
        </w:r>
      </w:hyperlink>
    </w:p>
    <w:bookmarkEnd w:id="72"/>
    <w:bookmarkStart w:id="74"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73">
        <w:r>
          <w:rPr>
            <w:rStyle w:val="Hyperlink"/>
          </w:rPr>
          <w:t xml:space="preserve">https://doi.org/10.1007/s11032-018-0831-0</w:t>
        </w:r>
      </w:hyperlink>
    </w:p>
    <w:bookmarkEnd w:id="74"/>
    <w:bookmarkStart w:id="76"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75">
        <w:r>
          <w:rPr>
            <w:rStyle w:val="Hyperlink"/>
          </w:rPr>
          <w:t xml:space="preserve">https://doi.org/10.2134/jpa1992.0532</w:t>
        </w:r>
      </w:hyperlink>
    </w:p>
    <w:bookmarkEnd w:id="76"/>
    <w:bookmarkStart w:id="78"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77">
        <w:r>
          <w:rPr>
            <w:rStyle w:val="Hyperlink"/>
          </w:rPr>
          <w:t xml:space="preserve">https://doi.org/10.1002/agj2.21176</w:t>
        </w:r>
      </w:hyperlink>
    </w:p>
    <w:bookmarkEnd w:id="78"/>
    <w:bookmarkStart w:id="79"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79"/>
    <w:bookmarkStart w:id="81"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80">
        <w:r>
          <w:rPr>
            <w:rStyle w:val="Hyperlink"/>
          </w:rPr>
          <w:t xml:space="preserve">https://doi.org/10.3389/fpls.2017.00086</w:t>
        </w:r>
      </w:hyperlink>
    </w:p>
    <w:bookmarkEnd w:id="81"/>
    <w:bookmarkStart w:id="83"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82">
        <w:r>
          <w:rPr>
            <w:rStyle w:val="Hyperlink"/>
          </w:rPr>
          <w:t xml:space="preserve">https://doi.org/10.1007/978-1-4899-4441-2</w:t>
        </w:r>
      </w:hyperlink>
    </w:p>
    <w:bookmarkEnd w:id="83"/>
    <w:bookmarkStart w:id="85"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84">
        <w:r>
          <w:rPr>
            <w:rStyle w:val="Hyperlink"/>
          </w:rPr>
          <w:t xml:space="preserve">https://doi.org/10.1007/978-90-481-3195-2_27</w:t>
        </w:r>
      </w:hyperlink>
    </w:p>
    <w:bookmarkEnd w:id="85"/>
    <w:bookmarkStart w:id="86"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86"/>
    <w:bookmarkStart w:id="88"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87">
        <w:r>
          <w:rPr>
            <w:rStyle w:val="Hyperlink"/>
          </w:rPr>
          <w:t xml:space="preserve">https://doi.org/10.1017/S0021859616000745</w:t>
        </w:r>
      </w:hyperlink>
    </w:p>
    <w:bookmarkEnd w:id="88"/>
    <w:bookmarkStart w:id="90"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89">
        <w:r>
          <w:rPr>
            <w:rStyle w:val="Hyperlink"/>
          </w:rPr>
          <w:t xml:space="preserve">https://doi.org/10.1111/j.1439-0523.2004.01039.x</w:t>
        </w:r>
      </w:hyperlink>
    </w:p>
    <w:bookmarkEnd w:id="90"/>
    <w:bookmarkStart w:id="92"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91">
        <w:r>
          <w:rPr>
            <w:rStyle w:val="Hyperlink"/>
          </w:rPr>
          <w:t xml:space="preserve">https://doi.org/10.3389/fpls.2018.01067</w:t>
        </w:r>
      </w:hyperlink>
    </w:p>
    <w:bookmarkEnd w:id="92"/>
    <w:bookmarkStart w:id="94"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93">
        <w:r>
          <w:rPr>
            <w:rStyle w:val="Hyperlink"/>
          </w:rPr>
          <w:t xml:space="preserve">https://doi.org/10.1007/s11032-011-9547-0</w:t>
        </w:r>
      </w:hyperlink>
    </w:p>
    <w:bookmarkEnd w:id="94"/>
    <w:bookmarkStart w:id="96"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95">
        <w:r>
          <w:rPr>
            <w:rStyle w:val="Hyperlink"/>
          </w:rPr>
          <w:t xml:space="preserve">https://doi.org/10.1007/s00438-017-1347-8</w:t>
        </w:r>
      </w:hyperlink>
    </w:p>
    <w:bookmarkEnd w:id="96"/>
    <w:bookmarkStart w:id="98"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97">
        <w:r>
          <w:rPr>
            <w:rStyle w:val="Hyperlink"/>
          </w:rPr>
          <w:t xml:space="preserve">https://doi.org/10.1007/s11099-016-0223-9</w:t>
        </w:r>
      </w:hyperlink>
    </w:p>
    <w:bookmarkEnd w:id="98"/>
    <w:bookmarkStart w:id="100"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99">
        <w:r>
          <w:rPr>
            <w:rStyle w:val="Hyperlink"/>
          </w:rPr>
          <w:t xml:space="preserve">https://doi.org/10.2134/agronmonogr24.c5</w:t>
        </w:r>
      </w:hyperlink>
    </w:p>
    <w:bookmarkEnd w:id="100"/>
    <w:bookmarkStart w:id="101"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01"/>
    <w:bookmarkStart w:id="103"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02">
        <w:r>
          <w:rPr>
            <w:rStyle w:val="Hyperlink"/>
          </w:rPr>
          <w:t xml:space="preserve">https://doi.org/10.31783/elsr.2023.92265275</w:t>
        </w:r>
      </w:hyperlink>
    </w:p>
    <w:bookmarkEnd w:id="103"/>
    <w:bookmarkStart w:id="105"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04">
        <w:r>
          <w:rPr>
            <w:rStyle w:val="Hyperlink"/>
          </w:rPr>
          <w:t xml:space="preserve">https://doi.org/10.1007/BF02670470</w:t>
        </w:r>
      </w:hyperlink>
    </w:p>
    <w:bookmarkEnd w:id="105"/>
    <w:bookmarkStart w:id="106"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06"/>
    <w:bookmarkStart w:id="107"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07"/>
    <w:bookmarkStart w:id="109"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08">
        <w:r>
          <w:rPr>
            <w:rStyle w:val="Hyperlink"/>
          </w:rPr>
          <w:t xml:space="preserve">https://doi.org/10.1371/journal.pone.0118073</w:t>
        </w:r>
      </w:hyperlink>
    </w:p>
    <w:bookmarkEnd w:id="109"/>
    <w:bookmarkStart w:id="111"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10">
        <w:r>
          <w:rPr>
            <w:rStyle w:val="Hyperlink"/>
          </w:rPr>
          <w:t xml:space="preserve">https://doi.org/10.1590/1678-4499.2017329</w:t>
        </w:r>
      </w:hyperlink>
    </w:p>
    <w:bookmarkEnd w:id="111"/>
    <w:bookmarkStart w:id="112"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12"/>
    <w:bookmarkStart w:id="114"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13">
        <w:r>
          <w:rPr>
            <w:rStyle w:val="Hyperlink"/>
          </w:rPr>
          <w:t xml:space="preserve">https://doi.org/10.1016/j.fcr.2023.109106</w:t>
        </w:r>
      </w:hyperlink>
    </w:p>
    <w:bookmarkEnd w:id="114"/>
    <w:bookmarkStart w:id="116"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15">
        <w:r>
          <w:rPr>
            <w:rStyle w:val="Hyperlink"/>
          </w:rPr>
          <w:t xml:space="preserve">https://doi.org/10.1016/j.fcr.2021.108322</w:t>
        </w:r>
      </w:hyperlink>
    </w:p>
    <w:bookmarkEnd w:id="116"/>
    <w:bookmarkStart w:id="118"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17">
        <w:r>
          <w:rPr>
            <w:rStyle w:val="Hyperlink"/>
          </w:rPr>
          <w:t xml:space="preserve">https://doi.org/10.1007/s10681-006-9338-6</w:t>
        </w:r>
      </w:hyperlink>
    </w:p>
    <w:bookmarkEnd w:id="118"/>
    <w:bookmarkStart w:id="119"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19"/>
    <w:bookmarkStart w:id="121"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20">
        <w:r>
          <w:rPr>
            <w:rStyle w:val="Hyperlink"/>
          </w:rPr>
          <w:t xml:space="preserve">https://doi.org/10.3389/fpls.2016.01576</w:t>
        </w:r>
      </w:hyperlink>
    </w:p>
    <w:bookmarkEnd w:id="121"/>
    <w:bookmarkStart w:id="123"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22">
        <w:r>
          <w:rPr>
            <w:rStyle w:val="Hyperlink"/>
          </w:rPr>
          <w:t xml:space="preserve">https://doi.org/10.1007/BF00033093</w:t>
        </w:r>
      </w:hyperlink>
    </w:p>
    <w:bookmarkEnd w:id="123"/>
    <w:bookmarkStart w:id="125"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24">
        <w:r>
          <w:rPr>
            <w:rStyle w:val="Hyperlink"/>
          </w:rPr>
          <w:t xml:space="preserve">https://doi.org/10.1016/S1673-8527(07)60005-8</w:t>
        </w:r>
      </w:hyperlink>
    </w:p>
    <w:bookmarkEnd w:id="125"/>
    <w:bookmarkStart w:id="127"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26">
        <w:r>
          <w:rPr>
            <w:rStyle w:val="Hyperlink"/>
          </w:rPr>
          <w:t xml:space="preserve">https://doi.org/10.1371/journal.pone.0130742</w:t>
        </w:r>
      </w:hyperlink>
    </w:p>
    <w:bookmarkEnd w:id="127"/>
    <w:bookmarkStart w:id="129"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28">
        <w:r>
          <w:rPr>
            <w:rStyle w:val="Hyperlink"/>
          </w:rPr>
          <w:t xml:space="preserve">https://doi.org/10.1007/s12041-014-0385-9</w:t>
        </w:r>
      </w:hyperlink>
    </w:p>
    <w:bookmarkEnd w:id="129"/>
    <w:bookmarkStart w:id="131"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130">
        <w:r>
          <w:rPr>
            <w:rStyle w:val="Hyperlink"/>
          </w:rPr>
          <w:t xml:space="preserve">https://doi.org/10.2135/cropsci1984.0011183X002400050010x</w:t>
        </w:r>
      </w:hyperlink>
    </w:p>
    <w:bookmarkEnd w:id="131"/>
    <w:bookmarkStart w:id="132"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32"/>
    <w:bookmarkStart w:id="134"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33">
        <w:r>
          <w:rPr>
            <w:rStyle w:val="Hyperlink"/>
          </w:rPr>
          <w:t xml:space="preserve">https://doi.org/10.1016/S2095-3119(13)60508-0</w:t>
        </w:r>
      </w:hyperlink>
    </w:p>
    <w:bookmarkEnd w:id="134"/>
    <w:bookmarkStart w:id="135"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35"/>
    <w:bookmarkStart w:id="136"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36"/>
    <w:bookmarkStart w:id="138"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37">
        <w:r>
          <w:rPr>
            <w:rStyle w:val="Hyperlink"/>
          </w:rPr>
          <w:t xml:space="preserve">https://doi.org/10.1007/s00122-002-1101-3</w:t>
        </w:r>
      </w:hyperlink>
    </w:p>
    <w:bookmarkEnd w:id="138"/>
    <w:bookmarkStart w:id="140"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39">
        <w:r>
          <w:rPr>
            <w:rStyle w:val="Hyperlink"/>
          </w:rPr>
          <w:t xml:space="preserve">https://doi.org/10.1007/s10681-005-4629-x</w:t>
        </w:r>
      </w:hyperlink>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56" Target="http://www.cottongen.org" TargetMode="External" /><Relationship Type="http://schemas.openxmlformats.org/officeDocument/2006/relationships/hyperlink" Id="rId77" Target="https://doi.org/10.1002/agj2.21176" TargetMode="External" /><Relationship Type="http://schemas.openxmlformats.org/officeDocument/2006/relationships/hyperlink" Id="rId82" Target="https://doi.org/10.1007/978-1-4899-4441-2" TargetMode="External" /><Relationship Type="http://schemas.openxmlformats.org/officeDocument/2006/relationships/hyperlink" Id="rId84" Target="https://doi.org/10.1007/978-90-481-3195-2_27" TargetMode="External" /><Relationship Type="http://schemas.openxmlformats.org/officeDocument/2006/relationships/hyperlink" Id="rId122" Target="https://doi.org/10.1007/BF00033093" TargetMode="External" /><Relationship Type="http://schemas.openxmlformats.org/officeDocument/2006/relationships/hyperlink" Id="rId104" Target="https://doi.org/10.1007/BF02670470" TargetMode="External" /><Relationship Type="http://schemas.openxmlformats.org/officeDocument/2006/relationships/hyperlink" Id="rId137" Target="https://doi.org/10.1007/s00122-002-1101-3" TargetMode="External" /><Relationship Type="http://schemas.openxmlformats.org/officeDocument/2006/relationships/hyperlink" Id="rId66" Target="https://doi.org/10.1007/s00438-017-1346-9" TargetMode="External" /><Relationship Type="http://schemas.openxmlformats.org/officeDocument/2006/relationships/hyperlink" Id="rId95" Target="https://doi.org/10.1007/s00438-017-1347-8" TargetMode="External" /><Relationship Type="http://schemas.openxmlformats.org/officeDocument/2006/relationships/hyperlink" Id="rId139" Target="https://doi.org/10.1007/s10681-005-4629-x" TargetMode="External" /><Relationship Type="http://schemas.openxmlformats.org/officeDocument/2006/relationships/hyperlink" Id="rId117" Target="https://doi.org/10.1007/s10681-006-9338-6" TargetMode="External" /><Relationship Type="http://schemas.openxmlformats.org/officeDocument/2006/relationships/hyperlink" Id="rId68" Target="https://doi.org/10.1007/s10681-009-0009-2" TargetMode="External" /><Relationship Type="http://schemas.openxmlformats.org/officeDocument/2006/relationships/hyperlink" Id="rId93" Target="https://doi.org/10.1007/s11032-011-9547-0" TargetMode="External" /><Relationship Type="http://schemas.openxmlformats.org/officeDocument/2006/relationships/hyperlink" Id="rId73" Target="https://doi.org/10.1007/s11032-018-0831-0" TargetMode="External" /><Relationship Type="http://schemas.openxmlformats.org/officeDocument/2006/relationships/hyperlink" Id="rId97" Target="https://doi.org/10.1007/s11099-016-0223-9" TargetMode="External" /><Relationship Type="http://schemas.openxmlformats.org/officeDocument/2006/relationships/hyperlink" Id="rId128" Target="https://doi.org/10.1007/s12041-014-0385-9" TargetMode="External" /><Relationship Type="http://schemas.openxmlformats.org/officeDocument/2006/relationships/hyperlink" Id="rId124" Target="https://doi.org/10.1016/S1673-8527(07)60005-8" TargetMode="External" /><Relationship Type="http://schemas.openxmlformats.org/officeDocument/2006/relationships/hyperlink" Id="rId133" Target="https://doi.org/10.1016/S2095-3119(13)60508-0" TargetMode="External" /><Relationship Type="http://schemas.openxmlformats.org/officeDocument/2006/relationships/hyperlink" Id="rId115" Target="https://doi.org/10.1016/j.fcr.2021.108322" TargetMode="External" /><Relationship Type="http://schemas.openxmlformats.org/officeDocument/2006/relationships/hyperlink" Id="rId113" Target="https://doi.org/10.1016/j.fcr.2023.109106" TargetMode="External" /><Relationship Type="http://schemas.openxmlformats.org/officeDocument/2006/relationships/hyperlink" Id="rId87" Target="https://doi.org/10.1017/S0021859616000745" TargetMode="External" /><Relationship Type="http://schemas.openxmlformats.org/officeDocument/2006/relationships/hyperlink" Id="rId89" Target="https://doi.org/10.1111/j.1439-0523.2004.01039.x" TargetMode="External" /><Relationship Type="http://schemas.openxmlformats.org/officeDocument/2006/relationships/hyperlink" Id="rId108" Target="https://doi.org/10.1371/journal.pone.0118073" TargetMode="External" /><Relationship Type="http://schemas.openxmlformats.org/officeDocument/2006/relationships/hyperlink" Id="rId126" Target="https://doi.org/10.1371/journal.pone.0130742" TargetMode="External" /><Relationship Type="http://schemas.openxmlformats.org/officeDocument/2006/relationships/hyperlink" Id="rId110" Target="https://doi.org/10.1590/1678-4499.2017329" TargetMode="External" /><Relationship Type="http://schemas.openxmlformats.org/officeDocument/2006/relationships/hyperlink" Id="rId99" Target="https://doi.org/10.2134/agronmonogr24.c5" TargetMode="External" /><Relationship Type="http://schemas.openxmlformats.org/officeDocument/2006/relationships/hyperlink" Id="rId75" Target="https://doi.org/10.2134/jpa1992.0532" TargetMode="External" /><Relationship Type="http://schemas.openxmlformats.org/officeDocument/2006/relationships/hyperlink" Id="rId130" Target="https://doi.org/10.2135/cropsci1984.0011183X002400050010x" TargetMode="External" /><Relationship Type="http://schemas.openxmlformats.org/officeDocument/2006/relationships/hyperlink" Id="rId102" Target="https://doi.org/10.31783/elsr.2023.92265275" TargetMode="External" /><Relationship Type="http://schemas.openxmlformats.org/officeDocument/2006/relationships/hyperlink" Id="rId120" Target="https://doi.org/10.3389/fpls.2016.01576" TargetMode="External" /><Relationship Type="http://schemas.openxmlformats.org/officeDocument/2006/relationships/hyperlink" Id="rId80" Target="https://doi.org/10.3389/fpls.2017.00086" TargetMode="External" /><Relationship Type="http://schemas.openxmlformats.org/officeDocument/2006/relationships/hyperlink" Id="rId91" Target="https://doi.org/10.3389/fpls.2018.01067" TargetMode="External" /><Relationship Type="http://schemas.openxmlformats.org/officeDocument/2006/relationships/hyperlink" Id="rId71"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56" Target="http://www.cottongen.org" TargetMode="External" /><Relationship Type="http://schemas.openxmlformats.org/officeDocument/2006/relationships/hyperlink" Id="rId77" Target="https://doi.org/10.1002/agj2.21176" TargetMode="External" /><Relationship Type="http://schemas.openxmlformats.org/officeDocument/2006/relationships/hyperlink" Id="rId82" Target="https://doi.org/10.1007/978-1-4899-4441-2" TargetMode="External" /><Relationship Type="http://schemas.openxmlformats.org/officeDocument/2006/relationships/hyperlink" Id="rId84" Target="https://doi.org/10.1007/978-90-481-3195-2_27" TargetMode="External" /><Relationship Type="http://schemas.openxmlformats.org/officeDocument/2006/relationships/hyperlink" Id="rId122" Target="https://doi.org/10.1007/BF00033093" TargetMode="External" /><Relationship Type="http://schemas.openxmlformats.org/officeDocument/2006/relationships/hyperlink" Id="rId104" Target="https://doi.org/10.1007/BF02670470" TargetMode="External" /><Relationship Type="http://schemas.openxmlformats.org/officeDocument/2006/relationships/hyperlink" Id="rId137" Target="https://doi.org/10.1007/s00122-002-1101-3" TargetMode="External" /><Relationship Type="http://schemas.openxmlformats.org/officeDocument/2006/relationships/hyperlink" Id="rId66" Target="https://doi.org/10.1007/s00438-017-1346-9" TargetMode="External" /><Relationship Type="http://schemas.openxmlformats.org/officeDocument/2006/relationships/hyperlink" Id="rId95" Target="https://doi.org/10.1007/s00438-017-1347-8" TargetMode="External" /><Relationship Type="http://schemas.openxmlformats.org/officeDocument/2006/relationships/hyperlink" Id="rId139" Target="https://doi.org/10.1007/s10681-005-4629-x" TargetMode="External" /><Relationship Type="http://schemas.openxmlformats.org/officeDocument/2006/relationships/hyperlink" Id="rId117" Target="https://doi.org/10.1007/s10681-006-9338-6" TargetMode="External" /><Relationship Type="http://schemas.openxmlformats.org/officeDocument/2006/relationships/hyperlink" Id="rId68" Target="https://doi.org/10.1007/s10681-009-0009-2" TargetMode="External" /><Relationship Type="http://schemas.openxmlformats.org/officeDocument/2006/relationships/hyperlink" Id="rId93" Target="https://doi.org/10.1007/s11032-011-9547-0" TargetMode="External" /><Relationship Type="http://schemas.openxmlformats.org/officeDocument/2006/relationships/hyperlink" Id="rId73" Target="https://doi.org/10.1007/s11032-018-0831-0" TargetMode="External" /><Relationship Type="http://schemas.openxmlformats.org/officeDocument/2006/relationships/hyperlink" Id="rId97" Target="https://doi.org/10.1007/s11099-016-0223-9" TargetMode="External" /><Relationship Type="http://schemas.openxmlformats.org/officeDocument/2006/relationships/hyperlink" Id="rId128" Target="https://doi.org/10.1007/s12041-014-0385-9" TargetMode="External" /><Relationship Type="http://schemas.openxmlformats.org/officeDocument/2006/relationships/hyperlink" Id="rId124" Target="https://doi.org/10.1016/S1673-8527(07)60005-8" TargetMode="External" /><Relationship Type="http://schemas.openxmlformats.org/officeDocument/2006/relationships/hyperlink" Id="rId133" Target="https://doi.org/10.1016/S2095-3119(13)60508-0" TargetMode="External" /><Relationship Type="http://schemas.openxmlformats.org/officeDocument/2006/relationships/hyperlink" Id="rId115" Target="https://doi.org/10.1016/j.fcr.2021.108322" TargetMode="External" /><Relationship Type="http://schemas.openxmlformats.org/officeDocument/2006/relationships/hyperlink" Id="rId113" Target="https://doi.org/10.1016/j.fcr.2023.109106" TargetMode="External" /><Relationship Type="http://schemas.openxmlformats.org/officeDocument/2006/relationships/hyperlink" Id="rId87" Target="https://doi.org/10.1017/S0021859616000745" TargetMode="External" /><Relationship Type="http://schemas.openxmlformats.org/officeDocument/2006/relationships/hyperlink" Id="rId89" Target="https://doi.org/10.1111/j.1439-0523.2004.01039.x" TargetMode="External" /><Relationship Type="http://schemas.openxmlformats.org/officeDocument/2006/relationships/hyperlink" Id="rId108" Target="https://doi.org/10.1371/journal.pone.0118073" TargetMode="External" /><Relationship Type="http://schemas.openxmlformats.org/officeDocument/2006/relationships/hyperlink" Id="rId126" Target="https://doi.org/10.1371/journal.pone.0130742" TargetMode="External" /><Relationship Type="http://schemas.openxmlformats.org/officeDocument/2006/relationships/hyperlink" Id="rId110" Target="https://doi.org/10.1590/1678-4499.2017329" TargetMode="External" /><Relationship Type="http://schemas.openxmlformats.org/officeDocument/2006/relationships/hyperlink" Id="rId99" Target="https://doi.org/10.2134/agronmonogr24.c5" TargetMode="External" /><Relationship Type="http://schemas.openxmlformats.org/officeDocument/2006/relationships/hyperlink" Id="rId75" Target="https://doi.org/10.2134/jpa1992.0532" TargetMode="External" /><Relationship Type="http://schemas.openxmlformats.org/officeDocument/2006/relationships/hyperlink" Id="rId130" Target="https://doi.org/10.2135/cropsci1984.0011183X002400050010x" TargetMode="External" /><Relationship Type="http://schemas.openxmlformats.org/officeDocument/2006/relationships/hyperlink" Id="rId102" Target="https://doi.org/10.31783/elsr.2023.92265275" TargetMode="External" /><Relationship Type="http://schemas.openxmlformats.org/officeDocument/2006/relationships/hyperlink" Id="rId120" Target="https://doi.org/10.3389/fpls.2016.01576" TargetMode="External" /><Relationship Type="http://schemas.openxmlformats.org/officeDocument/2006/relationships/hyperlink" Id="rId80" Target="https://doi.org/10.3389/fpls.2017.00086" TargetMode="External" /><Relationship Type="http://schemas.openxmlformats.org/officeDocument/2006/relationships/hyperlink" Id="rId91" Target="https://doi.org/10.3389/fpls.2018.01067" TargetMode="External" /><Relationship Type="http://schemas.openxmlformats.org/officeDocument/2006/relationships/hyperlink" Id="rId71"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2025-02-04T16:56:14Z</dcterms:created>
  <dcterms:modified xsi:type="dcterms:W3CDTF">2025-02-04T16:56:14Z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Año 2025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