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commentReference w:id="0"/>
      </w:r>
      <w:r>
        <w:rPr>
          <w:b/>
          <w:bCs/>
        </w:rPr>
        <w:t>Proposition d'Investissement Stratégique : Expansion SaaS 2026-2028</w:t>
      </w:r>
    </w:p>
    <w:p>
      <w:pPr>
        <w:pStyle w:val="Normal"/>
        <w:rPr/>
      </w:pPr>
      <w:r>
        <w:rPr>
          <w:b/>
          <w:bCs/>
        </w:rPr>
        <w:t>À l'attention de :</w:t>
      </w:r>
      <w:r>
        <w:rPr/>
        <w:t xml:space="preserve"> Monsieur Zola</w:t>
      </w:r>
    </w:p>
    <w:p>
      <w:pPr>
        <w:pStyle w:val="Normal"/>
        <w:rPr/>
      </w:pPr>
      <w:r>
        <w:rPr>
          <w:b/>
          <w:bCs/>
        </w:rPr>
        <w:t>Objet :</w:t>
      </w:r>
      <w:r>
        <w:rPr/>
        <w:t xml:space="preserve"> Participation au capital et accélération de la croissance de H360</w:t>
      </w:r>
    </w:p>
    <w:p>
      <w:pPr>
        <w:pStyle w:val="Normal"/>
        <w:rPr>
          <w:b/>
          <w:bCs/>
        </w:rPr>
      </w:pPr>
      <w:r>
        <w:rPr>
          <w:b/>
          <w:bCs/>
        </w:rPr>
        <w:t>1. Résumé Exécutif</w:t>
      </w:r>
    </w:p>
    <w:p>
      <w:pPr>
        <w:pStyle w:val="Normal"/>
        <w:rPr/>
      </w:pPr>
      <w:r>
        <w:rPr/>
        <w:t xml:space="preserve">Notre entreprise est un écosystème technologique mature qui a prouvé sa capacité à générer des revenus croissants depuis 2023. Après une phase de structuration réussie à travers quatre départements (SaaS, Conception, Ventes POS, et Formation), nous entrons dans une phase de </w:t>
      </w:r>
      <w:r>
        <w:rPr>
          <w:b/>
          <w:bCs/>
        </w:rPr>
        <w:t>"Scale-up"</w:t>
      </w:r>
      <w:r>
        <w:rPr/>
        <w:t xml:space="preserve"> massive pour la période 2026-2028.</w:t>
      </w:r>
    </w:p>
    <w:p>
      <w:pPr>
        <w:pStyle w:val="Normal"/>
        <w:rPr/>
      </w:pPr>
      <w:r>
        <w:rPr/>
        <w:t>Avec un coût d'acquisition de seulemen</w:t>
      </w:r>
      <w:commentRangeStart w:id="1"/>
      <w:r>
        <w:rPr/>
        <w:t xml:space="preserve">t </w:t>
      </w:r>
      <w:r>
        <w:rPr>
          <w:b/>
          <w:bCs/>
        </w:rPr>
        <w:t>11,76 $ par client</w:t>
      </w:r>
      <w:r>
        <w:rPr/>
        <w:t xml:space="preserve"> pour un revenu moyen par client dépassant les </w:t>
      </w:r>
      <w:r>
        <w:rPr>
          <w:b/>
          <w:bCs/>
        </w:rPr>
        <w:t>500 $</w:t>
      </w:r>
      <w:r>
        <w:rPr/>
        <w:t>, nous disposons d'un levier de croissance</w:t>
      </w:r>
      <w:r>
        <w:rPr/>
      </w:r>
      <w:commentRangeEnd w:id="1"/>
      <w:r>
        <w:commentReference w:id="1"/>
      </w:r>
      <w:r>
        <w:rPr/>
        <w:t xml:space="preserve"> exceptionnel.</w:t>
      </w:r>
    </w:p>
    <w:p>
      <w:pPr>
        <w:pStyle w:val="Normal"/>
        <w:rPr>
          <w:b/>
          <w:bCs/>
        </w:rPr>
      </w:pPr>
      <w:r>
        <w:rPr>
          <w:b/>
          <w:bCs/>
        </w:rPr>
        <w:t>2. Historique et Solidité du Modèle (2023 - 2025)</w:t>
      </w:r>
    </w:p>
    <w:p>
      <w:pPr>
        <w:pStyle w:val="Normal"/>
        <w:rPr/>
      </w:pPr>
      <w:r>
        <w:rPr/>
        <w:t>Loin d'être un projet au stade de simple idée, nous affichons une croissance organique constante sur nos piliers d'activité (Contrats, Conception, Shop et Academy).</w:t>
      </w:r>
    </w:p>
    <w:p>
      <w:pPr>
        <w:pStyle w:val="Normal"/>
        <w:rPr>
          <w:b/>
          <w:bCs/>
        </w:rPr>
      </w:pPr>
      <w:r>
        <w:rPr>
          <w:b/>
          <w:bCs/>
        </w:rPr>
        <w:t>Performances Passées</w:t>
      </w:r>
    </w:p>
    <w:p>
      <w:pPr>
        <w:pStyle w:val="Normal"/>
        <w:numPr>
          <w:ilvl w:val="0"/>
          <w:numId w:val="1"/>
        </w:numPr>
        <w:rPr/>
      </w:pPr>
      <w:r>
        <w:rPr>
          <w:b/>
          <w:bCs/>
        </w:rPr>
        <w:t>2023 :</w:t>
      </w:r>
      <w:r>
        <w:rPr/>
        <w:t xml:space="preserve"> 8 890,50 $</w:t>
      </w:r>
    </w:p>
    <w:p>
      <w:pPr>
        <w:pStyle w:val="Normal"/>
        <w:numPr>
          <w:ilvl w:val="0"/>
          <w:numId w:val="1"/>
        </w:numPr>
        <w:rPr/>
      </w:pPr>
      <w:r>
        <w:rPr>
          <w:b/>
          <w:bCs/>
        </w:rPr>
        <w:t>2024 :</w:t>
      </w:r>
      <w:r>
        <w:rPr/>
        <w:t xml:space="preserve"> 12 670,63 $</w:t>
      </w:r>
    </w:p>
    <w:p>
      <w:pPr>
        <w:pStyle w:val="Normal"/>
        <w:numPr>
          <w:ilvl w:val="0"/>
          <w:numId w:val="1"/>
        </w:numPr>
        <w:rPr/>
      </w:pPr>
      <w:r>
        <w:rPr>
          <w:b/>
          <w:bCs/>
        </w:rPr>
        <w:t>2025 :</w:t>
      </w:r>
      <w:r>
        <w:rPr/>
        <w:t xml:space="preserve"> 20 352,80 $ </w:t>
      </w:r>
      <w:r>
        <w:rPr>
          <w:i/>
          <w:iCs/>
        </w:rPr>
        <w:t>(Estimation de clôture)</w:t>
      </w:r>
    </w:p>
    <w:p>
      <w:pPr>
        <w:pStyle w:val="Normal"/>
        <w:rPr/>
      </w:pPr>
      <w:r>
        <w:rPr>
          <w:b/>
          <w:bCs/>
        </w:rPr>
        <w:t>Transparence et Audit :</w:t>
      </w:r>
      <w:r>
        <w:rPr/>
        <w:t xml:space="preserve"> Toutes les preuves de facturation relatives à ces revenus et coûts sont disponibles. Nous pouvons fournir sur demande un fichier Excel détaillé répertoriant l'intégralité de nos factures pour vérification.</w:t>
      </w:r>
    </w:p>
    <w:p>
      <w:pPr>
        <w:pStyle w:val="Normal"/>
        <w:rPr/>
      </w:pPr>
      <w:r>
        <w:rPr>
          <w:b/>
          <w:bCs/>
        </w:rPr>
        <w:t>Structure de coûts actuelle :</w:t>
      </w:r>
      <w:r>
        <w:rPr/>
        <w:t xml:space="preserve"> Environ </w:t>
      </w:r>
      <w:r>
        <w:rPr>
          <w:b/>
          <w:bCs/>
        </w:rPr>
        <w:t>600 $/mois</w:t>
      </w:r>
      <w:r>
        <w:rPr/>
        <w:t xml:space="preserve"> (Infrastructure serveurs, développement et commissions), garantissant une opérationnalité saine et une maîtrise totale de la technologie propriétaire.</w:t>
      </w:r>
    </w:p>
    <w:p>
      <w:pPr>
        <w:pStyle w:val="Normal"/>
        <w:rPr/>
      </w:pPr>
      <w:r>
        <w:rPr/>
        <w:br/>
        <w:b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Cs/>
        </w:rPr>
      </w:pPr>
      <w:r>
        <w:rPr>
          <w:b/>
          <w:bCs/>
        </w:rPr>
        <w:t>3. Stratégie 2026-2028 : "La Machine à Revenus"</w:t>
      </w:r>
    </w:p>
    <w:p>
      <w:pPr>
        <w:pStyle w:val="Normal"/>
        <w:rPr>
          <w:b/>
          <w:bCs/>
        </w:rPr>
      </w:pPr>
      <w:r>
        <w:rPr>
          <w:b/>
          <w:bCs/>
        </w:rPr>
        <w:t>Mécanique de Facturation &amp; Rétention</w:t>
      </w:r>
    </w:p>
    <w:p>
      <w:pPr>
        <w:pStyle w:val="Normal"/>
        <w:rPr/>
      </w:pPr>
      <w:r>
        <w:rPr/>
        <w:t xml:space="preserve">Notre modèle repose sur une acquisition de </w:t>
      </w:r>
      <w:r>
        <w:rPr>
          <w:b/>
          <w:bCs/>
        </w:rPr>
        <w:t>85 nouveaux clients par mois</w:t>
      </w:r>
      <w:r>
        <w:rPr/>
        <w:t>, répartis sur deux offres par tranches mensuelles jusqu'à un plafond de 840 $.</w:t>
      </w:r>
    </w:p>
    <w:p>
      <w:pPr>
        <w:pStyle w:val="Normal"/>
        <w:numPr>
          <w:ilvl w:val="0"/>
          <w:numId w:val="2"/>
        </w:numPr>
        <w:rPr/>
      </w:pPr>
      <w:r>
        <w:rPr>
          <w:b/>
          <w:bCs/>
        </w:rPr>
        <w:t>Segment Cash-Flow (70%) :</w:t>
      </w:r>
      <w:r>
        <w:rPr/>
        <w:t xml:space="preserve"> Tranche de </w:t>
      </w:r>
      <w:r>
        <w:rPr>
          <w:b/>
          <w:bCs/>
        </w:rPr>
        <w:t>35 $/mois</w:t>
      </w:r>
      <w:r>
        <w:rPr/>
        <w:t>.</w:t>
      </w:r>
    </w:p>
    <w:p>
      <w:pPr>
        <w:pStyle w:val="Normal"/>
        <w:numPr>
          <w:ilvl w:val="1"/>
          <w:numId w:val="2"/>
        </w:numPr>
        <w:rPr/>
      </w:pPr>
      <w:r>
        <w:rPr>
          <w:i/>
          <w:iCs/>
        </w:rPr>
        <w:t>Réalité du churn :</w:t>
      </w:r>
      <w:r>
        <w:rPr/>
        <w:t xml:space="preserve"> Arrive statistiquement après 15 mois d'abonnement (Revenu total encaissé : </w:t>
      </w:r>
      <w:r>
        <w:rPr>
          <w:b/>
          <w:bCs/>
        </w:rPr>
        <w:t>525 $</w:t>
      </w:r>
      <w:r>
        <w:rPr/>
        <w:t>).</w:t>
      </w:r>
    </w:p>
    <w:p>
      <w:pPr>
        <w:pStyle w:val="Normal"/>
        <w:numPr>
          <w:ilvl w:val="0"/>
          <w:numId w:val="2"/>
        </w:numPr>
        <w:rPr/>
      </w:pPr>
      <w:r>
        <w:rPr>
          <w:b/>
          <w:bCs/>
        </w:rPr>
        <w:t>Segment Rétention (30%) :</w:t>
      </w:r>
      <w:r>
        <w:rPr/>
        <w:t xml:space="preserve"> Tranche de </w:t>
      </w:r>
      <w:r>
        <w:rPr>
          <w:b/>
          <w:bCs/>
        </w:rPr>
        <w:t>10 $/mois</w:t>
      </w:r>
      <w:r>
        <w:rPr/>
        <w:t>.</w:t>
      </w:r>
    </w:p>
    <w:p>
      <w:pPr>
        <w:pStyle w:val="Normal"/>
        <w:numPr>
          <w:ilvl w:val="1"/>
          <w:numId w:val="2"/>
        </w:numPr>
        <w:rPr/>
      </w:pPr>
      <w:r>
        <w:rPr>
          <w:i/>
          <w:iCs/>
        </w:rPr>
        <w:t>Réalité du churn :</w:t>
      </w:r>
      <w:r>
        <w:rPr/>
        <w:t xml:space="preserve"> Arrive statistiquement après 50 mois d'abonnement (Revenu total encaissé : </w:t>
      </w:r>
      <w:r>
        <w:rPr>
          <w:b/>
          <w:bCs/>
        </w:rPr>
        <w:t>500 $</w:t>
      </w:r>
      <w:r>
        <w:rPr/>
        <w:t>).</w:t>
      </w:r>
    </w:p>
    <w:p>
      <w:pPr>
        <w:pStyle w:val="Normal"/>
        <w:rPr/>
      </w:pPr>
      <w:r>
        <w:rPr>
          <w:b/>
          <w:bCs/>
        </w:rPr>
        <w:t>Point clé :</w:t>
      </w:r>
      <w:r>
        <w:rPr/>
        <w:t xml:space="preserve"> Le coût d'acquisition est amorti dès le premier mois. Chaque client devient un actif net immédiatement.</w:t>
      </w:r>
    </w:p>
    <w:p>
      <w:pPr>
        <w:pStyle w:val="Normal"/>
        <w:rPr>
          <w:b/>
          <w:bCs/>
        </w:rPr>
      </w:pPr>
      <w:r>
        <w:rPr>
          <w:b/>
          <w:bCs/>
        </w:rPr>
        <w:t>4. Zoom sur la Phase de Lancement (Mensuel 2026)</w:t>
      </w:r>
    </w:p>
    <w:p>
      <w:pPr>
        <w:pStyle w:val="Normal"/>
        <w:rPr/>
      </w:pPr>
      <w:r>
        <w:rPr/>
        <w:t>Voici le détail de la progression du Chiffre d'Affaires Mensuel Récurrent (MRR) pour la première année d'accélération. Ce tableau illustre la croissance mécanique sans impact de churn (puisque le churn intervient à partir du 15ème mois).</w:t>
      </w:r>
    </w:p>
    <w:tbl>
      <w:tblPr>
        <w:tblW w:w="9026" w:type="dxa"/>
        <w:jc w:val="start"/>
        <w:tblInd w:w="0" w:type="dxa"/>
        <w:tblLayout w:type="fixed"/>
        <w:tblCellMar>
          <w:top w:w="100" w:type="dxa"/>
          <w:start w:w="100" w:type="dxa"/>
          <w:bottom w:w="100" w:type="dxa"/>
          <w:end w:w="100" w:type="dxa"/>
        </w:tblCellMar>
        <w:tblLook w:noHBand="0" w:noVBand="1" w:firstColumn="1" w:lastRow="0" w:lastColumn="0" w:firstRow="1" w:val="04a0"/>
      </w:tblPr>
      <w:tblGrid>
        <w:gridCol w:w="1485"/>
        <w:gridCol w:w="2238"/>
        <w:gridCol w:w="2574"/>
        <w:gridCol w:w="2729"/>
      </w:tblGrid>
      <w:tr>
        <w:trPr/>
        <w:tc>
          <w:tcPr>
            <w:tcW w:w="1485"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b/>
                <w:bCs/>
              </w:rPr>
              <w:t>Mois 2026</w:t>
            </w:r>
          </w:p>
        </w:tc>
        <w:tc>
          <w:tcPr>
            <w:tcW w:w="2238"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b/>
                <w:bCs/>
              </w:rPr>
              <w:t>Nouveaux Clients</w:t>
            </w:r>
          </w:p>
        </w:tc>
        <w:tc>
          <w:tcPr>
            <w:tcW w:w="2574"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b/>
                <w:bCs/>
              </w:rPr>
              <w:t>CA ajouté au MRR ($)</w:t>
            </w:r>
          </w:p>
        </w:tc>
        <w:tc>
          <w:tcPr>
            <w:tcW w:w="2729"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b/>
                <w:bCs/>
              </w:rPr>
              <w:t>CA Mensuel Global ($)</w:t>
            </w:r>
          </w:p>
        </w:tc>
      </w:tr>
      <w:tr>
        <w:trPr/>
        <w:tc>
          <w:tcPr>
            <w:tcW w:w="1485"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b/>
                <w:bCs/>
              </w:rPr>
              <w:t>Janvier</w:t>
            </w:r>
          </w:p>
        </w:tc>
        <w:tc>
          <w:tcPr>
            <w:tcW w:w="2238"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85</w:t>
            </w:r>
          </w:p>
        </w:tc>
        <w:tc>
          <w:tcPr>
            <w:tcW w:w="2574"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2 337,50 $</w:t>
            </w:r>
          </w:p>
        </w:tc>
        <w:tc>
          <w:tcPr>
            <w:tcW w:w="2729"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2 337,50 $</w:t>
            </w:r>
          </w:p>
        </w:tc>
      </w:tr>
      <w:tr>
        <w:trPr/>
        <w:tc>
          <w:tcPr>
            <w:tcW w:w="1485"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b/>
                <w:bCs/>
              </w:rPr>
              <w:t>Février</w:t>
            </w:r>
          </w:p>
        </w:tc>
        <w:tc>
          <w:tcPr>
            <w:tcW w:w="2238"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85</w:t>
            </w:r>
          </w:p>
        </w:tc>
        <w:tc>
          <w:tcPr>
            <w:tcW w:w="2574"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2 337,50 $</w:t>
            </w:r>
          </w:p>
        </w:tc>
        <w:tc>
          <w:tcPr>
            <w:tcW w:w="2729"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4 675,00 $</w:t>
            </w:r>
          </w:p>
        </w:tc>
      </w:tr>
      <w:tr>
        <w:trPr/>
        <w:tc>
          <w:tcPr>
            <w:tcW w:w="1485"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b/>
                <w:bCs/>
              </w:rPr>
              <w:t>Mars</w:t>
            </w:r>
          </w:p>
        </w:tc>
        <w:tc>
          <w:tcPr>
            <w:tcW w:w="2238"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85</w:t>
            </w:r>
          </w:p>
        </w:tc>
        <w:tc>
          <w:tcPr>
            <w:tcW w:w="2574"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2 337,50 $</w:t>
            </w:r>
          </w:p>
        </w:tc>
        <w:tc>
          <w:tcPr>
            <w:tcW w:w="2729"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7 012,50 $</w:t>
            </w:r>
          </w:p>
        </w:tc>
      </w:tr>
      <w:tr>
        <w:trPr/>
        <w:tc>
          <w:tcPr>
            <w:tcW w:w="1485"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b/>
                <w:bCs/>
              </w:rPr>
              <w:t>Avril</w:t>
            </w:r>
          </w:p>
        </w:tc>
        <w:tc>
          <w:tcPr>
            <w:tcW w:w="2238"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85</w:t>
            </w:r>
          </w:p>
        </w:tc>
        <w:tc>
          <w:tcPr>
            <w:tcW w:w="2574"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2 337,50 $</w:t>
            </w:r>
          </w:p>
        </w:tc>
        <w:tc>
          <w:tcPr>
            <w:tcW w:w="2729"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9 350,00 $</w:t>
            </w:r>
          </w:p>
        </w:tc>
      </w:tr>
      <w:tr>
        <w:trPr/>
        <w:tc>
          <w:tcPr>
            <w:tcW w:w="1485"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b/>
                <w:bCs/>
              </w:rPr>
              <w:t>Mai</w:t>
            </w:r>
          </w:p>
        </w:tc>
        <w:tc>
          <w:tcPr>
            <w:tcW w:w="2238"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85</w:t>
            </w:r>
          </w:p>
        </w:tc>
        <w:tc>
          <w:tcPr>
            <w:tcW w:w="2574"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2 337,50 $</w:t>
            </w:r>
          </w:p>
        </w:tc>
        <w:tc>
          <w:tcPr>
            <w:tcW w:w="2729"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11 687,50 $</w:t>
            </w:r>
          </w:p>
        </w:tc>
      </w:tr>
      <w:tr>
        <w:trPr/>
        <w:tc>
          <w:tcPr>
            <w:tcW w:w="1485"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b/>
                <w:bCs/>
              </w:rPr>
              <w:t>Juin</w:t>
            </w:r>
          </w:p>
        </w:tc>
        <w:tc>
          <w:tcPr>
            <w:tcW w:w="2238"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85</w:t>
            </w:r>
          </w:p>
        </w:tc>
        <w:tc>
          <w:tcPr>
            <w:tcW w:w="2574"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2 337,50 $</w:t>
            </w:r>
          </w:p>
        </w:tc>
        <w:tc>
          <w:tcPr>
            <w:tcW w:w="2729"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14 025,00 $</w:t>
            </w:r>
          </w:p>
        </w:tc>
      </w:tr>
      <w:tr>
        <w:trPr/>
        <w:tc>
          <w:tcPr>
            <w:tcW w:w="1485"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b/>
                <w:bCs/>
              </w:rPr>
              <w:t>Juillet</w:t>
            </w:r>
          </w:p>
        </w:tc>
        <w:tc>
          <w:tcPr>
            <w:tcW w:w="2238"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85</w:t>
            </w:r>
          </w:p>
        </w:tc>
        <w:tc>
          <w:tcPr>
            <w:tcW w:w="2574"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2 337,50 $</w:t>
            </w:r>
          </w:p>
        </w:tc>
        <w:tc>
          <w:tcPr>
            <w:tcW w:w="2729"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16 362,50 $</w:t>
            </w:r>
          </w:p>
        </w:tc>
      </w:tr>
      <w:tr>
        <w:trPr/>
        <w:tc>
          <w:tcPr>
            <w:tcW w:w="1485"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b/>
                <w:bCs/>
              </w:rPr>
              <w:t>Août</w:t>
            </w:r>
          </w:p>
        </w:tc>
        <w:tc>
          <w:tcPr>
            <w:tcW w:w="2238"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85</w:t>
            </w:r>
          </w:p>
        </w:tc>
        <w:tc>
          <w:tcPr>
            <w:tcW w:w="2574"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2 337,50 $</w:t>
            </w:r>
          </w:p>
        </w:tc>
        <w:tc>
          <w:tcPr>
            <w:tcW w:w="2729"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18 700,00 $</w:t>
            </w:r>
          </w:p>
        </w:tc>
      </w:tr>
      <w:tr>
        <w:trPr/>
        <w:tc>
          <w:tcPr>
            <w:tcW w:w="1485"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b/>
                <w:bCs/>
              </w:rPr>
              <w:t>Septembre</w:t>
            </w:r>
          </w:p>
        </w:tc>
        <w:tc>
          <w:tcPr>
            <w:tcW w:w="2238"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85</w:t>
            </w:r>
          </w:p>
        </w:tc>
        <w:tc>
          <w:tcPr>
            <w:tcW w:w="2574"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2 337,50 $</w:t>
            </w:r>
          </w:p>
        </w:tc>
        <w:tc>
          <w:tcPr>
            <w:tcW w:w="2729"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21 037,50 $</w:t>
            </w:r>
          </w:p>
        </w:tc>
      </w:tr>
      <w:tr>
        <w:trPr/>
        <w:tc>
          <w:tcPr>
            <w:tcW w:w="1485"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b/>
                <w:bCs/>
              </w:rPr>
              <w:t>Octobre</w:t>
            </w:r>
          </w:p>
        </w:tc>
        <w:tc>
          <w:tcPr>
            <w:tcW w:w="2238"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85</w:t>
            </w:r>
          </w:p>
        </w:tc>
        <w:tc>
          <w:tcPr>
            <w:tcW w:w="2574"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2 337,50 $</w:t>
            </w:r>
          </w:p>
        </w:tc>
        <w:tc>
          <w:tcPr>
            <w:tcW w:w="2729"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23 375,00 $</w:t>
            </w:r>
          </w:p>
        </w:tc>
      </w:tr>
      <w:tr>
        <w:trPr/>
        <w:tc>
          <w:tcPr>
            <w:tcW w:w="1485"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b/>
                <w:bCs/>
              </w:rPr>
              <w:t>Novembre</w:t>
            </w:r>
          </w:p>
        </w:tc>
        <w:tc>
          <w:tcPr>
            <w:tcW w:w="2238"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85</w:t>
            </w:r>
          </w:p>
        </w:tc>
        <w:tc>
          <w:tcPr>
            <w:tcW w:w="2574"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2 337,50 $</w:t>
            </w:r>
          </w:p>
        </w:tc>
        <w:tc>
          <w:tcPr>
            <w:tcW w:w="2729"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25 712,50 $</w:t>
            </w:r>
          </w:p>
        </w:tc>
      </w:tr>
      <w:tr>
        <w:trPr/>
        <w:tc>
          <w:tcPr>
            <w:tcW w:w="1485"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b/>
                <w:bCs/>
              </w:rPr>
              <w:t>Décembre</w:t>
            </w:r>
          </w:p>
        </w:tc>
        <w:tc>
          <w:tcPr>
            <w:tcW w:w="2238"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85</w:t>
            </w:r>
          </w:p>
        </w:tc>
        <w:tc>
          <w:tcPr>
            <w:tcW w:w="2574"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2 337,50 $</w:t>
            </w:r>
          </w:p>
        </w:tc>
        <w:tc>
          <w:tcPr>
            <w:tcW w:w="2729"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b/>
                <w:bCs/>
              </w:rPr>
              <w:t>28 050,00 $</w:t>
            </w:r>
          </w:p>
        </w:tc>
      </w:tr>
    </w:tbl>
    <w:p>
      <w:pPr>
        <w:pStyle w:val="Normal"/>
        <w:rPr>
          <w:b/>
          <w:bCs/>
        </w:rPr>
      </w:pPr>
      <w:r>
        <w:rPr>
          <w:b/>
          <w:bCs/>
        </w:rPr>
        <w:t>Total CA Encaissé 2026 : 182 325 $</w:t>
      </w:r>
    </w:p>
    <w:p>
      <w:pPr>
        <w:pStyle w:val="Normal"/>
        <w:rPr/>
      </w:pPr>
      <w:r>
        <w:rPr/>
      </w:r>
    </w:p>
    <w:p>
      <w:pPr>
        <w:pStyle w:val="Normal"/>
        <w:rPr>
          <w:b/>
          <w:bCs/>
        </w:rPr>
      </w:pPr>
      <w:r>
        <w:rPr>
          <w:b/>
          <w:bCs/>
        </w:rPr>
        <w:t>5. Projections Financières de Croissance (Pluriannuel)</w:t>
      </w:r>
    </w:p>
    <w:p>
      <w:pPr>
        <w:pStyle w:val="Normal"/>
        <w:rPr/>
      </w:pPr>
      <w:r>
        <w:rPr/>
        <w:t>Ces projections tiennent compte de l'activation progressive du churn sur les années suivantes.</w:t>
      </w:r>
    </w:p>
    <w:tbl>
      <w:tblPr>
        <w:tblW w:w="9026" w:type="dxa"/>
        <w:jc w:val="start"/>
        <w:tblInd w:w="0" w:type="dxa"/>
        <w:tblLayout w:type="fixed"/>
        <w:tblCellMar>
          <w:top w:w="100" w:type="dxa"/>
          <w:start w:w="100" w:type="dxa"/>
          <w:bottom w:w="100" w:type="dxa"/>
          <w:end w:w="100" w:type="dxa"/>
        </w:tblCellMar>
        <w:tblLook w:noHBand="0" w:noVBand="1" w:firstColumn="1" w:lastRow="0" w:lastColumn="0" w:firstRow="1" w:val="04a0"/>
      </w:tblPr>
      <w:tblGrid>
        <w:gridCol w:w="896"/>
        <w:gridCol w:w="2451"/>
        <w:gridCol w:w="1675"/>
        <w:gridCol w:w="2007"/>
        <w:gridCol w:w="1997"/>
      </w:tblGrid>
      <w:tr>
        <w:trPr>
          <w:trHeight w:val="500" w:hRule="atLeast"/>
        </w:trPr>
        <w:tc>
          <w:tcPr>
            <w:tcW w:w="896"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b/>
                <w:bCs/>
              </w:rPr>
              <w:t>Année</w:t>
            </w:r>
          </w:p>
        </w:tc>
        <w:tc>
          <w:tcPr>
            <w:tcW w:w="2451"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b/>
                <w:bCs/>
              </w:rPr>
              <w:t>Chiffre d'Affaires (CA)</w:t>
            </w:r>
          </w:p>
        </w:tc>
        <w:tc>
          <w:tcPr>
            <w:tcW w:w="1675"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b/>
                <w:bCs/>
              </w:rPr>
              <w:t>Charges Fixes</w:t>
            </w:r>
          </w:p>
        </w:tc>
        <w:tc>
          <w:tcPr>
            <w:tcW w:w="2007"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b/>
                <w:bCs/>
              </w:rPr>
              <w:t>Résultat Net Brut</w:t>
            </w:r>
          </w:p>
        </w:tc>
        <w:tc>
          <w:tcPr>
            <w:tcW w:w="1997"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b/>
                <w:bCs/>
              </w:rPr>
              <w:t>MRR (Décembre)</w:t>
            </w:r>
          </w:p>
        </w:tc>
      </w:tr>
      <w:tr>
        <w:trPr>
          <w:trHeight w:val="500" w:hRule="atLeast"/>
        </w:trPr>
        <w:tc>
          <w:tcPr>
            <w:tcW w:w="896"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b/>
                <w:bCs/>
              </w:rPr>
              <w:t>2026</w:t>
            </w:r>
          </w:p>
        </w:tc>
        <w:tc>
          <w:tcPr>
            <w:tcW w:w="2451"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182 325 $</w:t>
            </w:r>
          </w:p>
        </w:tc>
        <w:tc>
          <w:tcPr>
            <w:tcW w:w="1675"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18 000 $</w:t>
            </w:r>
          </w:p>
        </w:tc>
        <w:tc>
          <w:tcPr>
            <w:tcW w:w="2007"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b/>
                <w:bCs/>
              </w:rPr>
              <w:t>164 325 $</w:t>
            </w:r>
          </w:p>
        </w:tc>
        <w:tc>
          <w:tcPr>
            <w:tcW w:w="1997"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28 050,00 $</w:t>
            </w:r>
          </w:p>
        </w:tc>
      </w:tr>
      <w:tr>
        <w:trPr>
          <w:trHeight w:val="500" w:hRule="atLeast"/>
        </w:trPr>
        <w:tc>
          <w:tcPr>
            <w:tcW w:w="896"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b/>
                <w:bCs/>
              </w:rPr>
              <w:t>2027</w:t>
            </w:r>
          </w:p>
        </w:tc>
        <w:tc>
          <w:tcPr>
            <w:tcW w:w="2451"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425 212 $</w:t>
            </w:r>
          </w:p>
        </w:tc>
        <w:tc>
          <w:tcPr>
            <w:tcW w:w="1675"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18 000 $</w:t>
            </w:r>
          </w:p>
        </w:tc>
        <w:tc>
          <w:tcPr>
            <w:tcW w:w="2007"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b/>
                <w:bCs/>
              </w:rPr>
              <w:t>407 212 $</w:t>
            </w:r>
          </w:p>
        </w:tc>
        <w:tc>
          <w:tcPr>
            <w:tcW w:w="1997"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35 827,50 $</w:t>
            </w:r>
          </w:p>
        </w:tc>
      </w:tr>
      <w:tr>
        <w:trPr>
          <w:trHeight w:val="500" w:hRule="atLeast"/>
        </w:trPr>
        <w:tc>
          <w:tcPr>
            <w:tcW w:w="896"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b/>
                <w:bCs/>
              </w:rPr>
              <w:t>2028</w:t>
            </w:r>
          </w:p>
        </w:tc>
        <w:tc>
          <w:tcPr>
            <w:tcW w:w="2451"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468 180 $</w:t>
            </w:r>
          </w:p>
        </w:tc>
        <w:tc>
          <w:tcPr>
            <w:tcW w:w="1675"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18 000 $</w:t>
            </w:r>
          </w:p>
        </w:tc>
        <w:tc>
          <w:tcPr>
            <w:tcW w:w="2007"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b/>
                <w:bCs/>
              </w:rPr>
              <w:t>450 180 $</w:t>
            </w:r>
          </w:p>
        </w:tc>
        <w:tc>
          <w:tcPr>
            <w:tcW w:w="1997"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40 417,50 $</w:t>
            </w:r>
          </w:p>
        </w:tc>
      </w:tr>
    </w:tbl>
    <w:p>
      <w:pPr>
        <w:pStyle w:val="Normal"/>
        <w:rPr/>
      </w:pPr>
      <w:r>
        <w:rPr/>
      </w:r>
    </w:p>
    <w:p>
      <w:pPr>
        <w:pStyle w:val="Normal"/>
        <w:rPr>
          <w:b/>
          <w:bCs/>
        </w:rPr>
      </w:pPr>
      <w:r>
        <w:rPr>
          <w:b/>
          <w:bCs/>
        </w:rPr>
        <w:t>6. Offre d'Investissement</w:t>
      </w:r>
    </w:p>
    <w:p>
      <w:pPr>
        <w:pStyle w:val="Normal"/>
        <w:rPr>
          <w:b/>
          <w:bCs/>
        </w:rPr>
      </w:pPr>
      <w:r>
        <w:rPr>
          <w:b/>
          <w:bCs/>
        </w:rPr>
        <w:t>Valorisation et Parts</w:t>
      </w:r>
    </w:p>
    <w:p>
      <w:pPr>
        <w:pStyle w:val="Normal"/>
        <w:rPr/>
      </w:pPr>
      <w:r>
        <w:rPr/>
        <w:t xml:space="preserve">Sur la base de l'historique de croissance et de la prévisibilité du MRR, la valorisation actuelle est estimée entre </w:t>
      </w:r>
      <w:r>
        <w:rPr>
          <w:b/>
          <w:bCs/>
        </w:rPr>
        <w:t>1 200 000 $ et 1 500 000 $</w:t>
      </w:r>
      <w:r>
        <w:rPr/>
        <w:t>.</w:t>
      </w:r>
    </w:p>
    <w:p>
      <w:pPr>
        <w:pStyle w:val="Normal"/>
        <w:rPr/>
      </w:pPr>
      <w:r>
        <w:rPr>
          <w:b/>
          <w:bCs/>
        </w:rPr>
        <w:t>Proposition :</w:t>
      </w:r>
      <w:r>
        <w:rPr/>
        <w:t xml:space="preserve"> Participation de </w:t>
      </w:r>
      <w:r>
        <w:rPr>
          <w:b/>
          <w:bCs/>
        </w:rPr>
        <w:t>10 % à 20 %</w:t>
      </w:r>
      <w:r>
        <w:rPr/>
        <w:t xml:space="preserve"> du capital.</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Cs/>
        </w:rPr>
      </w:pPr>
      <w:r>
        <w:rPr>
          <w:b/>
          <w:bCs/>
        </w:rPr>
        <w:t>7. Apports attendus de Monsieur Zola (Le "Smart Money")</w:t>
      </w:r>
    </w:p>
    <w:p>
      <w:pPr>
        <w:pStyle w:val="Normal"/>
        <w:numPr>
          <w:ilvl w:val="0"/>
          <w:numId w:val="3"/>
        </w:numPr>
        <w:rPr/>
      </w:pPr>
      <w:r>
        <w:rPr>
          <w:b/>
          <w:bCs/>
        </w:rPr>
        <w:t>Siège Social et Infrastructure (Priorité Absolue) :</w:t>
      </w:r>
      <w:r>
        <w:rPr/>
        <w:t xml:space="preserve"> L'établissement d'un siège social est indispensable pour structurer nos départements (Vente, Academy, Support) et projeter une image institutionnelle capable de stabiliser nos équipes. C'est le socle nécessaire pour absorber les </w:t>
      </w:r>
      <w:r>
        <w:rPr>
          <w:b/>
          <w:bCs/>
        </w:rPr>
        <w:t>85 nouveaux clients mensuels</w:t>
      </w:r>
      <w:r>
        <w:rPr/>
        <w:t>.</w:t>
      </w:r>
    </w:p>
    <w:p>
      <w:pPr>
        <w:pStyle w:val="Normal"/>
        <w:numPr>
          <w:ilvl w:val="0"/>
          <w:numId w:val="3"/>
        </w:numPr>
        <w:rPr/>
      </w:pPr>
      <w:r>
        <w:rPr>
          <w:b/>
          <w:bCs/>
        </w:rPr>
        <w:t>Garantie du Scale-up Marketing :</w:t>
      </w:r>
      <w:r>
        <w:rPr/>
        <w:t xml:space="preserve"> Sécuriser le flux publicitaire pour maintenir l'acquisition.</w:t>
      </w:r>
    </w:p>
    <w:p>
      <w:pPr>
        <w:pStyle w:val="Normal"/>
        <w:numPr>
          <w:ilvl w:val="0"/>
          <w:numId w:val="3"/>
        </w:numPr>
        <w:rPr/>
      </w:pPr>
      <w:r>
        <w:rPr>
          <w:b/>
          <w:bCs/>
        </w:rPr>
        <w:t>Synergies Commerciales :</w:t>
      </w:r>
      <w:r>
        <w:rPr/>
        <w:t xml:space="preserve"> Réseau pour propulser le matériel (Shop) et les formations (Academy).</w:t>
      </w:r>
    </w:p>
    <w:p>
      <w:pPr>
        <w:pStyle w:val="Normal"/>
        <w:rPr>
          <w:b/>
          <w:bCs/>
        </w:rPr>
      </w:pPr>
      <w:r>
        <w:rPr>
          <w:b/>
          <w:bCs/>
        </w:rPr>
        <w:t>8. Conclusion</w:t>
      </w:r>
    </w:p>
    <w:p>
      <w:pPr>
        <w:pStyle w:val="Normal"/>
        <w:rPr/>
      </w:pPr>
      <w:r>
        <w:rPr/>
        <w:t>Investir dans H360, c'est rejoindre une entreprise qui a déjà prouvé sa rentabilité et sa croissance organique. En levant le frein structurel des locaux, nous libérons une capacité de production de cash-flow hautement prévisible.</w:t>
      </w:r>
    </w:p>
    <w:p>
      <w:pPr>
        <w:pStyle w:val="Normal"/>
        <w:rPr/>
      </w:pPr>
      <w:r>
        <w:rPr>
          <w:b/>
          <w:bCs/>
        </w:rPr>
        <w:t>Monsieur Zola, construisons ensemble le socle physique de la révolution H360.</w:t>
      </w:r>
    </w:p>
    <w:p>
      <w:pPr>
        <w:pStyle w:val="Normal"/>
        <w:rPr>
          <w:b/>
          <w:bCs/>
        </w:rPr>
      </w:pPr>
      <w:r>
        <w:rPr>
          <w:b/>
          <w:bCs/>
        </w:rPr>
        <w:t>9. Lexique des Termes Techniques</w:t>
      </w:r>
    </w:p>
    <w:p>
      <w:pPr>
        <w:pStyle w:val="Normal"/>
        <w:rPr/>
      </w:pPr>
      <w:r>
        <w:rPr/>
        <w:t>Pour faciliter la lecture des indicateurs de performance mentionnés dans ce document :</w:t>
      </w:r>
    </w:p>
    <w:p>
      <w:pPr>
        <w:pStyle w:val="Normal"/>
        <w:numPr>
          <w:ilvl w:val="0"/>
          <w:numId w:val="4"/>
        </w:numPr>
        <w:rPr/>
      </w:pPr>
      <w:r>
        <w:rPr>
          <w:b/>
          <w:bCs/>
        </w:rPr>
        <w:t>SaaS (Software as a Service) :</w:t>
      </w:r>
      <w:r>
        <w:rPr/>
        <w:t xml:space="preserve"> Modèle de distribution de logiciel où les clients paient un abonnement pour accéder à une solution en ligne, plutôt que de l'acheter physiquement une seule fois.</w:t>
      </w:r>
    </w:p>
    <w:p>
      <w:pPr>
        <w:pStyle w:val="Normal"/>
        <w:numPr>
          <w:ilvl w:val="0"/>
          <w:numId w:val="4"/>
        </w:numPr>
        <w:rPr/>
      </w:pPr>
      <w:r>
        <w:rPr>
          <w:b/>
          <w:bCs/>
        </w:rPr>
        <w:t>MRR (Monthly Recurring Revenue) :</w:t>
      </w:r>
      <w:r>
        <w:rPr/>
        <w:t xml:space="preserve"> Chiffre d'affaires mensuel récurrent. C'est le revenu prévisible que l'entreprise génère chaque mois grâce aux abonnements actifs.</w:t>
      </w:r>
    </w:p>
    <w:p>
      <w:pPr>
        <w:pStyle w:val="Normal"/>
        <w:numPr>
          <w:ilvl w:val="0"/>
          <w:numId w:val="4"/>
        </w:numPr>
        <w:rPr/>
      </w:pPr>
      <w:r>
        <w:rPr>
          <w:b/>
          <w:bCs/>
        </w:rPr>
        <w:t>CA (Chiffre d’Affaire) :</w:t>
      </w:r>
      <w:r>
        <w:rPr/>
        <w:t xml:space="preserve"> L’argent généré en une année Tout Taxe comprise.</w:t>
      </w:r>
    </w:p>
    <w:p>
      <w:pPr>
        <w:pStyle w:val="Normal"/>
        <w:numPr>
          <w:ilvl w:val="0"/>
          <w:numId w:val="4"/>
        </w:numPr>
        <w:rPr/>
      </w:pPr>
      <w:r>
        <w:rPr>
          <w:b/>
          <w:bCs/>
        </w:rPr>
        <w:t>CAC (Coût d'Acquisition Client) :</w:t>
      </w:r>
      <w:r>
        <w:rPr/>
        <w:t xml:space="preserve"> Montant total moyen investi pour convaincre un client d'acheter le produit. Ici, il est extrêmement bas (11,76 $), signe d'une grande efficacité marketing.</w:t>
      </w:r>
    </w:p>
    <w:p>
      <w:pPr>
        <w:pStyle w:val="Normal"/>
        <w:numPr>
          <w:ilvl w:val="0"/>
          <w:numId w:val="4"/>
        </w:numPr>
        <w:rPr/>
      </w:pPr>
      <w:r>
        <w:rPr>
          <w:b/>
          <w:bCs/>
        </w:rPr>
        <w:t>LTV (Life Time Value) :</w:t>
      </w:r>
      <w:r>
        <w:rPr/>
        <w:t xml:space="preserve"> Valeur vie du client. Estimation du profit total qu'un client rapporte à l'entreprise avant de cesser son abonnement.</w:t>
      </w:r>
    </w:p>
    <w:p>
      <w:pPr>
        <w:pStyle w:val="Normal"/>
        <w:numPr>
          <w:ilvl w:val="0"/>
          <w:numId w:val="4"/>
        </w:numPr>
        <w:rPr/>
      </w:pPr>
      <w:r>
        <w:rPr>
          <w:b/>
          <w:bCs/>
        </w:rPr>
        <w:t>Churn (Taux d'attrition) :</w:t>
      </w:r>
      <w:r>
        <w:rPr/>
        <w:t xml:space="preserve"> Phénomène par lequel les clients mettent fin à leur contrat. Dans notre modèle, le churn est anticipé et calculé en fonction de la durée d'utilisation moyenne des clients.</w:t>
      </w:r>
    </w:p>
    <w:p>
      <w:pPr>
        <w:pStyle w:val="Normal"/>
        <w:numPr>
          <w:ilvl w:val="0"/>
          <w:numId w:val="4"/>
        </w:numPr>
        <w:rPr/>
      </w:pPr>
      <w:r>
        <w:rPr>
          <w:b/>
          <w:bCs/>
        </w:rPr>
        <w:t>Scale-up :</w:t>
      </w:r>
      <w:r>
        <w:rPr/>
        <w:t xml:space="preserve"> Phase de développement accéléré d'une entreprise qui cherche à multiplier ses revenus en industrialisant ses processus.</w:t>
      </w:r>
    </w:p>
    <w:p>
      <w:pPr>
        <w:pStyle w:val="Normal"/>
        <w:numPr>
          <w:ilvl w:val="0"/>
          <w:numId w:val="4"/>
        </w:numPr>
        <w:rPr/>
      </w:pPr>
      <w:r>
        <w:rPr>
          <w:b/>
          <w:bCs/>
        </w:rPr>
        <w:t>POS (Point of Sale) :</w:t>
      </w:r>
      <w:r>
        <w:rPr/>
        <w:t xml:space="preserve"> Logiciels et matériels destinés aux points de vente physiques (caisses, terminaux de paiement) pour gérer les transactions et les stocks.</w:t>
      </w:r>
    </w:p>
    <w:p>
      <w:pPr>
        <w:pStyle w:val="Normal"/>
        <w:numPr>
          <w:ilvl w:val="0"/>
          <w:numId w:val="4"/>
        </w:numPr>
        <w:rPr/>
      </w:pPr>
      <w:r>
        <w:rPr>
          <w:b/>
          <w:bCs/>
        </w:rPr>
        <w:t>ROI (Retour sur Investissement) :</w:t>
      </w:r>
      <w:r>
        <w:rPr/>
        <w:t xml:space="preserve"> Indicateur de rentabilité permettant de mesurer le profit généré par rapport aux sommes initialement investies.</w:t>
      </w:r>
    </w:p>
    <w:p>
      <w:pPr>
        <w:pStyle w:val="Normal"/>
        <w:widowControl/>
        <w:bidi w:val="0"/>
        <w:spacing w:lineRule="auto" w:line="278" w:before="0" w:after="160"/>
        <w:jc w:val="start"/>
        <w:rPr/>
      </w:pPr>
      <w:r>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fbb" w:date="2026-07-07T02:59:14Z" w:initials="">
    <w:p>
      <w:pPr>
        <w:overflowPunct w:val="false"/>
        <w:spacing w:before="238" w:after="198" w:lineRule="auto" w:line="240"/>
        <w:rPr/>
      </w:pPr>
      <w:r>
        <w:annotationRef/>
      </w:r>
      <w:r>
        <w:rPr>
          <w:sz w:val="20"/>
          <w:szCs w:val="20"/>
        </w:rPr>
        <w:t>okookk</w:t>
      </w:r>
    </w:p>
  </w:comment>
  <w:comment w:id="1" w:author="fbb" w:date="2026-07-07T02:59:35Z" w:initials="">
    <w:p>
      <w:pPr>
        <w:overflowPunct w:val="false"/>
        <w:spacing w:before="238" w:after="198" w:lineRule="auto" w:line="240"/>
        <w:rPr/>
      </w:pPr>
      <w:r>
        <w:annotationRef/>
      </w:r>
      <w:r>
        <w:rPr>
          <w:sz w:val="20"/>
          <w:szCs w:val="20"/>
        </w:rPr>
        <w:t>a corriger</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Aptos">
    <w:charset w:val="01"/>
    <w:family w:val="roman"/>
    <w:pitch w:val="variable"/>
  </w:font>
  <w:font w:name="Aptos Display">
    <w:charset w:val="01"/>
    <w:family w:val="roman"/>
    <w:pitch w:val="variable"/>
  </w:font>
  <w:font w:name="Carlito">
    <w:altName w:val="Calibri"/>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fr-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fr-FR" w:eastAsia="en-US" w:bidi="ar-SA"/>
      <w14:ligatures w14:val="standardContextual"/>
    </w:rPr>
  </w:style>
  <w:style w:type="paragraph" w:styleId="Heading1">
    <w:name w:val="heading 1"/>
    <w:basedOn w:val="Normal"/>
    <w:next w:val="Normal"/>
    <w:link w:val="Titre1Car"/>
    <w:uiPriority w:val="9"/>
    <w:qFormat/>
    <w:rsid w:val="006454f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itre2Car"/>
    <w:uiPriority w:val="9"/>
    <w:semiHidden/>
    <w:unhideWhenUsed/>
    <w:qFormat/>
    <w:rsid w:val="006454f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itre3Car"/>
    <w:uiPriority w:val="9"/>
    <w:semiHidden/>
    <w:unhideWhenUsed/>
    <w:qFormat/>
    <w:rsid w:val="006454f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itre4Car"/>
    <w:uiPriority w:val="9"/>
    <w:semiHidden/>
    <w:unhideWhenUsed/>
    <w:qFormat/>
    <w:rsid w:val="006454f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itre5Car"/>
    <w:uiPriority w:val="9"/>
    <w:semiHidden/>
    <w:unhideWhenUsed/>
    <w:qFormat/>
    <w:rsid w:val="006454f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itre6Car"/>
    <w:uiPriority w:val="9"/>
    <w:semiHidden/>
    <w:unhideWhenUsed/>
    <w:qFormat/>
    <w:rsid w:val="006454f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re7Car"/>
    <w:uiPriority w:val="9"/>
    <w:semiHidden/>
    <w:unhideWhenUsed/>
    <w:qFormat/>
    <w:rsid w:val="006454f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re8Car"/>
    <w:uiPriority w:val="9"/>
    <w:semiHidden/>
    <w:unhideWhenUsed/>
    <w:qFormat/>
    <w:rsid w:val="006454f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itre9Car"/>
    <w:uiPriority w:val="9"/>
    <w:semiHidden/>
    <w:unhideWhenUsed/>
    <w:qFormat/>
    <w:rsid w:val="006454f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rPr/>
  </w:style>
  <w:style w:type="character" w:styleId="Titre1Car" w:customStyle="1">
    <w:name w:val="Titre 1 Car"/>
    <w:basedOn w:val="DefaultParagraphFont"/>
    <w:uiPriority w:val="9"/>
    <w:rsid w:val="006454f9"/>
    <w:rPr>
      <w:rFonts w:ascii="Aptos Display" w:hAnsi="Aptos Display" w:eastAsia="" w:cs="" w:asciiTheme="majorHAnsi" w:cstheme="majorBidi" w:eastAsiaTheme="majorEastAsia" w:hAnsiTheme="majorHAnsi"/>
      <w:color w:themeColor="accent1" w:themeShade="bf" w:val="0F4761"/>
      <w:sz w:val="40"/>
      <w:szCs w:val="40"/>
    </w:rPr>
  </w:style>
  <w:style w:type="character" w:styleId="Titre2Car" w:customStyle="1">
    <w:name w:val="Titre 2 Car"/>
    <w:basedOn w:val="DefaultParagraphFont"/>
    <w:uiPriority w:val="9"/>
    <w:semiHidden/>
    <w:rsid w:val="006454f9"/>
    <w:rPr>
      <w:rFonts w:ascii="Aptos Display" w:hAnsi="Aptos Display" w:eastAsia="" w:cs="" w:asciiTheme="majorHAnsi" w:cstheme="majorBidi" w:eastAsiaTheme="majorEastAsia" w:hAnsiTheme="majorHAnsi"/>
      <w:color w:themeColor="accent1" w:themeShade="bf" w:val="0F4761"/>
      <w:sz w:val="32"/>
      <w:szCs w:val="32"/>
    </w:rPr>
  </w:style>
  <w:style w:type="character" w:styleId="Titre3Car" w:customStyle="1">
    <w:name w:val="Titre 3 Car"/>
    <w:basedOn w:val="DefaultParagraphFont"/>
    <w:uiPriority w:val="9"/>
    <w:semiHidden/>
    <w:rsid w:val="006454f9"/>
    <w:rPr>
      <w:rFonts w:eastAsia="" w:cs="" w:cstheme="majorBidi" w:eastAsiaTheme="majorEastAsia"/>
      <w:color w:themeColor="accent1" w:themeShade="bf" w:val="0F4761"/>
      <w:sz w:val="28"/>
      <w:szCs w:val="28"/>
    </w:rPr>
  </w:style>
  <w:style w:type="character" w:styleId="Titre4Car" w:customStyle="1">
    <w:name w:val="Titre 4 Car"/>
    <w:basedOn w:val="DefaultParagraphFont"/>
    <w:uiPriority w:val="9"/>
    <w:semiHidden/>
    <w:rsid w:val="006454f9"/>
    <w:rPr>
      <w:rFonts w:eastAsia="" w:cs="" w:cstheme="majorBidi" w:eastAsiaTheme="majorEastAsia"/>
      <w:i/>
      <w:iCs/>
      <w:color w:themeColor="accent1" w:themeShade="bf" w:val="0F4761"/>
    </w:rPr>
  </w:style>
  <w:style w:type="character" w:styleId="Titre5Car" w:customStyle="1">
    <w:name w:val="Titre 5 Car"/>
    <w:basedOn w:val="DefaultParagraphFont"/>
    <w:uiPriority w:val="9"/>
    <w:semiHidden/>
    <w:rsid w:val="006454f9"/>
    <w:rPr>
      <w:rFonts w:eastAsia="" w:cs="" w:cstheme="majorBidi" w:eastAsiaTheme="majorEastAsia"/>
      <w:color w:themeColor="accent1" w:themeShade="bf" w:val="0F4761"/>
    </w:rPr>
  </w:style>
  <w:style w:type="character" w:styleId="Titre6Car" w:customStyle="1">
    <w:name w:val="Titre 6 Car"/>
    <w:basedOn w:val="DefaultParagraphFont"/>
    <w:uiPriority w:val="9"/>
    <w:semiHidden/>
    <w:rsid w:val="006454f9"/>
    <w:rPr>
      <w:rFonts w:eastAsia="" w:cs="" w:cstheme="majorBidi" w:eastAsiaTheme="majorEastAsia"/>
      <w:i/>
      <w:iCs/>
      <w:color w:themeColor="text1" w:themeTint="a6" w:val="595959"/>
    </w:rPr>
  </w:style>
  <w:style w:type="character" w:styleId="Titre7Car" w:customStyle="1">
    <w:name w:val="Titre 7 Car"/>
    <w:basedOn w:val="DefaultParagraphFont"/>
    <w:uiPriority w:val="9"/>
    <w:semiHidden/>
    <w:rsid w:val="006454f9"/>
    <w:rPr>
      <w:rFonts w:eastAsia="" w:cs="" w:cstheme="majorBidi" w:eastAsiaTheme="majorEastAsia"/>
      <w:color w:themeColor="text1" w:themeTint="a6" w:val="595959"/>
    </w:rPr>
  </w:style>
  <w:style w:type="character" w:styleId="Titre8Car" w:customStyle="1">
    <w:name w:val="Titre 8 Car"/>
    <w:basedOn w:val="DefaultParagraphFont"/>
    <w:uiPriority w:val="9"/>
    <w:semiHidden/>
    <w:rsid w:val="006454f9"/>
    <w:rPr>
      <w:rFonts w:eastAsia="" w:cs="" w:cstheme="majorBidi" w:eastAsiaTheme="majorEastAsia"/>
      <w:i/>
      <w:iCs/>
      <w:color w:themeColor="text1" w:themeTint="d8" w:val="272727"/>
    </w:rPr>
  </w:style>
  <w:style w:type="character" w:styleId="Titre9Car" w:customStyle="1">
    <w:name w:val="Titre 9 Car"/>
    <w:basedOn w:val="DefaultParagraphFont"/>
    <w:uiPriority w:val="9"/>
    <w:semiHidden/>
    <w:rsid w:val="006454f9"/>
    <w:rPr>
      <w:rFonts w:eastAsia="" w:cs="" w:cstheme="majorBidi" w:eastAsiaTheme="majorEastAsia"/>
      <w:color w:themeColor="text1" w:themeTint="d8" w:val="272727"/>
    </w:rPr>
  </w:style>
  <w:style w:type="character" w:styleId="TitreCar" w:customStyle="1">
    <w:name w:val="Titre Car"/>
    <w:basedOn w:val="DefaultParagraphFont"/>
    <w:uiPriority w:val="10"/>
    <w:rsid w:val="006454f9"/>
    <w:rPr>
      <w:rFonts w:ascii="Aptos Display" w:hAnsi="Aptos Display"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uiPriority w:val="11"/>
    <w:rsid w:val="006454f9"/>
    <w:rPr>
      <w:rFonts w:eastAsia="" w:cs="" w:cstheme="majorBidi" w:eastAsiaTheme="majorEastAsia"/>
      <w:color w:themeColor="text1" w:themeTint="a6" w:val="595959"/>
      <w:spacing w:val="15"/>
      <w:sz w:val="28"/>
      <w:szCs w:val="28"/>
    </w:rPr>
  </w:style>
  <w:style w:type="character" w:styleId="CitationCar" w:customStyle="1">
    <w:name w:val="Citation Car"/>
    <w:basedOn w:val="DefaultParagraphFont"/>
    <w:link w:val="Quote"/>
    <w:uiPriority w:val="29"/>
    <w:rsid w:val="006454f9"/>
    <w:rPr>
      <w:i/>
      <w:iCs/>
      <w:color w:themeColor="text1" w:themeTint="bf" w:val="404040"/>
    </w:rPr>
  </w:style>
  <w:style w:type="character" w:styleId="IntenseEmphasis">
    <w:name w:val="Intense Emphasis"/>
    <w:basedOn w:val="DefaultParagraphFont"/>
    <w:uiPriority w:val="21"/>
    <w:qFormat/>
    <w:rsid w:val="006454f9"/>
    <w:rPr>
      <w:i/>
      <w:iCs/>
      <w:color w:themeColor="accent1" w:themeShade="bf" w:val="0F4761"/>
    </w:rPr>
  </w:style>
  <w:style w:type="character" w:styleId="CitationintenseCar" w:customStyle="1">
    <w:name w:val="Citation intense Car"/>
    <w:basedOn w:val="DefaultParagraphFont"/>
    <w:link w:val="IntenseQuote"/>
    <w:uiPriority w:val="30"/>
    <w:rsid w:val="006454f9"/>
    <w:rPr>
      <w:i/>
      <w:iCs/>
      <w:color w:themeColor="accent1" w:themeShade="bf" w:val="0F4761"/>
    </w:rPr>
  </w:style>
  <w:style w:type="character" w:styleId="IntenseReference">
    <w:name w:val="Intense Reference"/>
    <w:basedOn w:val="DefaultParagraphFont"/>
    <w:uiPriority w:val="32"/>
    <w:qFormat/>
    <w:rsid w:val="006454f9"/>
    <w:rPr>
      <w:b/>
      <w:bCs/>
      <w:smallCaps/>
      <w:color w:themeColor="accent1" w:themeShade="bf" w:val="0F4761"/>
      <w:spacing w:val="5"/>
    </w:rPr>
  </w:style>
  <w:style w:type="paragraph" w:styleId="Titre">
    <w:name w:val="Titre"/>
    <w:basedOn w:val="Normal"/>
    <w:next w:val="BodyText"/>
    <w:pPr>
      <w:keepNext w:val="true"/>
      <w:spacing w:before="240" w:after="120"/>
    </w:pPr>
    <w:rPr>
      <w:rFonts w:ascii="Carlito" w:hAnsi="Carlito" w:eastAsia="Noto Sans SC Regular"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pPr>
      <w:suppressLineNumbers/>
      <w:spacing w:before="120" w:after="120"/>
    </w:pPr>
    <w:rPr>
      <w:rFonts w:cs="Noto Sans"/>
      <w:i/>
      <w:iCs/>
      <w:sz w:val="24"/>
      <w:szCs w:val="24"/>
    </w:rPr>
  </w:style>
  <w:style w:type="paragraph" w:styleId="Index">
    <w:name w:val="Index"/>
    <w:basedOn w:val="Normal"/>
    <w:pPr>
      <w:suppressLineNumbers/>
    </w:pPr>
    <w:rPr>
      <w:rFonts w:cs="Noto Sans"/>
    </w:rPr>
  </w:style>
  <w:style w:type="paragraph" w:styleId="Title">
    <w:name w:val="Title"/>
    <w:basedOn w:val="Normal"/>
    <w:next w:val="Normal"/>
    <w:link w:val="TitreCar"/>
    <w:uiPriority w:val="10"/>
    <w:qFormat/>
    <w:rsid w:val="006454f9"/>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ous-titreCar"/>
    <w:uiPriority w:val="11"/>
    <w:qFormat/>
    <w:rsid w:val="006454f9"/>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tionCar"/>
    <w:uiPriority w:val="29"/>
    <w:qFormat/>
    <w:rsid w:val="006454f9"/>
    <w:pPr>
      <w:spacing w:before="160" w:after="160"/>
      <w:jc w:val="center"/>
    </w:pPr>
    <w:rPr>
      <w:i/>
      <w:iCs/>
      <w:color w:themeColor="text1" w:themeTint="bf" w:val="404040"/>
    </w:rPr>
  </w:style>
  <w:style w:type="paragraph" w:styleId="ListParagraph">
    <w:name w:val="List Paragraph"/>
    <w:basedOn w:val="Normal"/>
    <w:uiPriority w:val="34"/>
    <w:qFormat/>
    <w:rsid w:val="006454f9"/>
    <w:pPr>
      <w:spacing w:before="0" w:after="160"/>
      <w:ind w:start="720"/>
      <w:contextualSpacing/>
    </w:pPr>
    <w:rPr/>
  </w:style>
  <w:style w:type="paragraph" w:styleId="IntenseQuote">
    <w:name w:val="Intense Quote"/>
    <w:basedOn w:val="Normal"/>
    <w:next w:val="Normal"/>
    <w:link w:val="CitationintenseCar"/>
    <w:uiPriority w:val="30"/>
    <w:qFormat/>
    <w:rsid w:val="006454f9"/>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Pasdeliste" w:default="1">
    <w:name w:val="Pas de liste"/>
    <w:uiPriority w:val="99"/>
    <w:semiHidden/>
    <w:unhideWhenUsed/>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396</TotalTime>
  <Application>Collabora_Office/26.04.2.1$Linux_X86_64 LibreOffice_project/de013a57f9dd43658ce09b01cc34cbfa82f81afd</Application>
  <AppVersion>15.0000</AppVersion>
  <Pages>5</Pages>
  <Words>965</Words>
  <Characters>4951</Characters>
  <CharactersWithSpaces>5778</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2025-12-18T00:50:00Z</dcterms:created>
  <dc:creator>dilevembongo@gmail.com</dc:creator>
  <dc:description/>
  <dc:language>fr</dc:language>
  <cp:lastModifiedBy/>
  <dcterms:modified xsi:type="dcterms:W3CDTF">2026-07-07T02:59:35Z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