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D181D3">
      <w:pPr>
        <w:spacing w:before="1900"/>
        <w:jc w:val="center"/>
      </w:pPr>
      <w:r>
        <w:rPr>
          <w:rFonts w:ascii="Georgia" w:hAnsi="Georgia"/>
          <w:color w:val="203D38"/>
          <w:sz w:val="76"/>
        </w:rPr>
        <w:t>Primer aliento</w:t>
      </w:r>
    </w:p>
    <w:p w14:paraId="4EF7741A">
      <w:pPr>
        <w:spacing w:after="360"/>
        <w:jc w:val="center"/>
      </w:pPr>
      <w:r>
        <w:rPr>
          <w:color w:val="B34F35"/>
          <w:sz w:val="28"/>
        </w:rPr>
        <w:t>Manual de usuario · Simulación educativa de reanimación neonatal</w:t>
      </w:r>
    </w:p>
    <w:p w14:paraId="372C29DC">
      <w:pPr>
        <w:spacing w:after="120"/>
        <w:jc w:val="center"/>
      </w:pPr>
      <w:r>
        <w:rPr>
          <w:color w:val="68736A"/>
          <w:sz w:val="20"/>
        </w:rPr>
        <w:t>Versión del aplicativo: 10 pasos · enlaces 19 OCT · R2</w:t>
      </w:r>
    </w:p>
    <w:p w14:paraId="4BAA5697">
      <w:pPr>
        <w:jc w:val="center"/>
      </w:pPr>
      <w:r>
        <w:rPr>
          <w:color w:val="68736A"/>
          <w:sz w:val="20"/>
        </w:rPr>
        <w:t>Dirigido a participantes, docentes, personal de salud en formación y equipo organizador de la conferencia.</w:t>
      </w:r>
    </w:p>
    <w:p w14:paraId="196166D4">
      <w:r>
        <w:br w:type="page"/>
      </w:r>
    </w:p>
    <w:p w14:paraId="0F39719C">
      <w:pPr>
        <w:pStyle w:val="2"/>
      </w:pPr>
      <w:r>
        <w:t>Contenido</w:t>
      </w:r>
    </w:p>
    <w:p w14:paraId="704EA9CA">
      <w:pPr>
        <w:pStyle w:val="25"/>
        <w:numPr>
          <w:ilvl w:val="0"/>
          <w:numId w:val="7"/>
        </w:numPr>
        <w:spacing w:after="40"/>
        <w:ind w:leftChars="0"/>
        <w:jc w:val="both"/>
      </w:pPr>
      <w:r>
        <w:t>Descripción general</w:t>
      </w:r>
    </w:p>
    <w:p w14:paraId="699F7D9A">
      <w:pPr>
        <w:pStyle w:val="25"/>
        <w:numPr>
          <w:ilvl w:val="0"/>
          <w:numId w:val="7"/>
        </w:numPr>
        <w:spacing w:after="40"/>
        <w:ind w:leftChars="0"/>
        <w:jc w:val="both"/>
      </w:pPr>
      <w:r>
        <w:t xml:space="preserve"> Requisitos</w:t>
      </w:r>
    </w:p>
    <w:p w14:paraId="2EC62655">
      <w:pPr>
        <w:pStyle w:val="25"/>
        <w:numPr>
          <w:ilvl w:val="0"/>
          <w:numId w:val="7"/>
        </w:numPr>
        <w:spacing w:after="40"/>
        <w:ind w:leftChars="0"/>
        <w:jc w:val="both"/>
      </w:pPr>
      <w:r>
        <w:t>Iniciar la experiencia</w:t>
      </w:r>
    </w:p>
    <w:p w14:paraId="1CA7569F">
      <w:pPr>
        <w:pStyle w:val="25"/>
        <w:numPr>
          <w:ilvl w:val="0"/>
          <w:numId w:val="7"/>
        </w:numPr>
        <w:spacing w:after="40"/>
        <w:ind w:leftChars="0"/>
        <w:jc w:val="both"/>
      </w:pPr>
      <w:r>
        <w:t xml:space="preserve"> Reproducir un video</w:t>
      </w:r>
    </w:p>
    <w:p w14:paraId="5683E315">
      <w:pPr>
        <w:pStyle w:val="25"/>
        <w:numPr>
          <w:ilvl w:val="0"/>
          <w:numId w:val="7"/>
        </w:numPr>
        <w:spacing w:after="40"/>
        <w:ind w:leftChars="0"/>
        <w:jc w:val="both"/>
      </w:pPr>
      <w:r>
        <w:t xml:space="preserve"> Confirmar que viste la escena</w:t>
      </w:r>
    </w:p>
    <w:p w14:paraId="66CA5D86">
      <w:pPr>
        <w:pStyle w:val="25"/>
        <w:numPr>
          <w:ilvl w:val="0"/>
          <w:numId w:val="7"/>
        </w:numPr>
        <w:spacing w:after="40"/>
        <w:ind w:leftChars="0"/>
        <w:jc w:val="both"/>
      </w:pPr>
      <w:r>
        <w:t>Responder una decisión</w:t>
      </w:r>
    </w:p>
    <w:p w14:paraId="15773B25">
      <w:pPr>
        <w:pStyle w:val="25"/>
        <w:numPr>
          <w:ilvl w:val="0"/>
          <w:numId w:val="7"/>
        </w:numPr>
        <w:spacing w:after="40"/>
        <w:ind w:leftChars="0"/>
        <w:jc w:val="both"/>
      </w:pPr>
      <w:r>
        <w:t>. Mensajes y explicaciones</w:t>
      </w:r>
    </w:p>
    <w:p w14:paraId="62D90F8A">
      <w:pPr>
        <w:pStyle w:val="25"/>
        <w:numPr>
          <w:ilvl w:val="0"/>
          <w:numId w:val="7"/>
        </w:numPr>
        <w:spacing w:after="40"/>
        <w:ind w:leftChars="0"/>
        <w:jc w:val="both"/>
      </w:pPr>
      <w:r>
        <w:t>. Intentos y puntuación</w:t>
      </w:r>
    </w:p>
    <w:p w14:paraId="36395EAD">
      <w:pPr>
        <w:pStyle w:val="25"/>
        <w:numPr>
          <w:ilvl w:val="0"/>
          <w:numId w:val="7"/>
        </w:numPr>
        <w:spacing w:after="40"/>
        <w:ind w:leftChars="0"/>
        <w:jc w:val="both"/>
      </w:pPr>
      <w:r>
        <w:t xml:space="preserve">. Reflexión final: paso </w:t>
      </w:r>
    </w:p>
    <w:p w14:paraId="0C0E5019">
      <w:pPr>
        <w:pStyle w:val="25"/>
        <w:numPr>
          <w:ilvl w:val="0"/>
          <w:numId w:val="7"/>
        </w:numPr>
        <w:spacing w:after="40"/>
        <w:ind w:leftChars="0"/>
        <w:jc w:val="both"/>
      </w:pPr>
      <w:r>
        <w:t xml:space="preserve"> Revisar el resumen</w:t>
      </w:r>
    </w:p>
    <w:p w14:paraId="68147E4F">
      <w:pPr>
        <w:pStyle w:val="25"/>
        <w:numPr>
          <w:ilvl w:val="0"/>
          <w:numId w:val="7"/>
        </w:numPr>
        <w:spacing w:after="40"/>
        <w:ind w:leftChars="0"/>
        <w:jc w:val="both"/>
      </w:pPr>
      <w:r>
        <w:t xml:space="preserve"> Reiniciar la experiencia</w:t>
      </w:r>
    </w:p>
    <w:p w14:paraId="59307170">
      <w:pPr>
        <w:pStyle w:val="25"/>
        <w:numPr>
          <w:ilvl w:val="0"/>
          <w:numId w:val="7"/>
        </w:numPr>
        <w:spacing w:after="40"/>
        <w:ind w:left="360" w:leftChars="0" w:hanging="360" w:firstLineChars="0"/>
        <w:jc w:val="both"/>
      </w:pPr>
      <w:r>
        <w:t>Si aparece un error en el video</w:t>
      </w:r>
    </w:p>
    <w:p w14:paraId="3A558891">
      <w:pPr>
        <w:pStyle w:val="25"/>
        <w:numPr>
          <w:ilvl w:val="0"/>
          <w:numId w:val="7"/>
        </w:numPr>
        <w:spacing w:after="40"/>
        <w:ind w:left="360" w:leftChars="0" w:hanging="360" w:firstLineChars="0"/>
        <w:jc w:val="both"/>
      </w:pPr>
      <w:r>
        <w:t>Accesibilidad y uso móvil</w:t>
      </w:r>
    </w:p>
    <w:p w14:paraId="322B97A8">
      <w:pPr>
        <w:pStyle w:val="25"/>
        <w:numPr>
          <w:numId w:val="0"/>
        </w:numPr>
        <w:spacing w:after="40"/>
        <w:ind w:leftChars="0"/>
        <w:jc w:val="both"/>
      </w:pPr>
      <w:bookmarkStart w:id="0" w:name="_GoBack"/>
      <w:bookmarkEnd w:id="0"/>
      <w:r>
        <w:t>14. Aviso de uso clínico</w:t>
      </w:r>
    </w:p>
    <w:p w14:paraId="4BE69383">
      <w:r>
        <w:br w:type="page"/>
      </w:r>
    </w:p>
    <w:p w14:paraId="510B1449">
      <w:pPr>
        <w:pStyle w:val="2"/>
      </w:pPr>
      <w:r>
        <w:t>1. Descripción general</w:t>
      </w:r>
    </w:p>
    <w:p w14:paraId="2A4970A6">
      <w:r>
        <w:t>**Primer aliento** es una experiencia web interactiva de aprendizaje sobre reanimación neonatal. Presenta diez escenas basadas en un guion educativo: nueve decisiones evaluables y una reflexión final.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03B6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203D38"/>
          </w:tcPr>
          <w:p w14:paraId="56D44B2C">
            <w:pPr>
              <w:spacing w:before="60" w:after="60" w:line="240" w:lineRule="auto"/>
            </w:pPr>
            <w:r>
              <w:rPr>
                <w:rFonts w:ascii="Calibri" w:hAnsi="Calibri"/>
                <w:b/>
                <w:color w:val="FFFFFF"/>
                <w:sz w:val="20"/>
              </w:rPr>
              <w:t>Escenas</w:t>
            </w:r>
          </w:p>
        </w:tc>
        <w:tc>
          <w:tcPr>
            <w:tcW w:w="4873" w:type="dxa"/>
            <w:shd w:val="clear" w:color="auto" w:fill="203D38"/>
          </w:tcPr>
          <w:p w14:paraId="293B0D50">
            <w:pPr>
              <w:spacing w:before="60" w:after="60" w:line="240" w:lineRule="auto"/>
            </w:pPr>
            <w:r>
              <w:rPr>
                <w:rFonts w:ascii="Calibri" w:hAnsi="Calibri"/>
                <w:b/>
                <w:color w:val="FFFFFF"/>
                <w:sz w:val="20"/>
              </w:rPr>
              <w:t>Contenido</w:t>
            </w:r>
          </w:p>
        </w:tc>
      </w:tr>
      <w:tr w14:paraId="04A7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F7F2EA"/>
          </w:tcPr>
          <w:p w14:paraId="05B0D5AE">
            <w:pPr>
              <w:spacing w:before="60" w:after="60" w:line="240" w:lineRule="auto"/>
              <w:jc w:val="center"/>
            </w:pPr>
            <w:r>
              <w:rPr>
                <w:rFonts w:ascii="Calibri" w:hAnsi="Calibri"/>
                <w:b/>
                <w:color w:val="B34F35"/>
                <w:sz w:val="20"/>
              </w:rPr>
              <w:t>01–09</w:t>
            </w:r>
          </w:p>
        </w:tc>
        <w:tc>
          <w:tcPr>
            <w:tcW w:w="4873" w:type="dxa"/>
          </w:tcPr>
          <w:p w14:paraId="15AB7650">
            <w:pPr>
              <w:spacing w:before="60" w:after="60" w:line="240" w:lineRule="auto"/>
            </w:pPr>
            <w:r>
              <w:rPr>
                <w:rFonts w:ascii="Calibri" w:hAnsi="Calibri"/>
                <w:b w:val="0"/>
                <w:sz w:val="20"/>
              </w:rPr>
              <w:t>Decisiones evaluables con video, opciones y explicaciones</w:t>
            </w:r>
          </w:p>
        </w:tc>
      </w:tr>
      <w:tr w14:paraId="15DA8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F7F2EA"/>
          </w:tcPr>
          <w:p w14:paraId="4796A08F">
            <w:pPr>
              <w:spacing w:before="60" w:after="60" w:line="240" w:lineRule="auto"/>
              <w:jc w:val="center"/>
            </w:pPr>
            <w:r>
              <w:rPr>
                <w:rFonts w:ascii="Calibri" w:hAnsi="Calibri"/>
                <w:b/>
                <w:color w:val="B34F35"/>
                <w:sz w:val="20"/>
              </w:rPr>
              <w:t>10</w:t>
            </w:r>
          </w:p>
        </w:tc>
        <w:tc>
          <w:tcPr>
            <w:tcW w:w="4873" w:type="dxa"/>
          </w:tcPr>
          <w:p w14:paraId="70DE3B06">
            <w:pPr>
              <w:spacing w:before="60" w:after="60" w:line="240" w:lineRule="auto"/>
            </w:pPr>
            <w:r>
              <w:rPr>
                <w:rFonts w:ascii="Calibri" w:hAnsi="Calibri"/>
                <w:b w:val="0"/>
                <w:sz w:val="20"/>
              </w:rPr>
              <w:t>Reflexión final: solo video, sin preguntas ni puntuación</w:t>
            </w:r>
          </w:p>
        </w:tc>
      </w:tr>
    </w:tbl>
    <w:p w14:paraId="32480A36"/>
    <w:p w14:paraId="16B5F1DE">
      <w:pPr>
        <w:pStyle w:val="2"/>
      </w:pPr>
      <w:r>
        <w:t>2. Requisitos</w:t>
      </w:r>
    </w:p>
    <w:p w14:paraId="1E00236C">
      <w:r>
        <w:t>Para utilizar el aplicativo necesitas un dispositivo con navegador actualizado, conexión a internet, JavaScript habilitado y permiso para visualizar los videos alojados en Google Drive. No requiere instalar programas, crear una cuenta ni descargar los videos.</w:t>
      </w:r>
    </w:p>
    <w:p w14:paraId="4BDE52FB">
      <w:pPr>
        <w:pStyle w:val="2"/>
      </w:pPr>
      <w:r>
        <w:t>3. Iniciar la experiencia</w:t>
      </w:r>
    </w:p>
    <w:p w14:paraId="22428EF4">
      <w:r>
        <w:t>Escanea el código QR o abre el enlace de la conferencia. En la pantalla inicial elige el contexto de atención: **Nivel 1 · Contexto rural** o **Niveles 2 a 4 · Contexto hospitalario**. Ambos comparten los videos, pero las preguntas y explicaciones pueden diferir.</w:t>
      </w:r>
    </w:p>
    <w:p w14:paraId="21AE6907">
      <w:pPr>
        <w:pStyle w:val="3"/>
      </w:pPr>
      <w:r>
        <w:t>Recorrido de escenas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3"/>
        <w:gridCol w:w="4873"/>
      </w:tblGrid>
      <w:tr w14:paraId="43322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203D38"/>
          </w:tcPr>
          <w:p w14:paraId="3E3747ED">
            <w:pPr>
              <w:spacing w:before="60" w:after="60" w:line="240" w:lineRule="auto"/>
            </w:pPr>
            <w:r>
              <w:rPr>
                <w:rFonts w:ascii="Calibri" w:hAnsi="Calibri"/>
                <w:b/>
                <w:color w:val="FFFFFF"/>
                <w:sz w:val="20"/>
              </w:rPr>
              <w:t>Paso</w:t>
            </w:r>
          </w:p>
        </w:tc>
        <w:tc>
          <w:tcPr>
            <w:tcW w:w="4873" w:type="dxa"/>
            <w:shd w:val="clear" w:color="auto" w:fill="203D38"/>
          </w:tcPr>
          <w:p w14:paraId="4D866266">
            <w:pPr>
              <w:spacing w:before="60" w:after="60" w:line="240" w:lineRule="auto"/>
            </w:pPr>
            <w:r>
              <w:rPr>
                <w:rFonts w:ascii="Calibri" w:hAnsi="Calibri"/>
                <w:b/>
                <w:color w:val="FFFFFF"/>
                <w:sz w:val="20"/>
              </w:rPr>
              <w:t>Acción</w:t>
            </w:r>
          </w:p>
        </w:tc>
      </w:tr>
      <w:tr w14:paraId="083B3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F7F2EA"/>
          </w:tcPr>
          <w:p w14:paraId="6689FCAE">
            <w:pPr>
              <w:spacing w:before="60" w:after="60" w:line="240" w:lineRule="auto"/>
              <w:jc w:val="center"/>
            </w:pPr>
            <w:r>
              <w:rPr>
                <w:rFonts w:ascii="Calibri" w:hAnsi="Calibri"/>
                <w:b/>
                <w:color w:val="B34F35"/>
                <w:sz w:val="20"/>
              </w:rPr>
              <w:t>01</w:t>
            </w:r>
          </w:p>
        </w:tc>
        <w:tc>
          <w:tcPr>
            <w:tcW w:w="4873" w:type="dxa"/>
          </w:tcPr>
          <w:p w14:paraId="576813F5">
            <w:pPr>
              <w:spacing w:before="60" w:after="60" w:line="240" w:lineRule="auto"/>
            </w:pPr>
            <w:r>
              <w:rPr>
                <w:rFonts w:ascii="Calibri" w:hAnsi="Calibri"/>
                <w:b w:val="0"/>
                <w:sz w:val="20"/>
              </w:rPr>
              <w:t>Reunión del equipo</w:t>
            </w:r>
          </w:p>
        </w:tc>
      </w:tr>
      <w:tr w14:paraId="75DE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F7F2EA"/>
          </w:tcPr>
          <w:p w14:paraId="2C481D4C">
            <w:pPr>
              <w:spacing w:before="60" w:after="60" w:line="240" w:lineRule="auto"/>
              <w:jc w:val="center"/>
            </w:pPr>
            <w:r>
              <w:rPr>
                <w:rFonts w:ascii="Calibri" w:hAnsi="Calibri"/>
                <w:b/>
                <w:color w:val="B34F35"/>
                <w:sz w:val="20"/>
              </w:rPr>
              <w:t>02</w:t>
            </w:r>
          </w:p>
        </w:tc>
        <w:tc>
          <w:tcPr>
            <w:tcW w:w="4873" w:type="dxa"/>
          </w:tcPr>
          <w:p w14:paraId="5C24E490">
            <w:pPr>
              <w:spacing w:before="60" w:after="60" w:line="240" w:lineRule="auto"/>
            </w:pPr>
            <w:r>
              <w:rPr>
                <w:rFonts w:ascii="Calibri" w:hAnsi="Calibri"/>
                <w:b w:val="0"/>
                <w:sz w:val="20"/>
              </w:rPr>
              <w:t>Las primeras tres preguntas</w:t>
            </w:r>
          </w:p>
        </w:tc>
      </w:tr>
      <w:tr w14:paraId="7336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F7F2EA"/>
          </w:tcPr>
          <w:p w14:paraId="097A792F">
            <w:pPr>
              <w:spacing w:before="60" w:after="60" w:line="240" w:lineRule="auto"/>
              <w:jc w:val="center"/>
            </w:pPr>
            <w:r>
              <w:rPr>
                <w:rFonts w:ascii="Calibri" w:hAnsi="Calibri"/>
                <w:b/>
                <w:color w:val="B34F35"/>
                <w:sz w:val="20"/>
              </w:rPr>
              <w:t>03</w:t>
            </w:r>
          </w:p>
        </w:tc>
        <w:tc>
          <w:tcPr>
            <w:tcW w:w="4873" w:type="dxa"/>
          </w:tcPr>
          <w:p w14:paraId="74A4111A">
            <w:pPr>
              <w:spacing w:before="60" w:after="60" w:line="240" w:lineRule="auto"/>
            </w:pPr>
            <w:r>
              <w:rPr>
                <w:rFonts w:ascii="Calibri" w:hAnsi="Calibri"/>
                <w:b w:val="0"/>
                <w:sz w:val="20"/>
              </w:rPr>
              <w:t>El minuto de oro</w:t>
            </w:r>
          </w:p>
        </w:tc>
      </w:tr>
      <w:tr w14:paraId="15330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F7F2EA"/>
          </w:tcPr>
          <w:p w14:paraId="31DF567E">
            <w:pPr>
              <w:spacing w:before="60" w:after="60" w:line="240" w:lineRule="auto"/>
              <w:jc w:val="center"/>
            </w:pPr>
            <w:r>
              <w:rPr>
                <w:rFonts w:ascii="Calibri" w:hAnsi="Calibri"/>
                <w:b/>
                <w:color w:val="B34F35"/>
                <w:sz w:val="20"/>
              </w:rPr>
              <w:t>04</w:t>
            </w:r>
          </w:p>
        </w:tc>
        <w:tc>
          <w:tcPr>
            <w:tcW w:w="4873" w:type="dxa"/>
          </w:tcPr>
          <w:p w14:paraId="735CC8AD">
            <w:pPr>
              <w:spacing w:before="60" w:after="60" w:line="240" w:lineRule="auto"/>
            </w:pPr>
            <w:r>
              <w:rPr>
                <w:rFonts w:ascii="Calibri" w:hAnsi="Calibri"/>
                <w:b w:val="0"/>
                <w:sz w:val="20"/>
              </w:rPr>
              <w:t>Ventilación a presión positiva</w:t>
            </w:r>
          </w:p>
        </w:tc>
      </w:tr>
      <w:tr w14:paraId="5609C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F7F2EA"/>
          </w:tcPr>
          <w:p w14:paraId="2B2F912C">
            <w:pPr>
              <w:spacing w:before="60" w:after="60" w:line="240" w:lineRule="auto"/>
              <w:jc w:val="center"/>
            </w:pPr>
            <w:r>
              <w:rPr>
                <w:rFonts w:ascii="Calibri" w:hAnsi="Calibri"/>
                <w:b/>
                <w:color w:val="B34F35"/>
                <w:sz w:val="20"/>
              </w:rPr>
              <w:t>05</w:t>
            </w:r>
          </w:p>
        </w:tc>
        <w:tc>
          <w:tcPr>
            <w:tcW w:w="4873" w:type="dxa"/>
          </w:tcPr>
          <w:p w14:paraId="1509C1AC">
            <w:pPr>
              <w:spacing w:before="60" w:after="60" w:line="240" w:lineRule="auto"/>
            </w:pPr>
            <w:r>
              <w:rPr>
                <w:rFonts w:ascii="Calibri" w:hAnsi="Calibri"/>
                <w:b w:val="0"/>
                <w:sz w:val="20"/>
              </w:rPr>
              <w:t>Pasos correctivos: MR SOPA</w:t>
            </w:r>
          </w:p>
        </w:tc>
      </w:tr>
      <w:tr w14:paraId="677FE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F7F2EA"/>
          </w:tcPr>
          <w:p w14:paraId="0C0412C3">
            <w:pPr>
              <w:spacing w:before="60" w:after="60" w:line="240" w:lineRule="auto"/>
              <w:jc w:val="center"/>
            </w:pPr>
            <w:r>
              <w:rPr>
                <w:rFonts w:ascii="Calibri" w:hAnsi="Calibri"/>
                <w:b/>
                <w:color w:val="B34F35"/>
                <w:sz w:val="20"/>
              </w:rPr>
              <w:t>06</w:t>
            </w:r>
          </w:p>
        </w:tc>
        <w:tc>
          <w:tcPr>
            <w:tcW w:w="4873" w:type="dxa"/>
          </w:tcPr>
          <w:p w14:paraId="1CC8526F">
            <w:pPr>
              <w:spacing w:before="60" w:after="60" w:line="240" w:lineRule="auto"/>
            </w:pPr>
            <w:r>
              <w:rPr>
                <w:rFonts w:ascii="Calibri" w:hAnsi="Calibri"/>
                <w:b w:val="0"/>
                <w:sz w:val="20"/>
              </w:rPr>
              <w:t>Vía aérea alternativa</w:t>
            </w:r>
          </w:p>
        </w:tc>
      </w:tr>
      <w:tr w14:paraId="30757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F7F2EA"/>
          </w:tcPr>
          <w:p w14:paraId="1F300947">
            <w:pPr>
              <w:spacing w:before="60" w:after="60" w:line="240" w:lineRule="auto"/>
              <w:jc w:val="center"/>
            </w:pPr>
            <w:r>
              <w:rPr>
                <w:rFonts w:ascii="Calibri" w:hAnsi="Calibri"/>
                <w:b/>
                <w:color w:val="B34F35"/>
                <w:sz w:val="20"/>
              </w:rPr>
              <w:t>07</w:t>
            </w:r>
          </w:p>
        </w:tc>
        <w:tc>
          <w:tcPr>
            <w:tcW w:w="4873" w:type="dxa"/>
          </w:tcPr>
          <w:p w14:paraId="46A68050">
            <w:pPr>
              <w:spacing w:before="60" w:after="60" w:line="240" w:lineRule="auto"/>
            </w:pPr>
            <w:r>
              <w:rPr>
                <w:rFonts w:ascii="Calibri" w:hAnsi="Calibri"/>
                <w:b w:val="0"/>
                <w:sz w:val="20"/>
              </w:rPr>
              <w:t>Compresiones cardiacas y ventilación</w:t>
            </w:r>
          </w:p>
        </w:tc>
      </w:tr>
      <w:tr w14:paraId="2871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F7F2EA"/>
          </w:tcPr>
          <w:p w14:paraId="3DED31D8">
            <w:pPr>
              <w:spacing w:before="60" w:after="60" w:line="240" w:lineRule="auto"/>
              <w:jc w:val="center"/>
            </w:pPr>
            <w:r>
              <w:rPr>
                <w:rFonts w:ascii="Calibri" w:hAnsi="Calibri"/>
                <w:b/>
                <w:color w:val="B34F35"/>
                <w:sz w:val="20"/>
              </w:rPr>
              <w:t>08</w:t>
            </w:r>
          </w:p>
        </w:tc>
        <w:tc>
          <w:tcPr>
            <w:tcW w:w="4873" w:type="dxa"/>
          </w:tcPr>
          <w:p w14:paraId="64A2365C">
            <w:pPr>
              <w:spacing w:before="60" w:after="60" w:line="240" w:lineRule="auto"/>
            </w:pPr>
            <w:r>
              <w:rPr>
                <w:rFonts w:ascii="Calibri" w:hAnsi="Calibri"/>
                <w:b w:val="0"/>
                <w:sz w:val="20"/>
              </w:rPr>
              <w:t>Onfaloclisis y medicamentos</w:t>
            </w:r>
          </w:p>
        </w:tc>
      </w:tr>
      <w:tr w14:paraId="13D6E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F7F2EA"/>
          </w:tcPr>
          <w:p w14:paraId="75155501">
            <w:pPr>
              <w:spacing w:before="60" w:after="60" w:line="240" w:lineRule="auto"/>
              <w:jc w:val="center"/>
            </w:pPr>
            <w:r>
              <w:rPr>
                <w:rFonts w:ascii="Calibri" w:hAnsi="Calibri"/>
                <w:b/>
                <w:color w:val="B34F35"/>
                <w:sz w:val="20"/>
              </w:rPr>
              <w:t>09</w:t>
            </w:r>
          </w:p>
        </w:tc>
        <w:tc>
          <w:tcPr>
            <w:tcW w:w="4873" w:type="dxa"/>
          </w:tcPr>
          <w:p w14:paraId="193F016C">
            <w:pPr>
              <w:spacing w:before="60" w:after="60" w:line="240" w:lineRule="auto"/>
            </w:pPr>
            <w:r>
              <w:rPr>
                <w:rFonts w:ascii="Calibri" w:hAnsi="Calibri"/>
                <w:b w:val="0"/>
                <w:sz w:val="20"/>
              </w:rPr>
              <w:t>Cuidados posreanimación</w:t>
            </w:r>
          </w:p>
        </w:tc>
      </w:tr>
      <w:tr w14:paraId="3D2D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3" w:type="dxa"/>
            <w:shd w:val="clear" w:color="auto" w:fill="F7F2EA"/>
          </w:tcPr>
          <w:p w14:paraId="699F200C">
            <w:pPr>
              <w:spacing w:before="60" w:after="60" w:line="240" w:lineRule="auto"/>
              <w:jc w:val="center"/>
            </w:pPr>
            <w:r>
              <w:rPr>
                <w:rFonts w:ascii="Calibri" w:hAnsi="Calibri"/>
                <w:b/>
                <w:color w:val="B34F35"/>
                <w:sz w:val="20"/>
              </w:rPr>
              <w:t>10</w:t>
            </w:r>
          </w:p>
        </w:tc>
        <w:tc>
          <w:tcPr>
            <w:tcW w:w="4873" w:type="dxa"/>
          </w:tcPr>
          <w:p w14:paraId="732398B7">
            <w:pPr>
              <w:spacing w:before="60" w:after="60" w:line="240" w:lineRule="auto"/>
            </w:pPr>
            <w:r>
              <w:rPr>
                <w:rFonts w:ascii="Calibri" w:hAnsi="Calibri"/>
                <w:b w:val="0"/>
                <w:sz w:val="20"/>
              </w:rPr>
              <w:t>Reflexión final</w:t>
            </w:r>
          </w:p>
        </w:tc>
      </w:tr>
    </w:tbl>
    <w:p w14:paraId="41A5F562"/>
    <w:p w14:paraId="6800B197">
      <w:pPr>
        <w:pStyle w:val="2"/>
      </w:pPr>
      <w:r>
        <w:t>4. Reproducir un video</w:t>
      </w:r>
    </w:p>
    <w:p w14:paraId="613F8CB0">
      <w:r>
        <w:t>En los pasos 1 a 9, el video aparece en un visor integrado de Google Drive. Pulsa el botón de reproducción dentro del visor. Puedes pausar, ajustar el volumen y usar pantalla completa con los controles de Drive. Si el visor no funciona, usa **Abrir en Drive** o **Recargar visor**.</w:t>
      </w:r>
    </w:p>
    <w:p w14:paraId="49A50FA3">
      <w:pPr>
        <w:pStyle w:val="2"/>
      </w:pPr>
      <w:r>
        <w:t>5. Confirmar que viste la escena</w:t>
      </w:r>
    </w:p>
    <w:p w14:paraId="6D8BE24F">
      <w:r>
        <w:t>Las respuestas permanecen bloqueadas hasta que confirmes la visualización. Mira la escena completa y pulsa **Ya terminé de ver la escena**. Luego selecciona **Sí, la vi completa**. En celulares también aparece una barra inferior con el mismo botón.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6AFA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46" w:type="dxa"/>
            <w:shd w:val="clear" w:color="auto" w:fill="FFF3E0"/>
          </w:tcPr>
          <w:p w14:paraId="1B10D58C">
            <w:pPr>
              <w:spacing w:before="60" w:after="60" w:line="240" w:lineRule="auto"/>
            </w:pPr>
            <w:r>
              <w:rPr>
                <w:rFonts w:ascii="Calibri" w:hAnsi="Calibri"/>
                <w:b w:val="0"/>
                <w:color w:val="8A3B22"/>
                <w:sz w:val="18"/>
              </w:rPr>
              <w:t>La confirmación «Ya terminé de ver la escena» es personal. El visor de Google Drive no informa al aplicativo cuándo termina realmente el video; por tanto, no verifica que hayas visto la escena completa ni impide adelantarla desde los controles de Drive.</w:t>
            </w:r>
          </w:p>
        </w:tc>
      </w:tr>
    </w:tbl>
    <w:p w14:paraId="43E33161"/>
    <w:p w14:paraId="0B3FC1CA">
      <w:pPr>
        <w:pStyle w:val="2"/>
      </w:pPr>
      <w:r>
        <w:t>6. Responder una decisión</w:t>
      </w:r>
    </w:p>
    <w:p w14:paraId="0F20C7F9">
      <w:r>
        <w:t>Lee el escenario y selecciona una opción. Si es incorrecta, se resalta en rojo intenso y aparece una explicación; puedes volver a intentar. Si es correcta, se resalta en verde intenso y se despliegan la explicación, las píldoras de aprendizaje y el mensaje clave.</w:t>
      </w:r>
    </w:p>
    <w:p w14:paraId="57112EB3">
      <w:pPr>
        <w:pStyle w:val="2"/>
      </w:pPr>
      <w:r>
        <w:t>7. Mensajes y explicaciones</w:t>
      </w:r>
    </w:p>
    <w:p w14:paraId="34F22106">
      <w:r>
        <w:t>Las respuestas incorrectas muestran una franja roja y explican por qué no corresponden. Las correctas muestran una franja verde. El mensaje clave aparece en un bloque ocre destacado y solo se muestra cuando el guion lo incluye.</w:t>
      </w:r>
    </w:p>
    <w:p w14:paraId="7B702110">
      <w:pPr>
        <w:pStyle w:val="2"/>
      </w:pPr>
      <w:r>
        <w:t>8. Intentos y puntuación</w:t>
      </w:r>
    </w:p>
    <w:p w14:paraId="55893119">
      <w:r>
        <w:t>Puedes reintentar las respuestas incorrectas. El resultado final cuenta únicamente los aciertos al primer intento. La puntuación máxima es 9, porque el paso 10 no es evaluable. No se registran respuestas ni resultados en un servidor.</w:t>
      </w:r>
    </w:p>
    <w:p w14:paraId="6F379906">
      <w:pPr>
        <w:pStyle w:val="2"/>
      </w:pPr>
      <w:r>
        <w:t>9. Reflexión final: paso 10</w:t>
      </w:r>
    </w:p>
    <w:p w14:paraId="11A7DEA9">
      <w:r>
        <w:t>Después de responder correctamente el paso 9, pulsa **Ir a la reflexión final**. El paso 10 reproduce el video de reflexión, sin preguntas, opciones, confirmación de visualización ni puntuación. Puedes usar **Ver resumen del recorrido** para consultar tu resultado.</w:t>
      </w:r>
    </w:p>
    <w:p w14:paraId="623B2730">
      <w:pPr>
        <w:pStyle w:val="2"/>
      </w:pPr>
      <w:r>
        <w:t>10. Revisar el resumen</w:t>
      </w:r>
    </w:p>
    <w:p w14:paraId="60C65BBD">
      <w:r>
        <w:t>El resumen muestra tu puntaje al primer intento, las escenas para repasar y un cuaderno de aprendizaje con las explicaciones de los nueve pasos. Desde allí puedes volver a la reflexión o comenzar otro recorrido.</w:t>
      </w:r>
    </w:p>
    <w:p w14:paraId="467FFAC2">
      <w:pPr>
        <w:pStyle w:val="2"/>
      </w:pPr>
      <w:r>
        <w:t>11. Reiniciar la experiencia</w:t>
      </w:r>
    </w:p>
    <w:p w14:paraId="044D6D33">
      <w:r>
        <w:t>Pulsa **Volver al inicio** para reiniciar. El sistema pedirá confirmación porque se borrará el progreso actual. También puedes usar **Comenzar otro recorrido** desde el resumen final.</w:t>
      </w:r>
    </w:p>
    <w:p w14:paraId="736C58F6">
      <w:pPr>
        <w:pStyle w:val="2"/>
      </w:pPr>
      <w:r>
        <w:t>12. Si aparece un error en el video</w:t>
      </w:r>
    </w:p>
    <w:p w14:paraId="63836F85">
      <w:r>
        <w:t>Si un video no se reproduce, verifica la conexión, usa **Recargar visor** o **Recargar video final**, y prueba **Abrir en Drive**. Si Drive solicita permiso, contacta al responsable del recurso. El aplicativo no puede leer automáticamente los mensajes de error dentro del visor de Drive.</w:t>
      </w:r>
    </w:p>
    <w:p w14:paraId="0E1DEF97">
      <w:pPr>
        <w:pStyle w:val="2"/>
      </w:pPr>
      <w:r>
        <w:t>13. Accesibilidad y uso móvil</w:t>
      </w:r>
    </w:p>
    <w:p w14:paraId="7B1FFD74">
      <w:r>
        <w:t>La interfaz está optimizada para teléfonos y pantallas pequeñas. Los botones tienen áreas de toque amplias, la barra móvil respeta el área segura inferior y la experiencia respeta la preferencia de reducir movimientos.</w:t>
      </w:r>
    </w:p>
    <w:p w14:paraId="6C60544C">
      <w:pPr>
        <w:pStyle w:val="2"/>
      </w:pPr>
      <w:r>
        <w:t>14. Aviso de uso clínico</w:t>
      </w:r>
    </w:p>
    <w:p w14:paraId="33634E41">
      <w:r>
        <w:t>Este aplicativo es un prototipo educativo basado en un guion suministrado. Requiere validación docente antes de su uso formativo. No es una herramienta para atender pacientes, no sustituye protocolos ni cursos de reanimación y no certifica competencias clínicas.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46"/>
      </w:tblGrid>
      <w:tr w14:paraId="3B36F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746" w:type="dxa"/>
            <w:shd w:val="clear" w:color="auto" w:fill="FDECEA"/>
          </w:tcPr>
          <w:p w14:paraId="2211600B">
            <w:pPr>
              <w:spacing w:before="60" w:after="60" w:line="240" w:lineRule="auto"/>
            </w:pPr>
            <w:r>
              <w:rPr>
                <w:rFonts w:ascii="Calibri" w:hAnsi="Calibri"/>
                <w:b w:val="0"/>
                <w:color w:val="A6192B"/>
                <w:sz w:val="18"/>
              </w:rPr>
              <w:t>Este aplicativo es un prototipo educativo basado en un guion suministrado. Requiere validación docente antes de su uso formativo. No es una herramienta para atender pacientes, no sustituye protocolos ni cursos de reanimación y no certifica competencias clínicas.</w:t>
            </w:r>
          </w:p>
        </w:tc>
      </w:tr>
    </w:tbl>
    <w:p w14:paraId="4AC76CB2"/>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Georgia">
    <w:panose1 w:val="02040502050405020303"/>
    <w:charset w:val="00"/>
    <w:family w:val="auto"/>
    <w:pitch w:val="default"/>
    <w:sig w:usb0="00000287" w:usb1="00000000" w:usb2="00000000" w:usb3="00000000" w:csb0="2000009F" w:csb1="00000000"/>
  </w:font>
  <w:font w:name="ＭＳ 明朝">
    <w:altName w:val="IosevkaTerm NF Light"/>
    <w:panose1 w:val="00000000000000000000"/>
    <w:charset w:val="00"/>
    <w:family w:val="auto"/>
    <w:pitch w:val="default"/>
    <w:sig w:usb0="00000000" w:usb1="00000000" w:usb2="00000000" w:usb3="00000000" w:csb0="00000000" w:csb1="00000000"/>
  </w:font>
  <w:font w:name="IosevkaTerm NF Light">
    <w:panose1 w:val="02000409030000000004"/>
    <w:charset w:val="00"/>
    <w:family w:val="auto"/>
    <w:pitch w:val="default"/>
    <w:sig w:usb0="E50002FF" w:usb1="5040FDFF" w:usb2="03040020" w:usb3="00002008" w:csb0="2000011F" w:csb1="C4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65977D"/>
    <w:multiLevelType w:val="singleLevel"/>
    <w:tmpl w:val="F065977D"/>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2"/>
  </w:num>
  <w:num w:numId="2">
    <w:abstractNumId w:val="1"/>
  </w:num>
  <w:num w:numId="3">
    <w:abstractNumId w:val="5"/>
  </w:num>
  <w:num w:numId="4">
    <w:abstractNumId w:val="3"/>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46A70A7"/>
    <w:rsid w:val="625A6B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203D38"/>
      <w:sz w:val="21"/>
      <w:szCs w:val="22"/>
      <w:lang w:val="en-US" w:eastAsia="en-US" w:bidi="ar-SA"/>
    </w:rPr>
  </w:style>
  <w:style w:type="paragraph" w:styleId="2">
    <w:name w:val="heading 1"/>
    <w:basedOn w:val="1"/>
    <w:next w:val="1"/>
    <w:link w:val="40"/>
    <w:qFormat/>
    <w:uiPriority w:val="9"/>
    <w:pPr>
      <w:keepNext/>
      <w:keepLines/>
      <w:spacing w:before="320" w:after="140"/>
      <w:outlineLvl w:val="0"/>
    </w:pPr>
    <w:rPr>
      <w:rFonts w:asciiTheme="majorHAnsi" w:hAnsiTheme="majorHAnsi" w:eastAsiaTheme="majorEastAsia" w:cstheme="majorBidi"/>
      <w:b/>
      <w:bCs/>
      <w:color w:val="B34F35"/>
      <w:sz w:val="34"/>
      <w:szCs w:val="28"/>
    </w:rPr>
  </w:style>
  <w:style w:type="paragraph" w:styleId="3">
    <w:name w:val="heading 2"/>
    <w:basedOn w:val="1"/>
    <w:next w:val="1"/>
    <w:link w:val="41"/>
    <w:unhideWhenUsed/>
    <w:qFormat/>
    <w:uiPriority w:val="9"/>
    <w:pPr>
      <w:keepNext/>
      <w:keepLines/>
      <w:spacing w:before="220" w:after="100"/>
      <w:outlineLvl w:val="1"/>
    </w:pPr>
    <w:rPr>
      <w:rFonts w:asciiTheme="majorHAnsi" w:hAnsiTheme="majorHAnsi" w:eastAsiaTheme="majorEastAsia" w:cstheme="majorBidi"/>
      <w:b/>
      <w:bCs/>
      <w:color w:val="203D38"/>
      <w:sz w:val="26"/>
      <w:szCs w:val="26"/>
    </w:rPr>
  </w:style>
  <w:style w:type="paragraph" w:styleId="4">
    <w:name w:val="heading 3"/>
    <w:basedOn w:val="1"/>
    <w:next w:val="1"/>
    <w:link w:val="42"/>
    <w:unhideWhenUsed/>
    <w:qFormat/>
    <w:uiPriority w:val="9"/>
    <w:pPr>
      <w:keepNext/>
      <w:keepLines/>
      <w:spacing w:before="160" w:after="60"/>
      <w:outlineLvl w:val="2"/>
    </w:pPr>
    <w:rPr>
      <w:rFonts w:asciiTheme="majorHAnsi" w:hAnsiTheme="majorHAnsi" w:eastAsiaTheme="majorEastAsia" w:cstheme="majorBidi"/>
      <w:b/>
      <w:bCs/>
      <w:color w:val="203D38"/>
      <w:sz w:val="22"/>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qFormat/>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qFormat/>
    <w:uiPriority w:val="99"/>
    <w:pPr>
      <w:numPr>
        <w:ilvl w:val="0"/>
        <w:numId w:val="2"/>
      </w:numPr>
      <w:contextualSpacing/>
    </w:pPr>
  </w:style>
  <w:style w:type="paragraph" w:styleId="25">
    <w:name w:val="List Number"/>
    <w:basedOn w:val="1"/>
    <w:unhideWhenUsed/>
    <w:qFormat/>
    <w:uiPriority w:val="99"/>
    <w:pPr>
      <w:numPr>
        <w:ilvl w:val="0"/>
        <w:numId w:val="3"/>
      </w:numPr>
      <w:contextualSpacing/>
    </w:pPr>
  </w:style>
  <w:style w:type="paragraph" w:styleId="26">
    <w:name w:val="List 2"/>
    <w:basedOn w:val="1"/>
    <w:unhideWhenUsed/>
    <w:qFormat/>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qFormat/>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qFormat/>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before="0" w:after="120" w:line="240" w:lineRule="auto"/>
      <w:contextualSpacing/>
    </w:pPr>
    <w:rPr>
      <w:rFonts w:asciiTheme="majorHAnsi" w:hAnsiTheme="majorHAnsi" w:eastAsiaTheme="majorEastAsia" w:cstheme="majorBidi"/>
      <w:color w:val="203D38"/>
      <w:spacing w:val="5"/>
      <w:kern w:val="28"/>
      <w:sz w:val="60"/>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qFormat/>
    <w:uiPriority w:val="99"/>
  </w:style>
  <w:style w:type="character" w:customStyle="1" w:styleId="47">
    <w:name w:val="Body Text 2 Char"/>
    <w:basedOn w:val="11"/>
    <w:link w:val="20"/>
    <w:qFormat/>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824</Words>
  <Characters>4538</Characters>
  <Lines>0</Lines>
  <Paragraphs>0</Paragraphs>
  <TotalTime>0</TotalTime>
  <ScaleCrop>false</ScaleCrop>
  <LinksUpToDate>false</LinksUpToDate>
  <CharactersWithSpaces>5297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Hacklab</cp:lastModifiedBy>
  <dcterms:modified xsi:type="dcterms:W3CDTF">2026-10-20T00:32:00Z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eyJoZGlkIjoiNjEzZGFmZjI3NWQ0ZmFjYjViYmM5MTQwN2QxMjdkYmUiLCJ1c2VySWQiOiIyMTk5MDI2NjU1NjYxIn0=</vt:lpwstr>
  </property>
  <property fmtid="{D5CDD505-2E9C-101B-9397-08002B2CF9AE}" pid="3" name="KSOProductBuildVer">
    <vt:lpwstr>3082-12.1.0.29162</vt:lpwstr>
  </property>
  <property fmtid="{D5CDD505-2E9C-101B-9397-08002B2CF9AE}" pid="4" name="ICV">
    <vt:lpwstr>59875E2912024D98B32B142976427C7A_12</vt:lpwstr>
  </property>
</Properties>
</file>