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Georgia" w:hAnsi="Georgia"/>
          <w:color w:val="203D38"/>
          <w:sz w:val="76"/>
        </w:rPr>
        <w:t>Primer aliento</w:t>
      </w:r>
    </w:p>
    <w:p>
      <w:pPr>
        <w:spacing w:after="360"/>
        <w:jc w:val="center"/>
      </w:pPr>
      <w:r>
        <w:rPr>
          <w:color w:val="B34F35"/>
          <w:sz w:val="28"/>
        </w:rPr>
        <w:t>User manual · Neonatal resuscitation learning simulation</w:t>
      </w:r>
    </w:p>
    <w:p>
      <w:pPr>
        <w:spacing w:after="120"/>
        <w:jc w:val="center"/>
      </w:pPr>
      <w:r>
        <w:rPr>
          <w:color w:val="68736A"/>
          <w:sz w:val="20"/>
        </w:rPr>
        <w:t>Application version: 10 scenes · links 19 OCT · R2</w:t>
      </w:r>
    </w:p>
    <w:p>
      <w:pPr>
        <w:jc w:val="center"/>
      </w:pPr>
      <w:r>
        <w:rPr>
          <w:color w:val="68736A"/>
          <w:sz w:val="20"/>
        </w:rPr>
        <w:t>Intended for participants, teachers, health professionals in training, and conference organizers.</w:t>
      </w:r>
    </w:p>
    <w:p>
      <w:r>
        <w:br w:type="page"/>
      </w:r>
    </w:p>
    <w:p>
      <w:pPr>
        <w:pStyle w:val="Heading1"/>
      </w:pPr>
      <w:r>
        <w:t>Contenido</w:t>
      </w:r>
    </w:p>
    <w:p>
      <w:pPr>
        <w:pStyle w:val="ListNumber"/>
        <w:spacing w:after="40"/>
      </w:pPr>
      <w:r>
        <w:t>1. Overview</w:t>
      </w:r>
    </w:p>
    <w:p>
      <w:pPr>
        <w:pStyle w:val="ListNumber"/>
        <w:spacing w:after="40"/>
      </w:pPr>
      <w:r>
        <w:t>2. Requirements</w:t>
      </w:r>
    </w:p>
    <w:p>
      <w:pPr>
        <w:pStyle w:val="ListNumber"/>
        <w:spacing w:after="40"/>
      </w:pPr>
      <w:r>
        <w:t>3. Starting the experience</w:t>
      </w:r>
    </w:p>
    <w:p>
      <w:pPr>
        <w:pStyle w:val="ListNumber"/>
        <w:spacing w:after="40"/>
      </w:pPr>
      <w:r>
        <w:t>4. Playing a video</w:t>
      </w:r>
    </w:p>
    <w:p>
      <w:pPr>
        <w:pStyle w:val="ListNumber"/>
        <w:spacing w:after="40"/>
      </w:pPr>
      <w:r>
        <w:t>5. Confirming that you watched the scene</w:t>
      </w:r>
    </w:p>
    <w:p>
      <w:pPr>
        <w:pStyle w:val="ListNumber"/>
        <w:spacing w:after="40"/>
      </w:pPr>
      <w:r>
        <w:t>6. Answering a decision</w:t>
      </w:r>
    </w:p>
    <w:p>
      <w:pPr>
        <w:pStyle w:val="ListNumber"/>
        <w:spacing w:after="40"/>
      </w:pPr>
      <w:r>
        <w:t>7. Feedback and explanations</w:t>
      </w:r>
    </w:p>
    <w:p>
      <w:pPr>
        <w:pStyle w:val="ListNumber"/>
        <w:spacing w:after="40"/>
      </w:pPr>
      <w:r>
        <w:t>8. Attempts and score</w:t>
      </w:r>
    </w:p>
    <w:p>
      <w:pPr>
        <w:pStyle w:val="ListNumber"/>
        <w:spacing w:after="40"/>
      </w:pPr>
      <w:r>
        <w:t>9. Final reflection: scene 10</w:t>
      </w:r>
    </w:p>
    <w:p>
      <w:pPr>
        <w:pStyle w:val="ListNumber"/>
        <w:spacing w:after="40"/>
      </w:pPr>
      <w:r>
        <w:t>10. Reviewing the summary</w:t>
      </w:r>
    </w:p>
    <w:p>
      <w:pPr>
        <w:pStyle w:val="ListNumber"/>
        <w:spacing w:after="40"/>
      </w:pPr>
      <w:r>
        <w:t>11. Restarting the experience</w:t>
      </w:r>
    </w:p>
    <w:p>
      <w:pPr>
        <w:pStyle w:val="ListNumber"/>
        <w:spacing w:after="40"/>
      </w:pPr>
      <w:r>
        <w:t>12. If a video shows an error</w:t>
      </w:r>
    </w:p>
    <w:p>
      <w:pPr>
        <w:pStyle w:val="ListNumber"/>
        <w:spacing w:after="40"/>
      </w:pPr>
      <w:r>
        <w:t>13. Accessibility and mobile use</w:t>
      </w:r>
    </w:p>
    <w:p>
      <w:pPr>
        <w:pStyle w:val="ListNumber"/>
        <w:spacing w:after="40"/>
      </w:pPr>
      <w:r>
        <w:t>14. Clinical-use notice</w:t>
      </w:r>
    </w:p>
    <w:p>
      <w:r>
        <w:br w:type="page"/>
      </w:r>
    </w:p>
    <w:p>
      <w:pPr>
        <w:pStyle w:val="Heading1"/>
      </w:pPr>
      <w:r>
        <w:t>1. Overview</w:t>
      </w:r>
    </w:p>
    <w:p>
      <w:r>
        <w:t>**Primer aliento** is an interactive web learning experience on neonatal resuscitation. It presents ten scenes based on an educational script: nine scored decisions and one final reflection.</w:t>
      </w:r>
    </w:p>
    <w:tbl>
      <w:tblPr>
        <w:tblStyle w:val="TableGrid"/>
        <w:tblW w:type="auto" w:w="0"/>
        <w:jc w:val="center"/>
        <w:tblLook w:firstColumn="1" w:firstRow="1" w:lastColumn="0" w:lastRow="0" w:noHBand="0" w:noVBand="1" w:val="04A0"/>
      </w:tblPr>
      <w:tblGrid>
        <w:gridCol w:w="4873"/>
        <w:gridCol w:w="4873"/>
      </w:tblGrid>
      <w:tr>
        <w:tc>
          <w:tcPr>
            <w:tcW w:type="dxa" w:w="4873"/>
            <w:shd w:val="clear" w:fill="203D38"/>
          </w:tcPr>
          <w:p>
            <w:pPr>
              <w:spacing w:before="60" w:after="60"/>
            </w:pPr>
            <w:r/>
            <w:r>
              <w:rPr>
                <w:rFonts w:ascii="Calibri" w:hAnsi="Calibri"/>
                <w:b/>
                <w:color w:val="FFFFFF"/>
                <w:sz w:val="20"/>
              </w:rPr>
              <w:t>Scenes</w:t>
            </w:r>
          </w:p>
        </w:tc>
        <w:tc>
          <w:tcPr>
            <w:tcW w:type="dxa" w:w="4873"/>
            <w:shd w:val="clear" w:fill="203D38"/>
          </w:tcPr>
          <w:p>
            <w:pPr>
              <w:spacing w:before="60" w:after="60"/>
            </w:pPr>
            <w:r/>
            <w:r>
              <w:rPr>
                <w:rFonts w:ascii="Calibri" w:hAnsi="Calibri"/>
                <w:b/>
                <w:color w:val="FFFFFF"/>
                <w:sz w:val="20"/>
              </w:rPr>
              <w:t>Content</w:t>
            </w:r>
          </w:p>
        </w:tc>
      </w:tr>
      <w:tr>
        <w:tc>
          <w:tcPr>
            <w:tcW w:type="dxa" w:w="4873"/>
            <w:shd w:val="clear" w:fill="F7F2EA"/>
          </w:tcPr>
          <w:p>
            <w:pPr>
              <w:spacing w:before="60" w:after="60"/>
              <w:jc w:val="center"/>
            </w:pPr>
            <w:r/>
            <w:r>
              <w:rPr>
                <w:rFonts w:ascii="Calibri" w:hAnsi="Calibri"/>
                <w:b/>
                <w:color w:val="B34F35"/>
                <w:sz w:val="20"/>
              </w:rPr>
              <w:t>01–09</w:t>
            </w:r>
          </w:p>
        </w:tc>
        <w:tc>
          <w:tcPr>
            <w:tcW w:type="dxa" w:w="4873"/>
          </w:tcPr>
          <w:p>
            <w:pPr>
              <w:spacing w:before="60" w:after="60"/>
            </w:pPr>
            <w:r/>
            <w:r>
              <w:rPr>
                <w:rFonts w:ascii="Calibri" w:hAnsi="Calibri"/>
                <w:b w:val="0"/>
                <w:sz w:val="20"/>
              </w:rPr>
              <w:t>Scored decisions with video, options, and explanations</w:t>
            </w:r>
          </w:p>
        </w:tc>
      </w:tr>
      <w:tr>
        <w:tc>
          <w:tcPr>
            <w:tcW w:type="dxa" w:w="4873"/>
            <w:shd w:val="clear" w:fill="F7F2EA"/>
          </w:tcPr>
          <w:p>
            <w:pPr>
              <w:spacing w:before="60" w:after="60"/>
              <w:jc w:val="center"/>
            </w:pPr>
            <w:r/>
            <w:r>
              <w:rPr>
                <w:rFonts w:ascii="Calibri" w:hAnsi="Calibri"/>
                <w:b/>
                <w:color w:val="B34F35"/>
                <w:sz w:val="20"/>
              </w:rPr>
              <w:t>10</w:t>
            </w:r>
          </w:p>
        </w:tc>
        <w:tc>
          <w:tcPr>
            <w:tcW w:type="dxa" w:w="4873"/>
          </w:tcPr>
          <w:p>
            <w:pPr>
              <w:spacing w:before="60" w:after="60"/>
            </w:pPr>
            <w:r/>
            <w:r>
              <w:rPr>
                <w:rFonts w:ascii="Calibri" w:hAnsi="Calibri"/>
                <w:b w:val="0"/>
                <w:sz w:val="20"/>
              </w:rPr>
              <w:t>Final reflection: video only, no questions or scoring</w:t>
            </w:r>
          </w:p>
        </w:tc>
      </w:tr>
    </w:tbl>
    <w:p/>
    <w:p>
      <w:pPr>
        <w:pStyle w:val="Heading1"/>
      </w:pPr>
      <w:r>
        <w:t>2. Requirements</w:t>
      </w:r>
    </w:p>
    <w:p>
      <w:r>
        <w:t>You need a device with an updated browser, an internet connection, JavaScript enabled, and permission to view the videos hosted on Google Drive. No installation, account, or video download is required.</w:t>
      </w:r>
    </w:p>
    <w:p>
      <w:pPr>
        <w:pStyle w:val="Heading1"/>
      </w:pPr>
      <w:r>
        <w:t>3. Starting the experience</w:t>
      </w:r>
    </w:p>
    <w:p>
      <w:r>
        <w:t>Scan the conference QR code or open the provided link. On the home screen, choose the care context: **Level 1 · Rural context** or **Levels 2 to 4 · Hospital context**. Both use the same videos, but questions and explanations may differ.</w:t>
      </w:r>
    </w:p>
    <w:p>
      <w:pPr>
        <w:pStyle w:val="Heading2"/>
      </w:pPr>
      <w:r>
        <w:t>Scene sequence</w:t>
      </w:r>
    </w:p>
    <w:tbl>
      <w:tblPr>
        <w:tblStyle w:val="TableGrid"/>
        <w:tblW w:type="auto" w:w="0"/>
        <w:jc w:val="center"/>
        <w:tblLook w:firstColumn="1" w:firstRow="1" w:lastColumn="0" w:lastRow="0" w:noHBand="0" w:noVBand="1" w:val="04A0"/>
      </w:tblPr>
      <w:tblGrid>
        <w:gridCol w:w="4873"/>
        <w:gridCol w:w="4873"/>
      </w:tblGrid>
      <w:tr>
        <w:tc>
          <w:tcPr>
            <w:tcW w:type="dxa" w:w="4873"/>
            <w:shd w:val="clear" w:fill="203D38"/>
          </w:tcPr>
          <w:p>
            <w:pPr>
              <w:spacing w:before="60" w:after="60"/>
            </w:pPr>
            <w:r/>
            <w:r>
              <w:rPr>
                <w:rFonts w:ascii="Calibri" w:hAnsi="Calibri"/>
                <w:b/>
                <w:color w:val="FFFFFF"/>
                <w:sz w:val="20"/>
              </w:rPr>
              <w:t>Paso</w:t>
            </w:r>
          </w:p>
        </w:tc>
        <w:tc>
          <w:tcPr>
            <w:tcW w:type="dxa" w:w="4873"/>
            <w:shd w:val="clear" w:fill="203D38"/>
          </w:tcPr>
          <w:p>
            <w:pPr>
              <w:spacing w:before="60" w:after="60"/>
            </w:pPr>
            <w:r/>
            <w:r>
              <w:rPr>
                <w:rFonts w:ascii="Calibri" w:hAnsi="Calibri"/>
                <w:b/>
                <w:color w:val="FFFFFF"/>
                <w:sz w:val="20"/>
              </w:rPr>
              <w:t>Acción</w:t>
            </w:r>
          </w:p>
        </w:tc>
      </w:tr>
      <w:tr>
        <w:tc>
          <w:tcPr>
            <w:tcW w:type="dxa" w:w="4873"/>
            <w:shd w:val="clear" w:fill="F7F2EA"/>
          </w:tcPr>
          <w:p>
            <w:pPr>
              <w:spacing w:before="60" w:after="60"/>
              <w:jc w:val="center"/>
            </w:pPr>
            <w:r/>
            <w:r>
              <w:rPr>
                <w:rFonts w:ascii="Calibri" w:hAnsi="Calibri"/>
                <w:b/>
                <w:color w:val="B34F35"/>
                <w:sz w:val="20"/>
              </w:rPr>
              <w:t>01</w:t>
            </w:r>
          </w:p>
        </w:tc>
        <w:tc>
          <w:tcPr>
            <w:tcW w:type="dxa" w:w="4873"/>
          </w:tcPr>
          <w:p>
            <w:pPr>
              <w:spacing w:before="60" w:after="60"/>
            </w:pPr>
            <w:r/>
            <w:r>
              <w:rPr>
                <w:rFonts w:ascii="Calibri" w:hAnsi="Calibri"/>
                <w:b w:val="0"/>
                <w:sz w:val="20"/>
              </w:rPr>
              <w:t>Team briefing</w:t>
            </w:r>
          </w:p>
        </w:tc>
      </w:tr>
      <w:tr>
        <w:tc>
          <w:tcPr>
            <w:tcW w:type="dxa" w:w="4873"/>
            <w:shd w:val="clear" w:fill="F7F2EA"/>
          </w:tcPr>
          <w:p>
            <w:pPr>
              <w:spacing w:before="60" w:after="60"/>
              <w:jc w:val="center"/>
            </w:pPr>
            <w:r/>
            <w:r>
              <w:rPr>
                <w:rFonts w:ascii="Calibri" w:hAnsi="Calibri"/>
                <w:b/>
                <w:color w:val="B34F35"/>
                <w:sz w:val="20"/>
              </w:rPr>
              <w:t>02</w:t>
            </w:r>
          </w:p>
        </w:tc>
        <w:tc>
          <w:tcPr>
            <w:tcW w:type="dxa" w:w="4873"/>
          </w:tcPr>
          <w:p>
            <w:pPr>
              <w:spacing w:before="60" w:after="60"/>
            </w:pPr>
            <w:r/>
            <w:r>
              <w:rPr>
                <w:rFonts w:ascii="Calibri" w:hAnsi="Calibri"/>
                <w:b w:val="0"/>
                <w:sz w:val="20"/>
              </w:rPr>
              <w:t>The first three questions</w:t>
            </w:r>
          </w:p>
        </w:tc>
      </w:tr>
      <w:tr>
        <w:tc>
          <w:tcPr>
            <w:tcW w:type="dxa" w:w="4873"/>
            <w:shd w:val="clear" w:fill="F7F2EA"/>
          </w:tcPr>
          <w:p>
            <w:pPr>
              <w:spacing w:before="60" w:after="60"/>
              <w:jc w:val="center"/>
            </w:pPr>
            <w:r/>
            <w:r>
              <w:rPr>
                <w:rFonts w:ascii="Calibri" w:hAnsi="Calibri"/>
                <w:b/>
                <w:color w:val="B34F35"/>
                <w:sz w:val="20"/>
              </w:rPr>
              <w:t>03</w:t>
            </w:r>
          </w:p>
        </w:tc>
        <w:tc>
          <w:tcPr>
            <w:tcW w:type="dxa" w:w="4873"/>
          </w:tcPr>
          <w:p>
            <w:pPr>
              <w:spacing w:before="60" w:after="60"/>
            </w:pPr>
            <w:r/>
            <w:r>
              <w:rPr>
                <w:rFonts w:ascii="Calibri" w:hAnsi="Calibri"/>
                <w:b w:val="0"/>
                <w:sz w:val="20"/>
              </w:rPr>
              <w:t>The golden minute</w:t>
            </w:r>
          </w:p>
        </w:tc>
      </w:tr>
      <w:tr>
        <w:tc>
          <w:tcPr>
            <w:tcW w:type="dxa" w:w="4873"/>
            <w:shd w:val="clear" w:fill="F7F2EA"/>
          </w:tcPr>
          <w:p>
            <w:pPr>
              <w:spacing w:before="60" w:after="60"/>
              <w:jc w:val="center"/>
            </w:pPr>
            <w:r/>
            <w:r>
              <w:rPr>
                <w:rFonts w:ascii="Calibri" w:hAnsi="Calibri"/>
                <w:b/>
                <w:color w:val="B34F35"/>
                <w:sz w:val="20"/>
              </w:rPr>
              <w:t>04</w:t>
            </w:r>
          </w:p>
        </w:tc>
        <w:tc>
          <w:tcPr>
            <w:tcW w:type="dxa" w:w="4873"/>
          </w:tcPr>
          <w:p>
            <w:pPr>
              <w:spacing w:before="60" w:after="60"/>
            </w:pPr>
            <w:r/>
            <w:r>
              <w:rPr>
                <w:rFonts w:ascii="Calibri" w:hAnsi="Calibri"/>
                <w:b w:val="0"/>
                <w:sz w:val="20"/>
              </w:rPr>
              <w:t>Positive-pressure ventilation</w:t>
            </w:r>
          </w:p>
        </w:tc>
      </w:tr>
      <w:tr>
        <w:tc>
          <w:tcPr>
            <w:tcW w:type="dxa" w:w="4873"/>
            <w:shd w:val="clear" w:fill="F7F2EA"/>
          </w:tcPr>
          <w:p>
            <w:pPr>
              <w:spacing w:before="60" w:after="60"/>
              <w:jc w:val="center"/>
            </w:pPr>
            <w:r/>
            <w:r>
              <w:rPr>
                <w:rFonts w:ascii="Calibri" w:hAnsi="Calibri"/>
                <w:b/>
                <w:color w:val="B34F35"/>
                <w:sz w:val="20"/>
              </w:rPr>
              <w:t>05</w:t>
            </w:r>
          </w:p>
        </w:tc>
        <w:tc>
          <w:tcPr>
            <w:tcW w:type="dxa" w:w="4873"/>
          </w:tcPr>
          <w:p>
            <w:pPr>
              <w:spacing w:before="60" w:after="60"/>
            </w:pPr>
            <w:r/>
            <w:r>
              <w:rPr>
                <w:rFonts w:ascii="Calibri" w:hAnsi="Calibri"/>
                <w:b w:val="0"/>
                <w:sz w:val="20"/>
              </w:rPr>
              <w:t>Corrective steps: MR SOPA</w:t>
            </w:r>
          </w:p>
        </w:tc>
      </w:tr>
      <w:tr>
        <w:tc>
          <w:tcPr>
            <w:tcW w:type="dxa" w:w="4873"/>
            <w:shd w:val="clear" w:fill="F7F2EA"/>
          </w:tcPr>
          <w:p>
            <w:pPr>
              <w:spacing w:before="60" w:after="60"/>
              <w:jc w:val="center"/>
            </w:pPr>
            <w:r/>
            <w:r>
              <w:rPr>
                <w:rFonts w:ascii="Calibri" w:hAnsi="Calibri"/>
                <w:b/>
                <w:color w:val="B34F35"/>
                <w:sz w:val="20"/>
              </w:rPr>
              <w:t>06</w:t>
            </w:r>
          </w:p>
        </w:tc>
        <w:tc>
          <w:tcPr>
            <w:tcW w:type="dxa" w:w="4873"/>
          </w:tcPr>
          <w:p>
            <w:pPr>
              <w:spacing w:before="60" w:after="60"/>
            </w:pPr>
            <w:r/>
            <w:r>
              <w:rPr>
                <w:rFonts w:ascii="Calibri" w:hAnsi="Calibri"/>
                <w:b w:val="0"/>
                <w:sz w:val="20"/>
              </w:rPr>
              <w:t>Alternative airway</w:t>
            </w:r>
          </w:p>
        </w:tc>
      </w:tr>
      <w:tr>
        <w:tc>
          <w:tcPr>
            <w:tcW w:type="dxa" w:w="4873"/>
            <w:shd w:val="clear" w:fill="F7F2EA"/>
          </w:tcPr>
          <w:p>
            <w:pPr>
              <w:spacing w:before="60" w:after="60"/>
              <w:jc w:val="center"/>
            </w:pPr>
            <w:r/>
            <w:r>
              <w:rPr>
                <w:rFonts w:ascii="Calibri" w:hAnsi="Calibri"/>
                <w:b/>
                <w:color w:val="B34F35"/>
                <w:sz w:val="20"/>
              </w:rPr>
              <w:t>07</w:t>
            </w:r>
          </w:p>
        </w:tc>
        <w:tc>
          <w:tcPr>
            <w:tcW w:type="dxa" w:w="4873"/>
          </w:tcPr>
          <w:p>
            <w:pPr>
              <w:spacing w:before="60" w:after="60"/>
            </w:pPr>
            <w:r/>
            <w:r>
              <w:rPr>
                <w:rFonts w:ascii="Calibri" w:hAnsi="Calibri"/>
                <w:b w:val="0"/>
                <w:sz w:val="20"/>
              </w:rPr>
              <w:t>Cardiac compressions and ventilation</w:t>
            </w:r>
          </w:p>
        </w:tc>
      </w:tr>
      <w:tr>
        <w:tc>
          <w:tcPr>
            <w:tcW w:type="dxa" w:w="4873"/>
            <w:shd w:val="clear" w:fill="F7F2EA"/>
          </w:tcPr>
          <w:p>
            <w:pPr>
              <w:spacing w:before="60" w:after="60"/>
              <w:jc w:val="center"/>
            </w:pPr>
            <w:r/>
            <w:r>
              <w:rPr>
                <w:rFonts w:ascii="Calibri" w:hAnsi="Calibri"/>
                <w:b/>
                <w:color w:val="B34F35"/>
                <w:sz w:val="20"/>
              </w:rPr>
              <w:t>08</w:t>
            </w:r>
          </w:p>
        </w:tc>
        <w:tc>
          <w:tcPr>
            <w:tcW w:type="dxa" w:w="4873"/>
          </w:tcPr>
          <w:p>
            <w:pPr>
              <w:spacing w:before="60" w:after="60"/>
            </w:pPr>
            <w:r/>
            <w:r>
              <w:rPr>
                <w:rFonts w:ascii="Calibri" w:hAnsi="Calibri"/>
                <w:b w:val="0"/>
                <w:sz w:val="20"/>
              </w:rPr>
              <w:t>Umbilical access and medications</w:t>
            </w:r>
          </w:p>
        </w:tc>
      </w:tr>
      <w:tr>
        <w:tc>
          <w:tcPr>
            <w:tcW w:type="dxa" w:w="4873"/>
            <w:shd w:val="clear" w:fill="F7F2EA"/>
          </w:tcPr>
          <w:p>
            <w:pPr>
              <w:spacing w:before="60" w:after="60"/>
              <w:jc w:val="center"/>
            </w:pPr>
            <w:r/>
            <w:r>
              <w:rPr>
                <w:rFonts w:ascii="Calibri" w:hAnsi="Calibri"/>
                <w:b/>
                <w:color w:val="B34F35"/>
                <w:sz w:val="20"/>
              </w:rPr>
              <w:t>09</w:t>
            </w:r>
          </w:p>
        </w:tc>
        <w:tc>
          <w:tcPr>
            <w:tcW w:type="dxa" w:w="4873"/>
          </w:tcPr>
          <w:p>
            <w:pPr>
              <w:spacing w:before="60" w:after="60"/>
            </w:pPr>
            <w:r/>
            <w:r>
              <w:rPr>
                <w:rFonts w:ascii="Calibri" w:hAnsi="Calibri"/>
                <w:b w:val="0"/>
                <w:sz w:val="20"/>
              </w:rPr>
              <w:t>Post-resuscitation care</w:t>
            </w:r>
          </w:p>
        </w:tc>
      </w:tr>
      <w:tr>
        <w:tc>
          <w:tcPr>
            <w:tcW w:type="dxa" w:w="4873"/>
            <w:shd w:val="clear" w:fill="F7F2EA"/>
          </w:tcPr>
          <w:p>
            <w:pPr>
              <w:spacing w:before="60" w:after="60"/>
              <w:jc w:val="center"/>
            </w:pPr>
            <w:r/>
            <w:r>
              <w:rPr>
                <w:rFonts w:ascii="Calibri" w:hAnsi="Calibri"/>
                <w:b/>
                <w:color w:val="B34F35"/>
                <w:sz w:val="20"/>
              </w:rPr>
              <w:t>10</w:t>
            </w:r>
          </w:p>
        </w:tc>
        <w:tc>
          <w:tcPr>
            <w:tcW w:type="dxa" w:w="4873"/>
          </w:tcPr>
          <w:p>
            <w:pPr>
              <w:spacing w:before="60" w:after="60"/>
            </w:pPr>
            <w:r/>
            <w:r>
              <w:rPr>
                <w:rFonts w:ascii="Calibri" w:hAnsi="Calibri"/>
                <w:b w:val="0"/>
                <w:sz w:val="20"/>
              </w:rPr>
              <w:t>Final reflection</w:t>
            </w:r>
          </w:p>
        </w:tc>
      </w:tr>
    </w:tbl>
    <w:p/>
    <w:p>
      <w:pPr>
        <w:pStyle w:val="Heading1"/>
      </w:pPr>
      <w:r>
        <w:t>4. Playing a video</w:t>
      </w:r>
    </w:p>
    <w:p>
      <w:r>
        <w:t>In scenes 1 to 9, the video appears in an embedded Google Drive viewer. Press the play button inside the viewer. You can pause, adjust volume, and use full screen with Drive’s controls. If the viewer does not work, use **Abrir en Drive** or **Recargar visor**.</w:t>
      </w:r>
    </w:p>
    <w:p>
      <w:pPr>
        <w:pStyle w:val="Heading1"/>
      </w:pPr>
      <w:r>
        <w:t>5. Confirming that you watched the scene</w:t>
      </w:r>
    </w:p>
    <w:p>
      <w:r>
        <w:t>Answers remain locked until you confirm the visualization. Watch the complete scene and select **Ya terminé de ver la escena**. Then select **Sí, la vi completa**. On mobile devices, a fixed bottom bar also displays the same button.</w:t>
      </w:r>
    </w:p>
    <w:tbl>
      <w:tblPr>
        <w:tblStyle w:val="TableGrid"/>
        <w:tblW w:type="auto" w:w="0"/>
        <w:jc w:val="center"/>
        <w:tblLook w:firstColumn="1" w:firstRow="1" w:lastColumn="0" w:lastRow="0" w:noHBand="0" w:noVBand="1" w:val="04A0"/>
      </w:tblPr>
      <w:tblGrid>
        <w:gridCol w:w="9746"/>
      </w:tblGrid>
      <w:tr>
        <w:tc>
          <w:tcPr>
            <w:tcW w:type="dxa" w:w="9746"/>
            <w:shd w:val="clear" w:fill="FFF3E0"/>
          </w:tcPr>
          <w:p>
            <w:pPr>
              <w:spacing w:before="60" w:after="60"/>
            </w:pPr>
            <w:r/>
            <w:r>
              <w:rPr>
                <w:rFonts w:ascii="Calibri" w:hAnsi="Calibri"/>
                <w:b w:val="0"/>
                <w:color w:val="8A3B22"/>
                <w:sz w:val="18"/>
              </w:rPr>
              <w:t>The confirmation “Ya terminé de ver la escena” is personal. The Google Drive viewer does not tell the application when the video actually ends; therefore, it does not verify that you watched the complete scene or prevent you from skipping ahead using Drive’s controls.</w:t>
            </w:r>
          </w:p>
        </w:tc>
      </w:tr>
    </w:tbl>
    <w:p/>
    <w:p>
      <w:pPr>
        <w:pStyle w:val="Heading1"/>
      </w:pPr>
      <w:r>
        <w:t>6. Answering a decision</w:t>
      </w:r>
    </w:p>
    <w:p>
      <w:r>
        <w:t>Read the scenario and select an option. If it is incorrect, it is highlighted in intense red and an explanation appears; you can try again. If it is correct, it is highlighted in intense green and the explanation, learning notes, and key message are displayed.</w:t>
      </w:r>
    </w:p>
    <w:p>
      <w:pPr>
        <w:pStyle w:val="Heading1"/>
      </w:pPr>
      <w:r>
        <w:t>7. Feedback and explanations</w:t>
      </w:r>
    </w:p>
    <w:p>
      <w:r>
        <w:t>Incorrect answers show a red stripe and explain why they do not match the script. Correct answers show a green stripe. The key message appears in a highlighted ochre block and is shown only when the script includes it.</w:t>
      </w:r>
    </w:p>
    <w:p>
      <w:pPr>
        <w:pStyle w:val="Heading1"/>
      </w:pPr>
      <w:r>
        <w:t>8. Attempts and score</w:t>
      </w:r>
    </w:p>
    <w:p>
      <w:r>
        <w:t>You may retry incorrect answers. The final score counts only first-attempt correct answers. The maximum score is 9, because scene 10 is not scored. Responses and results are not stored on a server.</w:t>
      </w:r>
    </w:p>
    <w:p>
      <w:pPr>
        <w:pStyle w:val="Heading1"/>
      </w:pPr>
      <w:r>
        <w:t>9. Final reflection: scene 10</w:t>
      </w:r>
    </w:p>
    <w:p>
      <w:r>
        <w:t>After answering scene 9 correctly, select **Ir a la reflexión final**. Scene 10 plays the reflection video, with no questions, options, visualization confirmation, or scoring. Select **Ver resumen del recorrido** to review your result.</w:t>
      </w:r>
    </w:p>
    <w:p>
      <w:pPr>
        <w:pStyle w:val="Heading1"/>
      </w:pPr>
      <w:r>
        <w:t>10. Reviewing the summary</w:t>
      </w:r>
    </w:p>
    <w:p>
      <w:r>
        <w:t>The summary shows your first-attempt score, scenes to review, and a learning notebook with explanations for the nine scenes. From there, you can return to the reflection or start another run.</w:t>
      </w:r>
    </w:p>
    <w:p>
      <w:pPr>
        <w:pStyle w:val="Heading1"/>
      </w:pPr>
      <w:r>
        <w:t>11. Restarting the experience</w:t>
      </w:r>
    </w:p>
    <w:p>
      <w:r>
        <w:t>Select **Volver al inicio** to restart. The system will ask for confirmation because current progress will be erased. You may also use **Comenzar otro recorrido** from the final summary.</w:t>
      </w:r>
    </w:p>
    <w:p>
      <w:pPr>
        <w:pStyle w:val="Heading1"/>
      </w:pPr>
      <w:r>
        <w:t>12. If a video shows an error</w:t>
      </w:r>
    </w:p>
    <w:p>
      <w:r>
        <w:t>If a video does not play, check your connection, use **Recargar visor** or **Recargar video final**, and try **Abrir en Drive**. If Drive requests permission, contact the resource owner. The application cannot automatically read error messages inside the Drive viewer.</w:t>
      </w:r>
    </w:p>
    <w:p>
      <w:pPr>
        <w:pStyle w:val="Heading1"/>
      </w:pPr>
      <w:r>
        <w:t>13. Accessibility and mobile use</w:t>
      </w:r>
    </w:p>
    <w:p>
      <w:r>
        <w:t>The interface is optimized for phones and small screens. Buttons have large touch targets, the mobile bar respects the safe-area inset, and the experience respects the reduce-motion preference.</w:t>
      </w:r>
    </w:p>
    <w:p>
      <w:pPr>
        <w:pStyle w:val="Heading1"/>
      </w:pPr>
      <w:r>
        <w:t>14. Clinical-use notice</w:t>
      </w:r>
    </w:p>
    <w:p>
      <w:r>
        <w:t>This application is an educational prototype based on a supplied script. It requires teaching validation before educational use. It is not a patient-care tool, does not replace protocols or resuscitation courses, and does not certify clinical competence.</w:t>
      </w:r>
    </w:p>
    <w:tbl>
      <w:tblPr>
        <w:tblStyle w:val="TableGrid"/>
        <w:tblW w:type="auto" w:w="0"/>
        <w:jc w:val="center"/>
        <w:tblLook w:firstColumn="1" w:firstRow="1" w:lastColumn="0" w:lastRow="0" w:noHBand="0" w:noVBand="1" w:val="04A0"/>
      </w:tblPr>
      <w:tblGrid>
        <w:gridCol w:w="9746"/>
      </w:tblGrid>
      <w:tr>
        <w:tc>
          <w:tcPr>
            <w:tcW w:type="dxa" w:w="9746"/>
            <w:shd w:val="clear" w:fill="FDECEA"/>
          </w:tcPr>
          <w:p>
            <w:pPr>
              <w:spacing w:before="60" w:after="60"/>
            </w:pPr>
            <w:r/>
            <w:r>
              <w:rPr>
                <w:rFonts w:ascii="Calibri" w:hAnsi="Calibri"/>
                <w:b w:val="0"/>
                <w:color w:val="A6192B"/>
                <w:sz w:val="18"/>
              </w:rPr>
              <w:t>This application is an educational prototype based on a supplied script. It requires teaching validation before educational use. It is not a patient-care tool, does not replace protocols or resuscitation courses, and does not certify clinical competence.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3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eorgia" w:hAnsi="Georgia"/>
      <w:b/>
      <w:bCs/>
      <w:color w:val="B34F3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203D3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203D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color w:val="203D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