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jc w:val="both"/>
              <w:rPr/>
            </w:pPr>
            <w:r w:rsidDel="00000000" w:rsidR="00000000" w:rsidRPr="00000000">
              <w:rPr>
                <w:rFonts w:ascii="Calibri" w:cs="Calibri" w:eastAsia="Calibri" w:hAnsi="Calibri"/>
                <w:rtl w:val="0"/>
              </w:rPr>
              <w:t xml:space="preserve">Ariel Rodríguez, Juan Pablo Vega, Benjamín Fernández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21410053-3, 20612831-3, 21.428067-1</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Andres de Concepcion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jc w:val="both"/>
              <w:rPr/>
            </w:pPr>
            <w:r w:rsidDel="00000000" w:rsidR="00000000" w:rsidRPr="00000000">
              <w:rPr>
                <w:rFonts w:ascii="Calibri" w:cs="Calibri" w:eastAsia="Calibri" w:hAnsi="Calibri"/>
                <w:rtl w:val="0"/>
              </w:rPr>
              <w:t xml:space="preserve">WellQ Medical Exams – Módulo de Exámenes Médicos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Programación de Software, Arquitectura de Software, Calidad de Software y Análisis y Desarrollo de Modelos de Datos.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i w:val="1"/>
                <w:iCs w:val="1"/>
                <w:color w:val="548dd4"/>
                <w:sz w:val="20"/>
                <w:szCs w:val="20"/>
              </w:rPr>
            </w:pPr>
            <w:r w:rsidDel="00000000" w:rsidR="00000000" w:rsidRPr="00000000">
              <w:rPr>
                <w:i w:val="1"/>
                <w:iCs w:val="1"/>
                <w:color w:val="548dd4"/>
                <w:sz w:val="20"/>
                <w:szCs w:val="20"/>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1F">
            <w:pPr>
              <w:rPr>
                <w:i w:val="1"/>
                <w:iCs w:val="1"/>
                <w:color w:val="548dd4"/>
                <w:sz w:val="20"/>
                <w:szCs w:val="20"/>
              </w:rPr>
            </w:pPr>
            <w:r w:rsidDel="00000000" w:rsidR="00000000" w:rsidRPr="00000000">
              <w:rPr>
                <w:i w:val="1"/>
                <w:iCs w:val="1"/>
                <w:color w:val="548dd4"/>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0">
            <w:pPr>
              <w:rPr>
                <w:i w:val="1"/>
                <w:iCs w:val="1"/>
                <w:color w:val="548dd4"/>
                <w:sz w:val="20"/>
                <w:szCs w:val="20"/>
              </w:rPr>
            </w:pPr>
            <w:r w:rsidDel="00000000" w:rsidR="00000000" w:rsidRPr="00000000">
              <w:rPr>
                <w:i w:val="1"/>
                <w:iCs w:val="1"/>
                <w:color w:val="548dd4"/>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1">
            <w:pPr>
              <w:rPr>
                <w:i w:val="1"/>
                <w:iCs w:val="1"/>
                <w:color w:val="548dd4"/>
                <w:sz w:val="20"/>
                <w:szCs w:val="20"/>
              </w:rPr>
            </w:pPr>
            <w:r w:rsidDel="00000000" w:rsidR="00000000" w:rsidRPr="00000000">
              <w:rPr>
                <w:i w:val="1"/>
                <w:iCs w:val="1"/>
                <w:color w:val="548dd4"/>
                <w:sz w:val="20"/>
                <w:szCs w:val="20"/>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2">
            <w:pPr>
              <w:rPr>
                <w:i w:val="1"/>
                <w:iCs w:val="1"/>
                <w:color w:val="548dd4"/>
                <w:sz w:val="20"/>
                <w:szCs w:val="20"/>
              </w:rPr>
            </w:pPr>
            <w:r w:rsidDel="00000000" w:rsidR="00000000" w:rsidRPr="00000000">
              <w:rPr>
                <w:i w:val="1"/>
                <w:iCs w:val="1"/>
                <w:color w:val="548dd4"/>
                <w:sz w:val="20"/>
                <w:szCs w:val="20"/>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3">
            <w:pPr>
              <w:rPr>
                <w:i w:val="1"/>
                <w:iCs w:val="1"/>
                <w:color w:val="548dd4"/>
                <w:sz w:val="20"/>
                <w:szCs w:val="20"/>
              </w:rPr>
            </w:pPr>
            <w:r w:rsidDel="00000000" w:rsidR="00000000" w:rsidRPr="00000000">
              <w:rPr>
                <w:i w:val="1"/>
                <w:iCs w:val="1"/>
                <w:color w:val="548dd4"/>
                <w:sz w:val="20"/>
                <w:szCs w:val="20"/>
                <w:rtl w:val="0"/>
              </w:rPr>
              <w:t xml:space="preserve">Construir el modelo arquitectónico de una solución sistémica que soporte los procesos de negocio de acuerdo a los requerimientos de la organización y estándares de la industria.</w:t>
            </w:r>
          </w:p>
          <w:p w:rsidR="00000000" w:rsidDel="00000000" w:rsidP="00000000" w:rsidRDefault="00000000" w:rsidRPr="00000000" w14:paraId="00000024">
            <w:pPr>
              <w:rPr>
                <w:i w:val="1"/>
                <w:iCs w:val="1"/>
                <w:color w:val="548dd4"/>
                <w:sz w:val="20"/>
                <w:szCs w:val="20"/>
              </w:rPr>
            </w:pPr>
            <w:r w:rsidDel="00000000" w:rsidR="00000000" w:rsidRPr="00000000">
              <w:rPr>
                <w:i w:val="1"/>
                <w:iCs w:val="1"/>
                <w:color w:val="548dd4"/>
                <w:sz w:val="20"/>
                <w:szCs w:val="20"/>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25">
            <w:pPr>
              <w:rPr>
                <w:i w:val="1"/>
                <w:iCs w:val="1"/>
                <w:color w:val="548dd4"/>
                <w:sz w:val="20"/>
                <w:szCs w:val="20"/>
              </w:rPr>
            </w:pPr>
            <w:r w:rsidDel="00000000" w:rsidR="00000000" w:rsidRPr="00000000">
              <w:rPr>
                <w:rtl w:val="0"/>
              </w:rPr>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C">
            <w:pPr>
              <w:jc w:val="both"/>
              <w:rPr/>
            </w:pPr>
            <w:r w:rsidDel="00000000" w:rsidR="00000000" w:rsidRPr="00000000">
              <w:rPr>
                <w:rFonts w:ascii="Calibri" w:cs="Calibri" w:eastAsia="Calibri" w:hAnsi="Calibri"/>
                <w:rtl w:val="0"/>
              </w:rPr>
              <w:t xml:space="preserve">Actualmente, los exámenes médicos de los pacientes circulan fuera de la plataforma WellQ: por correo electrónico, en papel o en sistemas externos no integrados. Esta gestión manual y dispersa no solo presenta desafíos técnicos y de seguridad, sino que consume tiempo valioso del fisioterapeuta en tareas repetitivas y administrativas, alejándose de su propósito principal: la atención al paciente.</w:t>
            </w:r>
            <w:r w:rsidDel="00000000" w:rsidR="00000000" w:rsidRPr="00000000">
              <w:rPr>
                <w:rtl w:val="0"/>
              </w:rPr>
            </w:r>
          </w:p>
          <w:p w:rsidR="00000000" w:rsidDel="00000000" w:rsidP="00000000" w:rsidRDefault="00000000" w:rsidRPr="00000000" w14:paraId="0000002D">
            <w:pPr>
              <w:jc w:val="both"/>
              <w:rPr/>
            </w:pPr>
            <w:r w:rsidDel="00000000" w:rsidR="00000000" w:rsidRPr="00000000">
              <w:rPr>
                <w:rFonts w:ascii="Calibri" w:cs="Calibri" w:eastAsia="Calibri" w:hAnsi="Calibri"/>
                <w:rtl w:val="0"/>
              </w:rPr>
              <w:t xml:space="preserve">En concreto, esta situación genera los siguientes problemas:</w:t>
            </w:r>
            <w:r w:rsidDel="00000000" w:rsidR="00000000" w:rsidRPr="00000000">
              <w:rPr>
                <w:rtl w:val="0"/>
              </w:rPr>
            </w:r>
          </w:p>
          <w:p w:rsidR="00000000" w:rsidDel="00000000" w:rsidP="00000000" w:rsidRDefault="00000000" w:rsidRPr="00000000" w14:paraId="0000002E">
            <w:pPr>
              <w:jc w:val="both"/>
              <w:rPr/>
            </w:pPr>
            <w:r w:rsidDel="00000000" w:rsidR="00000000" w:rsidRPr="00000000">
              <w:rPr>
                <w:rFonts w:ascii="Calibri" w:cs="Calibri" w:eastAsia="Calibri" w:hAnsi="Calibri"/>
                <w:rtl w:val="0"/>
              </w:rPr>
              <w:t xml:space="preserve">- La historia clínica del paciente queda fragmentada entre distintos canales.</w:t>
            </w:r>
            <w:r w:rsidDel="00000000" w:rsidR="00000000" w:rsidRPr="00000000">
              <w:rPr>
                <w:rtl w:val="0"/>
              </w:rPr>
            </w:r>
          </w:p>
          <w:p w:rsidR="00000000" w:rsidDel="00000000" w:rsidP="00000000" w:rsidRDefault="00000000" w:rsidRPr="00000000" w14:paraId="0000002F">
            <w:pPr>
              <w:jc w:val="both"/>
              <w:rPr/>
            </w:pPr>
            <w:r w:rsidDel="00000000" w:rsidR="00000000" w:rsidRPr="00000000">
              <w:rPr>
                <w:rFonts w:ascii="Calibri" w:cs="Calibri" w:eastAsia="Calibri" w:hAnsi="Calibri"/>
                <w:rtl w:val="0"/>
              </w:rPr>
              <w:t xml:space="preserve">- El fisioterapeuta no tiene una vista unificada de las sesiones, notas clínicas y exámenes del paciente.</w:t>
            </w:r>
            <w:r w:rsidDel="00000000" w:rsidR="00000000" w:rsidRPr="00000000">
              <w:rPr>
                <w:rtl w:val="0"/>
              </w:rPr>
            </w:r>
          </w:p>
          <w:p w:rsidR="00000000" w:rsidDel="00000000" w:rsidP="00000000" w:rsidRDefault="00000000" w:rsidRPr="00000000" w14:paraId="00000030">
            <w:pPr>
              <w:jc w:val="both"/>
              <w:rPr/>
            </w:pPr>
            <w:r w:rsidDel="00000000" w:rsidR="00000000" w:rsidRPr="00000000">
              <w:rPr>
                <w:rFonts w:ascii="Calibri" w:cs="Calibri" w:eastAsia="Calibri" w:hAnsi="Calibri"/>
                <w:rtl w:val="0"/>
              </w:rPr>
              <w:t xml:space="preserve">- No existe trazabilidad ni auditoría de quién accede a documentos clínicos sensibles.</w:t>
            </w:r>
            <w:r w:rsidDel="00000000" w:rsidR="00000000" w:rsidRPr="00000000">
              <w:rPr>
                <w:rtl w:val="0"/>
              </w:rPr>
            </w:r>
          </w:p>
          <w:p w:rsidR="00000000" w:rsidDel="00000000" w:rsidP="00000000" w:rsidRDefault="00000000" w:rsidRPr="00000000" w14:paraId="00000031">
            <w:pPr>
              <w:jc w:val="both"/>
              <w:rPr/>
            </w:pPr>
            <w:r w:rsidDel="00000000" w:rsidR="00000000" w:rsidRPr="00000000">
              <w:rPr>
                <w:rFonts w:ascii="Calibri" w:cs="Calibri" w:eastAsia="Calibri" w:hAnsi="Calibri"/>
                <w:rtl w:val="0"/>
              </w:rPr>
              <w:t xml:space="preserve">- Al no existir aislamiento formal entre clínicas (tenants), se incrementa el riesgo de exposición de datos entre organizaciones distintas.</w:t>
            </w:r>
            <w:r w:rsidDel="00000000" w:rsidR="00000000" w:rsidRPr="00000000">
              <w:rPr>
                <w:rtl w:val="0"/>
              </w:rPr>
            </w:r>
          </w:p>
          <w:p w:rsidR="00000000" w:rsidDel="00000000" w:rsidP="00000000" w:rsidRDefault="00000000" w:rsidRPr="00000000" w14:paraId="00000032">
            <w:pPr>
              <w:jc w:val="both"/>
              <w:rPr/>
            </w:pPr>
            <w:r w:rsidDel="00000000" w:rsidR="00000000" w:rsidRPr="00000000">
              <w:rPr>
                <w:rFonts w:ascii="Calibri" w:cs="Calibri" w:eastAsia="Calibri" w:hAnsi="Calibri"/>
                <w:rtl w:val="0"/>
              </w:rPr>
              <w:t xml:space="preserve">- El manejo manual de documentos dificulta el cumplimiento de normativas de protección de datos (UK GDPR).</w:t>
            </w:r>
            <w:r w:rsidDel="00000000" w:rsidR="00000000" w:rsidRPr="00000000">
              <w:rPr>
                <w:rtl w:val="0"/>
              </w:rPr>
            </w:r>
          </w:p>
          <w:p w:rsidR="00000000" w:rsidDel="00000000" w:rsidP="00000000" w:rsidRDefault="00000000" w:rsidRPr="00000000" w14:paraId="00000033">
            <w:pPr>
              <w:jc w:val="both"/>
              <w:rPr/>
            </w:pPr>
            <w:r w:rsidDel="00000000" w:rsidR="00000000" w:rsidRPr="00000000">
              <w:rPr>
                <w:rFonts w:ascii="Calibri" w:cs="Calibri" w:eastAsia="Calibri" w:hAnsi="Calibri"/>
                <w:rtl w:val="0"/>
              </w:rPr>
              <w:t xml:space="preserve">En línea con la visión estratégica de Alloxentric, esta carga mecánica deshumaniza el trabajo y desperdicia el talento de los profesionales. La falta de un flujo integrado y automatizado impide que el fisioterapeuta se libere del peso de la repetitividad para enfocar su energía en el razonamiento clínico, la empatía y la atención directa.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5">
            <w:pPr>
              <w:jc w:val="both"/>
              <w:rPr/>
            </w:pPr>
            <w:r w:rsidDel="00000000" w:rsidR="00000000" w:rsidRPr="00000000">
              <w:rPr>
                <w:rFonts w:ascii="Calibri" w:cs="Calibri" w:eastAsia="Calibri" w:hAnsi="Calibri"/>
                <w:rtl w:val="0"/>
              </w:rPr>
              <w:t xml:space="preserve">WellQ es una plataforma de salud digital orientada a clínicas de fisioterapia, cuyo núcleo es una aplicación móvil de pacientes que permite dar seguimiento al progreso durante los planes de rehabilitación, integrando datos de wearables y documentación clínica generada en consulta.</w:t>
            </w:r>
            <w:r w:rsidDel="00000000" w:rsidR="00000000" w:rsidRPr="00000000">
              <w:rPr>
                <w:rtl w:val="0"/>
              </w:rPr>
            </w:r>
          </w:p>
          <w:p w:rsidR="00000000" w:rsidDel="00000000" w:rsidP="00000000" w:rsidRDefault="00000000" w:rsidRPr="00000000" w14:paraId="00000036">
            <w:pPr>
              <w:jc w:val="both"/>
              <w:rPr/>
            </w:pPr>
            <w:r w:rsidDel="00000000" w:rsidR="00000000" w:rsidRPr="00000000">
              <w:rPr>
                <w:rFonts w:ascii="Calibri" w:cs="Calibri" w:eastAsia="Calibri" w:hAnsi="Calibri"/>
                <w:rtl w:val="0"/>
              </w:rPr>
              <w:t xml:space="preserve">Este proyecto desarrolla el módulo de Exámenes Médicos: un componente multi paciente y multitenant que permite a cada clínica gestionar de forma segura y aislada los documentos clínicos de sus pacientes (analíticas, informes de imagen, resultados de laboratorio, informes de derivación), integrándolos con las sesiones y notas clínicas del fisioterapeuta.</w:t>
            </w:r>
            <w:r w:rsidDel="00000000" w:rsidR="00000000" w:rsidRPr="00000000">
              <w:rPr>
                <w:rtl w:val="0"/>
              </w:rPr>
            </w:r>
          </w:p>
          <w:p w:rsidR="00000000" w:rsidDel="00000000" w:rsidP="00000000" w:rsidRDefault="00000000" w:rsidRPr="00000000" w14:paraId="00000037">
            <w:pPr>
              <w:jc w:val="both"/>
              <w:rPr/>
            </w:pPr>
            <w:r w:rsidDel="00000000" w:rsidR="00000000" w:rsidRPr="00000000">
              <w:rPr>
                <w:rFonts w:ascii="Calibri" w:cs="Calibri" w:eastAsia="Calibri" w:hAnsi="Calibri"/>
                <w:rtl w:val="0"/>
              </w:rPr>
              <w:t xml:space="preserve">Se propone desarrollar un módulo de Exámenes Médicos integrado a WellQ, compuesto por un backend en Node.js/TypeScript, un panel clínico web y su integración con la aplicación móvil existente (Flutter/Dart). El módulo permitirá subir, listar, descargar y eliminar (borrado lógico) exámenes médicos, manteniendo versiones y un registro de auditoría por cada acceso, todo bajo un modelo estricto de aislamiento multitenant, control de acceso basado en roles (RBAC), control de acceso por plan comercial (feature gating), auditoría de logs, internacionalización y temas visuales, siguiendo los Estándares Transversales de Alloxentric.</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9">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APT se relaciona directamente con el perfil de egreso de Ingeniería en Informática, ya que exige levantar requerimientos, diseñar una arquitectura de software, construir un modelo de datos, programar una API REST y asegurar la calidad y seguridad de la solución mediante pruebas automatizadas. Las competencias seleccionadas son necesarias porque el módulo de Exámenes Médicos de WellQ no solo requiere programar funcionalidades (subir, listar, descargar y eliminar exámenes), sino también diseñar un modelo arquitectónico multitenant, un modelo de datos escalable en PostgreSQL, y resolver vulnerabilidades de seguridad (aislamiento entre clínicas, RBAC, auditoría inmutable) exigidas por normativas como UK GDPR. Sin estas competencias no sería posible entregar una solución robusta, segura y alineada con los estándares de la industria.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3C">
            <w:pPr>
              <w:jc w:val="both"/>
              <w:rPr>
                <w:i w:val="1"/>
                <w:iCs w:val="1"/>
                <w:color w:val="548dd4"/>
                <w:sz w:val="20"/>
                <w:szCs w:val="20"/>
              </w:rPr>
            </w:pPr>
            <w:r w:rsidDel="00000000" w:rsidR="00000000" w:rsidRPr="00000000">
              <w:rPr>
                <w:i w:val="1"/>
                <w:iCs w:val="1"/>
                <w:color w:val="548dd4"/>
                <w:sz w:val="20"/>
                <w:szCs w:val="20"/>
                <w:rtl w:val="0"/>
              </w:rPr>
              <w:t xml:space="preserve">Ariel Rodriguez: Mis intereses profesionales están orientados hacia la ciberseguridad, área de la informática que me apasiona y en la que busco especializarme. El desarrollo del módulo de Exámenes Médicos de WellQ me permite profundizar en aspectos clave de esta disciplina, como el aislamiento multitenant, el control de acceso basado en roles (RBAC), la protección de datos clínicos sensibles y el diseño de un sistema de auditoría inmutable que cumpla con normativas de protección de datos como UK GDPR.</w:t>
            </w:r>
          </w:p>
          <w:p w:rsidR="00000000" w:rsidDel="00000000" w:rsidP="00000000" w:rsidRDefault="00000000" w:rsidRPr="00000000" w14:paraId="0000003D">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Realizar este Proyecto APT contribuirá directamente a mi desarrollo profesional, ya que me da la oportunidad de aplicar principios de seguridad de la información en un contexto real, resolviendo vulnerabilidades sistémicas y asegurando que la solución construida cumpla con los estándares de seguridad exigidos por la industria.</w:t>
            </w:r>
          </w:p>
          <w:p w:rsidR="00000000" w:rsidDel="00000000" w:rsidP="00000000" w:rsidRDefault="00000000" w:rsidRPr="00000000" w14:paraId="0000003E">
            <w:pPr>
              <w:jc w:val="both"/>
              <w:rPr>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0">
            <w:pPr>
              <w:rPr>
                <w:i w:val="1"/>
                <w:iCs w:val="1"/>
                <w:color w:val="548dd4"/>
                <w:sz w:val="20"/>
                <w:szCs w:val="20"/>
              </w:rPr>
            </w:pPr>
            <w:r w:rsidDel="00000000" w:rsidR="00000000" w:rsidRPr="00000000">
              <w:rPr>
                <w:b w:val="1"/>
                <w:bCs w:val="1"/>
                <w:i w:val="1"/>
                <w:iCs w:val="1"/>
                <w:color w:val="548dd4"/>
                <w:sz w:val="20"/>
                <w:szCs w:val="20"/>
                <w:rtl w:val="0"/>
              </w:rPr>
              <w:t xml:space="preserve">Duración del semestre y horas asignadas a la asignatura</w:t>
            </w:r>
            <w:r w:rsidDel="00000000" w:rsidR="00000000" w:rsidRPr="00000000">
              <w:rPr>
                <w:i w:val="1"/>
                <w:iCs w:val="1"/>
                <w:color w:val="548dd4"/>
                <w:sz w:val="20"/>
                <w:szCs w:val="20"/>
                <w:rtl w:val="0"/>
              </w:rPr>
              <w:t xml:space="preserve">:El semestre tiene una duración aproximada de 5 meses. La asignatura Capstone se cursa una vez por semana, los días jueves de 14:30 a 18:10 hrs (aproximadamente 3,5 horas semanales). </w:t>
            </w:r>
          </w:p>
          <w:p w:rsidR="00000000" w:rsidDel="00000000" w:rsidP="00000000" w:rsidRDefault="00000000" w:rsidRPr="00000000" w14:paraId="00000041">
            <w:pPr>
              <w:rPr>
                <w:i w:val="1"/>
                <w:iCs w:val="1"/>
                <w:color w:val="548dd4"/>
                <w:sz w:val="20"/>
                <w:szCs w:val="20"/>
              </w:rPr>
            </w:pPr>
            <w:r w:rsidDel="00000000" w:rsidR="00000000" w:rsidRPr="00000000">
              <w:rPr>
                <w:b w:val="1"/>
                <w:bCs w:val="1"/>
                <w:i w:val="1"/>
                <w:iCs w:val="1"/>
                <w:color w:val="548dd4"/>
                <w:sz w:val="20"/>
                <w:szCs w:val="20"/>
                <w:rtl w:val="0"/>
              </w:rPr>
              <w:t xml:space="preserve">Materiales requeridos</w:t>
            </w:r>
            <w:r w:rsidDel="00000000" w:rsidR="00000000" w:rsidRPr="00000000">
              <w:rPr>
                <w:i w:val="1"/>
                <w:iCs w:val="1"/>
                <w:color w:val="548dd4"/>
                <w:sz w:val="20"/>
                <w:szCs w:val="20"/>
                <w:rtl w:val="0"/>
              </w:rPr>
              <w:t xml:space="preserve">: equipo con Node.js, TypeScript, Docker Compose, PostgreSQL y MinIO configurables localmente; no se requiere hardware especializado, ya que toda la infraestructura corre en contenedores reproducibles.</w:t>
            </w:r>
          </w:p>
          <w:p w:rsidR="00000000" w:rsidDel="00000000" w:rsidP="00000000" w:rsidRDefault="00000000" w:rsidRPr="00000000" w14:paraId="00000042">
            <w:pPr>
              <w:rPr>
                <w:i w:val="1"/>
                <w:iCs w:val="1"/>
                <w:color w:val="548dd4"/>
                <w:sz w:val="20"/>
                <w:szCs w:val="20"/>
              </w:rPr>
            </w:pPr>
            <w:r w:rsidDel="00000000" w:rsidR="00000000" w:rsidRPr="00000000">
              <w:rPr>
                <w:b w:val="1"/>
                <w:bCs w:val="1"/>
                <w:i w:val="1"/>
                <w:iCs w:val="1"/>
                <w:color w:val="548dd4"/>
                <w:sz w:val="20"/>
                <w:szCs w:val="20"/>
                <w:rtl w:val="0"/>
              </w:rPr>
              <w:t xml:space="preserve">Factores externos que facilitan su desarrollo</w:t>
            </w:r>
            <w:r w:rsidDel="00000000" w:rsidR="00000000" w:rsidRPr="00000000">
              <w:rPr>
                <w:i w:val="1"/>
                <w:iCs w:val="1"/>
                <w:color w:val="548dd4"/>
                <w:sz w:val="20"/>
                <w:szCs w:val="20"/>
                <w:rtl w:val="0"/>
              </w:rPr>
              <w:t xml:space="preserve">: el proyecto se apoya en tecnologías ampliamente documentadas y de uso extendido en la industria (Node.js/Express, PostgreSQL, MinIO/S3, Jest/Supertest), y sigue Estándares Transversales ya definidos por Alloxentric, lo que reduce la incertidumbre en decisiones de arquitectura.</w:t>
            </w:r>
          </w:p>
          <w:p w:rsidR="00000000" w:rsidDel="00000000" w:rsidP="00000000" w:rsidRDefault="00000000" w:rsidRPr="00000000" w14:paraId="00000043">
            <w:pPr>
              <w:rPr>
                <w:i w:val="1"/>
                <w:iCs w:val="1"/>
                <w:color w:val="548dd4"/>
                <w:sz w:val="20"/>
                <w:szCs w:val="20"/>
              </w:rPr>
            </w:pPr>
            <w:r w:rsidDel="00000000" w:rsidR="00000000" w:rsidRPr="00000000">
              <w:rPr>
                <w:b w:val="1"/>
                <w:bCs w:val="1"/>
                <w:i w:val="1"/>
                <w:iCs w:val="1"/>
                <w:color w:val="548dd4"/>
                <w:sz w:val="20"/>
                <w:szCs w:val="20"/>
                <w:rtl w:val="0"/>
              </w:rPr>
              <w:t xml:space="preserve">Factores externos que dificultan su desarrollo y cómo solucionarlos</w:t>
            </w:r>
            <w:r w:rsidDel="00000000" w:rsidR="00000000" w:rsidRPr="00000000">
              <w:rPr>
                <w:i w:val="1"/>
                <w:iCs w:val="1"/>
                <w:color w:val="548dd4"/>
                <w:sz w:val="20"/>
                <w:szCs w:val="20"/>
                <w:rtl w:val="0"/>
              </w:rPr>
              <w:t xml:space="preserve">: la principal dificultad es la complejidad de implementar correctamente el aislamiento multitenant y el sistema de auditoría inmutable sin afectar el rendimiento. Esto se puede mitigar priorizando pruebas de seguridad cross-tenant desde etapas tempranas (Sprint Review) y derivando los registros de auditoría a un almacenamiento especializado en lugar de las tablas operacionales principales, tal como contempla el diseño del proyecto.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45">
      <w:pPr>
        <w:rPr>
          <w:b w:val="1"/>
          <w:bCs w:val="1"/>
          <w:color w:val="4472c4"/>
          <w:sz w:val="32"/>
          <w:szCs w:val="3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B">
            <w:pPr>
              <w:jc w:val="both"/>
              <w:rPr/>
            </w:pPr>
            <w:r w:rsidDel="00000000" w:rsidR="00000000" w:rsidRPr="00000000">
              <w:rPr>
                <w:rFonts w:ascii="Calibri" w:cs="Calibri" w:eastAsia="Calibri" w:hAnsi="Calibri"/>
                <w:rtl w:val="0"/>
              </w:rPr>
              <w:t xml:space="preserve">Desarrollar e integrar a la plataforma WellQ un módulo de gestión de exámenes médicos multitenant, seguro y auditable, que permita a las clínicas de fisioterapia centralizar la documentación clínica de sus pacientes, cumpliendo con los Estándares Transversales de Alloxentric y con los requisitos de protección de datos aplicables (UK GDPR).</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D">
            <w:pPr>
              <w:jc w:val="both"/>
              <w:rPr/>
            </w:pPr>
            <w:r w:rsidDel="00000000" w:rsidR="00000000" w:rsidRPr="00000000">
              <w:rPr>
                <w:rFonts w:ascii="Calibri" w:cs="Calibri" w:eastAsia="Calibri" w:hAnsi="Calibri"/>
                <w:rtl w:val="0"/>
              </w:rPr>
              <w:t xml:space="preserve">1. Diseñar e implementar un modelo de datos y una API REST (Node.js, TypeScript, Express) que permita subir, listar, consultar, descargar y eliminar lógicamente exámenes médicos, manteniendo versiones.</w:t>
            </w:r>
            <w:r w:rsidDel="00000000" w:rsidR="00000000" w:rsidRPr="00000000">
              <w:rPr>
                <w:rtl w:val="0"/>
              </w:rPr>
            </w:r>
          </w:p>
          <w:p w:rsidR="00000000" w:rsidDel="00000000" w:rsidP="00000000" w:rsidRDefault="00000000" w:rsidRPr="00000000" w14:paraId="0000004E">
            <w:pPr>
              <w:jc w:val="both"/>
              <w:rPr/>
            </w:pPr>
            <w:r w:rsidDel="00000000" w:rsidR="00000000" w:rsidRPr="00000000">
              <w:rPr>
                <w:rFonts w:ascii="Calibri" w:cs="Calibri" w:eastAsia="Calibri" w:hAnsi="Calibri"/>
                <w:rtl w:val="0"/>
              </w:rPr>
              <w:t xml:space="preserve">2. Garantizar el aislamiento estricto de datos entre clínicas (multitenancy), asegurando que el identificador de clínica (clinic_id) provenga siempre del contexto autenticado (JWT) y nunca de un valor enviado por el frontend.</w:t>
            </w:r>
            <w:r w:rsidDel="00000000" w:rsidR="00000000" w:rsidRPr="00000000">
              <w:rPr>
                <w:rtl w:val="0"/>
              </w:rPr>
            </w:r>
          </w:p>
          <w:p w:rsidR="00000000" w:rsidDel="00000000" w:rsidP="00000000" w:rsidRDefault="00000000" w:rsidRPr="00000000" w14:paraId="0000004F">
            <w:pPr>
              <w:jc w:val="both"/>
              <w:rPr/>
            </w:pPr>
            <w:r w:rsidDel="00000000" w:rsidR="00000000" w:rsidRPr="00000000">
              <w:rPr>
                <w:rFonts w:ascii="Calibri" w:cs="Calibri" w:eastAsia="Calibri" w:hAnsi="Calibri"/>
                <w:rtl w:val="0"/>
              </w:rPr>
              <w:t xml:space="preserve">3. Implementar un modelo de control de acceso basado en roles (RBAC) granular y un mecanismo de feature gating asociado al plan comercial del cliente, siguiendo los Estándares Transversales de Alloxentric.</w:t>
            </w:r>
            <w:r w:rsidDel="00000000" w:rsidR="00000000" w:rsidRPr="00000000">
              <w:rPr>
                <w:rtl w:val="0"/>
              </w:rPr>
            </w:r>
          </w:p>
          <w:p w:rsidR="00000000" w:rsidDel="00000000" w:rsidP="00000000" w:rsidRDefault="00000000" w:rsidRPr="00000000" w14:paraId="00000050">
            <w:pPr>
              <w:jc w:val="both"/>
              <w:rPr/>
            </w:pPr>
            <w:r w:rsidDel="00000000" w:rsidR="00000000" w:rsidRPr="00000000">
              <w:rPr>
                <w:rFonts w:ascii="Calibri" w:cs="Calibri" w:eastAsia="Calibri" w:hAnsi="Calibri"/>
                <w:rtl w:val="0"/>
              </w:rPr>
              <w:t xml:space="preserve">4. Registrar un log de auditoría inmutable para cada acceso o modificación de exámenes médicos (capturando quién, qué, cuándo, desde dónde y con qué resultado), implementando un almacenamiento estratificado (Tiered Storage) cuya retención depende del perfil comercial del cliente.</w:t>
            </w:r>
            <w:r w:rsidDel="00000000" w:rsidR="00000000" w:rsidRPr="00000000">
              <w:rPr>
                <w:rtl w:val="0"/>
              </w:rPr>
            </w:r>
          </w:p>
          <w:p w:rsidR="00000000" w:rsidDel="00000000" w:rsidP="00000000" w:rsidRDefault="00000000" w:rsidRPr="00000000" w14:paraId="00000051">
            <w:pPr>
              <w:jc w:val="both"/>
              <w:rPr/>
            </w:pPr>
            <w:r w:rsidDel="00000000" w:rsidR="00000000" w:rsidRPr="00000000">
              <w:rPr>
                <w:rFonts w:ascii="Calibri" w:cs="Calibri" w:eastAsia="Calibri" w:hAnsi="Calibri"/>
                <w:rtl w:val="0"/>
              </w:rPr>
              <w:t xml:space="preserve">5. Incorporar soporte de internacionalización (i18n) y temas visuales (claro/oscuro) en el panel clínico web.</w:t>
            </w:r>
            <w:r w:rsidDel="00000000" w:rsidR="00000000" w:rsidRPr="00000000">
              <w:rPr>
                <w:rtl w:val="0"/>
              </w:rPr>
            </w:r>
          </w:p>
          <w:p w:rsidR="00000000" w:rsidDel="00000000" w:rsidP="00000000" w:rsidRDefault="00000000" w:rsidRPr="00000000" w14:paraId="00000052">
            <w:pPr>
              <w:jc w:val="both"/>
              <w:rPr/>
            </w:pPr>
            <w:r w:rsidDel="00000000" w:rsidR="00000000" w:rsidRPr="00000000">
              <w:rPr>
                <w:rFonts w:ascii="Calibri" w:cs="Calibri" w:eastAsia="Calibri" w:hAnsi="Calibri"/>
                <w:rtl w:val="0"/>
              </w:rPr>
              <w:t xml:space="preserve">6. Validar el módulo mediante pruebas automatizadas (Jest/Supertest) que cubran casos de uso válidos, inválidos y de seguridad (acceso cross-tenant, archivos inválidos, fallos de almacenamiento).</w:t>
            </w:r>
            <w:r w:rsidDel="00000000" w:rsidR="00000000" w:rsidRPr="00000000">
              <w:rPr>
                <w:rtl w:val="0"/>
              </w:rPr>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9">
            <w:pPr>
              <w:jc w:val="both"/>
              <w:rPr/>
            </w:pPr>
            <w:r w:rsidDel="00000000" w:rsidR="00000000" w:rsidRPr="00000000">
              <w:rPr>
                <w:rFonts w:ascii="Calibri" w:cs="Calibri" w:eastAsia="Calibri" w:hAnsi="Calibri"/>
                <w:rtl w:val="0"/>
              </w:rPr>
              <w:t xml:space="preserve">El desarrollo del proyecto se aborda utilizando una metodología ágil, basándose específicamente en el marco de trabajo Scrum. Este enfoque permite una construcción iterativa e incremental, priorizando la documentación y el diseño técnico en las fases iniciales, pero manteniendo la flexibilidad para adaptarse a las recomendaciones y retroalimentación del equipo.</w:t>
            </w:r>
            <w:r w:rsidDel="00000000" w:rsidR="00000000" w:rsidRPr="00000000">
              <w:rPr>
                <w:rtl w:val="0"/>
              </w:rPr>
            </w:r>
          </w:p>
          <w:p w:rsidR="00000000" w:rsidDel="00000000" w:rsidP="00000000" w:rsidRDefault="00000000" w:rsidRPr="00000000" w14:paraId="0000005A">
            <w:pPr>
              <w:jc w:val="both"/>
              <w:rPr/>
            </w:pPr>
            <w:r w:rsidDel="00000000" w:rsidR="00000000" w:rsidRPr="00000000">
              <w:rPr>
                <w:rFonts w:ascii="Calibri" w:cs="Calibri" w:eastAsia="Calibri" w:hAnsi="Calibri"/>
                <w:rtl w:val="0"/>
              </w:rPr>
              <w:t xml:space="preserve">El trabajo se ejecutará mediante ciclos cortos (Sprints), organizando el ciclo de vida del desarrollo en las siguientes etapas transversales:</w:t>
            </w:r>
            <w:r w:rsidDel="00000000" w:rsidR="00000000" w:rsidRPr="00000000">
              <w:rPr>
                <w:rtl w:val="0"/>
              </w:rPr>
            </w:r>
          </w:p>
          <w:p w:rsidR="00000000" w:rsidDel="00000000" w:rsidP="00000000" w:rsidRDefault="00000000" w:rsidRPr="00000000" w14:paraId="0000005B">
            <w:pPr>
              <w:jc w:val="both"/>
              <w:rPr/>
            </w:pPr>
            <w:r w:rsidDel="00000000" w:rsidR="00000000" w:rsidRPr="00000000">
              <w:rPr>
                <w:rFonts w:ascii="Calibri" w:cs="Calibri" w:eastAsia="Calibri" w:hAnsi="Calibri"/>
                <w:rtl w:val="0"/>
              </w:rPr>
              <w:t xml:space="preserve">1. Levantamiento y documentación (Product Backlog): recopilación de requisitos funcionales y no funcionales, definición del modelo de datos, contrato de API y estándares transversales aplicables (multitenancy, RBAC, feature gating, auditoría, i18n).</w:t>
            </w:r>
            <w:r w:rsidDel="00000000" w:rsidR="00000000" w:rsidRPr="00000000">
              <w:rPr>
                <w:rtl w:val="0"/>
              </w:rPr>
            </w:r>
          </w:p>
          <w:p w:rsidR="00000000" w:rsidDel="00000000" w:rsidP="00000000" w:rsidRDefault="00000000" w:rsidRPr="00000000" w14:paraId="0000005C">
            <w:pPr>
              <w:jc w:val="both"/>
              <w:rPr/>
            </w:pPr>
            <w:r w:rsidDel="00000000" w:rsidR="00000000" w:rsidRPr="00000000">
              <w:rPr>
                <w:rFonts w:ascii="Calibri" w:cs="Calibri" w:eastAsia="Calibri" w:hAnsi="Calibri"/>
                <w:rtl w:val="0"/>
              </w:rPr>
              <w:t xml:space="preserve">2. Diseño técnico (Arquitectura del Sprint): arquitectura de la solución, definición de middlewares (tenant, autenticación, autorización), estructura de carpetas y flujo de datos.</w:t>
            </w:r>
            <w:r w:rsidDel="00000000" w:rsidR="00000000" w:rsidRPr="00000000">
              <w:rPr>
                <w:rtl w:val="0"/>
              </w:rPr>
            </w:r>
          </w:p>
          <w:p w:rsidR="00000000" w:rsidDel="00000000" w:rsidP="00000000" w:rsidRDefault="00000000" w:rsidRPr="00000000" w14:paraId="0000005D">
            <w:pPr>
              <w:jc w:val="both"/>
              <w:rPr/>
            </w:pPr>
            <w:r w:rsidDel="00000000" w:rsidR="00000000" w:rsidRPr="00000000">
              <w:rPr>
                <w:rFonts w:ascii="Calibri" w:cs="Calibri" w:eastAsia="Calibri" w:hAnsi="Calibri"/>
                <w:rtl w:val="0"/>
              </w:rPr>
              <w:t xml:space="preserve">3. Implementación incremental (Desarrollo del Sprint): construcción del backend por capas (rutas, controladores, servicios, repositorios), seguida de la integración de almacenamiento (PostgreSQL, MinIO/S3) y de los mecanismos de seguridad.</w:t>
            </w:r>
            <w:r w:rsidDel="00000000" w:rsidR="00000000" w:rsidRPr="00000000">
              <w:rPr>
                <w:rtl w:val="0"/>
              </w:rPr>
            </w:r>
          </w:p>
          <w:p w:rsidR="00000000" w:rsidDel="00000000" w:rsidP="00000000" w:rsidRDefault="00000000" w:rsidRPr="00000000" w14:paraId="0000005E">
            <w:pPr>
              <w:jc w:val="both"/>
              <w:rPr/>
            </w:pPr>
            <w:r w:rsidDel="00000000" w:rsidR="00000000" w:rsidRPr="00000000">
              <w:rPr>
                <w:rFonts w:ascii="Calibri" w:cs="Calibri" w:eastAsia="Calibri" w:hAnsi="Calibri"/>
                <w:rtl w:val="0"/>
              </w:rPr>
              <w:t xml:space="preserve">4. Verificación continua (Testing Integral): pruebas unitarias y de integración (Jest/Supertest) ejecutadas en paralelo al desarrollo de cada funcionalidad, con foco especial en los casos de seguridad multitenant.</w:t>
            </w:r>
            <w:r w:rsidDel="00000000" w:rsidR="00000000" w:rsidRPr="00000000">
              <w:rPr>
                <w:rtl w:val="0"/>
              </w:rPr>
            </w:r>
          </w:p>
          <w:p w:rsidR="00000000" w:rsidDel="00000000" w:rsidP="00000000" w:rsidRDefault="00000000" w:rsidRPr="00000000" w14:paraId="0000005F">
            <w:pPr>
              <w:jc w:val="both"/>
              <w:rPr/>
            </w:pPr>
            <w:r w:rsidDel="00000000" w:rsidR="00000000" w:rsidRPr="00000000">
              <w:rPr>
                <w:rFonts w:ascii="Calibri" w:cs="Calibri" w:eastAsia="Calibri" w:hAnsi="Calibri"/>
                <w:rtl w:val="0"/>
              </w:rPr>
              <w:t xml:space="preserve">5. Revisión y retroalimentación (Sprint Review): validación periódica con el equipo del proyecto, incorporando definiciones pendientes (roles, tiers comerciales) a medida que se van confirmando.</w:t>
            </w:r>
            <w:r w:rsidDel="00000000" w:rsidR="00000000" w:rsidRPr="00000000">
              <w:rPr>
                <w:rtl w:val="0"/>
              </w:rPr>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3">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Documentación de API (OpenAPI/Swagger) </w:t>
            </w:r>
            <w:r w:rsidDel="00000000" w:rsidR="00000000" w:rsidRPr="00000000">
              <w:rPr>
                <w:rtl w:val="0"/>
              </w:rPr>
            </w:r>
          </w:p>
        </w:tc>
        <w:tc>
          <w:tcPr/>
          <w:p w:rsidR="00000000" w:rsidDel="00000000" w:rsidP="00000000" w:rsidRDefault="00000000" w:rsidRPr="00000000" w14:paraId="0000006C">
            <w:pPr>
              <w:jc w:val="both"/>
              <w:rPr>
                <w:rFonts w:ascii="Calibri" w:cs="Calibri" w:eastAsia="Calibri" w:hAnsi="Calibri"/>
                <w:i w:val="1"/>
                <w:iCs w:val="1"/>
              </w:rPr>
            </w:pPr>
            <w:r w:rsidDel="00000000" w:rsidR="00000000" w:rsidRPr="00000000">
              <w:rPr>
                <w:b w:val="1"/>
                <w:bCs w:val="1"/>
                <w:color w:val="1f3864"/>
                <w:rtl w:val="0"/>
              </w:rPr>
              <w:t xml:space="preserve">Contrato de la API REST documentado, incluyendo endpoints de subida, listado, descarga y eliminación lógica de exámenes</w:t>
            </w:r>
            <w:r w:rsidDel="00000000" w:rsidR="00000000" w:rsidRPr="00000000">
              <w:rPr>
                <w:i w:val="1"/>
                <w:iCs w:val="1"/>
                <w:rtl w:val="0"/>
              </w:rPr>
              <w:t xml:space="preserve"> </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el diseño técnico y la definición del modelo de datos y endpoints antes de la implementación completa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de arquitectura y entorno Docker Compose </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Entorno de desarrollo reproducible con backend, PostgreSQL y MinIO levantados vía contenedores </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la implementación de la infraestructura base y los estándares transversales (tenant, auth)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Módulo de Exámenes Médicos funcional </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Backend con endpoints operativos, RBAC, feature gating y auditoría inmutable implementados </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Da cuenta del cumplimiento de los objetivos específicos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Suite de pruebas automatizadas (Jest/Supertest) </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Reporte de pruebas unitarias y de integración, incluyendo casos de seguridad cross-tenant </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la validación y calidad del software construido </w:t>
            </w:r>
            <w:r w:rsidDel="00000000" w:rsidR="00000000" w:rsidRPr="00000000">
              <w:rPr>
                <w:rtl w:val="0"/>
              </w:rPr>
            </w:r>
          </w:p>
        </w:tc>
      </w:tr>
    </w:tbl>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Ofrecer propuestas de solución informática </w:t>
            </w:r>
            <w:r w:rsidDel="00000000" w:rsidR="00000000" w:rsidRPr="00000000">
              <w:rPr>
                <w:rtl w:val="0"/>
              </w:rPr>
            </w:r>
          </w:p>
        </w:tc>
        <w:tc>
          <w:tcPr/>
          <w:p w:rsidR="00000000" w:rsidDel="00000000" w:rsidP="00000000" w:rsidRDefault="00000000" w:rsidRPr="00000000" w14:paraId="0000008E">
            <w:pPr>
              <w:jc w:val="both"/>
              <w:rPr>
                <w:b w:val="1"/>
                <w:bCs w:val="1"/>
                <w:sz w:val="18"/>
                <w:szCs w:val="18"/>
              </w:rPr>
            </w:pPr>
            <w:r w:rsidDel="00000000" w:rsidR="00000000" w:rsidRPr="00000000">
              <w:rPr>
                <w:i w:val="1"/>
                <w:iCs w:val="1"/>
                <w:color w:val="548dd4"/>
                <w:sz w:val="18"/>
                <w:szCs w:val="18"/>
                <w:rtl w:val="0"/>
              </w:rPr>
              <w:t xml:space="preserve">Levantamiento y documentación (Product Backlog) </w:t>
            </w:r>
            <w:r w:rsidDel="00000000" w:rsidR="00000000" w:rsidRPr="00000000">
              <w:rPr>
                <w:rtl w:val="0"/>
              </w:rPr>
            </w:r>
          </w:p>
        </w:tc>
        <w:tc>
          <w:tcPr/>
          <w:p w:rsidR="00000000" w:rsidDel="00000000" w:rsidP="00000000" w:rsidRDefault="00000000" w:rsidRPr="00000000" w14:paraId="0000008F">
            <w:pPr>
              <w:jc w:val="both"/>
              <w:rPr>
                <w:b w:val="1"/>
                <w:bCs w:val="1"/>
                <w:sz w:val="18"/>
                <w:szCs w:val="18"/>
              </w:rPr>
            </w:pPr>
            <w:r w:rsidDel="00000000" w:rsidR="00000000" w:rsidRPr="00000000">
              <w:rPr>
                <w:i w:val="1"/>
                <w:iCs w:val="1"/>
                <w:color w:val="548dd4"/>
                <w:sz w:val="18"/>
                <w:szCs w:val="18"/>
                <w:rtl w:val="0"/>
              </w:rPr>
              <w:t xml:space="preserve">Recopilar requisitos funcionales/no funcionales, definir modelo de datos y contrato de API </w:t>
            </w: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Documentación de estándares Alloxentric, reuniones de equipo </w:t>
            </w:r>
            <w:r w:rsidDel="00000000" w:rsidR="00000000" w:rsidRPr="00000000">
              <w:rPr>
                <w:rtl w:val="0"/>
              </w:rPr>
            </w:r>
          </w:p>
        </w:tc>
        <w:tc>
          <w:tcPr>
            <w:tcBorders>
              <w:right w:color="ffffff" w:space="0" w:sz="4" w:val="single"/>
            </w:tcBorders>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3">
            <w:pPr>
              <w:jc w:val="both"/>
              <w:rPr>
                <w:b w:val="1"/>
                <w:bCs w:val="1"/>
                <w:sz w:val="18"/>
                <w:szCs w:val="18"/>
              </w:rPr>
            </w:pPr>
            <w:r w:rsidDel="00000000" w:rsidR="00000000" w:rsidRPr="00000000">
              <w:rPr>
                <w:i w:val="1"/>
                <w:iCs w:val="1"/>
                <w:color w:val="548dd4"/>
                <w:sz w:val="18"/>
                <w:szCs w:val="18"/>
                <w:rtl w:val="0"/>
              </w:rPr>
              <w:t xml:space="preserve">Juan Pablo Vega</w:t>
            </w:r>
            <w:r w:rsidDel="00000000" w:rsidR="00000000" w:rsidRPr="00000000">
              <w:rPr>
                <w:rtl w:val="0"/>
              </w:rPr>
            </w:r>
          </w:p>
        </w:tc>
        <w:tc>
          <w:tcPr/>
          <w:p w:rsidR="00000000" w:rsidDel="00000000" w:rsidP="00000000" w:rsidRDefault="00000000" w:rsidRPr="00000000" w14:paraId="00000094">
            <w:pPr>
              <w:jc w:val="both"/>
              <w:rPr>
                <w:b w:val="1"/>
                <w:bCs w:val="1"/>
                <w:sz w:val="18"/>
                <w:szCs w:val="18"/>
              </w:rPr>
            </w:pPr>
            <w:r w:rsidDel="00000000" w:rsidR="00000000" w:rsidRPr="00000000">
              <w:rPr>
                <w:i w:val="1"/>
                <w:iCs w:val="1"/>
                <w:color w:val="548dd4"/>
                <w:sz w:val="18"/>
                <w:szCs w:val="18"/>
                <w:rtl w:val="0"/>
              </w:rPr>
              <w:t xml:space="preserve">Riesgo: requisitos incompletos; mitigar con revisiones tempranas </w:t>
            </w:r>
            <w:r w:rsidDel="00000000" w:rsidR="00000000" w:rsidRPr="00000000">
              <w:rPr>
                <w:rtl w:val="0"/>
              </w:rPr>
            </w:r>
          </w:p>
        </w:tc>
      </w:tr>
      <w:tr>
        <w:trPr>
          <w:cantSplit w:val="0"/>
          <w:tblHeader w:val="0"/>
        </w:trPr>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Construir el modelo arquitectónico </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técnico (Arquitectura del Sprint) </w:t>
            </w: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Definir middlewares de tenant, autenticación y autorización, y estructura de carpetas </w:t>
            </w: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Node.js, TypeScript, diagramas de arquitectura </w:t>
            </w:r>
            <w:r w:rsidDel="00000000" w:rsidR="00000000" w:rsidRPr="00000000">
              <w:rPr>
                <w:rtl w:val="0"/>
              </w:rPr>
            </w:r>
          </w:p>
        </w:tc>
        <w:tc>
          <w:tcPr>
            <w:tcBorders>
              <w:right w:color="ffffff" w:space="0" w:sz="4" w:val="single"/>
            </w:tcBorders>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Benjamin Fernandez</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 estándares ya definidos por Alloxentric </w:t>
            </w:r>
            <w:r w:rsidDel="00000000" w:rsidR="00000000" w:rsidRPr="00000000">
              <w:rPr>
                <w:rtl w:val="0"/>
              </w:rPr>
            </w:r>
          </w:p>
        </w:tc>
      </w:tr>
      <w:tr>
        <w:trPr>
          <w:cantSplit w:val="0"/>
          <w:trHeight w:val="1725" w:hRule="atLeast"/>
          <w:tblHeader w:val="0"/>
        </w:trPr>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Desarrollar una solución de software / Construir modelos de datos </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incremental (Desarrollo del Sprint) </w:t>
            </w: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Construir backend por capas e integrar PostgreSQL y MinIO/S3 </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Node.js, Express, PostgreSQL, MinIO, Docker Compose </w:t>
            </w:r>
            <w:r w:rsidDel="00000000" w:rsidR="00000000" w:rsidRPr="00000000">
              <w:rPr>
                <w:rtl w:val="0"/>
              </w:rPr>
            </w:r>
          </w:p>
        </w:tc>
        <w:tc>
          <w:tcPr>
            <w:tcBorders>
              <w:right w:color="ffffff" w:space="0" w:sz="4" w:val="single"/>
            </w:tcBorders>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Ariel Rodriguez</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Dificultad: integración multitenant; mitigar con pruebas tempranas </w:t>
            </w:r>
            <w:r w:rsidDel="00000000" w:rsidR="00000000" w:rsidRPr="00000000">
              <w:rPr>
                <w:rtl w:val="0"/>
              </w:rPr>
            </w:r>
          </w:p>
        </w:tc>
      </w:tr>
      <w:tr>
        <w:trPr>
          <w:cantSplit w:val="0"/>
          <w:trHeight w:val="1725" w:hRule="atLeast"/>
          <w:tblHeader w:val="0"/>
        </w:trPr>
        <w:tc>
          <w:tcPr/>
          <w:p w:rsidR="00000000" w:rsidDel="00000000" w:rsidP="00000000" w:rsidRDefault="00000000" w:rsidRPr="00000000" w14:paraId="000000A3">
            <w:pPr>
              <w:jc w:val="both"/>
              <w:rPr>
                <w:i w:val="1"/>
                <w:iCs w:val="1"/>
                <w:color w:val="548dd4"/>
                <w:sz w:val="18"/>
                <w:szCs w:val="18"/>
              </w:rPr>
            </w:pPr>
            <w:r w:rsidDel="00000000" w:rsidR="00000000" w:rsidRPr="00000000">
              <w:rPr>
                <w:i w:val="1"/>
                <w:iCs w:val="1"/>
                <w:color w:val="548dd4"/>
                <w:sz w:val="18"/>
                <w:szCs w:val="18"/>
                <w:rtl w:val="0"/>
              </w:rPr>
              <w:t xml:space="preserve">Realizar pruebas de certificación </w:t>
            </w:r>
          </w:p>
        </w:tc>
        <w:tc>
          <w:tcPr/>
          <w:p w:rsidR="00000000" w:rsidDel="00000000" w:rsidP="00000000" w:rsidRDefault="00000000" w:rsidRPr="00000000" w14:paraId="000000A4">
            <w:pPr>
              <w:jc w:val="both"/>
              <w:rPr>
                <w:i w:val="1"/>
                <w:iCs w:val="1"/>
                <w:color w:val="548dd4"/>
                <w:sz w:val="18"/>
                <w:szCs w:val="18"/>
              </w:rPr>
            </w:pPr>
            <w:r w:rsidDel="00000000" w:rsidR="00000000" w:rsidRPr="00000000">
              <w:rPr>
                <w:i w:val="1"/>
                <w:iCs w:val="1"/>
                <w:color w:val="548dd4"/>
                <w:sz w:val="18"/>
                <w:szCs w:val="18"/>
                <w:rtl w:val="0"/>
              </w:rPr>
              <w:t xml:space="preserve">Verificación continua (Testing Integral) </w:t>
            </w:r>
          </w:p>
        </w:tc>
        <w:tc>
          <w:tcPr/>
          <w:p w:rsidR="00000000" w:rsidDel="00000000" w:rsidP="00000000" w:rsidRDefault="00000000" w:rsidRPr="00000000" w14:paraId="000000A5">
            <w:pPr>
              <w:jc w:val="both"/>
              <w:rPr>
                <w:i w:val="1"/>
                <w:iCs w:val="1"/>
                <w:color w:val="548dd4"/>
                <w:sz w:val="18"/>
                <w:szCs w:val="18"/>
              </w:rPr>
            </w:pPr>
            <w:r w:rsidDel="00000000" w:rsidR="00000000" w:rsidRPr="00000000">
              <w:rPr>
                <w:i w:val="1"/>
                <w:iCs w:val="1"/>
                <w:color w:val="548dd4"/>
                <w:sz w:val="18"/>
                <w:szCs w:val="18"/>
                <w:rtl w:val="0"/>
              </w:rPr>
              <w:t xml:space="preserve">Ejecutar pruebas unitarias y de integración, con foco en seguridad multitenant </w:t>
            </w:r>
          </w:p>
        </w:tc>
        <w:tc>
          <w:tcPr/>
          <w:p w:rsidR="00000000" w:rsidDel="00000000" w:rsidP="00000000" w:rsidRDefault="00000000" w:rsidRPr="00000000" w14:paraId="000000A6">
            <w:pPr>
              <w:jc w:val="both"/>
              <w:rPr>
                <w:i w:val="1"/>
                <w:iCs w:val="1"/>
                <w:color w:val="548dd4"/>
                <w:sz w:val="18"/>
                <w:szCs w:val="18"/>
              </w:rPr>
            </w:pPr>
            <w:r w:rsidDel="00000000" w:rsidR="00000000" w:rsidRPr="00000000">
              <w:rPr>
                <w:i w:val="1"/>
                <w:iCs w:val="1"/>
                <w:color w:val="548dd4"/>
                <w:sz w:val="18"/>
                <w:szCs w:val="18"/>
                <w:rtl w:val="0"/>
              </w:rPr>
              <w:t xml:space="preserve">Jest, Supertest </w:t>
            </w:r>
          </w:p>
        </w:tc>
        <w:tc>
          <w:tcPr>
            <w:tcBorders>
              <w:right w:color="ffffff" w:space="0" w:sz="4" w:val="single"/>
            </w:tcBorders>
          </w:tcPr>
          <w:p w:rsidR="00000000" w:rsidDel="00000000" w:rsidP="00000000" w:rsidRDefault="00000000" w:rsidRPr="00000000" w14:paraId="000000A7">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A8">
            <w:pPr>
              <w:jc w:val="both"/>
              <w:rPr>
                <w:i w:val="1"/>
                <w:iCs w:val="1"/>
                <w:color w:val="548dd4"/>
                <w:sz w:val="18"/>
                <w:szCs w:val="18"/>
              </w:rPr>
            </w:pPr>
            <w:r w:rsidDel="00000000" w:rsidR="00000000" w:rsidRPr="00000000">
              <w:rPr>
                <w:i w:val="1"/>
                <w:iCs w:val="1"/>
                <w:color w:val="548dd4"/>
                <w:sz w:val="18"/>
                <w:szCs w:val="18"/>
                <w:rtl w:val="0"/>
              </w:rPr>
              <w:t xml:space="preserve">Juan Pablo Vega</w:t>
            </w:r>
          </w:p>
        </w:tc>
        <w:tc>
          <w:tcPr/>
          <w:p w:rsidR="00000000" w:rsidDel="00000000" w:rsidP="00000000" w:rsidRDefault="00000000" w:rsidRPr="00000000" w14:paraId="000000A9">
            <w:pPr>
              <w:jc w:val="both"/>
              <w:rPr>
                <w:i w:val="1"/>
                <w:iCs w:val="1"/>
                <w:color w:val="548dd4"/>
                <w:sz w:val="18"/>
                <w:szCs w:val="18"/>
              </w:rPr>
            </w:pPr>
            <w:r w:rsidDel="00000000" w:rsidR="00000000" w:rsidRPr="00000000">
              <w:rPr>
                <w:rtl w:val="0"/>
              </w:rPr>
            </w:r>
          </w:p>
        </w:tc>
      </w:tr>
      <w:tr>
        <w:trPr>
          <w:cantSplit w:val="0"/>
          <w:trHeight w:val="1725" w:hRule="atLeast"/>
          <w:tblHeader w:val="0"/>
        </w:trPr>
        <w:tc>
          <w:tcPr/>
          <w:p w:rsidR="00000000" w:rsidDel="00000000" w:rsidP="00000000" w:rsidRDefault="00000000" w:rsidRPr="00000000" w14:paraId="000000AA">
            <w:pPr>
              <w:jc w:val="both"/>
              <w:rPr>
                <w:i w:val="1"/>
                <w:iCs w:val="1"/>
                <w:color w:val="548dd4"/>
                <w:sz w:val="18"/>
                <w:szCs w:val="18"/>
              </w:rPr>
            </w:pPr>
            <w:r w:rsidDel="00000000" w:rsidR="00000000" w:rsidRPr="00000000">
              <w:rPr>
                <w:i w:val="1"/>
                <w:iCs w:val="1"/>
                <w:color w:val="548dd4"/>
                <w:sz w:val="18"/>
                <w:szCs w:val="18"/>
                <w:rtl w:val="0"/>
              </w:rPr>
              <w:t xml:space="preserve">Resolver vulnerabilidades sistémicas </w:t>
            </w:r>
          </w:p>
        </w:tc>
        <w:tc>
          <w:tcPr/>
          <w:p w:rsidR="00000000" w:rsidDel="00000000" w:rsidP="00000000" w:rsidRDefault="00000000" w:rsidRPr="00000000" w14:paraId="000000AB">
            <w:pPr>
              <w:jc w:val="both"/>
              <w:rPr>
                <w:i w:val="1"/>
                <w:iCs w:val="1"/>
                <w:color w:val="548dd4"/>
                <w:sz w:val="18"/>
                <w:szCs w:val="18"/>
              </w:rPr>
            </w:pPr>
            <w:r w:rsidDel="00000000" w:rsidR="00000000" w:rsidRPr="00000000">
              <w:rPr>
                <w:i w:val="1"/>
                <w:iCs w:val="1"/>
                <w:color w:val="548dd4"/>
                <w:sz w:val="18"/>
                <w:szCs w:val="18"/>
                <w:rtl w:val="0"/>
              </w:rPr>
              <w:t xml:space="preserve">Revisión y retroalimentación (Sprint Review) </w:t>
            </w:r>
          </w:p>
        </w:tc>
        <w:tc>
          <w:tcPr/>
          <w:p w:rsidR="00000000" w:rsidDel="00000000" w:rsidP="00000000" w:rsidRDefault="00000000" w:rsidRPr="00000000" w14:paraId="000000AC">
            <w:pPr>
              <w:jc w:val="both"/>
              <w:rPr>
                <w:i w:val="1"/>
                <w:iCs w:val="1"/>
                <w:color w:val="548dd4"/>
                <w:sz w:val="18"/>
                <w:szCs w:val="18"/>
              </w:rPr>
            </w:pPr>
            <w:r w:rsidDel="00000000" w:rsidR="00000000" w:rsidRPr="00000000">
              <w:rPr>
                <w:i w:val="1"/>
                <w:iCs w:val="1"/>
                <w:color w:val="548dd4"/>
                <w:sz w:val="18"/>
                <w:szCs w:val="18"/>
                <w:rtl w:val="0"/>
              </w:rPr>
              <w:t xml:space="preserve">Validar con el equipo definiciones pendientes (roles, tiers comerciales) </w:t>
            </w:r>
          </w:p>
        </w:tc>
        <w:tc>
          <w:tcPr/>
          <w:p w:rsidR="00000000" w:rsidDel="00000000" w:rsidP="00000000" w:rsidRDefault="00000000" w:rsidRPr="00000000" w14:paraId="000000AD">
            <w:pPr>
              <w:jc w:val="both"/>
              <w:rPr>
                <w:i w:val="1"/>
                <w:iCs w:val="1"/>
                <w:color w:val="548dd4"/>
                <w:sz w:val="18"/>
                <w:szCs w:val="18"/>
              </w:rPr>
            </w:pPr>
            <w:r w:rsidDel="00000000" w:rsidR="00000000" w:rsidRPr="00000000">
              <w:rPr>
                <w:i w:val="1"/>
                <w:iCs w:val="1"/>
                <w:color w:val="548dd4"/>
                <w:sz w:val="18"/>
                <w:szCs w:val="18"/>
                <w:rtl w:val="0"/>
              </w:rPr>
              <w:t xml:space="preserve">Reuniones de equipo, feedback docente </w:t>
            </w:r>
          </w:p>
        </w:tc>
        <w:tc>
          <w:tcPr>
            <w:tcBorders>
              <w:right w:color="ffffff" w:space="0" w:sz="4" w:val="single"/>
            </w:tcBorders>
          </w:tcPr>
          <w:p w:rsidR="00000000" w:rsidDel="00000000" w:rsidP="00000000" w:rsidRDefault="00000000" w:rsidRPr="00000000" w14:paraId="000000AE">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AF">
            <w:pPr>
              <w:jc w:val="both"/>
              <w:rPr>
                <w:i w:val="1"/>
                <w:iCs w:val="1"/>
                <w:color w:val="548dd4"/>
                <w:sz w:val="18"/>
                <w:szCs w:val="18"/>
              </w:rPr>
            </w:pPr>
            <w:r w:rsidDel="00000000" w:rsidR="00000000" w:rsidRPr="00000000">
              <w:rPr>
                <w:i w:val="1"/>
                <w:iCs w:val="1"/>
                <w:color w:val="548dd4"/>
                <w:sz w:val="18"/>
                <w:szCs w:val="18"/>
                <w:rtl w:val="0"/>
              </w:rPr>
              <w:t xml:space="preserve">Todo el grupo</w:t>
            </w:r>
          </w:p>
        </w:tc>
        <w:tc>
          <w:tcPr/>
          <w:p w:rsidR="00000000" w:rsidDel="00000000" w:rsidP="00000000" w:rsidRDefault="00000000" w:rsidRPr="00000000" w14:paraId="000000B0">
            <w:pPr>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2">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114300" distT="114300" distL="114300" distR="114300">
            <wp:extent cx="5399730" cy="2870200"/>
            <wp:effectExtent b="0" l="0" r="0" t="0"/>
            <wp:docPr id="4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9973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drawing>
          <wp:inline distB="114300" distT="114300" distL="114300" distR="114300">
            <wp:extent cx="5399730" cy="2870200"/>
            <wp:effectExtent b="0" l="0" r="0" t="0"/>
            <wp:docPr id="5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9973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B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S/60e8ldzLYchNZ9j3eruMOApg==">CgMxLjA4AHIhMUp5Nk1ER3h4UHlhRnNaOEtSRnBRZGQzQWRWSjJ4UTEy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