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8gttvh2zy7d" w:id="0"/>
      <w:bookmarkEnd w:id="0"/>
      <w:r w:rsidDel="00000000" w:rsidR="00000000" w:rsidRPr="00000000">
        <w:rPr>
          <w:b w:val="1"/>
          <w:bCs w:val="1"/>
          <w:color w:val="000000"/>
          <w:sz w:val="26"/>
          <w:szCs w:val="26"/>
          <w:rtl w:val="0"/>
        </w:rPr>
        <w:t xml:space="preserve">Diapositiva 1 — Portada</w:t>
      </w:r>
    </w:p>
    <w:p w:rsidR="00000000" w:rsidDel="00000000" w:rsidP="00000000" w:rsidRDefault="00000000" w:rsidRPr="00000000" w14:paraId="00000002">
      <w:pPr>
        <w:spacing w:after="240" w:before="240" w:lineRule="auto"/>
        <w:rPr/>
      </w:pPr>
      <w:r w:rsidDel="00000000" w:rsidR="00000000" w:rsidRPr="00000000">
        <w:rPr>
          <w:rtl w:val="0"/>
        </w:rPr>
        <w:t xml:space="preserve">Buenas tardes. Yo y mi grupo, conformado por Juan Pablo Vega, Benjamín Fernández y Ariel Rodríguez, venimos a presentarles el proyecto WellQ Medical Exams: el Módulo de Gestión de Exámenes Médicos para una plataforma clínica multitenant. Esta es la primera fase del proyecto, así que hoy les voy a mostrar cómo lo pensamos y qué vamos a construir.</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Diapositiva 2: Contexto</w:t>
      </w:r>
    </w:p>
    <w:p w:rsidR="00000000" w:rsidDel="00000000" w:rsidP="00000000" w:rsidRDefault="00000000" w:rsidRPr="00000000" w14:paraId="00000004">
      <w:pPr>
        <w:numPr>
          <w:ilvl w:val="0"/>
          <w:numId w:val="7"/>
        </w:numPr>
        <w:spacing w:after="240" w:before="240" w:lineRule="auto"/>
        <w:ind w:left="720" w:hanging="360"/>
      </w:pPr>
      <w:r w:rsidDel="00000000" w:rsidR="00000000" w:rsidRPr="00000000">
        <w:rPr>
          <w:rtl w:val="0"/>
        </w:rPr>
        <w:t xml:space="preserve">"Para ponerlos en contexto, WellQ es una plataforma de salud digital diseñada para clínicas de fisioterapia. Su aplicación móvil permite hacer un seguimiento al progreso del paciente unificando datos de dispositivos wearables y documentación clínica. Con este proyecto, buscamos desarrollar el módulo de Exámenes Médicos, el cual tendrá capacidad multipaciente y multitenant. El objetivo es centralizar la integración clínica total, aplicando los estándares de Alloxentric, tales como control de acceso basado en roles (RBAC), feature gating, auditoría y temas visuales."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Diapositiva 3: Diagnóstico</w:t>
      </w:r>
    </w:p>
    <w:p w:rsidR="00000000" w:rsidDel="00000000" w:rsidP="00000000" w:rsidRDefault="00000000" w:rsidRPr="00000000" w14:paraId="00000006">
      <w:pPr>
        <w:numPr>
          <w:ilvl w:val="0"/>
          <w:numId w:val="14"/>
        </w:numPr>
        <w:spacing w:after="240" w:before="240" w:lineRule="auto"/>
        <w:ind w:left="720" w:hanging="360"/>
      </w:pPr>
      <w:r w:rsidDel="00000000" w:rsidR="00000000" w:rsidRPr="00000000">
        <w:rPr>
          <w:rtl w:val="0"/>
        </w:rPr>
        <w:t xml:space="preserve">"Actualmente nos enfrentamos a una problemática clara. Los exámenes circulan por canales dispersos como correos, papel o sistemas externos, lo que genera una historia clínica fragmentada. El fisioterapeuta no cuenta con una vista unificada que junte sesiones, notas y exámenes. Además, hay una falta de trazabilidad sobre quién accede a los documentos, y existe un riesgo de exposición al no contar con un aislamiento formal entre clínicas. Toda esta carga administrativa manual resta tiempo clínico valioso y complica el cumplimiento de normativas como la UK GDPR."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Diapositiva 4: Solución</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"Para resolver esto, proponemos desarrollar un módulo integrado a WellQ. Consiste en un backend construido en Node.js y TypeScript, junto a un panel clínico web conectado a la aplicación móvil existente en Flutter y Dart. La seguridad se prioriza desde el origen con aislamiento multitenant y autorización mediante tokens JWT. Ofreceremos una gestión completa para subir, listar y descargar exámenes, con almacenamiento robusto en MinIO o S3 para archivos, y PostgreSQL para los metadatos. Además, implementaremos Feature Gating para habilitar funcionalidades según el plan comercial de cada clínica."</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Diapositiva 5: Metas del Proyecto</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rtl w:val="0"/>
        </w:rPr>
        <w:t xml:space="preserve">"Nuestro objetivo general es desarrollar e integrar un módulo seguro y auditable que centralice la documentación clínica cumpliendo con estándares europeos como la UK GDPR. Nuestros objetivos específicos incluyen:</w:t>
      </w:r>
    </w:p>
    <w:p w:rsidR="00000000" w:rsidDel="00000000" w:rsidP="00000000" w:rsidRDefault="00000000" w:rsidRPr="00000000" w14:paraId="0000000B">
      <w:pPr>
        <w:numPr>
          <w:ilvl w:val="1"/>
          <w:numId w:val="11"/>
        </w:numPr>
        <w:spacing w:after="0" w:afterAutospacing="0" w:before="0" w:beforeAutospacing="0" w:lineRule="auto"/>
        <w:ind w:left="1440" w:hanging="360"/>
      </w:pPr>
      <w:r w:rsidDel="00000000" w:rsidR="00000000" w:rsidRPr="00000000">
        <w:rPr>
          <w:rtl w:val="0"/>
        </w:rPr>
        <w:t xml:space="preserve">Diseñar el modelo de datos y la API REST.</w:t>
      </w:r>
    </w:p>
    <w:p w:rsidR="00000000" w:rsidDel="00000000" w:rsidP="00000000" w:rsidRDefault="00000000" w:rsidRPr="00000000" w14:paraId="0000000C">
      <w:pPr>
        <w:numPr>
          <w:ilvl w:val="1"/>
          <w:numId w:val="11"/>
        </w:numPr>
        <w:spacing w:after="0" w:afterAutospacing="0" w:before="0" w:beforeAutospacing="0" w:lineRule="auto"/>
        <w:ind w:left="1440" w:hanging="360"/>
      </w:pPr>
      <w:r w:rsidDel="00000000" w:rsidR="00000000" w:rsidRPr="00000000">
        <w:rPr>
          <w:rtl w:val="0"/>
        </w:rPr>
        <w:t xml:space="preserve">Garantizar un aislamiento estricto vía 'clinic_id'.</w:t>
      </w:r>
    </w:p>
    <w:p w:rsidR="00000000" w:rsidDel="00000000" w:rsidP="00000000" w:rsidRDefault="00000000" w:rsidRPr="00000000" w14:paraId="0000000D">
      <w:pPr>
        <w:numPr>
          <w:ilvl w:val="1"/>
          <w:numId w:val="11"/>
        </w:numPr>
        <w:spacing w:after="0" w:afterAutospacing="0" w:before="0" w:beforeAutospacing="0" w:lineRule="auto"/>
        <w:ind w:left="1440" w:hanging="360"/>
      </w:pPr>
      <w:r w:rsidDel="00000000" w:rsidR="00000000" w:rsidRPr="00000000">
        <w:rPr>
          <w:rtl w:val="0"/>
        </w:rPr>
        <w:t xml:space="preserve">Implementar control de roles granulares.</w:t>
      </w:r>
    </w:p>
    <w:p w:rsidR="00000000" w:rsidDel="00000000" w:rsidP="00000000" w:rsidRDefault="00000000" w:rsidRPr="00000000" w14:paraId="0000000E">
      <w:pPr>
        <w:numPr>
          <w:ilvl w:val="1"/>
          <w:numId w:val="11"/>
        </w:numPr>
        <w:spacing w:after="0" w:afterAutospacing="0" w:before="0" w:beforeAutospacing="0" w:lineRule="auto"/>
        <w:ind w:left="1440" w:hanging="360"/>
      </w:pPr>
      <w:r w:rsidDel="00000000" w:rsidR="00000000" w:rsidRPr="00000000">
        <w:rPr>
          <w:rtl w:val="0"/>
        </w:rPr>
        <w:t xml:space="preserve">Registrar una auditoría inmutable de los accesos.</w:t>
      </w:r>
    </w:p>
    <w:p w:rsidR="00000000" w:rsidDel="00000000" w:rsidP="00000000" w:rsidRDefault="00000000" w:rsidRPr="00000000" w14:paraId="0000000F">
      <w:pPr>
        <w:numPr>
          <w:ilvl w:val="1"/>
          <w:numId w:val="11"/>
        </w:numPr>
        <w:spacing w:after="240" w:before="0" w:beforeAutospacing="0" w:lineRule="auto"/>
        <w:ind w:left="1440" w:hanging="360"/>
      </w:pPr>
      <w:r w:rsidDel="00000000" w:rsidR="00000000" w:rsidRPr="00000000">
        <w:rPr>
          <w:rtl w:val="0"/>
        </w:rPr>
        <w:t xml:space="preserve">Y finalmente, validar todos los casos funcionales y de seguridad utilizando Jest y Supertest."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Diapositiva 6: Cobertura del Proyecto (Alcances)</w:t>
      </w:r>
    </w:p>
    <w:p w:rsidR="00000000" w:rsidDel="00000000" w:rsidP="00000000" w:rsidRDefault="00000000" w:rsidRPr="00000000" w14:paraId="00000011">
      <w:pPr>
        <w:numPr>
          <w:ilvl w:val="0"/>
          <w:numId w:val="5"/>
        </w:numPr>
        <w:spacing w:after="240" w:before="240" w:lineRule="auto"/>
        <w:ind w:left="720" w:hanging="360"/>
      </w:pPr>
      <w:r w:rsidDel="00000000" w:rsidR="00000000" w:rsidRPr="00000000">
        <w:rPr>
          <w:rtl w:val="0"/>
        </w:rPr>
        <w:t xml:space="preserve">"En cuanto a los alcances, el backend utilizará Node.js y estará documentado con OpenAPI y Swagger. Tendremos middlewares de seguridad para validar los tokens JWT y auditar acciones. El almacenamiento dividirá los metadatos en PostgreSQL y los archivos en MinIO/S3. Las interfaces incluirán un prototipo web con soporte multi-idioma (i18n) y modo claro u oscuro, todo desplegado en un entorno de desarrollo mediante Docker Compose. Además, la arquitectura quedará lista para futuras integraciones de inteligencia artificial."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Diapositiva 7: Marco Realista (Limitaciones)</w:t>
      </w:r>
    </w:p>
    <w:p w:rsidR="00000000" w:rsidDel="00000000" w:rsidP="00000000" w:rsidRDefault="00000000" w:rsidRPr="00000000" w14:paraId="00000013">
      <w:pPr>
        <w:numPr>
          <w:ilvl w:val="0"/>
          <w:numId w:val="8"/>
        </w:numPr>
        <w:spacing w:after="240" w:before="240" w:lineRule="auto"/>
        <w:ind w:left="720" w:hanging="360"/>
      </w:pPr>
      <w:r w:rsidDel="00000000" w:rsidR="00000000" w:rsidRPr="00000000">
        <w:rPr>
          <w:rtl w:val="0"/>
        </w:rPr>
        <w:t xml:space="preserve">"Es importante definir nuestras limitaciones actuales. El acceso a funciones estará dictado por el plan comercial mediante Feature Gating, y el tiempo de retención de las auditorías también dependerá de este nivel comercial. No realizaremos eliminación física definitiva de los exámenes, sino un borrado lógico. El aislamiento entre clínicas será lógico sobre una infraestructura compartida. Además, en esta fase solo haremos validación básica de archivos por tipo MIME y tamaño, sin incorporar procesamiento OCR o IA."</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Diapositiva 8: Requerimientos Funcionales</w:t>
      </w:r>
    </w:p>
    <w:p w:rsidR="00000000" w:rsidDel="00000000" w:rsidP="00000000" w:rsidRDefault="00000000" w:rsidRPr="00000000" w14:paraId="00000015">
      <w:pPr>
        <w:numPr>
          <w:ilvl w:val="0"/>
          <w:numId w:val="3"/>
        </w:numPr>
        <w:spacing w:after="240" w:before="240" w:lineRule="auto"/>
        <w:ind w:left="720" w:hanging="360"/>
      </w:pPr>
      <w:r w:rsidDel="00000000" w:rsidR="00000000" w:rsidRPr="00000000">
        <w:rPr>
          <w:rtl w:val="0"/>
        </w:rPr>
        <w:t xml:space="preserve">"Nuestros requerimientos funcionales incluyen bloquear endpoints premium y ocultar componentes según el plan de la clínica. Contaremos con permisos granulares extraídos directamente del token JWT y roles predefinidos. La interfaz permitirá cambiar el idioma en tiempo real y alternar entre temas visuales. La auditoría registrará cinco dimensiones forenses por cada evento y permitirá la exportación en planes Enterprise. Finalmente, la gestión de exámenes permitirá cargar archivos con metadatos y listarlos paginados junto a las sesiones clínicas."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Diapositiva 9: Requerimientos No Funcionales</w:t>
      </w:r>
    </w:p>
    <w:p w:rsidR="00000000" w:rsidDel="00000000" w:rsidP="00000000" w:rsidRDefault="00000000" w:rsidRPr="00000000" w14:paraId="00000017">
      <w:pPr>
        <w:numPr>
          <w:ilvl w:val="0"/>
          <w:numId w:val="10"/>
        </w:numPr>
        <w:spacing w:after="240" w:before="240" w:lineRule="auto"/>
        <w:ind w:left="720" w:hanging="360"/>
      </w:pPr>
      <w:r w:rsidDel="00000000" w:rsidR="00000000" w:rsidRPr="00000000">
        <w:rPr>
          <w:rtl w:val="0"/>
        </w:rPr>
        <w:t xml:space="preserve">"Desde el punto de vista técnico, nuestra arquitectura está diseñada con enfoque API-First y replicación según demanda. Para la seguridad, garantizamos multitenancy estricto, uso de HTTPS/TLS, y logs de solo escritura para asegurar el no repudio. El sistema está alineado a las normativas de la ISO 27001 y la UK GDPR. En términos de mantenibilidad, la UI usará textos dinámicos sin 'hardcode' y  garantizaremos la calidad asegurando un contraste legible acorde a las normas de accesibilidad WCAG."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Diapositiva 10: Riesgos y Flujo End-to-End</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"Hemos mapeado ciertos riesgos técnicos. Para mitigar fugas de datos entre clínicas, aplicaremos un filtrado estricto por Tenant ID en los middlewares. Para evitar la saturación de almacenamiento, usaremos URLs firmadas con expiración en MinIO/S3. El riesgo de incumplimiento normativo lo abordamos con un log de auditoría inmutable en PostgreSQL."</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"En la práctica, cuando un usuario sube un examen, el flujo cuenta con 8 pasos: primero se autentica con JWT, luego se valida el 'clinic_id', se autoriza por RBAC, se valida el tamaño y MIME del archivo, el archivo va a MinIO, los metadatos a PostgreSQL, se genera el evento de auditoría inmutable, y finalmente se responde a la web o móvil."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Diapositiva 11: Vista de Alto Nivel</w:t>
      </w:r>
    </w:p>
    <w:p w:rsidR="00000000" w:rsidDel="00000000" w:rsidP="00000000" w:rsidRDefault="00000000" w:rsidRPr="00000000" w14:paraId="0000001C">
      <w:pPr>
        <w:numPr>
          <w:ilvl w:val="0"/>
          <w:numId w:val="9"/>
        </w:numPr>
        <w:spacing w:after="240" w:before="240" w:lineRule="auto"/>
        <w:ind w:left="720" w:hanging="360"/>
      </w:pPr>
      <w:r w:rsidDel="00000000" w:rsidR="00000000" w:rsidRPr="00000000">
        <w:rPr>
          <w:rtl w:val="0"/>
        </w:rPr>
        <w:t xml:space="preserve">"Nuestra arquitectura conceptual posiciona a los clientes web y móviles en la capa superior. Estos se comunican con nuestra API en Node.js, pasando siempre por la capa de seguridad que evalúa el Token, el Tenant, y el Feature Gating. Debajo se encuentra la capa de datos con PostgreSQL y MinIO, respaldada paralelamente por el sistema de trazabilidad de auditoría inmutable."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Diapositiva 12: Forma de Trabajo</w:t>
      </w:r>
    </w:p>
    <w:p w:rsidR="00000000" w:rsidDel="00000000" w:rsidP="00000000" w:rsidRDefault="00000000" w:rsidRPr="00000000" w14:paraId="0000001E">
      <w:pPr>
        <w:numPr>
          <w:ilvl w:val="0"/>
          <w:numId w:val="12"/>
        </w:numPr>
        <w:spacing w:after="240" w:before="240" w:lineRule="auto"/>
        <w:ind w:left="720" w:hanging="360"/>
      </w:pPr>
      <w:r w:rsidDel="00000000" w:rsidR="00000000" w:rsidRPr="00000000">
        <w:rPr>
          <w:rtl w:val="0"/>
        </w:rPr>
        <w:t xml:space="preserve">"Trabajaremos bajo una metodología ágil e iterativa basada en Scrum. Consiste en cinco pasos continuos: levantamiento del Product Backlog, diseño técnico de la arquitectura, implementación incremental por capas, verificación continua con pruebas unitarias en Jest, y validación periódica con el equipo en cada Sprint Review."</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Diapositiva 13: Stack del Proyecto</w:t>
      </w:r>
    </w:p>
    <w:p w:rsidR="00000000" w:rsidDel="00000000" w:rsidP="00000000" w:rsidRDefault="00000000" w:rsidRPr="00000000" w14:paraId="00000020">
      <w:pPr>
        <w:numPr>
          <w:ilvl w:val="0"/>
          <w:numId w:val="4"/>
        </w:numPr>
        <w:spacing w:after="240" w:before="240" w:lineRule="auto"/>
        <w:ind w:left="720" w:hanging="360"/>
      </w:pPr>
      <w:r w:rsidDel="00000000" w:rsidR="00000000" w:rsidRPr="00000000">
        <w:rPr>
          <w:rtl w:val="0"/>
        </w:rPr>
        <w:t xml:space="preserve">"Resumiendo la tecnología que utilizaremos: el backend usará Node.js, TypeScript y Express. Los datos vivirán en PostgreSQL y MinIO/S3. Levantaremos la infraestructura de desarrollo con Docker Compose. El frontend web se apoyará en HTML/CSS, mientras que la app móvil usará Flutter y Dart. El testing automatizado correrá bajo Jest y Supertest."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Diapositiva 14: Planificación</w:t>
      </w:r>
    </w:p>
    <w:p w:rsidR="00000000" w:rsidDel="00000000" w:rsidP="00000000" w:rsidRDefault="00000000" w:rsidRPr="00000000" w14:paraId="00000022">
      <w:pPr>
        <w:numPr>
          <w:ilvl w:val="0"/>
          <w:numId w:val="1"/>
        </w:numPr>
        <w:spacing w:after="240" w:before="240" w:lineRule="auto"/>
        <w:ind w:left="720" w:hanging="360"/>
      </w:pPr>
      <w:r w:rsidDel="00000000" w:rsidR="00000000" w:rsidRPr="00000000">
        <w:rPr>
          <w:rtl w:val="0"/>
        </w:rPr>
        <w:t xml:space="preserve">"Nuestro cronograma se divide en 9 iteraciones, partiendo por un Sprint 0 enfocado en definir la arquitectura y preparar Docker. El Sprint 1 cimentará la seguridad multitenant y los roles. El Sprint 2 construirá el core del procesamiento de archivos médicos en el backend. Luego, los sprints 3 al 5 se centrarán en la construcción del panel web de clínicas y la app móvil de pacientes. El Sprint 6 sumará integraciones externas, el Sprint 7 será para pruebas de aceptación (UAT), y cerraremos con el despliegue a producción en el Sprint 8."</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Diapositiva 15: Cierre</w:t>
      </w:r>
    </w:p>
    <w:p w:rsidR="00000000" w:rsidDel="00000000" w:rsidP="00000000" w:rsidRDefault="00000000" w:rsidRPr="00000000" w14:paraId="00000024">
      <w:pPr>
        <w:numPr>
          <w:ilvl w:val="0"/>
          <w:numId w:val="13"/>
        </w:numPr>
        <w:spacing w:after="240" w:before="240" w:lineRule="auto"/>
        <w:ind w:left="720" w:hanging="360"/>
      </w:pPr>
      <w:r w:rsidDel="00000000" w:rsidR="00000000" w:rsidRPr="00000000">
        <w:rPr>
          <w:rtl w:val="0"/>
        </w:rPr>
        <w:t xml:space="preserve">"Para concluir, este módulo aportará gran valor a WellQ al centralizar la documentación y reducir drásticamente la carga manual de exámenes. Logramos combinar funcionalidad de cara al paciente con una fuerte seguridad, multitenancy y trazabilidad a nivel clínico. Además, sentamos las bases de una arquitectura moderna que en el futuro permitirá incorporar inteligencia artificial y nuevas automatizaciones. Muchas gracias por su atención."</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