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2"/>
          <w:szCs w:val="52"/>
        </w:rPr>
        <w:t xml:space="preserve">Especificación de Requerimientos</w:t>
      </w:r>
    </w:p>
    <w:p>
      <w:pPr>
        <w:pBdr>
          <w:bottom w:val="single" w:color="1F4E79" w:sz="12" w:space="8"/>
        </w:pBdr>
        <w:spacing w:after="400"/>
        <w:jc w:val="center"/>
      </w:pPr>
      <w:r>
        <w:rPr>
          <w:rFonts w:ascii="Calibri" w:cs="Calibri" w:eastAsia="Calibri" w:hAnsi="Calibri"/>
          <w:color w:val="595959"/>
          <w:sz w:val="28"/>
          <w:szCs w:val="28"/>
        </w:rPr>
        <w:t xml:space="preserve">Requerimientos Funcionales y No Funcionales</w:t>
      </w:r>
    </w:p>
    <w:p>
      <w:pPr>
        <w:spacing w:after="100" w:before="400"/>
        <w:jc w:val="center"/>
      </w:pPr>
      <w:r>
        <w:rPr>
          <w:rFonts w:ascii="Calibri" w:cs="Calibri" w:eastAsia="Calibri" w:hAnsi="Calibri"/>
          <w:color w:val="595959"/>
          <w:sz w:val="22"/>
          <w:szCs w:val="22"/>
        </w:rPr>
        <w:t xml:space="preserve">27 requerimientos funcionales  ·  20 requerimientos no funcionales</w:t>
      </w:r>
    </w:p>
    <w:p>
      <w:pPr>
        <w:spacing w:after="100"/>
        <w:jc w:val="center"/>
      </w:pPr>
      <w:r>
        <w:rPr>
          <w:rFonts w:ascii="Calibri" w:cs="Calibri" w:eastAsia="Calibri" w:hAnsi="Calibri"/>
          <w:color w:val="595959"/>
          <w:sz w:val="22"/>
          <w:szCs w:val="22"/>
        </w:rPr>
        <w:t xml:space="preserve">Octubre 2026</w:t>
      </w:r>
    </w:p>
    <w:p>
      <w:pPr>
        <w:pStyle w:val="Heading1"/>
        <w:pageBreakBefore/>
        <w:spacing w:after="160" w:before="0"/>
      </w:pPr>
      <w:r>
        <w:rPr>
          <w:rFonts w:ascii="Calibri" w:cs="Calibri" w:eastAsia="Calibri" w:hAnsi="Calibri"/>
          <w:b/>
          <w:bCs/>
          <w:color w:val="1F4E79"/>
          <w:sz w:val="32"/>
          <w:szCs w:val="32"/>
        </w:rPr>
        <w:t xml:space="preserve">1. Requerimientos Funcionales (RF)</w:t>
      </w:r>
    </w:p>
    <w:p>
      <w:pPr>
        <w:pStyle w:val="Heading2"/>
        <w:keepNext/>
        <w:spacing w:after="120" w:before="280"/>
      </w:pPr>
      <w:r>
        <w:rPr>
          <w:rFonts w:ascii="Calibri" w:cs="Calibri" w:eastAsia="Calibri" w:hAnsi="Calibri"/>
          <w:b/>
          <w:bCs/>
          <w:color w:val="2E75B6"/>
          <w:sz w:val="26"/>
          <w:szCs w:val="26"/>
        </w:rPr>
        <w:t xml:space="preserve">Módulo 1.1: Carga y Sincronización Móvil (App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RF-1.1.1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 aplicación debe permitir seleccionar archivos de exámenes médicos en formatos PDF, JPG, JPEG, PNG y HEIC.</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RF-1.1.2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tamaño máximo permitido por archivo debe ser validado y configurado desde el servidor, sin estar directamente codificado (hard-coded) en el cliente móvil.</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RF-1.1.3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 aplicación móvil debe copiar el documento seleccionado a un directorio privado del sistema y encolarlo en una base de datos local (Drift/SQLite).</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RF-1.1.4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Un proceso en segundo plano (worker) debe subir asíncronamente el archivo a Google Cloud Storage usando URLs firmadas.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RF-1.1.5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proveer la capacidad de refrescar una URL firmada expirada sin generar registros duplicados en la base de datos.</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RF-1.1.6</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La aplicación móvil debe eliminar el archivo local única y exclusivamente cuando el servidor devuelva el flag local_file_can_be_deleted: true.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RF-1.1.7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paciente debe poder listar, visualizar, editar metadatos descriptivos (solo si no han sido revisados clínicamente) y aplicar un borrado lógico (soft-delete) a sus propios exámenes.</w:t>
            </w:r>
          </w:p>
        </w:tc>
      </w:tr>
    </w:tbl>
    <w:p>
      <w:pPr>
        <w:pStyle w:val="Heading2"/>
        <w:keepNext/>
        <w:spacing w:after="120" w:before="280"/>
      </w:pPr>
      <w:r>
        <w:rPr>
          <w:rFonts w:ascii="Calibri" w:cs="Calibri" w:eastAsia="Calibri" w:hAnsi="Calibri"/>
          <w:b/>
          <w:bCs/>
          <w:color w:val="2E75B6"/>
          <w:sz w:val="26"/>
          <w:szCs w:val="26"/>
        </w:rPr>
        <w:t xml:space="preserve">Módulo 1.2: Validación y Extracción de Datos (Backend 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RF-1.2.1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servidor debe validar el archivo subido confirmando su existencia, tamaño, checksum (SHA-256) y validando el tipo de contenido real mediante magic bytes.</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RF-1.2.2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Al finalizar la subida, el sistema debe encolar asíncronamente un escaneo de malware y una validación de contenido MIME.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RF-1.2.3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pre-procesar el archivo (ej. rasterizar PDFs) y enviarlo a un LLM multimodal con instrucciones para extraer datos estrictamente bajo un esquema JSON predefinido.</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RF-1.2.4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servicio de extracción debe clasificar automáticamente si el documento es una analítica de sangre, orina, imagen u otro tipo soportado.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RF-1.2.5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normalizar los datos, resolviendo nombres de marcadores hacia un catálogo interno (marker_code), asignando su unidad canónica y definiendo el rango de referencia.</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RF-1.2.6</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motor de extracción debe asignar un puntaje de confianza (de 0 a 1) por cada campo extraído.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RF-1.2.7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Los marcadores extraídos que no existan en el catálogo deben guardarse bajo el estado unmapped para que sean mostrados al usuario (sin puntaje) y deriven a un panel de operaciones interno.</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RF-1.2.8</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sistema debe detectar discrepancias de identidad (identity_mismatch) si el nombre extraído del documento no coincide con el del paciente autenticado.</w:t>
            </w:r>
          </w:p>
        </w:tc>
      </w:tr>
    </w:tbl>
    <w:p>
      <w:pPr>
        <w:pStyle w:val="Heading2"/>
        <w:keepNext/>
        <w:spacing w:after="120" w:before="280"/>
      </w:pPr>
      <w:r>
        <w:rPr>
          <w:rFonts w:ascii="Calibri" w:cs="Calibri" w:eastAsia="Calibri" w:hAnsi="Calibri"/>
          <w:b/>
          <w:bCs/>
          <w:color w:val="2E75B6"/>
          <w:sz w:val="26"/>
          <w:szCs w:val="26"/>
        </w:rPr>
        <w:t xml:space="preserve">Módulo 1.3: Confirmación y Puntuación Clínica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RF-1.3.1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paciente debe poder confirmar, descartar o corregir los valores de la extracción en una pantalla comparativa, donde los campos con baja confianza de IA aparecerán destacados obligando su revisión.</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RF-1.3.2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paciente debe tener la opción de forzar el reprocesamiento del documento (sujeto a un límite de intentos) si la extracción falló o fue descartada.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RF-1.3.3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motor de puntuación debe calcular un subscore (0 a 100) por marcador válido analizando su desviación de las zonas óptimas y críticas del rango de referencia.</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RF-1.3.4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sistema debe agregar los subscores calculando un índice de laboratorio global y un puntaje por pilar de salud (cardio, hueso, músculo, articulación).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RF-1.3.5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índice global debe recibir una penalización de puntos automática por la presencia de banderas clínicas de severidad alta (high) o crítica (critical).</w:t>
            </w:r>
          </w:p>
        </w:tc>
      </w:tr>
    </w:tbl>
    <w:p>
      <w:pPr>
        <w:pStyle w:val="Heading2"/>
        <w:keepNext/>
        <w:spacing w:after="120" w:before="280"/>
      </w:pPr>
      <w:r>
        <w:rPr>
          <w:rFonts w:ascii="Calibri" w:cs="Calibri" w:eastAsia="Calibri" w:hAnsi="Calibri"/>
          <w:b/>
          <w:bCs/>
          <w:color w:val="2E75B6"/>
          <w:sz w:val="26"/>
          <w:szCs w:val="26"/>
        </w:rPr>
        <w:t xml:space="preserve">Módulo 1.4: Gestión en Portal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RF-1.4.1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Los clínicos deben poder acceder a un listado de los exámenes en estado ready_for_review correspondientes exclusivamente a pacientes que estén bajo su ámbito de autorización.</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RF-1.4.2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portal clínico debe mostrar reportes detallados con tablas de resultados, evolución longitudinal (gráficos) de cada marcador y puntuación por pilares.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RF-1.4.3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clínico debe poder registrar la revisión oficial de un examen y opcionalmente adjuntar una nota privada que estará oculta para el paciente.</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RF-1.4.4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clínico debe poder corregir errores en los valores de la extracción, lo cual debe generar un recálculo automático de la puntuación del paciente.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RF-1.4.5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permitir la exportación de un PDF estructurado del reporte, generado y renderizado íntegramente en el servidor para evitar discrepancias visuales.</w:t>
            </w:r>
          </w:p>
        </w:tc>
      </w:tr>
    </w:tbl>
    <w:p>
      <w:pPr>
        <w:pStyle w:val="Heading2"/>
        <w:keepNext/>
        <w:spacing w:after="120" w:before="280"/>
      </w:pPr>
      <w:r>
        <w:rPr>
          <w:rFonts w:ascii="Calibri" w:cs="Calibri" w:eastAsia="Calibri" w:hAnsi="Calibri"/>
          <w:b/>
          <w:bCs/>
          <w:color w:val="2E75B6"/>
          <w:sz w:val="26"/>
          <w:szCs w:val="26"/>
        </w:rPr>
        <w:t xml:space="preserve">Módulo 1.5: Capacidades Transversales y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RF-1.5.1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interceptar solicitudes y aplicar un modelo de "Feature Gating" basado en el perfil comercial (Tier) del cliente para habilitar o bloquear funcionalidades premium.</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RF-1.5.2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La plataforma debe soportar un Control de Acceso Basado en Roles (RBAC) granular que determine permisos específicos (ej. escritura, lectura o auditoría) dentro de cada cliente.</w:t>
            </w:r>
          </w:p>
        </w:tc>
      </w:tr>
    </w:tbl>
    <w:p>
      <w:pPr>
        <w:pStyle w:val="Heading1"/>
        <w:pageBreakBefore/>
        <w:spacing w:after="160" w:before="0"/>
      </w:pPr>
      <w:r>
        <w:rPr>
          <w:rFonts w:ascii="Calibri" w:cs="Calibri" w:eastAsia="Calibri" w:hAnsi="Calibri"/>
          <w:b/>
          <w:bCs/>
          <w:color w:val="1F4E79"/>
          <w:sz w:val="32"/>
          <w:szCs w:val="32"/>
        </w:rPr>
        <w:t xml:space="preserve">2. Requerimientos No Funcionales (RNF)</w:t>
      </w:r>
    </w:p>
    <w:p>
      <w:pPr>
        <w:pStyle w:val="Heading2"/>
        <w:keepNext/>
        <w:spacing w:after="120" w:before="280"/>
      </w:pPr>
      <w:r>
        <w:rPr>
          <w:rFonts w:ascii="Calibri" w:cs="Calibri" w:eastAsia="Calibri" w:hAnsi="Calibri"/>
          <w:b/>
          <w:bCs/>
          <w:color w:val="2E75B6"/>
          <w:sz w:val="26"/>
          <w:szCs w:val="26"/>
        </w:rPr>
        <w:t xml:space="preserve">Módulo 2.1: Arquitectura de Software e Interoperabilidad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RNF-2.1.1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proyecto debe construirse bajo el paradigma "API-First", exponiendo toda lógica de negocio mediante estándares REST o GraphQL.</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RNF-2.1.2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diseño de backend debe ser en FastAPI (Python), utilizando MongoDB para persistencia de datos y un bucket privado de Google Cloud Storage para los multimedia.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RNF-2.1.3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 arquitectura debe soportar "multi-tenancy", aplicando un aislamiento lógico estricto donde toda transacción de base de datos o llamada incluya el identificador client_id.</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RNF-2.1.4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sistema de base de datos debe contemplar una colección desnormalizada de marcadores confirmados (clinical_markers) para facilitar la consulta rápida de series temporales.</w:t>
            </w:r>
          </w:p>
        </w:tc>
      </w:tr>
    </w:tbl>
    <w:p>
      <w:pPr>
        <w:pStyle w:val="Heading2"/>
        <w:keepNext/>
        <w:spacing w:after="120" w:before="280"/>
      </w:pPr>
      <w:r>
        <w:rPr>
          <w:rFonts w:ascii="Calibri" w:cs="Calibri" w:eastAsia="Calibri" w:hAnsi="Calibri"/>
          <w:b/>
          <w:bCs/>
          <w:color w:val="2E75B6"/>
          <w:sz w:val="26"/>
          <w:szCs w:val="26"/>
        </w:rPr>
        <w:t xml:space="preserve">Módulo 2.2: Rendimiento, Concurrencia y Tolerancia a Fallos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RNF-2.2.1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Los endpoints transaccionales del cliente (initiate, refresh-url, complete) deben ser estrictamente idempotentes mediante el uso de la cabecera Idempotency-Key y un client_upload_id.</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RNF-2.2.2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La aplicación móvil debe implementar reintentos de red con retroceso exponencial (exponential backoff) y jitter para el sondeo (polling) ante posibles fallos de almacenamiento o errores 5xx.</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RNF-2.2.3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tiempo transcurrido desde que un objeto es verificado hasta que su extracción está lista para confirmación no debe exceder los 90 segundos en el percentil 90.</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RNF-2.2.4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modelo LLM debe cumplir un estándar de precisión &gt;99% en valores y unidades sobre pruebas, y su tasa de alucinación debe ser estrictamente menor al 0,2%.</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RNF-2.2.5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Se deben implementar límites de tasa de peticiones (rate limiting) y un límite máximo de cuota de almacenamiento y subidas concurrentes por paciente.</w:t>
            </w:r>
          </w:p>
        </w:tc>
      </w:tr>
    </w:tbl>
    <w:p>
      <w:pPr>
        <w:pStyle w:val="Heading2"/>
        <w:keepNext/>
        <w:spacing w:after="120" w:before="280"/>
      </w:pPr>
      <w:r>
        <w:rPr>
          <w:rFonts w:ascii="Calibri" w:cs="Calibri" w:eastAsia="Calibri" w:hAnsi="Calibri"/>
          <w:b/>
          <w:bCs/>
          <w:color w:val="2E75B6"/>
          <w:sz w:val="26"/>
          <w:szCs w:val="26"/>
        </w:rPr>
        <w:t xml:space="preserve">Módulo 2.3: Privacidad, Seguridad y Cumplimiento Regulatorio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RNF-2.3.1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Todos los datos en tránsito y en reposo deben estar cifrados (TLS en tránsito, cifrado en buckets GCS y bases de datos).</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RNF-2.3.2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backend debe resolver el ID del paciente (patient_id) y su rol exclusivamente leyendo los claims (contenido) del token JWT y no aceptar claves de identidad falsificables del cuerpo de la solicitud.</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RNF-2.3.3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sistema debe proveer una opción granular de consentimiento, permitiendo al paciente subir archivos para el médico sin aceptar el procesamiento y extracción vía IA de terceros.</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RNF-2.3.4</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proveedor del modelo LLM debe operar bajo un contrato de encargado de tratamiento, con cero retención de datos, sin revisión humana y sin utilizar las peticiones para entrenar IA.</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RNF-2.3.5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Bajo ninguna circunstancia los registros de log del sistema (auditorías técnicas) pueden almacenar tokens de seguridad, contenido clínico o información de los marcadores.</w:t>
            </w:r>
          </w:p>
        </w:tc>
      </w:tr>
    </w:tbl>
    <w:p>
      <w:pPr>
        <w:pStyle w:val="Heading2"/>
        <w:keepNext/>
        <w:spacing w:after="120" w:before="280"/>
      </w:pPr>
      <w:r>
        <w:rPr>
          <w:rFonts w:ascii="Calibri" w:cs="Calibri" w:eastAsia="Calibri" w:hAnsi="Calibri"/>
          <w:b/>
          <w:bCs/>
          <w:color w:val="2E75B6"/>
          <w:sz w:val="26"/>
          <w:szCs w:val="26"/>
        </w:rPr>
        <w:t xml:space="preserve">Módulo 2.4: Trazabilidad y Auditoría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RNF-2.4.1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Toda la puntuación clínica debe conservarse mediante instantáneas inmutables (Snapshots) que especifiquen qué versión del catálogo y del modelo se utilizó.</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RNF-2.4.2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ecosistema debe grabar Logs de Auditoría inmutables estructurados en 5 dimensiones obligatorias: Quién, Qué, Cuándo (timestamp ISO 8601 con milisegundos), Desde dónde y Resultado de la acción.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RNF-2.4.3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El almacenamiento y retención temporal de la auditoría de logs debe segmentarse (Tiered Storage) según el perfil comercial del cliente, manteniendo los logs de seguridad críticos en repositorios de "solo escritura" (o con firmas digitales).</w:t>
            </w:r>
          </w:p>
        </w:tc>
      </w:tr>
    </w:tbl>
    <w:p>
      <w:pPr>
        <w:pStyle w:val="Heading2"/>
        <w:keepNext/>
        <w:spacing w:after="120" w:before="280"/>
      </w:pPr>
      <w:r>
        <w:rPr>
          <w:rFonts w:ascii="Calibri" w:cs="Calibri" w:eastAsia="Calibri" w:hAnsi="Calibri"/>
          <w:b/>
          <w:bCs/>
          <w:color w:val="2E75B6"/>
          <w:sz w:val="26"/>
          <w:szCs w:val="26"/>
        </w:rPr>
        <w:t xml:space="preserve">Módulo 2.5: Usabilidad, Accesibilidad e Internacionalización (UX/UI)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ID</w:t>
            </w:r>
          </w:p>
        </w:tc>
        <w:tc>
          <w:tcPr>
            <w:tcW w:type="dxa" w:w="7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Requerimiento</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RNF-2.5.1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Toda interfaz de usuario (web y móvil) debe integrarse a un sistema de internacionalización (i18n) basado en diccionarios externos para asegurar que no existan cadenas de texto estáticas ("hardcodeadas") en el código fuente.</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bCs/>
                <w:sz w:val="21"/>
                <w:szCs w:val="21"/>
              </w:rPr>
              <w:t xml:space="preserve">RNF-2.5.2</w:t>
            </w:r>
          </w:p>
        </w:tc>
        <w:tc>
          <w:tcPr>
            <w:tcW w:type="dxa" w:w="78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r>
              <w:rPr>
                <w:rFonts w:ascii="Calibri" w:cs="Calibri" w:eastAsia="Calibri" w:hAnsi="Calibri"/>
                <w:b w:val="false"/>
                <w:bCs w:val="false"/>
                <w:sz w:val="21"/>
                <w:szCs w:val="21"/>
              </w:rPr>
              <w:t xml:space="preserve">El frontend debe ofrecer soporte nativo de Temas Visuales (Light y Dark Mode) gestionados a través de variables CSS.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1"/>
                <w:szCs w:val="21"/>
              </w:rPr>
              <w:t xml:space="preserve">RNF-2.5.3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 nivel de accesibilidad, la interfaz clínica nunca debe usar únicamente colores para notificar estados o severidad de resultados (ej. banderas de riesgo), complementando siempre con texto descriptivo e iconos.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creator>Juan Pablo Andrés</dc:creator>
  <cp:lastModifiedBy>Un-named</cp:lastModifiedBy>
  <cp:revision>1</cp:revision>
  <dcterms:created xsi:type="dcterms:W3CDTF">2026-10-12T10:48:35.994Z</dcterms:created>
  <dcterms:modified xsi:type="dcterms:W3CDTF">2026-10-12T10:48:35.995Z</dcterms:modified>
</cp:coreProperties>
</file>

<file path=docProps/custom.xml><?xml version="1.0" encoding="utf-8"?>
<Properties xmlns="http://schemas.openxmlformats.org/officeDocument/2006/custom-properties" xmlns:vt="http://schemas.openxmlformats.org/officeDocument/2006/docPropsVTypes"/>
</file>