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60"/>
        <w:jc w:val="left"/>
        <w:tblLayout w:type="fixed"/>
        <w:tblLook w:firstColumn="1" w:firstRow="1" w:lastColumn="0" w:lastRow="0" w:noHBand="0" w:noVBand="1" w:val="04A0"/>
      </w:tblPr>
      <w:tblGrid>
        <w:gridCol w:w="7000"/>
        <w:gridCol w:w="3560"/>
      </w:tblGrid>
      <w:tr>
        <w:tc>
          <w:tcPr>
            <w:tcW w:type="dxa" w:w="7000"/>
            <w:shd w:fill="0B1F33"/>
            <w:tcMar>
              <w:top w:w="12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44"/>
              </w:rPr>
              <w:t>DILIP KUMAR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65E0D7"/>
                <w:sz w:val="19"/>
              </w:rPr>
              <w:t>CLOUD ARCHITECT &amp; SOLUTION SPECIALIST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DCEBF0"/>
                <w:sz w:val="14"/>
              </w:rPr>
              <w:t>AWS  |  AZURE  |  CLOUD MIGRATION  |  FINOPS  |  DEVOPS</w:t>
            </w:r>
          </w:p>
        </w:tc>
        <w:tc>
          <w:tcPr>
            <w:tcW w:type="dxa" w:w="3560"/>
            <w:shd w:fill="00A99D"/>
            <w:tcMar>
              <w:top w:w="120" w:type="dxa"/>
              <w:start w:w="170" w:type="dxa"/>
              <w:bottom w:w="110" w:type="dxa"/>
              <w:end w:w="17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0B1F33"/>
                <w:sz w:val="16"/>
              </w:rPr>
              <w:t>NEW DELHI, INDIA</w:t>
            </w:r>
          </w:p>
          <w:p>
            <w:pPr>
              <w:spacing w:after="20"/>
            </w:pPr>
            <w:hyperlink r:id="rId9">
              <w:r>
                <w:rPr>
                  <w:color w:val="FFFFFF"/>
                  <w:u w:val="single"/>
                  <w:b/>
                </w:rPr>
                <w:t>dilipsook@gmail.com</w:t>
              </w:r>
            </w:hyperlink>
          </w:p>
          <w:p>
            <w:pPr>
              <w:spacing w:after="20"/>
            </w:pPr>
            <w:hyperlink r:id="rId10">
              <w:r>
                <w:rPr>
                  <w:color w:val="FFFFFF"/>
                  <w:u w:val="single"/>
                  <w:b/>
                </w:rPr>
                <w:t>linkedin.com/in/dilipsookk</w:t>
              </w:r>
            </w:hyperlink>
          </w:p>
          <w:p>
            <w:pPr>
              <w:spacing w:after="20"/>
            </w:pPr>
            <w:hyperlink r:id="rId11">
              <w:r>
                <w:rPr>
                  <w:color w:val="FFFFFF"/>
                  <w:u w:val="single"/>
                  <w:b/>
                </w:rPr>
                <w:t>dilipsook.github.io</w:t>
              </w:r>
            </w:hyperlink>
          </w:p>
          <w:p>
            <w:pPr>
              <w:spacing w:after="0"/>
            </w:pPr>
            <w:r>
              <w:rPr>
                <w:color w:val="0B1F33"/>
                <w:sz w:val="15"/>
              </w:rPr>
              <w:t>+91-8050898731 / 7760220801</w:t>
            </w:r>
          </w:p>
        </w:tc>
      </w:tr>
    </w:tbl>
    <w:tbl>
      <w:tblPr>
        <w:tblW w:type="dxa" w:w="10560"/>
        <w:jc w:val="left"/>
        <w:tblLayout w:type="fixed"/>
        <w:tblLook w:firstColumn="1" w:firstRow="1" w:lastColumn="0" w:lastRow="0" w:noHBand="0" w:noVBand="1" w:val="04A0"/>
        <w:tblBorders>
          <w:top w:val="single" w:sz="3" w:color="CBDDE1"/>
          <w:left w:val="single" w:sz="3" w:color="CBDDE1"/>
          <w:bottom w:val="single" w:sz="3" w:color="CBDDE1"/>
          <w:right w:val="single" w:sz="3" w:color="CBDDE1"/>
          <w:insideH w:val="single" w:sz="3" w:color="CBDDE1"/>
          <w:insideV w:val="single" w:sz="3" w:color="CBDDE1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fill="EAF4F5"/>
            <w:tcMar>
              <w:top w:w="70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B1F33"/>
                <w:sz w:val="13"/>
              </w:rPr>
              <w:t>AWS Solutions Architect</w:t>
              <w:br/>
              <w:t>Associate</w:t>
            </w:r>
          </w:p>
        </w:tc>
        <w:tc>
          <w:tcPr>
            <w:tcW w:type="dxa" w:w="2112"/>
            <w:shd w:fill="F5FAFA"/>
            <w:tcMar>
              <w:top w:w="70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B1F33"/>
                <w:sz w:val="13"/>
              </w:rPr>
              <w:t>AWS SysOps Admin</w:t>
              <w:br/>
              <w:t>Associate</w:t>
            </w:r>
          </w:p>
        </w:tc>
        <w:tc>
          <w:tcPr>
            <w:tcW w:type="dxa" w:w="2112"/>
            <w:shd w:fill="EAF4F5"/>
            <w:tcMar>
              <w:top w:w="70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B1F33"/>
                <w:sz w:val="13"/>
              </w:rPr>
              <w:t>Azure Administrator</w:t>
              <w:br/>
              <w:t>Associate</w:t>
            </w:r>
          </w:p>
        </w:tc>
        <w:tc>
          <w:tcPr>
            <w:tcW w:type="dxa" w:w="2112"/>
            <w:shd w:fill="F5FAFA"/>
            <w:tcMar>
              <w:top w:w="70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B1F33"/>
                <w:sz w:val="13"/>
              </w:rPr>
              <w:t>Azure Network Engineer</w:t>
              <w:br/>
              <w:t>Associate</w:t>
            </w:r>
          </w:p>
        </w:tc>
        <w:tc>
          <w:tcPr>
            <w:tcW w:type="dxa" w:w="2112"/>
            <w:shd w:fill="EAF4F5"/>
            <w:tcMar>
              <w:top w:w="70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B1F33"/>
                <w:sz w:val="13"/>
              </w:rPr>
              <w:t>MCSA Windows</w:t>
              <w:br/>
              <w:t>Server 2016</w:t>
            </w:r>
          </w:p>
        </w:tc>
      </w:tr>
    </w:tbl>
    <w:p>
      <w:pPr>
        <w:pStyle w:val="Heading1"/>
        <w:pBdr>
          <w:bottom w:val="single" w:sz="12" w:space="2" w:color="00A99D"/>
        </w:pBdr>
      </w:pPr>
      <w:r>
        <w:t>TECHNICAL PROFILE</w:t>
      </w:r>
    </w:p>
    <w:p>
      <w:pPr>
        <w:spacing w:after="80"/>
      </w:pPr>
      <w:r>
        <w:rPr>
          <w:rFonts w:ascii="Arial" w:hAnsi="Arial"/>
          <w:b/>
          <w:color w:val="172433"/>
          <w:sz w:val="18"/>
        </w:rPr>
        <w:t xml:space="preserve">Cloud Architect and Solution Specialist with 9+ years of infrastructure experience. </w:t>
      </w:r>
      <w:r>
        <w:rPr>
          <w:rFonts w:ascii="Arial" w:hAnsi="Arial"/>
          <w:color w:val="526274"/>
          <w:sz w:val="18"/>
        </w:rPr>
        <w:t>Designs secure, highly available, cost-optimized platforms; executes large-scale server and database migrations; automates infrastructure delivery; and leads operations across cloud, Linux, Windows, networking, security, monitoring, and FinOps. Delivered solutions for Johnson &amp; Johnson, LoanTap, ISRO, Indian Air Force, NIMHANS, Navi, ServicePlus, and Biryani By Kilo.</w:t>
      </w:r>
    </w:p>
    <w:p>
      <w:pPr>
        <w:pStyle w:val="Heading1"/>
        <w:pBdr>
          <w:bottom w:val="single" w:sz="12" w:space="2" w:color="00A99D"/>
        </w:pBdr>
      </w:pPr>
      <w:r>
        <w:t>CORE TECHNOLOGY STACK</w:t>
      </w:r>
    </w:p>
    <w:tbl>
      <w:tblPr>
        <w:tblW w:type="dxa" w:w="10560"/>
        <w:jc w:val="left"/>
        <w:tblLayout w:type="fixed"/>
        <w:tblLook w:firstColumn="1" w:firstRow="1" w:lastColumn="0" w:lastRow="0" w:noHBand="0" w:noVBand="1" w:val="04A0"/>
        <w:tblBorders>
          <w:top w:val="single" w:sz="3" w:color="CBDDE1"/>
          <w:left w:val="single" w:sz="3" w:color="CBDDE1"/>
          <w:bottom w:val="single" w:sz="3" w:color="CBDDE1"/>
          <w:right w:val="single" w:sz="3" w:color="CBDDE1"/>
          <w:insideH w:val="single" w:sz="3" w:color="CBDDE1"/>
          <w:insideV w:val="single" w:sz="3" w:color="CBDDE1"/>
        </w:tblBorders>
      </w:tblPr>
      <w:tblGrid>
        <w:gridCol w:w="2200"/>
        <w:gridCol w:w="8360"/>
      </w:tblGrid>
      <w:tr>
        <w:tc>
          <w:tcPr>
            <w:tcW w:type="dxa" w:w="2200"/>
            <w:shd w:fill="EAF4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AWS</w:t>
            </w:r>
          </w:p>
        </w:tc>
        <w:tc>
          <w:tcPr>
            <w:tcW w:type="dxa" w:w="836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EC2, S3, EBS, EFS, RDS, Aurora, Lambda, VPC, ELB/ALB, ASG, Route 53, CloudFront, Global Accelerator, Backup, DMS, MGN, Migration Hub, IAM, WAF, Shield, GuardDuty, CloudWatch, EKS</w:t>
            </w:r>
          </w:p>
        </w:tc>
      </w:tr>
      <w:tr>
        <w:tc>
          <w:tcPr>
            <w:tcW w:type="dxa" w:w="2200"/>
            <w:shd w:fill="EAF4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Azure</w:t>
            </w:r>
          </w:p>
        </w:tc>
        <w:tc>
          <w:tcPr>
            <w:tcW w:type="dxa" w:w="836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Virtual Machines, VNets, NSGs, SQL Database, Blob Storage, Azure Files, Managed Disks, Snapshots, Availability Sets, Entra ID, Azure Monitor, Azure Migrate, Cost Management</w:t>
            </w:r>
          </w:p>
        </w:tc>
      </w:tr>
      <w:tr>
        <w:tc>
          <w:tcPr>
            <w:tcW w:type="dxa" w:w="2200"/>
            <w:shd w:fill="EAF4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DevOps &amp; IaC</w:t>
            </w:r>
          </w:p>
        </w:tc>
        <w:tc>
          <w:tcPr>
            <w:tcW w:type="dxa" w:w="836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Terraform, AWS CloudFormation, Jenkins, GitHub, CI/CD pipelines, Bash scripting, infrastructure automation, container orchestration, Kubernetes/EKS</w:t>
            </w:r>
          </w:p>
        </w:tc>
      </w:tr>
      <w:tr>
        <w:tc>
          <w:tcPr>
            <w:tcW w:type="dxa" w:w="2200"/>
            <w:shd w:fill="EAF4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Systems &amp; Web</w:t>
            </w:r>
          </w:p>
        </w:tc>
        <w:tc>
          <w:tcPr>
            <w:tcW w:type="dxa" w:w="836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Linux, Windows Server 2012R2/2016, ADDS, GPO, DNS, DHCP, IIS, Hyper-V, Apache, Nginx, Tomcat, WebLogic, WordPress, PHP, Redis</w:t>
            </w:r>
          </w:p>
        </w:tc>
      </w:tr>
      <w:tr>
        <w:tc>
          <w:tcPr>
            <w:tcW w:type="dxa" w:w="2200"/>
            <w:shd w:fill="EAF4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Network &amp; Security</w:t>
            </w:r>
          </w:p>
        </w:tc>
        <w:tc>
          <w:tcPr>
            <w:tcW w:type="dxa" w:w="836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VPC/VNet architecture, public/private subnets, IGW, NAT Gateway, VPN, OpenVPN, Route 53, Cloudflare, IAM, MFA, WAF rules, GuardDuty, security groups, compliance controls</w:t>
            </w:r>
          </w:p>
        </w:tc>
      </w:tr>
      <w:tr>
        <w:tc>
          <w:tcPr>
            <w:tcW w:type="dxa" w:w="2200"/>
            <w:shd w:fill="EAF4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Data, Virtualization &amp; Ops</w:t>
            </w:r>
          </w:p>
        </w:tc>
        <w:tc>
          <w:tcPr>
            <w:tcW w:type="dxa" w:w="8360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MySQL, SQL Server, RDS, AWS DMS, VMware ESXi, vCenter, Horizon VDI, RAID-5, failover clustering, Site24x7, StatusCake, ServiceNow, Zoho</w:t>
            </w:r>
          </w:p>
        </w:tc>
      </w:tr>
    </w:tbl>
    <w:p>
      <w:pPr>
        <w:pStyle w:val="Heading1"/>
        <w:pBdr>
          <w:bottom w:val="single" w:sz="12" w:space="2" w:color="00A99D"/>
        </w:pBdr>
      </w:pPr>
      <w:r>
        <w:t>PROFESSIONAL EXPERIENCE</w:t>
      </w:r>
    </w:p>
    <w:tbl>
      <w:tblPr>
        <w:tblW w:type="dxa" w:w="10560"/>
        <w:jc w:val="left"/>
        <w:tblLayout w:type="fixed"/>
        <w:tblLook w:firstColumn="1" w:firstRow="1" w:lastColumn="0" w:lastRow="0" w:noHBand="0" w:noVBand="1" w:val="04A0"/>
      </w:tblPr>
      <w:tblGrid>
        <w:gridCol w:w="8000"/>
        <w:gridCol w:w="2560"/>
      </w:tblGrid>
      <w:tr>
        <w:tc>
          <w:tcPr>
            <w:tcW w:type="dxa" w:w="80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2433"/>
                <w:sz w:val="19"/>
              </w:rPr>
              <w:t>Cloud Solution Specialist</w:t>
            </w:r>
          </w:p>
        </w:tc>
        <w:tc>
          <w:tcPr>
            <w:tcW w:type="dxa" w:w="25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color w:val="526274"/>
                <w:sz w:val="16"/>
              </w:rPr>
              <w:t>Dec 2022 - Present</w:t>
            </w:r>
          </w:p>
        </w:tc>
      </w:tr>
    </w:tbl>
    <w:p>
      <w:pPr>
        <w:spacing w:after="20"/>
      </w:pPr>
      <w:r>
        <w:rPr>
          <w:rFonts w:ascii="Arial" w:hAnsi="Arial"/>
          <w:b/>
          <w:color w:val="00A99D"/>
          <w:sz w:val="16"/>
        </w:rPr>
        <w:t>Hanu Software (now part of Insight) | Client: Johnson &amp; Johnson</w:t>
      </w:r>
    </w:p>
    <w:p>
      <w:pPr>
        <w:spacing w:after="40" w:line="250" w:lineRule="auto"/>
      </w:pPr>
      <w:r>
        <w:t>Own cloud solution design and delivery for enterprise workloads across AWS and Azure, with emphasis on secure architecture, migration, operational reliability, and automation.</w:t>
      </w:r>
    </w:p>
    <w:p>
      <w:pPr>
        <w:pStyle w:val="ResumeBullet"/>
      </w:pPr>
      <w:r>
        <w:rPr>
          <w:color w:val="00A99D"/>
        </w:rPr>
        <w:t xml:space="preserve">• </w:t>
      </w:r>
      <w:r>
        <w:t>Designed scalable AWS infrastructure using EC2, S3, RDS, Lambda, ELB/ALB, VPC, IAM, WAF, and Shield for regulated enterprise applications.</w:t>
      </w:r>
    </w:p>
    <w:p>
      <w:pPr>
        <w:pStyle w:val="ResumeBullet"/>
      </w:pPr>
      <w:r>
        <w:rPr>
          <w:color w:val="00A99D"/>
        </w:rPr>
        <w:t xml:space="preserve">• </w:t>
      </w:r>
      <w:r>
        <w:t>Migrated servers and databases from on-premises environments using AWS MGN, AWS DMS, Azure Migrate, discovery, dependency assessment, validation, and cutover planning.</w:t>
      </w:r>
    </w:p>
    <w:p>
      <w:pPr>
        <w:pStyle w:val="ResumeBullet"/>
      </w:pPr>
      <w:r>
        <w:rPr>
          <w:color w:val="00A99D"/>
        </w:rPr>
        <w:t xml:space="preserve">• </w:t>
      </w:r>
      <w:r>
        <w:t>Built reusable CloudFormation and Terraform patterns, standardized provisioning, and supported CI/CD-driven deployments.</w:t>
      </w:r>
    </w:p>
    <w:p>
      <w:pPr>
        <w:pStyle w:val="ResumeBullet"/>
      </w:pPr>
      <w:r>
        <w:rPr>
          <w:color w:val="00A99D"/>
        </w:rPr>
        <w:t xml:space="preserve">• </w:t>
      </w:r>
      <w:r>
        <w:t>Administered Linux, Apache, Nginx, MySQL, Oracle WebLogic, patching, monitoring, incident response, and production troubleshooting.</w:t>
      </w:r>
    </w:p>
    <w:p>
      <w:pPr>
        <w:pStyle w:val="ResumeBullet"/>
      </w:pPr>
      <w:r>
        <w:rPr>
          <w:color w:val="00A99D"/>
        </w:rPr>
        <w:t xml:space="preserve">• </w:t>
      </w:r>
      <w:r>
        <w:t>Led architecture discussions and knowledge-sharing sessions with client teams, improving cloud adoption and operational handoff.</w:t>
      </w:r>
    </w:p>
    <w:tbl>
      <w:tblPr>
        <w:tblW w:type="dxa" w:w="10560"/>
        <w:jc w:val="left"/>
        <w:tblLayout w:type="fixed"/>
        <w:tblLook w:firstColumn="1" w:firstRow="1" w:lastColumn="0" w:lastRow="0" w:noHBand="0" w:noVBand="1" w:val="04A0"/>
      </w:tblPr>
      <w:tblGrid>
        <w:gridCol w:w="8000"/>
        <w:gridCol w:w="2560"/>
      </w:tblGrid>
      <w:tr>
        <w:tc>
          <w:tcPr>
            <w:tcW w:type="dxa" w:w="80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2433"/>
                <w:sz w:val="19"/>
              </w:rPr>
              <w:t>Cloud Specialist</w:t>
            </w:r>
          </w:p>
        </w:tc>
        <w:tc>
          <w:tcPr>
            <w:tcW w:type="dxa" w:w="25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color w:val="526274"/>
                <w:sz w:val="16"/>
              </w:rPr>
              <w:t>Jan 2022 - Dec 2022</w:t>
            </w:r>
          </w:p>
        </w:tc>
      </w:tr>
    </w:tbl>
    <w:p>
      <w:pPr>
        <w:spacing w:after="20"/>
      </w:pPr>
      <w:r>
        <w:rPr>
          <w:rFonts w:ascii="Arial" w:hAnsi="Arial"/>
          <w:b/>
          <w:color w:val="00A99D"/>
          <w:sz w:val="16"/>
        </w:rPr>
        <w:t>LoanTap Financial Technology Pvt Ltd</w:t>
      </w:r>
    </w:p>
    <w:p>
      <w:pPr>
        <w:spacing w:after="40" w:line="250" w:lineRule="auto"/>
      </w:pPr>
      <w:r>
        <w:t>Owned AWS infrastructure, application hosting, database operations, security controls, migrations, and FinOps for a fast-growing financial technology platform.</w:t>
      </w:r>
    </w:p>
    <w:p>
      <w:pPr>
        <w:pStyle w:val="ResumeBullet"/>
      </w:pPr>
      <w:r>
        <w:rPr>
          <w:color w:val="00A99D"/>
        </w:rPr>
        <w:t xml:space="preserve">• </w:t>
      </w:r>
      <w:r>
        <w:t>Built AWS infrastructure from scratch and deployed applications across development, staging, and production environments.</w:t>
      </w:r>
    </w:p>
    <w:p>
      <w:pPr>
        <w:pStyle w:val="ResumeBullet"/>
      </w:pPr>
      <w:r>
        <w:rPr>
          <w:color w:val="00A99D"/>
        </w:rPr>
        <w:t xml:space="preserve">• </w:t>
      </w:r>
      <w:r>
        <w:t>Managed WordPress, PHP, MySQL, Redis, Nginx, Apache, phpMyAdmin, Route 53, Cloudflare DNS/CDN, WAF, and ALB rules.</w:t>
      </w:r>
    </w:p>
    <w:p>
      <w:pPr>
        <w:pStyle w:val="ResumeBullet"/>
      </w:pPr>
      <w:r>
        <w:rPr>
          <w:color w:val="00A99D"/>
        </w:rPr>
        <w:t xml:space="preserve">• </w:t>
      </w:r>
      <w:r>
        <w:t>Executed web and database migrations from on-premises environments to AWS with backup, validation, and rollback planning.</w:t>
      </w:r>
    </w:p>
    <w:p>
      <w:pPr>
        <w:pStyle w:val="ResumeBullet"/>
      </w:pPr>
      <w:r>
        <w:rPr>
          <w:color w:val="00A99D"/>
        </w:rPr>
        <w:t xml:space="preserve">• </w:t>
      </w:r>
      <w:r>
        <w:t>Implemented CI/CD pipeline setup and operational management using GitHub/Jenkins workflows.</w:t>
      </w:r>
    </w:p>
    <w:p>
      <w:pPr>
        <w:pStyle w:val="ResumeBullet"/>
      </w:pPr>
      <w:r>
        <w:rPr>
          <w:color w:val="00A99D"/>
        </w:rPr>
        <w:t xml:space="preserve">• </w:t>
      </w:r>
      <w:r>
        <w:t>Reduced cloud spend by approximately $2,000 per month through rightsizing, scheduling, storage optimization, and billing analysis.</w:t>
      </w:r>
    </w:p>
    <w:tbl>
      <w:tblPr>
        <w:tblW w:type="dxa" w:w="10560"/>
        <w:jc w:val="left"/>
        <w:tblLayout w:type="fixed"/>
        <w:tblLook w:firstColumn="1" w:firstRow="1" w:lastColumn="0" w:lastRow="0" w:noHBand="0" w:noVBand="1" w:val="04A0"/>
      </w:tblPr>
      <w:tblGrid>
        <w:gridCol w:w="8000"/>
        <w:gridCol w:w="2560"/>
      </w:tblGrid>
      <w:tr>
        <w:tc>
          <w:tcPr>
            <w:tcW w:type="dxa" w:w="80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2433"/>
                <w:sz w:val="19"/>
              </w:rPr>
              <w:t>Team Lead - Cloud Operations</w:t>
            </w:r>
          </w:p>
        </w:tc>
        <w:tc>
          <w:tcPr>
            <w:tcW w:type="dxa" w:w="25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color w:val="526274"/>
                <w:sz w:val="16"/>
              </w:rPr>
              <w:t>Mar 2020 - Jan 2022</w:t>
            </w:r>
          </w:p>
        </w:tc>
      </w:tr>
    </w:tbl>
    <w:p>
      <w:pPr>
        <w:spacing w:after="20"/>
      </w:pPr>
      <w:r>
        <w:rPr>
          <w:rFonts w:ascii="Arial" w:hAnsi="Arial"/>
          <w:b/>
          <w:color w:val="00A99D"/>
          <w:sz w:val="16"/>
        </w:rPr>
        <w:t>Rapyder Cloud Solutions India Pvt Ltd</w:t>
      </w:r>
    </w:p>
    <w:p>
      <w:pPr>
        <w:spacing w:after="40" w:line="250" w:lineRule="auto"/>
      </w:pPr>
      <w:r>
        <w:t>Led managed cloud operations and ITIL-aligned service delivery across AWS, Windows, Linux, networking, monitoring, security, and migration engagements.</w:t>
      </w:r>
    </w:p>
    <w:p>
      <w:pPr>
        <w:pStyle w:val="ResumeBullet"/>
      </w:pPr>
      <w:r>
        <w:rPr>
          <w:color w:val="00A99D"/>
        </w:rPr>
        <w:t xml:space="preserve">• </w:t>
      </w:r>
      <w:r>
        <w:t>Managed incident, request, and change workflows while mentoring engineers and coordinating stakeholder escalations.</w:t>
      </w:r>
    </w:p>
    <w:p>
      <w:pPr>
        <w:pStyle w:val="ResumeBullet"/>
      </w:pPr>
      <w:r>
        <w:rPr>
          <w:color w:val="00A99D"/>
        </w:rPr>
        <w:t xml:space="preserve">• </w:t>
      </w:r>
      <w:r>
        <w:t>Designed VPCs, subnets, routing, NAT, VPN, security groups, IAM roles, backup, monitoring, and disaster recovery patterns.</w:t>
      </w:r>
    </w:p>
    <w:p>
      <w:pPr>
        <w:pStyle w:val="ResumeBullet"/>
      </w:pPr>
      <w:r>
        <w:rPr>
          <w:color w:val="00A99D"/>
        </w:rPr>
        <w:t xml:space="preserve">• </w:t>
      </w:r>
      <w:r>
        <w:t>Improved backup/recovery, access governance, monitoring, alerts, and cloud cost controls across managed customer environments.</w:t>
      </w:r>
    </w:p>
    <w:p>
      <w:pPr>
        <w:pStyle w:val="Heading1"/>
      </w:pPr>
      <w:r>
        <w:br w:type="page"/>
      </w:r>
      <w:r>
        <w:t>PROFESSIONAL EXPERIENCE - CONTINUED</w:t>
      </w:r>
    </w:p>
    <w:tbl>
      <w:tblPr>
        <w:tblW w:type="dxa" w:w="10560"/>
        <w:jc w:val="left"/>
        <w:tblLayout w:type="fixed"/>
        <w:tblLook w:firstColumn="1" w:firstRow="1" w:lastColumn="0" w:lastRow="0" w:noHBand="0" w:noVBand="1" w:val="04A0"/>
      </w:tblPr>
      <w:tblGrid>
        <w:gridCol w:w="8000"/>
        <w:gridCol w:w="2560"/>
      </w:tblGrid>
      <w:tr>
        <w:tc>
          <w:tcPr>
            <w:tcW w:type="dxa" w:w="800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2433"/>
                <w:sz w:val="19"/>
              </w:rPr>
              <w:t>System Engineer</w:t>
            </w:r>
          </w:p>
        </w:tc>
        <w:tc>
          <w:tcPr>
            <w:tcW w:type="dxa" w:w="25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/>
                <w:color w:val="526274"/>
                <w:sz w:val="16"/>
              </w:rPr>
              <w:t>May 2017 - Mar 2020</w:t>
            </w:r>
          </w:p>
        </w:tc>
      </w:tr>
    </w:tbl>
    <w:p>
      <w:pPr>
        <w:spacing w:after="20"/>
      </w:pPr>
      <w:r>
        <w:rPr>
          <w:rFonts w:ascii="Arial" w:hAnsi="Arial"/>
          <w:b/>
          <w:color w:val="00A99D"/>
          <w:sz w:val="16"/>
        </w:rPr>
        <w:t>Cerebra Integrated Technology Ltd</w:t>
      </w:r>
    </w:p>
    <w:p>
      <w:pPr>
        <w:spacing w:after="40" w:line="250" w:lineRule="auto"/>
      </w:pPr>
      <w:r>
        <w:t>Delivered Azure, Windows Server, data center, virtualization, networking, and database solutions for government and enterprise customers.</w:t>
      </w:r>
    </w:p>
    <w:p>
      <w:pPr>
        <w:pStyle w:val="ResumeBullet"/>
      </w:pPr>
      <w:r>
        <w:rPr>
          <w:color w:val="00A99D"/>
        </w:rPr>
        <w:t xml:space="preserve">• </w:t>
      </w:r>
      <w:r>
        <w:t>Configured Azure VMs and SQL platforms; executed database migrations, backup, disaster recovery, and performance tuning.</w:t>
      </w:r>
    </w:p>
    <w:p>
      <w:pPr>
        <w:pStyle w:val="ResumeBullet"/>
      </w:pPr>
      <w:r>
        <w:rPr>
          <w:color w:val="00A99D"/>
        </w:rPr>
        <w:t xml:space="preserve">• </w:t>
      </w:r>
      <w:r>
        <w:t>Administered Windows Server, ADDS, Group Policy, DNS, DHCP, IIS, Hyper-V, failover clusters, and enterprise domains.</w:t>
      </w:r>
    </w:p>
    <w:p>
      <w:pPr>
        <w:pStyle w:val="ResumeBullet"/>
      </w:pPr>
      <w:r>
        <w:rPr>
          <w:color w:val="00A99D"/>
        </w:rPr>
        <w:t xml:space="preserve">• </w:t>
      </w:r>
      <w:r>
        <w:t>Implemented VMware ESXi/vCenter/Horizon VDI and high-availability infrastructure for mission-critical public-sector environments.</w:t>
      </w:r>
    </w:p>
    <w:p>
      <w:pPr>
        <w:pStyle w:val="Heading1"/>
        <w:pBdr>
          <w:bottom w:val="single" w:sz="12" w:space="2" w:color="00A99D"/>
        </w:pBdr>
      </w:pPr>
      <w:r>
        <w:t>SELECTED TECHNICAL PROJECTS</w:t>
      </w:r>
    </w:p>
    <w:tbl>
      <w:tblPr>
        <w:tblW w:type="dxa" w:w="10560"/>
        <w:jc w:val="left"/>
        <w:tblLayout w:type="fixed"/>
        <w:tblLook w:firstColumn="1" w:firstRow="1" w:lastColumn="0" w:lastRow="0" w:noHBand="0" w:noVBand="1" w:val="04A0"/>
        <w:tblBorders>
          <w:top w:val="single" w:sz="3" w:color="CBDDE1"/>
          <w:left w:val="single" w:sz="3" w:color="CBDDE1"/>
          <w:bottom w:val="single" w:sz="3" w:color="CBDDE1"/>
          <w:right w:val="single" w:sz="3" w:color="CBDDE1"/>
          <w:insideH w:val="single" w:sz="3" w:color="CBDDE1"/>
          <w:insideV w:val="single" w:sz="3" w:color="CBDDE1"/>
        </w:tblBorders>
      </w:tblPr>
      <w:tblGrid>
        <w:gridCol w:w="3200"/>
        <w:gridCol w:w="7360"/>
      </w:tblGrid>
      <w:tr>
        <w:tc>
          <w:tcPr>
            <w:tcW w:type="dxa" w:w="3200"/>
            <w:tcMar>
              <w:top w:w="45" w:type="dxa"/>
              <w:start w:w="75" w:type="dxa"/>
              <w:bottom w:w="45" w:type="dxa"/>
              <w:end w:w="75" w:type="dxa"/>
            </w:tcMar>
            <w:shd w:fill="EAF4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Johnson &amp; Johnson - LabVantage LIMS</w:t>
            </w:r>
          </w:p>
        </w:tc>
        <w:tc>
          <w:tcPr>
            <w:tcW w:type="dxa" w:w="736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Secure, highly available AWS/Azure infrastructure; server/database migration; IAM, WAF, monitoring, WebLogic, and production operations.</w:t>
            </w:r>
          </w:p>
        </w:tc>
      </w:tr>
      <w:tr>
        <w:tc>
          <w:tcPr>
            <w:tcW w:type="dxa" w:w="3200"/>
            <w:tcMar>
              <w:top w:w="45" w:type="dxa"/>
              <w:start w:w="75" w:type="dxa"/>
              <w:bottom w:w="45" w:type="dxa"/>
              <w:end w:w="75" w:type="dxa"/>
            </w:tcMar>
            <w:shd w:fill="EAF4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Dhani - Cloud FinOps</w:t>
            </w:r>
          </w:p>
        </w:tc>
        <w:tc>
          <w:tcPr>
            <w:tcW w:type="dxa" w:w="736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AWS cost optimization initiative delivering approximately $28,000 per month in savings through analysis, rightsizing, commitments, and governance.</w:t>
            </w:r>
          </w:p>
        </w:tc>
      </w:tr>
      <w:tr>
        <w:tc>
          <w:tcPr>
            <w:tcW w:type="dxa" w:w="3200"/>
            <w:tcMar>
              <w:top w:w="45" w:type="dxa"/>
              <w:start w:w="75" w:type="dxa"/>
              <w:bottom w:w="45" w:type="dxa"/>
              <w:end w:w="75" w:type="dxa"/>
            </w:tcMar>
            <w:shd w:fill="EAF4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Biryani By Kilo</w:t>
            </w:r>
          </w:p>
        </w:tc>
        <w:tc>
          <w:tcPr>
            <w:tcW w:type="dxa" w:w="736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Multi-account AWS architecture using EC2, S3, EBS, Route 53, RDS, and Aurora for a high-traffic food technology platform.</w:t>
            </w:r>
          </w:p>
        </w:tc>
      </w:tr>
      <w:tr>
        <w:tc>
          <w:tcPr>
            <w:tcW w:type="dxa" w:w="3200"/>
            <w:tcMar>
              <w:top w:w="45" w:type="dxa"/>
              <w:start w:w="75" w:type="dxa"/>
              <w:bottom w:w="45" w:type="dxa"/>
              <w:end w:w="75" w:type="dxa"/>
            </w:tcMar>
            <w:shd w:fill="EAF4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Navi Migration</w:t>
            </w:r>
          </w:p>
        </w:tc>
        <w:tc>
          <w:tcPr>
            <w:tcW w:type="dxa" w:w="736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On-premises application migration to AWS via Migration Hub, landing zone, discovery, cost estimation, ALB/ASG, backup, monitoring, and GuardDuty.</w:t>
            </w:r>
          </w:p>
        </w:tc>
      </w:tr>
      <w:tr>
        <w:tc>
          <w:tcPr>
            <w:tcW w:type="dxa" w:w="3200"/>
            <w:tcMar>
              <w:top w:w="45" w:type="dxa"/>
              <w:start w:w="75" w:type="dxa"/>
              <w:bottom w:w="45" w:type="dxa"/>
              <w:end w:w="75" w:type="dxa"/>
            </w:tcMar>
            <w:shd w:fill="EAF4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ServicePlus</w:t>
            </w:r>
          </w:p>
        </w:tc>
        <w:tc>
          <w:tcPr>
            <w:tcW w:type="dxa" w:w="736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Rackspace database migration to AWS RDS using AWS DMS, including validation, cutover, and approximately $1,500 in savings.</w:t>
            </w:r>
          </w:p>
        </w:tc>
      </w:tr>
      <w:tr>
        <w:tc>
          <w:tcPr>
            <w:tcW w:type="dxa" w:w="3200"/>
            <w:tcMar>
              <w:top w:w="45" w:type="dxa"/>
              <w:start w:w="75" w:type="dxa"/>
              <w:bottom w:w="45" w:type="dxa"/>
              <w:end w:w="75" w:type="dxa"/>
            </w:tcMar>
            <w:shd w:fill="EAF4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NIMHANS</w:t>
            </w:r>
          </w:p>
        </w:tc>
        <w:tc>
          <w:tcPr>
            <w:tcW w:type="dxa" w:w="736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New AWS platform using VPC, IGW, NAT, Route 53, CloudFront, RDS, Global Accelerator, Linux, WordPress, PHP, Nginx, and Redis.</w:t>
            </w:r>
          </w:p>
        </w:tc>
      </w:tr>
      <w:tr>
        <w:tc>
          <w:tcPr>
            <w:tcW w:type="dxa" w:w="3200"/>
            <w:tcMar>
              <w:top w:w="45" w:type="dxa"/>
              <w:start w:w="75" w:type="dxa"/>
              <w:bottom w:w="45" w:type="dxa"/>
              <w:end w:w="75" w:type="dxa"/>
            </w:tcMar>
            <w:shd w:fill="EAF4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ISRO - SDSC SHAR</w:t>
            </w:r>
          </w:p>
        </w:tc>
        <w:tc>
          <w:tcPr>
            <w:tcW w:type="dxa" w:w="736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VMware ESXi, vCenter, and Horizon VDI infrastructure for 100 Dell Wyse thin clients in an isolated environment.</w:t>
            </w:r>
          </w:p>
        </w:tc>
      </w:tr>
      <w:tr>
        <w:tc>
          <w:tcPr>
            <w:tcW w:type="dxa" w:w="3200"/>
            <w:tcMar>
              <w:top w:w="45" w:type="dxa"/>
              <w:start w:w="75" w:type="dxa"/>
              <w:bottom w:w="45" w:type="dxa"/>
              <w:end w:w="75" w:type="dxa"/>
            </w:tcMar>
            <w:shd w:fill="EAF4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B1F33"/>
                <w:sz w:val="14"/>
              </w:rPr>
              <w:t>Indian Air Force</w:t>
            </w:r>
          </w:p>
        </w:tc>
        <w:tc>
          <w:tcPr>
            <w:tcW w:type="dxa" w:w="7360"/>
            <w:tcMar>
              <w:top w:w="45" w:type="dxa"/>
              <w:start w:w="75" w:type="dxa"/>
              <w:bottom w:w="4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Windows Server 2012R2, RAID-5, domain services, Hyper-V, and failover clustering on Fujitsu servers.</w:t>
            </w:r>
          </w:p>
        </w:tc>
      </w:tr>
    </w:tbl>
    <w:p>
      <w:pPr>
        <w:pStyle w:val="Heading1"/>
        <w:pBdr>
          <w:bottom w:val="single" w:sz="12" w:space="2" w:color="00A99D"/>
        </w:pBdr>
      </w:pPr>
      <w:r>
        <w:t>EDUCATION</w:t>
      </w:r>
    </w:p>
    <w:tbl>
      <w:tblPr>
        <w:tblW w:type="dxa" w:w="10560"/>
        <w:jc w:val="left"/>
        <w:tblLayout w:type="fixed"/>
        <w:tblLook w:firstColumn="1" w:firstRow="1" w:lastColumn="0" w:lastRow="0" w:noHBand="0" w:noVBand="1" w:val="04A0"/>
        <w:tblBorders>
          <w:top w:val="single" w:sz="3" w:color="CBDDE1"/>
          <w:left w:val="single" w:sz="3" w:color="CBDDE1"/>
          <w:bottom w:val="single" w:sz="3" w:color="CBDDE1"/>
          <w:right w:val="single" w:sz="3" w:color="CBDDE1"/>
          <w:insideH w:val="single" w:sz="3" w:color="CBDDE1"/>
          <w:insideV w:val="single" w:sz="3" w:color="CBDDE1"/>
        </w:tblBorders>
      </w:tblPr>
      <w:tblGrid>
        <w:gridCol w:w="5450"/>
        <w:gridCol w:w="3700"/>
        <w:gridCol w:w="1410"/>
      </w:tblGrid>
      <w:tr>
        <w:tc>
          <w:tcPr>
            <w:tcW w:type="dxa" w:w="5450"/>
            <w:shd w:fill="0B1F33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Qualification</w:t>
            </w:r>
          </w:p>
        </w:tc>
        <w:tc>
          <w:tcPr>
            <w:tcW w:type="dxa" w:w="3700"/>
            <w:shd w:fill="0B1F33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Institution</w:t>
            </w:r>
          </w:p>
        </w:tc>
        <w:tc>
          <w:tcPr>
            <w:tcW w:type="dxa" w:w="1410"/>
            <w:shd w:fill="0B1F33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Year</w:t>
            </w:r>
          </w:p>
        </w:tc>
      </w:tr>
      <w:tr>
        <w:tc>
          <w:tcPr>
            <w:tcW w:type="dxa" w:w="545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2433"/>
                <w:sz w:val="14"/>
              </w:rPr>
              <w:t>MCA - Master of Computer Applications</w:t>
            </w:r>
          </w:p>
        </w:tc>
        <w:tc>
          <w:tcPr>
            <w:tcW w:type="dxa" w:w="370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Annamalai University</w:t>
            </w:r>
          </w:p>
        </w:tc>
        <w:tc>
          <w:tcPr>
            <w:tcW w:type="dxa" w:w="14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26274"/>
                <w:sz w:val="14"/>
              </w:rPr>
              <w:t>2022</w:t>
            </w:r>
          </w:p>
        </w:tc>
      </w:tr>
      <w:tr>
        <w:tc>
          <w:tcPr>
            <w:tcW w:type="dxa" w:w="545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2433"/>
                <w:sz w:val="14"/>
              </w:rPr>
              <w:t>BCA - Bachelor of Computer Applications</w:t>
            </w:r>
          </w:p>
        </w:tc>
        <w:tc>
          <w:tcPr>
            <w:tcW w:type="dxa" w:w="370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Annamalai University</w:t>
            </w:r>
          </w:p>
        </w:tc>
        <w:tc>
          <w:tcPr>
            <w:tcW w:type="dxa" w:w="14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26274"/>
                <w:sz w:val="14"/>
              </w:rPr>
              <w:t>2020</w:t>
            </w:r>
          </w:p>
        </w:tc>
      </w:tr>
      <w:tr>
        <w:tc>
          <w:tcPr>
            <w:tcW w:type="dxa" w:w="545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2433"/>
                <w:sz w:val="14"/>
              </w:rPr>
              <w:t>Diploma in Computer Science Engineering</w:t>
            </w:r>
          </w:p>
        </w:tc>
        <w:tc>
          <w:tcPr>
            <w:tcW w:type="dxa" w:w="370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526274"/>
                <w:sz w:val="14"/>
              </w:rPr>
              <w:t>BSF Institute of Technology</w:t>
            </w:r>
          </w:p>
        </w:tc>
        <w:tc>
          <w:tcPr>
            <w:tcW w:type="dxa" w:w="14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526274"/>
                <w:sz w:val="14"/>
              </w:rPr>
              <w:t>2017</w:t>
            </w:r>
          </w:p>
        </w:tc>
      </w:tr>
    </w:tbl>
    <w:p>
      <w:pPr>
        <w:pStyle w:val="Heading1"/>
        <w:pBdr>
          <w:bottom w:val="single" w:sz="12" w:space="2" w:color="00A99D"/>
        </w:pBdr>
      </w:pPr>
      <w:r>
        <w:t>RECOGNITION &amp; LEADERSHIP</w:t>
      </w:r>
    </w:p>
    <w:tbl>
      <w:tblPr>
        <w:tblW w:type="dxa" w:w="10560"/>
        <w:tblLayout w:type="fixed"/>
        <w:tblLook w:firstColumn="1" w:firstRow="1" w:lastColumn="0" w:lastRow="0" w:noHBand="0" w:noVBand="1" w:val="04A0"/>
      </w:tblPr>
      <w:tblGrid>
        <w:gridCol w:w="3900"/>
        <w:gridCol w:w="6660"/>
      </w:tblGrid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shd w:fill="EAF4F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B1F33"/>
                <w:sz w:val="16"/>
              </w:rPr>
              <w:t>EMPLOYEE OF THE QUARTER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00A99D"/>
                <w:sz w:val="15"/>
              </w:rPr>
              <w:t>LoanTap Financial Technology | April 2022</w:t>
            </w:r>
          </w:p>
          <w:p>
            <w:pPr>
              <w:spacing w:after="0"/>
            </w:pPr>
            <w:r>
              <w:t>Recognized for exceptional cloud infrastructure work, positive business impact, ownership, and alignment with company purpose and values.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ResumeBullet"/>
            </w:pPr>
            <w:r/>
            <w:r>
              <w:rPr>
                <w:color w:val="00A99D"/>
              </w:rPr>
              <w:t xml:space="preserve">• </w:t>
            </w:r>
            <w:r>
              <w:t>Architecture leadership across discovery, design, migration, cutover, production operations, and continuous optimization.</w:t>
            </w:r>
          </w:p>
          <w:p>
            <w:pPr>
              <w:pStyle w:val="ResumeBullet"/>
            </w:pPr>
            <w:r>
              <w:rPr>
                <w:color w:val="00A99D"/>
              </w:rPr>
              <w:t xml:space="preserve">• </w:t>
            </w:r>
            <w:r>
              <w:t>Security-first delivery using IAM, MFA, WAF, GuardDuty, network controls, monitoring, and compliance-oriented practices.</w:t>
            </w:r>
          </w:p>
          <w:p>
            <w:pPr>
              <w:pStyle w:val="ResumeBullet"/>
            </w:pPr>
            <w:r>
              <w:rPr>
                <w:color w:val="00A99D"/>
              </w:rPr>
              <w:t xml:space="preserve">• </w:t>
            </w:r>
            <w:r>
              <w:t>FinOps leadership using rightsizing, scheduling, commitments, storage optimization, and billing analytics.</w:t>
            </w:r>
          </w:p>
          <w:p>
            <w:pPr>
              <w:pStyle w:val="ResumeBullet"/>
            </w:pPr>
            <w:r>
              <w:rPr>
                <w:color w:val="00A99D"/>
              </w:rPr>
              <w:t xml:space="preserve">• </w:t>
            </w:r>
            <w:r>
              <w:t>Clear stakeholder communication, technical mentoring, documentation, incident leadership, and knowledge transfer.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691" w:right="835" w:bottom="691" w:left="835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26274"/>
        <w:sz w:val="13"/>
      </w:rPr>
      <w:t>DILIP KUMAR  |  CLOUD ARCHITECT &amp; SOLUTION SPECIALIST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color w:val="52627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17243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Arial" w:hAnsi="Arial"/>
      <w:b/>
      <w:i/>
      <w:iCs/>
      <w:color w:val="00A99D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32" w:line="250" w:lineRule="auto"/>
      <w:ind w:left="259" w:hanging="173"/>
    </w:pPr>
    <w:rPr>
      <w:rFonts w:ascii="Arial" w:hAnsi="Arial"/>
      <w:color w:val="52627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ilipsook@gmail.com" TargetMode="External"/><Relationship Id="rId10" Type="http://schemas.openxmlformats.org/officeDocument/2006/relationships/hyperlink" Target="https://linkedin.com/in/dilipsookk" TargetMode="External"/><Relationship Id="rId11" Type="http://schemas.openxmlformats.org/officeDocument/2006/relationships/hyperlink" Target="https://dilipsook.github.io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Dilip Kumar - Technical Cloud Architect Resume</dc:title>
  <dc:subject>AWS, Azure, Cloud Migration, FinOps, DevOps, Infrastructure and Security</dc:subject>
  <dc:creator>Dilip Kumar</dc:creator>
  <cp:keywords>AWS, Azure, Cloud Architect, Terraform, Jenkins, CI/CD, EKS, Migration, FinOps, DevOps, Linux, Windows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