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5B8C5A"/>
          <w:sz w:val="24"/>
          <w:szCs w:val="24"/>
        </w:rPr>
        <w:t xml:space="preserve">DATA SCIENCE INTERNSHIP</w:t>
      </w:r>
    </w:p>
    <w:p>
      <w:pPr>
        <w:spacing w:after="200" w:before="300"/>
        <w:jc w:val="center"/>
      </w:pPr>
      <w:r>
        <w:rPr>
          <w:b/>
          <w:bCs/>
          <w:color w:val="2F3E2E"/>
          <w:sz w:val="48"/>
          <w:szCs w:val="48"/>
        </w:rPr>
        <w:t xml:space="preserve">Task 3 Report</w:t>
      </w:r>
    </w:p>
    <w:p>
      <w:pPr>
        <w:spacing w:after="600"/>
        <w:jc w:val="center"/>
      </w:pPr>
      <w:r>
        <w:rPr>
          <w:i/>
          <w:iCs/>
          <w:color w:val="5B8C5A"/>
          <w:sz w:val="24"/>
          <w:szCs w:val="24"/>
        </w:rPr>
        <w:t xml:space="preserve">Exploratory Data Analysis (EDA)</w:t>
      </w:r>
    </w:p>
    <w:p>
      <w:pPr>
        <w:jc w:val="center"/>
      </w:pPr>
      <w:r>
        <w:rPr>
          <w:sz w:val="20"/>
          <w:szCs w:val="20"/>
        </w:rPr>
        <w:t xml:space="preserve">Prepared for: Decodelabs Internship Submission</w:t>
      </w:r>
    </w:p>
    <w:p>
      <w:pPr>
        <w:spacing w:after="40"/>
        <w:jc w:val="center"/>
      </w:pPr>
      <w:r>
        <w:rPr>
          <w:sz w:val="20"/>
          <w:szCs w:val="20"/>
        </w:rPr>
        <w:t xml:space="preserve">Dataset: Online-Store-Orders.xlsx (1,200 real order records)</w:t>
      </w:r>
    </w:p>
    <w:p>
      <w:pPr>
        <w:jc w:val="center"/>
      </w:pPr>
      <w:r>
        <w:rPr>
          <w:sz w:val="20"/>
          <w:szCs w:val="20"/>
        </w:rPr>
        <w:t xml:space="preserve">Tools: Python, pandas, NumPy, Matplotlib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200"/>
      </w:pPr>
      <w:r>
        <w:t xml:space="preserve">1. Objective</w:t>
      </w:r>
    </w:p>
    <w:p>
      <w:pPr>
        <w:spacing w:after="120"/>
      </w:pPr>
      <w:r>
        <w:t xml:space="preserve">Analyze the cleaned dataset to discover patterns and trends: calculate basic statistics, identify trends and outliers, and summarize findings.</w:t>
      </w:r>
    </w:p>
    <w:p>
      <w:pPr>
        <w:pStyle w:val="Heading1"/>
        <w:spacing w:after="200" w:before="200"/>
      </w:pPr>
      <w:r>
        <w:t xml:space="preserve">2. Headline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5B8C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shd w:fill="5B8C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Total Revenue (all orders)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$1,264,761.96</w:t>
            </w:r>
          </w:p>
        </w:tc>
      </w:tr>
      <w:tr>
        <w:tc>
          <w:tcPr>
            <w:tcW w:type="dxa" w:w="4500"/>
            <w:shd w:fill="EAF2E9" w:val="clear"/>
          </w:tcPr>
          <w:p>
            <w:r>
              <w:rPr>
                <w:sz w:val="20"/>
                <w:szCs w:val="20"/>
              </w:rPr>
              <w:t xml:space="preserve">Realized Revenue (Delivered + Shipped)</w:t>
            </w:r>
          </w:p>
        </w:tc>
        <w:tc>
          <w:tcPr>
            <w:tcW w:type="dxa" w:w="4500"/>
            <w:shd w:fill="EAF2E9" w:val="clear"/>
          </w:tcPr>
          <w:p>
            <w:r>
              <w:rPr>
                <w:sz w:val="20"/>
                <w:szCs w:val="20"/>
              </w:rPr>
              <w:t xml:space="preserve">$488,759.90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Total Orders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4500"/>
            <w:shd w:fill="EAF2E9" w:val="clear"/>
          </w:tcPr>
          <w:p>
            <w:r>
              <w:rPr>
                <w:sz w:val="20"/>
                <w:szCs w:val="20"/>
              </w:rPr>
              <w:t xml:space="preserve">Average Order Value</w:t>
            </w:r>
          </w:p>
        </w:tc>
        <w:tc>
          <w:tcPr>
            <w:tcW w:type="dxa" w:w="4500"/>
            <w:shd w:fill="EAF2E9" w:val="clear"/>
          </w:tcPr>
          <w:p>
            <w:r>
              <w:rPr>
                <w:sz w:val="20"/>
                <w:szCs w:val="20"/>
              </w:rPr>
              <w:t xml:space="preserve">$1,053.97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Unique Customers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1,189</w:t>
            </w:r>
          </w:p>
        </w:tc>
      </w:tr>
      <w:tr>
        <w:tc>
          <w:tcPr>
            <w:tcW w:type="dxa" w:w="4500"/>
            <w:shd w:fill="EAF2E9" w:val="clear"/>
          </w:tcPr>
          <w:p>
            <w:r>
              <w:rPr>
                <w:sz w:val="20"/>
                <w:szCs w:val="20"/>
              </w:rPr>
              <w:t xml:space="preserve">Cancelled + Returned Rate</w:t>
            </w:r>
          </w:p>
        </w:tc>
        <w:tc>
          <w:tcPr>
            <w:tcW w:type="dxa" w:w="4500"/>
            <w:shd w:fill="EAF2E9" w:val="clear"/>
          </w:tcPr>
          <w:p>
            <w:r>
              <w:rPr>
                <w:sz w:val="20"/>
                <w:szCs w:val="20"/>
              </w:rPr>
              <w:t xml:space="preserve">41.4%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Outlier Orders (IQR method)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8 (0.7%)</w:t>
            </w:r>
          </w:p>
        </w:tc>
      </w:tr>
    </w:tbl>
    <w:p>
      <w:pPr>
        <w:pStyle w:val="Heading1"/>
        <w:spacing w:after="200" w:before="200"/>
      </w:pPr>
      <w:r>
        <w:t xml:space="preserve">3. Revenue by Product</w:t>
      </w:r>
    </w:p>
    <w:p>
      <w:pPr>
        <w:spacing w:after="120"/>
      </w:pPr>
      <w:r>
        <w:t xml:space="preserve">Chair and Printer lead in total revenue, both slightly ahead of Laptop and Tablet, with Phone generating the least revenue despite likely higher order volume — reflecting its lower unit price.</w:t>
      </w:r>
    </w:p>
    <w:p>
      <w:pPr>
        <w:spacing w:after="20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200"/>
      </w:pPr>
      <w:r>
        <w:t xml:space="preserve">4. Monthly Revenue Trend</w:t>
      </w:r>
    </w:p>
    <w:p>
      <w:pPr>
        <w:spacing w:after="120"/>
      </w:pPr>
      <w:r>
        <w:t xml:space="preserve">Revenue fluctuates month to month without a clear seasonal pattern, ranging roughly from $28K to $68K per month across the 2.5-year window, with no sustained upward or downward trajectory.</w:t>
      </w:r>
    </w:p>
    <w:p>
      <w:pPr>
        <w:spacing w:after="200"/>
        <w:jc w:val="center"/>
      </w:pPr>
      <w:r>
        <w:drawing>
          <wp:inline distT="0" distB="0" distL="0" distR="0">
            <wp:extent cx="5905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200"/>
      </w:pPr>
      <w:r>
        <w:t xml:space="preserve">5. Order Status Breakdown</w:t>
      </w:r>
    </w:p>
    <w:p>
      <w:pPr>
        <w:spacing w:after="120"/>
      </w:pPr>
      <w:r>
        <w:t xml:space="preserve">Orders are spread almost evenly across the five statuses. Notably, Cancelled (250) and Returned (247) orders together make up 41.4% of all orders — a significant share that merits operational attention (e.g. reviewing product quality, fulfillment accuracy, or checkout friction).</w:t>
      </w:r>
    </w:p>
    <w:p>
      <w:pPr>
        <w:spacing w:after="20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200"/>
      </w:pPr>
      <w:r>
        <w:t xml:space="preserve">6. Order Value Distribution</w:t>
      </w:r>
    </w:p>
    <w:p>
      <w:pPr>
        <w:spacing w:after="120"/>
      </w:pPr>
      <w:r>
        <w:t xml:space="preserve">Order values range from about $11 to $3,456 and are right-skewed, with most orders under $1,600 and a small tail of high-value orders — only 8 orders (0.7%) are statistical outliers by the IQR method, indicating very few extreme cases.</w:t>
      </w:r>
    </w:p>
    <w:p>
      <w:pPr>
        <w:spacing w:after="20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200"/>
      </w:pPr>
      <w:r>
        <w:t xml:space="preserve">7. Revenue by Payment Method &amp; Product</w:t>
      </w:r>
    </w:p>
    <w:p>
      <w:pPr>
        <w:spacing w:after="120"/>
      </w:pPr>
      <w:r>
        <w:t xml:space="preserve">Credit Card narrowly leads in total revenue ($263,848), followed closely by Online, Cash, Gift Card, and Debit Card — payment method preference is fairly balanced and does not skew heavily toward any one channel.</w:t>
      </w:r>
    </w:p>
    <w:p>
      <w:pPr>
        <w:spacing w:after="20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200"/>
      </w:pPr>
      <w:r>
        <w:t xml:space="preserve">8. Orders by Referral Source</w:t>
      </w:r>
    </w:p>
    <w:p>
      <w:pPr>
        <w:spacing w:after="120"/>
      </w:pPr>
      <w:r>
        <w:t xml:space="preserve">Instagram is the top acquisition channel (259 orders), followed by Email, Google, Facebook, and Referral — all five channels are within a fairly narrow range, suggesting a diversified and balanced marketing mix.</w:t>
      </w:r>
    </w:p>
    <w:p>
      <w:pPr>
        <w:spacing w:after="20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200"/>
      </w:pPr>
      <w:r>
        <w:t xml:space="preserve">9. Coupon Impact</w:t>
      </w:r>
    </w:p>
    <w:p>
      <w:pPr>
        <w:spacing w:after="120"/>
      </w:pPr>
      <w:r>
        <w:t xml:space="preserve">Orders placed with a coupon average $1,057.64, essentially the same as the $1,043.37 average for orders without one — coupon usage does not appear to meaningfully influence order size in this dataset.</w:t>
      </w:r>
    </w:p>
    <w:p>
      <w:pPr>
        <w:pStyle w:val="Heading1"/>
        <w:spacing w:after="200" w:before="200"/>
      </w:pPr>
      <w:r>
        <w:t xml:space="preserve">10. Correlation Analysis</w:t>
      </w:r>
    </w:p>
    <w:p>
      <w:pPr>
        <w:spacing w:after="120"/>
      </w:pPr>
      <w:r>
        <w:t xml:space="preserve">TotalPrice correlates most strongly with UnitPrice (r=0.72) and moderately with Quantity (r=0.62), as expected since both feed directly into the total. ItemsInCart shows only a weak relationship with TotalPrice (r=0.39), meaning a larger cart doesn't reliably translate into a larger order.</w:t>
      </w:r>
    </w:p>
    <w:p>
      <w:pPr>
        <w:pStyle w:val="Heading1"/>
        <w:spacing w:after="200" w:before="200"/>
      </w:pPr>
      <w:r>
        <w:t xml:space="preserve">11. Key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Chair is the top revenue product ($195,620); Phone is the lowest ($151,722).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41.4% of orders are Cancelled or Returned — the single most actionable finding in this dataset.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Revenue is stable but volatile month-to-month, with no clear seasonal trend over 2.5 years.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methods and referral sources are both fairly evenly distributed — no single channel dominates.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Coupons do not meaningfully change average order value ($1,057.64 vs $1,043.37).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Only 0.7% of orders are statistical outliers by value, indicating a consistent, low-variance pricing pattern outside of a handful of large orders.</w:t>
      </w:r>
    </w:p>
    <w:p>
      <w:pPr>
        <w:pStyle w:val="Heading1"/>
        <w:spacing w:after="200" w:before="200"/>
      </w:pPr>
      <w:r>
        <w:t xml:space="preserve">12. Code Used</w:t>
      </w:r>
    </w:p>
    <w:p>
      <w:pPr>
        <w:shd w:fill="F1F5EF" w:val="clear"/>
        <w:spacing w:after="0"/>
      </w:pPr>
      <w:r>
        <w:rPr>
          <w:rFonts w:ascii="Consolas" w:cs="Consolas" w:eastAsia="Consolas" w:hAnsi="Consolas"/>
          <w:color w:val="1B4332"/>
          <w:sz w:val="18"/>
          <w:szCs w:val="18"/>
        </w:rPr>
        <w:t xml:space="preserve">prod_rev = df.groupby("Product")["TotalPrice"].sum()</w:t>
      </w:r>
    </w:p>
    <w:p>
      <w:pPr>
        <w:shd w:fill="F1F5EF" w:val="clear"/>
        <w:spacing w:after="0"/>
      </w:pPr>
      <w:r>
        <w:rPr>
          <w:rFonts w:ascii="Consolas" w:cs="Consolas" w:eastAsia="Consolas" w:hAnsi="Consolas"/>
          <w:color w:val="1B4332"/>
          <w:sz w:val="18"/>
          <w:szCs w:val="18"/>
        </w:rPr>
        <w:t xml:space="preserve">df["OrderStatus"].isin(["Cancelled","Returned"]).mean()</w:t>
      </w:r>
    </w:p>
    <w:p>
      <w:pPr>
        <w:shd w:fill="F1F5EF" w:val="clear"/>
        <w:spacing w:after="0"/>
      </w:pPr>
      <w:r>
        <w:rPr>
          <w:rFonts w:ascii="Consolas" w:cs="Consolas" w:eastAsia="Consolas" w:hAnsi="Consolas"/>
          <w:color w:val="1B4332"/>
          <w:sz w:val="18"/>
          <w:szCs w:val="18"/>
        </w:rPr>
        <w:t xml:space="preserve">monthly = df.groupby("OrderMonth").agg(Orders=("OrderID","count"), Revenue=("TotalPrice","sum"))</w:t>
      </w:r>
    </w:p>
    <w:p>
      <w:pPr>
        <w:shd w:fill="F1F5EF" w:val="clear"/>
        <w:spacing w:after="0"/>
      </w:pPr>
      <w:r>
        <w:rPr>
          <w:rFonts w:ascii="Consolas" w:cs="Consolas" w:eastAsia="Consolas" w:hAnsi="Consolas"/>
          <w:color w:val="1B4332"/>
          <w:sz w:val="18"/>
          <w:szCs w:val="18"/>
        </w:rPr>
        <w:t xml:space="preserve">corr = df[["Quantity","UnitPrice","ItemsInCart","TotalPrice"]].corr()</w:t>
      </w:r>
    </w:p>
    <w:p>
      <w:pPr>
        <w:pStyle w:val="Heading1"/>
        <w:spacing w:after="200" w:before="200"/>
      </w:pPr>
      <w:r>
        <w:t xml:space="preserve">13. Conclusion</w:t>
      </w:r>
    </w:p>
    <w:p>
      <w:pPr>
        <w:spacing w:after="120"/>
      </w:pPr>
      <w:r>
        <w:t xml:space="preserve">The EDA shows a stable, evenly-distributed sales pattern across products, payment methods, and acquisition channels, with no strong seasonal trend. The standout finding is the 41.4% Cancelled/Returned rate, which is the clearest opportunity area for the business — future work (e.g. Task 5) could build a classification model to predict which orders are at risk of cancellation or return.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cf27e3f2c52c578b457930e6747fdc9e2479b90.png"/><Relationship Id="rId8" Type="http://schemas.openxmlformats.org/officeDocument/2006/relationships/image" Target="media/459e3b9f87292a841ff4d9ab84ff4b6b471a0e85.png"/><Relationship Id="rId9" Type="http://schemas.openxmlformats.org/officeDocument/2006/relationships/image" Target="media/ff6f363103753248ffaf0cf98d8726d1b5f9aaf6.png"/><Relationship Id="rId10" Type="http://schemas.openxmlformats.org/officeDocument/2006/relationships/image" Target="media/43190b97e02ad540b6c0c55ec2e0d0d6299f8a05.png"/><Relationship Id="rId11" Type="http://schemas.openxmlformats.org/officeDocument/2006/relationships/image" Target="media/8790e23a1b759ea43bc35acbc050452daf5b65af.png"/><Relationship Id="rId12" Type="http://schemas.openxmlformats.org/officeDocument/2006/relationships/image" Target="media/1a7f136a5b1c96fb2a214d90bdc60d0df839370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2026-07-03T06:13:06.256Z</dcterms:created>
  <dcterms:modified xsi:type="dcterms:W3CDTF">2026-07-03T06:13:06.256Z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