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Bridge — Phase 1 Research Findings</w:t>
      </w:r>
    </w:p>
    <w:p>
      <w:pPr>
        <w:spacing w:after="300"/>
      </w:pPr>
      <w:r>
        <w:t xml:space="preserve">Prepared by Melissa Rigby, Momentum Digital | Phase 1: Discovery, Requirements, and Architecture</w:t>
      </w:r>
    </w:p>
    <w:p>
      <w:pPr>
        <w:pStyle w:val="Heading1"/>
        <w:spacing w:after="150" w:before="300"/>
      </w:pPr>
      <w:r>
        <w:t xml:space="preserve">1. Competitive Landscape</w:t>
      </w:r>
    </w:p>
    <w:p>
      <w:pPr>
        <w:spacing w:after="120"/>
      </w:pPr>
      <w:r>
        <w:t xml:space="preserve">The cannabis industry has several existing directories, social networks, and B2B platforms. None combine business-entity verification with a role-based, searchable directory the way Bridge is scoped to.</w:t>
      </w:r>
    </w:p>
    <w:p>
      <w:pPr>
        <w:pStyle w:val="Heading2"/>
        <w:spacing w:after="100" w:before="200"/>
      </w:pPr>
      <w:r>
        <w:t xml:space="preserve">Leafwire — Closest Direct Analog</w:t>
      </w:r>
    </w:p>
    <w:p>
      <w:pPr>
        <w:pStyle w:val="ListParagraph"/>
        <w:numPr>
          <w:ilvl w:val="0"/>
          <w:numId w:val="2"/>
        </w:numPr>
        <w:spacing w:after="60"/>
      </w:pPr>
      <w:r>
        <w:t xml:space="preserve">Founded 2018, based in Denver. Positions itself as the "LinkedIn of cannabis" and reports roughly 50,000 registered cannabis professionals across 100+ countries.</w:t>
      </w:r>
    </w:p>
    <w:p>
      <w:pPr>
        <w:pStyle w:val="ListParagraph"/>
        <w:numPr>
          <w:ilvl w:val="0"/>
          <w:numId w:val="2"/>
        </w:numPr>
        <w:spacing w:after="60"/>
      </w:pPr>
      <w:r>
        <w:t xml:space="preserve">Two profile types: cannabis professional and accredited investor. Core use case is connecting entrepreneurs with investors, plus general networking, job listings, and industry news.</w:t>
      </w:r>
    </w:p>
    <w:p>
      <w:pPr>
        <w:pStyle w:val="ListParagraph"/>
        <w:numPr>
          <w:ilvl w:val="0"/>
          <w:numId w:val="2"/>
        </w:numPr>
        <w:spacing w:after="60"/>
      </w:pPr>
      <w:r>
        <w:t xml:space="preserve">Signup is open/freemium — no EIN, business license, or entity verification gate. Anyone can create a profile and claim a business affiliation with no check against it.</w:t>
      </w:r>
    </w:p>
    <w:p>
      <w:pPr>
        <w:pStyle w:val="ListParagraph"/>
        <w:numPr>
          <w:ilvl w:val="0"/>
          <w:numId w:val="2"/>
        </w:numPr>
        <w:spacing w:after="60"/>
      </w:pPr>
      <w:r>
        <w:t xml:space="preserve">Monetization is subscription/premium-feature based rather than a directory-search or lead-routing product.</w:t>
      </w:r>
    </w:p>
    <w:p>
      <w:pPr>
        <w:pStyle w:val="ListParagraph"/>
        <w:numPr>
          <w:ilvl w:val="1"/>
          <w:numId w:val="2"/>
        </w:numPr>
        <w:spacing w:after="60"/>
      </w:pPr>
      <w:r>
        <w:t xml:space="preserve">Gap: Leafwire is optimized for investor-entrepreneur matchmaking and general networking, not for retailers/dispensaries finding and vetting verified brands and sales reps, which is Bridge’s core workflow.</w:t>
      </w:r>
    </w:p>
    <w:p>
      <w:pPr>
        <w:pStyle w:val="Heading2"/>
        <w:spacing w:after="100" w:before="200"/>
      </w:pPr>
      <w:r>
        <w:t xml:space="preserve">WeedLife</w:t>
      </w:r>
    </w:p>
    <w:p>
      <w:pPr>
        <w:pStyle w:val="ListParagraph"/>
        <w:numPr>
          <w:ilvl w:val="0"/>
          <w:numId w:val="2"/>
        </w:numPr>
        <w:spacing w:after="60"/>
      </w:pPr>
      <w:r>
        <w:t xml:space="preserve">Cannabis social network blending consumer and business audiences, with a marketplace component for buying/selling cannabis-related (non-plant-touching) products.</w:t>
      </w:r>
    </w:p>
    <w:p>
      <w:pPr>
        <w:pStyle w:val="ListParagraph"/>
        <w:numPr>
          <w:ilvl w:val="0"/>
          <w:numId w:val="2"/>
        </w:numPr>
        <w:spacing w:after="60"/>
      </w:pPr>
      <w:r>
        <w:t xml:space="preserve">No meaningful account verification tier — profile creation is open to consumers and businesses alike, which dilutes it as a B2B trust layer.</w:t>
      </w:r>
    </w:p>
    <w:p>
      <w:pPr>
        <w:pStyle w:val="Heading2"/>
        <w:spacing w:after="100" w:before="200"/>
      </w:pPr>
      <w:r>
        <w:t xml:space="preserve">Weedmaps and Leafly</w:t>
      </w:r>
    </w:p>
    <w:p>
      <w:pPr>
        <w:pStyle w:val="ListParagraph"/>
        <w:numPr>
          <w:ilvl w:val="0"/>
          <w:numId w:val="2"/>
        </w:numPr>
        <w:spacing w:after="60"/>
      </w:pPr>
      <w:r>
        <w:t xml:space="preserve">Primarily consumer-facing dispensary and product discovery platforms — not built for brand-to-retailer or brand-to-rep networking.</w:t>
      </w:r>
    </w:p>
    <w:p>
      <w:pPr>
        <w:pStyle w:val="ListParagraph"/>
        <w:numPr>
          <w:ilvl w:val="0"/>
          <w:numId w:val="2"/>
        </w:numPr>
        <w:spacing w:after="60"/>
      </w:pPr>
      <w:r>
        <w:t xml:space="preserve">Both display a state license badge on retailer listings, cross-referenced against public state registries. This is the strongest existing "verification as trust signal" precedent in the industry, and is the model Bridge’s own verification approach should mirror (see Section 5).</w:t>
      </w:r>
    </w:p>
    <w:p>
      <w:pPr>
        <w:pStyle w:val="Heading2"/>
        <w:spacing w:after="100" w:before="200"/>
      </w:pPr>
      <w:r>
        <w:t xml:space="preserve">State and National Trade Associations</w:t>
      </w:r>
    </w:p>
    <w:p>
      <w:pPr>
        <w:pStyle w:val="ListParagraph"/>
        <w:numPr>
          <w:ilvl w:val="0"/>
          <w:numId w:val="2"/>
        </w:numPr>
        <w:spacing w:after="60"/>
      </w:pPr>
      <w:r>
        <w:t xml:space="preserve">Directories exist (state cannabis business associations, NCIA, MJBA, etc.) but are typically static member lists, gated behind association membership fees, and not searchable or filterable in a modern SaaS sense — no role-based structure, no territory/product-category filtering.</w:t>
      </w:r>
    </w:p>
    <w:p>
      <w:pPr>
        <w:pStyle w:val="Heading2"/>
        <w:spacing w:after="100" w:before="200"/>
      </w:pPr>
      <w:r>
        <w:t xml:space="preserve">Where Bridge Differentiates</w:t>
      </w:r>
    </w:p>
    <w:p>
      <w:pPr>
        <w:pStyle w:val="ListParagraph"/>
        <w:numPr>
          <w:ilvl w:val="0"/>
          <w:numId w:val="2"/>
        </w:numPr>
        <w:spacing w:after="60"/>
      </w:pPr>
      <w:r>
        <w:t xml:space="preserve">EIN + state cannabis license verification at the account level — no direct competitor gates entry on both business-entity and license verification together.</w:t>
      </w:r>
    </w:p>
    <w:p>
      <w:pPr>
        <w:pStyle w:val="ListParagraph"/>
        <w:numPr>
          <w:ilvl w:val="0"/>
          <w:numId w:val="2"/>
        </w:numPr>
        <w:spacing w:after="60"/>
      </w:pPr>
      <w:r>
        <w:t xml:space="preserve">Structured, filterable search by role (brand / retailer / dispensary / sales rep), state, territory, verification status, and product category — most existing directories are flat, unfiltered listings.</w:t>
      </w:r>
    </w:p>
    <w:p>
      <w:pPr>
        <w:pStyle w:val="ListParagraph"/>
        <w:numPr>
          <w:ilvl w:val="0"/>
          <w:numId w:val="2"/>
        </w:numPr>
        <w:spacing w:after="60"/>
      </w:pPr>
      <w:r>
        <w:t xml:space="preserve">Purpose-built around the brand-retailer-rep relationship and contact/claim workflows, rather than a general cannabis social feed or investor-matching tool.</w:t>
      </w:r>
    </w:p>
    <w:p>
      <w:pPr>
        <w:pStyle w:val="ListParagraph"/>
        <w:numPr>
          <w:ilvl w:val="0"/>
          <w:numId w:val="2"/>
        </w:numPr>
        <w:spacing w:after="60"/>
      </w:pPr>
      <w:r>
        <w:t xml:space="preserve">Admin-moderated quality control (profile review, verification queue) as a first-class feature, not an afterthought.</w:t>
      </w:r>
    </w:p>
    <w:p>
      <w:pPr>
        <w:pStyle w:val="Heading1"/>
        <w:spacing w:after="150" w:before="300"/>
      </w:pPr>
      <w:r>
        <w:t xml:space="preserve">2. Marketing &amp; Advertising Compliance</w:t>
      </w:r>
    </w:p>
    <w:p>
      <w:pPr>
        <w:spacing w:after="120"/>
      </w:pPr>
      <w:r>
        <w:t xml:space="preserve">State advertising rules, ad-platform policies, and age-gating norms were reviewed to feed the compliance intake checklist for the platform. Cannabis advertising regulation is state-specific and changes frequently, so this should be treated as a snapshot to revisit periodically rather than a fixed rule set.</w:t>
      </w:r>
    </w:p>
    <w:p>
      <w:pPr>
        <w:pStyle w:val="Heading2"/>
        <w:spacing w:after="100" w:before="200"/>
      </w:pPr>
      <w:r>
        <w:t xml:space="preserve">Common Elements Across States</w:t>
      </w:r>
    </w:p>
    <w:p>
      <w:pPr>
        <w:pStyle w:val="ListParagraph"/>
        <w:numPr>
          <w:ilvl w:val="0"/>
          <w:numId w:val="2"/>
        </w:numPr>
        <w:spacing w:after="60"/>
      </w:pPr>
      <w:r>
        <w:t xml:space="preserve">Audience composition thresholds: most states require that a defined percentage of the audience be reasonably expected to be 21+ (or the state’s legal age) before an ad can run. Thresholds vary — California requires roughly 71.6%, other states set their own percentage requirements (commonly in the 70–85% range).</w:t>
      </w:r>
    </w:p>
    <w:p>
      <w:pPr>
        <w:pStyle w:val="ListParagraph"/>
        <w:numPr>
          <w:ilvl w:val="0"/>
          <w:numId w:val="2"/>
        </w:numPr>
        <w:spacing w:after="60"/>
      </w:pPr>
      <w:r>
        <w:t xml:space="preserve">Proximity restrictions: ads (particularly billboards and physical signage) are commonly barred within 500–1,000 feet of schools, playgrounds, daycare centers, churches, libraries, and substance-abuse treatment facilities.</w:t>
      </w:r>
    </w:p>
    <w:p>
      <w:pPr>
        <w:pStyle w:val="ListParagraph"/>
        <w:numPr>
          <w:ilvl w:val="0"/>
          <w:numId w:val="2"/>
        </w:numPr>
        <w:spacing w:after="60"/>
      </w:pPr>
      <w:r>
        <w:t xml:space="preserve">Content restrictions: prohibitions on cartoons, mascots, characters, or imagery that could appeal to minors; no depiction of consumption (smoking/vaping) in most states; no health or therapeutic benefit claims without substantiation; no claims that a product is "safe" merely because it is regulated or tested.</w:t>
      </w:r>
    </w:p>
    <w:p>
      <w:pPr>
        <w:pStyle w:val="ListParagraph"/>
        <w:numPr>
          <w:ilvl w:val="0"/>
          <w:numId w:val="2"/>
        </w:numPr>
        <w:spacing w:after="60"/>
      </w:pPr>
      <w:r>
        <w:t xml:space="preserve">Mandatory disclaimers: most states require a specific warning statement and/or the business license number on all advertising creative.</w:t>
      </w:r>
    </w:p>
    <w:p>
      <w:pPr>
        <w:pStyle w:val="ListParagraph"/>
        <w:numPr>
          <w:ilvl w:val="0"/>
          <w:numId w:val="2"/>
        </w:numPr>
        <w:spacing w:after="60"/>
      </w:pPr>
      <w:r>
        <w:t xml:space="preserve">Digital age-gating: websites and apps must implement an age verification step before showing cannabis content, and social accounts are often required to state a 21+ (or 18+ for medical-only states) audience restriction in bio/profile text.</w:t>
      </w:r>
    </w:p>
    <w:p>
      <w:pPr>
        <w:pStyle w:val="ListParagraph"/>
        <w:numPr>
          <w:ilvl w:val="0"/>
          <w:numId w:val="2"/>
        </w:numPr>
        <w:spacing w:after="60"/>
      </w:pPr>
      <w:r>
        <w:t xml:space="preserve">Medical-only states add further restriction — e.g., limiting promotion exclusively to license-holding entities or qualifying patients, and requiring specific "for use by cardholders only" language.</w:t>
      </w:r>
    </w:p>
    <w:p>
      <w:pPr>
        <w:pStyle w:val="Heading2"/>
        <w:spacing w:after="100" w:before="200"/>
      </w:pPr>
      <w:r>
        <w:t xml:space="preserve">Ad Platform Policies</w:t>
      </w:r>
    </w:p>
    <w:p>
      <w:pPr>
        <w:pStyle w:val="ListParagraph"/>
        <w:numPr>
          <w:ilvl w:val="0"/>
          <w:numId w:val="2"/>
        </w:numPr>
        <w:spacing w:after="60"/>
      </w:pPr>
      <w:r>
        <w:t xml:space="preserve">Google Ads prohibits cannabis product advertising outright, with no exceptions as of 2026, including hemp-derived CBD in most cases.</w:t>
      </w:r>
    </w:p>
    <w:p>
      <w:pPr>
        <w:pStyle w:val="ListParagraph"/>
        <w:numPr>
          <w:ilvl w:val="0"/>
          <w:numId w:val="2"/>
        </w:numPr>
        <w:spacing w:after="60"/>
      </w:pPr>
      <w:r>
        <w:t xml:space="preserve">Meta (Facebook/Instagram) similarly prohibits paid cannabis product advertising in nearly all circumstances.</w:t>
      </w:r>
    </w:p>
    <w:p>
      <w:pPr>
        <w:pStyle w:val="ListParagraph"/>
        <w:numPr>
          <w:ilvl w:val="0"/>
          <w:numId w:val="2"/>
        </w:numPr>
        <w:spacing w:after="60"/>
      </w:pPr>
      <w:r>
        <w:t xml:space="preserve">Cannabis-specific ad networks (Weedmaps Ads, LeafLink, cannabis-vertical DSPs) exist as workarounds and are increasingly paired with programmatic/Connected TV as an emerging compliant channel — outside Bridge’s MVP scope but relevant context if Bridge or its users pursue paid acquisition later.</w:t>
      </w:r>
    </w:p>
    <w:p>
      <w:pPr>
        <w:pStyle w:val="Heading2"/>
        <w:spacing w:after="100" w:before="200"/>
      </w:pPr>
      <w:r>
        <w:t xml:space="preserve">Implication for Bridge</w:t>
      </w:r>
    </w:p>
    <w:p>
      <w:pPr>
        <w:pStyle w:val="ListParagraph"/>
        <w:numPr>
          <w:ilvl w:val="0"/>
          <w:numId w:val="2"/>
        </w:numPr>
        <w:spacing w:after="60"/>
      </w:pPr>
      <w:r>
        <w:t xml:space="preserve">Because Bridge is a B2B directory (business accounts, not consumer-facing product ads), the highest-priority compliance items are: an age/role gate at signup, no unsubstantiated claims language in profile or update content, and a moderation policy that catches prohibited imagery or claims in user-submitted profile content — full ad-audience-composition compliance becomes relevant only if/when Bridge introduces sponsored placements or promoted listings.</w:t>
      </w:r>
    </w:p>
    <w:p>
      <w:pPr>
        <w:pStyle w:val="ListParagraph"/>
        <w:numPr>
          <w:ilvl w:val="0"/>
          <w:numId w:val="2"/>
        </w:numPr>
        <w:spacing w:after="60"/>
      </w:pPr>
      <w:r>
        <w:t xml:space="preserve">A lightweight self-attestation age gate (21+) at entry is the standard baseline even for B2B platforms and is a low-cost addition worth including in Phase 3 alongside account registration.</w:t>
      </w:r>
    </w:p>
    <w:p>
      <w:pPr>
        <w:pStyle w:val="Heading2"/>
        <w:spacing w:after="100" w:before="200"/>
      </w:pPr>
      <w:r>
        <w:t xml:space="preserve">Live Variable to Monitor</w:t>
      </w:r>
    </w:p>
    <w:p>
      <w:pPr>
        <w:pStyle w:val="ListParagraph"/>
        <w:numPr>
          <w:ilvl w:val="0"/>
          <w:numId w:val="2"/>
        </w:numPr>
        <w:spacing w:after="60"/>
      </w:pPr>
      <w:r>
        <w:t xml:space="preserve">Federal rescheduling of medical cannabis to Schedule III took effect April 28, 2026. This changes the federal legal posture for medical cannabis specifically — it does not equate to federal legalization of adult-use cannabis, and the two remain regulated differently at the state level.</w:t>
      </w:r>
    </w:p>
    <w:p>
      <w:pPr>
        <w:pStyle w:val="ListParagraph"/>
        <w:numPr>
          <w:ilvl w:val="0"/>
          <w:numId w:val="2"/>
        </w:numPr>
        <w:spacing w:after="60"/>
      </w:pPr>
      <w:r>
        <w:t xml:space="preserve">Recommendation: keep a `business_type` / `license_type` distinction (medical vs. adult-use vs. dual) in the data model so compliance rules and future advertising features can be applied differently by license type rather than treating cannabis as a single regulatory category.</w:t>
      </w:r>
    </w:p>
    <w:p>
      <w:pPr>
        <w:pStyle w:val="Heading1"/>
        <w:spacing w:after="150" w:before="300"/>
      </w:pPr>
      <w:r>
        <w:t xml:space="preserve">3. Domain, Brand Name, and Social Handle Availability</w:t>
      </w:r>
    </w:p>
    <w:p>
      <w:pPr>
        <w:spacing w:after="120"/>
      </w:pPr>
      <w:r>
        <w:t xml:space="preserve">Name availability research surfaced an active, named-brand conflict that should be raised with Tori before further brand investment — this is a bigger flag than a typical "domain is taken" issue.</w:t>
      </w:r>
    </w:p>
    <w:p>
      <w:pPr>
        <w:pStyle w:val="Heading2"/>
        <w:spacing w:after="100" w:before="200"/>
      </w:pPr>
      <w:r>
        <w:t xml:space="preserve">Findings — Direct Naming Conflict</w:t>
      </w:r>
    </w:p>
    <w:p>
      <w:pPr>
        <w:pStyle w:val="ListParagraph"/>
        <w:numPr>
          <w:ilvl w:val="0"/>
          <w:numId w:val="2"/>
        </w:numPr>
        <w:spacing w:after="60"/>
      </w:pPr>
      <w:r>
        <w:t xml:space="preserve">"The Bridge" (branded as "The Bridge Cannabis Experience" / "The Bridge Dispensary") is an active, licensed adult-use cannabis dispensary at 25-15 Broadway in Astoria, Queens, NY — opened June 2026.</w:t>
      </w:r>
    </w:p>
    <w:p>
      <w:pPr>
        <w:pStyle w:val="ListParagraph"/>
        <w:numPr>
          <w:ilvl w:val="0"/>
          <w:numId w:val="2"/>
        </w:numPr>
        <w:spacing w:after="60"/>
      </w:pPr>
      <w:r>
        <w:t xml:space="preserve">The dispensary was founded by Kejuan "Havoc" Muchita of the hip-hop duo Mobb Deep, in partnership with the National Diversity and Inclusion Cannabis Alliance (NDICA), and launched with named brand sponsors (Canopy USA, Wana, The Botanist, Jetty) — meaning the name carries real public visibility and press coverage, not just a small local listing.</w:t>
      </w:r>
    </w:p>
    <w:p>
      <w:pPr>
        <w:pStyle w:val="ListParagraph"/>
        <w:numPr>
          <w:ilvl w:val="0"/>
          <w:numId w:val="2"/>
        </w:numPr>
        <w:spacing w:after="60"/>
      </w:pPr>
      <w:r>
        <w:t xml:space="preserve">It operates its own domain (TheBridgeCannabis.com) and an Instagram account, @thebridgecannabis, currently showing a second location opening in Chicago, IL, under a related LLC — indicating active multi-state expansion under the same brand name.</w:t>
      </w:r>
    </w:p>
    <w:p>
      <w:pPr>
        <w:pStyle w:val="ListParagraph"/>
        <w:numPr>
          <w:ilvl w:val="0"/>
          <w:numId w:val="2"/>
        </w:numPr>
        <w:spacing w:after="60"/>
      </w:pPr>
      <w:r>
        <w:t xml:space="preserve">The dispensary is licensed and registered in New York State’s public cannabis dispensary registry, which strengthens any trademark or common-law naming claim it may have in-state.</w:t>
      </w:r>
    </w:p>
    <w:p>
      <w:pPr>
        <w:pStyle w:val="Heading2"/>
        <w:spacing w:after="100" w:before="200"/>
      </w:pPr>
      <w:r>
        <w:t xml:space="preserve">Why This Matters for Bridge</w:t>
      </w:r>
    </w:p>
    <w:p>
      <w:pPr>
        <w:pStyle w:val="ListParagraph"/>
        <w:numPr>
          <w:ilvl w:val="0"/>
          <w:numId w:val="2"/>
        </w:numPr>
        <w:spacing w:after="60"/>
      </w:pPr>
      <w:r>
        <w:t xml:space="preserve">This is not a case of the exact same name sitting dormant — it is an actively operating, press-covered, multi-location cannabis retail brand with social presence, which raises real risk of consumer confusion and a stronger basis for a trademark objection than an inactive or obscure prior use would.</w:t>
      </w:r>
    </w:p>
    <w:p>
      <w:pPr>
        <w:pStyle w:val="ListParagraph"/>
        <w:numPr>
          <w:ilvl w:val="0"/>
          <w:numId w:val="2"/>
        </w:numPr>
        <w:spacing w:after="60"/>
      </w:pPr>
      <w:r>
        <w:t xml:space="preserve">Bridge (the platform) and The Bridge (the dispensary) operate in the same broad industry (cannabis) even though the products differ (B2B software/directory vs. retail dispensary) — trademark conflict risk is generally assessed by likelihood of consumer confusion within a related industry, not by exact business-model overlap.</w:t>
      </w:r>
    </w:p>
    <w:p>
      <w:pPr>
        <w:pStyle w:val="Heading2"/>
        <w:spacing w:after="100" w:before="200"/>
      </w:pPr>
      <w:r>
        <w:t xml:space="preserve">Recommendation</w:t>
      </w:r>
    </w:p>
    <w:p>
      <w:pPr>
        <w:pStyle w:val="ListParagraph"/>
        <w:numPr>
          <w:ilvl w:val="0"/>
          <w:numId w:val="2"/>
        </w:numPr>
        <w:spacing w:after="60"/>
      </w:pPr>
      <w:r>
        <w:t xml:space="preserve">Run formal trademark clearance — a full USPTO word-mark search plus a common-law and state trademark/DBA search — before finalizing "Bridge" as the public-facing product name. Legal counsel should confirm risk level given the dispensary’s existing use and expansion.</w:t>
      </w:r>
    </w:p>
    <w:p>
      <w:pPr>
        <w:pStyle w:val="ListParagraph"/>
        <w:numPr>
          <w:ilvl w:val="0"/>
          <w:numId w:val="2"/>
        </w:numPr>
        <w:spacing w:after="60"/>
      </w:pPr>
      <w:r>
        <w:t xml:space="preserve">In parallel, develop 2–3 backup name directions (e.g., a modifier like "BridgeHQ" or "Bridge Network," or a distinct name) so the team isn’t blocked if clearance comes back unfavorable.</w:t>
      </w:r>
    </w:p>
    <w:p>
      <w:pPr>
        <w:pStyle w:val="ListParagraph"/>
        <w:numPr>
          <w:ilvl w:val="0"/>
          <w:numId w:val="2"/>
        </w:numPr>
        <w:spacing w:after="60"/>
      </w:pPr>
      <w:r>
        <w:t xml:space="preserve">Hold off on domain and social handle purchases for "Bridge" variants until the name direction is confirmed — spending time/money securing handles for a name that may need to change is low-value right now.</w:t>
      </w:r>
    </w:p>
    <w:p>
      <w:pPr>
        <w:pStyle w:val="ListParagraph"/>
        <w:numPr>
          <w:ilvl w:val="0"/>
          <w:numId w:val="2"/>
        </w:numPr>
        <w:spacing w:after="60"/>
      </w:pPr>
      <w:r>
        <w:t xml:space="preserve">Flag directly to Tori as a founder-level decision: this affects brand identity, marketing, and legal exposure, not just a technical or design detail.</w:t>
      </w:r>
    </w:p>
    <w:p>
      <w:pPr>
        <w:pStyle w:val="Heading1"/>
        <w:spacing w:after="150" w:before="300"/>
      </w:pPr>
      <w:r>
        <w:t xml:space="preserve">4. Launch Market Research</w:t>
      </w:r>
    </w:p>
    <w:p>
      <w:pPr>
        <w:spacing w:after="120"/>
      </w:pPr>
      <w:r>
        <w:t xml:space="preserve">Research identified which states currently have the highest concentration of licensed cannabis businesses and which are seeing the strongest growth, since these are different questions and point to different launch strategies.</w:t>
      </w:r>
    </w:p>
    <w:p>
      <w:pPr>
        <w:pStyle w:val="Heading2"/>
        <w:spacing w:after="100" w:before="200"/>
      </w:pPr>
      <w:r>
        <w:t xml:space="preserve">Current Market Size (Highest License/Dispensary Density Today)</w:t>
      </w:r>
    </w:p>
    <w:p>
      <w:pPr>
        <w:pStyle w:val="ListParagraph"/>
        <w:numPr>
          <w:ilvl w:val="0"/>
          <w:numId w:val="2"/>
        </w:numPr>
        <w:spacing w:after="60"/>
      </w:pPr>
      <w:r>
        <w:t xml:space="preserve">California remains the largest market by absolute footprint — roughly a quarter of all U.S. cannabis dispensaries are in California (reported at 3,659 dispensaries in recent data), more than double the next-highest state.</w:t>
      </w:r>
    </w:p>
    <w:p>
      <w:pPr>
        <w:pStyle w:val="ListParagraph"/>
        <w:numPr>
          <w:ilvl w:val="0"/>
          <w:numId w:val="2"/>
        </w:numPr>
        <w:spacing w:after="60"/>
      </w:pPr>
      <w:r>
        <w:t xml:space="preserve">However, California’s market has contracted meaningfully from its peak (down roughly 30% from a ~$6B high to about $4B), and is expected to stay flat rather than grow further in 2026 absent tax relief or new retail licensing in currently underserved areas ("cannabis deserts").</w:t>
      </w:r>
    </w:p>
    <w:p>
      <w:pPr>
        <w:pStyle w:val="ListParagraph"/>
        <w:numPr>
          <w:ilvl w:val="0"/>
          <w:numId w:val="2"/>
        </w:numPr>
        <w:spacing w:after="60"/>
      </w:pPr>
      <w:r>
        <w:t xml:space="preserve">Oklahoma has an unusually high license density relative to its population, driven by comparatively low barriers to entry for medical licensing — but Q1 2026 data shows Oklahoma among the states actively shedding licensees, alongside California and Michigan, as the market consolidates.</w:t>
      </w:r>
    </w:p>
    <w:p>
      <w:pPr>
        <w:pStyle w:val="Heading2"/>
        <w:spacing w:after="100" w:before="200"/>
      </w:pPr>
      <w:r>
        <w:t xml:space="preserve">Where New Licensing Activity Is Concentrated (Q1 2026)</w:t>
      </w:r>
    </w:p>
    <w:p>
      <w:pPr>
        <w:pStyle w:val="ListParagraph"/>
        <w:numPr>
          <w:ilvl w:val="0"/>
          <w:numId w:val="2"/>
        </w:numPr>
        <w:spacing w:after="60"/>
      </w:pPr>
      <w:r>
        <w:t xml:space="preserve">New York, Texas, and Washington accounted for the most significant new licensing activity in Q1 2026, even as the national total active license count fell for a seventh consecutive quarter (down to roughly 36,169 active licenses).</w:t>
      </w:r>
    </w:p>
    <w:p>
      <w:pPr>
        <w:pStyle w:val="ListParagraph"/>
        <w:numPr>
          <w:ilvl w:val="0"/>
          <w:numId w:val="2"/>
        </w:numPr>
        <w:spacing w:after="60"/>
      </w:pPr>
      <w:r>
        <w:t xml:space="preserve">New York in particular carries a large backlog of pending applications, which represents a meaningful pipeline of future licensed businesses even though current active counts understate the eventual market size.</w:t>
      </w:r>
    </w:p>
    <w:p>
      <w:pPr>
        <w:pStyle w:val="Heading2"/>
        <w:spacing w:after="100" w:before="200"/>
      </w:pPr>
      <w:r>
        <w:t xml:space="preserve">Highest Growth Trajectory for 2026</w:t>
      </w:r>
    </w:p>
    <w:p>
      <w:pPr>
        <w:pStyle w:val="ListParagraph"/>
        <w:numPr>
          <w:ilvl w:val="0"/>
          <w:numId w:val="2"/>
        </w:numPr>
        <w:spacing w:after="60"/>
      </w:pPr>
      <w:r>
        <w:t xml:space="preserve">Industry analysts rank New York, Ohio, Minnesota, Virginia, and New Jersey as the top five growth states for 2026, ranked by expected dollar contribution to market growth.</w:t>
      </w:r>
    </w:p>
    <w:p>
      <w:pPr>
        <w:pStyle w:val="ListParagraph"/>
        <w:numPr>
          <w:ilvl w:val="0"/>
          <w:numId w:val="2"/>
        </w:numPr>
        <w:spacing w:after="60"/>
      </w:pPr>
      <w:r>
        <w:t xml:space="preserve">Ohio is a standout near-term growth story: dispensary count is projected to grow from 125 open in January 2026 to roughly 190 by year-end, driven by a recently opened adult-use market.</w:t>
      </w:r>
    </w:p>
    <w:p>
      <w:pPr>
        <w:pStyle w:val="ListParagraph"/>
        <w:numPr>
          <w:ilvl w:val="0"/>
          <w:numId w:val="2"/>
        </w:numPr>
        <w:spacing w:after="60"/>
      </w:pPr>
      <w:r>
        <w:t xml:space="preserve">Minnesota’s growth has been slower than initially projected — only around 45 dispensaries open as of mid-2026 (13 tribal-owned), constrained by a licensing backlog and cultivation supply shortages — meaningful growth may be delayed into 2027.</w:t>
      </w:r>
    </w:p>
    <w:p>
      <w:pPr>
        <w:pStyle w:val="Heading2"/>
        <w:spacing w:after="100" w:before="200"/>
      </w:pPr>
      <w:r>
        <w:t xml:space="preserve">Market-Wide Context</w:t>
      </w:r>
    </w:p>
    <w:p>
      <w:pPr>
        <w:pStyle w:val="ListParagraph"/>
        <w:numPr>
          <w:ilvl w:val="0"/>
          <w:numId w:val="2"/>
        </w:numPr>
        <w:spacing w:after="60"/>
      </w:pPr>
      <w:r>
        <w:t xml:space="preserve">The overall U.S. cannabis licensing market has been in a multi-year contraction/consolidation phase — active licenses have declined for seven consecutive quarters, driven mainly by a steep pullback in cultivation licenses, partially offset by growth in retail and vertically integrated operators.</w:t>
      </w:r>
    </w:p>
    <w:p>
      <w:pPr>
        <w:pStyle w:val="ListParagraph"/>
        <w:numPr>
          <w:ilvl w:val="0"/>
          <w:numId w:val="2"/>
        </w:numPr>
        <w:spacing w:after="60"/>
      </w:pPr>
      <w:r>
        <w:t xml:space="preserve">This favors a launch strategy that prioritizes markets with active new-business formation (New York, Texas, Ohio, Washington) over markets that are large but shrinking (California, Oklahoma) — high current density doesn’t necessarily mean high near-term account growth.</w:t>
      </w:r>
    </w:p>
    <w:p>
      <w:pPr>
        <w:pStyle w:val="Heading2"/>
        <w:spacing w:after="100" w:before="200"/>
      </w:pPr>
      <w:r>
        <w:t xml:space="preserve">Recommendation</w:t>
      </w:r>
    </w:p>
    <w:p>
      <w:pPr>
        <w:pStyle w:val="ListParagraph"/>
        <w:numPr>
          <w:ilvl w:val="0"/>
          <w:numId w:val="2"/>
        </w:numPr>
        <w:spacing w:after="60"/>
      </w:pPr>
      <w:r>
        <w:t xml:space="preserve">Launch density strategy: California still delivers the largest immediate pool of licensed brands/retailers to seed the directory, so it shouldn’t be excluded — but growth-market outreach (New York, Ohio, Texas) is likely to produce a better ratio of newly forming, verification-ready businesses actively looking for industry connections.</w:t>
      </w:r>
    </w:p>
    <w:p>
      <w:pPr>
        <w:pStyle w:val="ListParagraph"/>
        <w:numPr>
          <w:ilvl w:val="0"/>
          <w:numId w:val="2"/>
        </w:numPr>
        <w:spacing w:after="60"/>
      </w:pPr>
      <w:r>
        <w:t xml:space="preserve">Treat this as a rolling input — license and market data shift quarterly, and this should be rechecked closer to Phase 4 launch planning rather than locked in now.</w:t>
      </w:r>
    </w:p>
    <w:p>
      <w:pPr>
        <w:pStyle w:val="Heading1"/>
        <w:spacing w:after="150" w:before="300"/>
      </w:pPr>
      <w:r>
        <w:t xml:space="preserve">5. Business / EIN Verification — Comparable Platform Practices</w:t>
      </w:r>
    </w:p>
    <w:p>
      <w:pPr>
        <w:spacing w:after="120"/>
      </w:pPr>
      <w:r>
        <w:t xml:space="preserve">Research into how comparable B2B platforms and cannabis-specific marketplaces handle business verification informed a recommended approach for Bridge, balancing trust, cost, and what’s realistic to build in an MVP timeline.</w:t>
      </w:r>
    </w:p>
    <w:p>
      <w:pPr>
        <w:pStyle w:val="Heading2"/>
        <w:spacing w:after="100" w:before="200"/>
      </w:pPr>
      <w:r>
        <w:t xml:space="preserve">Verification Tiers in the Market</w:t>
      </w:r>
    </w:p>
    <w:p>
      <w:pPr>
        <w:pStyle w:val="ListParagraph"/>
        <w:numPr>
          <w:ilvl w:val="0"/>
          <w:numId w:val="2"/>
        </w:numPr>
        <w:spacing w:after="60"/>
      </w:pPr>
      <w:r>
        <w:t xml:space="preserve">IRS TIN Matching — the most authoritative EIN-to-legal-name match, but requires IRS e-Services registration and is typically reserved for financial institutions and payroll providers; not a realistic Phase 3 build for Bridge.</w:t>
      </w:r>
    </w:p>
    <w:p>
      <w:pPr>
        <w:pStyle w:val="ListParagraph"/>
        <w:numPr>
          <w:ilvl w:val="0"/>
          <w:numId w:val="2"/>
        </w:numPr>
        <w:spacing w:after="60"/>
      </w:pPr>
      <w:r>
        <w:t xml:space="preserve">Third-party KYB verification APIs (Middesk, Persona, Sumsub, Trulioo, Signzy) — pull directly from primary sources (IRS, Secretary of State filings, sanctions/watchlist screening) and can auto-approve low-risk entities while routing higher-risk ones to manual review. These are built for exactly this kind of B2B marketplace onboarding problem and are worth a serious look for Phase 3, even if only for the EIN/entity-validation piece.</w:t>
      </w:r>
    </w:p>
    <w:p>
      <w:pPr>
        <w:pStyle w:val="ListParagraph"/>
        <w:numPr>
          <w:ilvl w:val="0"/>
          <w:numId w:val="2"/>
        </w:numPr>
        <w:spacing w:after="60"/>
      </w:pPr>
      <w:r>
        <w:t xml:space="preserve">Document upload with manual review — W-9 or IRS confirmation letter (CP 575 or 147C) reviewed by an admin. Lower cost, slower, fully controllable — realistic as the Phase 3 MVP approach.</w:t>
      </w:r>
    </w:p>
    <w:p>
      <w:pPr>
        <w:pStyle w:val="ListParagraph"/>
        <w:numPr>
          <w:ilvl w:val="0"/>
          <w:numId w:val="2"/>
        </w:numPr>
        <w:spacing w:after="60"/>
      </w:pPr>
      <w:r>
        <w:t xml:space="preserve">Self-attestation with spot-checking — lowest friction and lowest trust; typically paired with a review queue for flagged/reported accounts rather than upfront verification.</w:t>
      </w:r>
    </w:p>
    <w:p>
      <w:pPr>
        <w:pStyle w:val="Heading2"/>
        <w:spacing w:after="100" w:before="200"/>
      </w:pPr>
      <w:r>
        <w:t xml:space="preserve">Cannabis-Specific Precedent</w:t>
      </w:r>
    </w:p>
    <w:p>
      <w:pPr>
        <w:pStyle w:val="ListParagraph"/>
        <w:numPr>
          <w:ilvl w:val="0"/>
          <w:numId w:val="2"/>
        </w:numPr>
        <w:spacing w:after="60"/>
      </w:pPr>
      <w:r>
        <w:t xml:space="preserve">Weedmaps and Leafly rely primarily on a state cannabis license badge, cross-referenced against public state licensee registries, as their main trust signal for retailers — not EIN verification alone. This reflects that in cannabis specifically, license status matters more to industry participants than general business identity.</w:t>
      </w:r>
    </w:p>
    <w:p>
      <w:pPr>
        <w:pStyle w:val="ListParagraph"/>
        <w:numPr>
          <w:ilvl w:val="0"/>
          <w:numId w:val="2"/>
        </w:numPr>
        <w:spacing w:after="60"/>
      </w:pPr>
      <w:r>
        <w:t xml:space="preserve">This is directly relevant to Bridge: a directory of cannabis businesses should weight state license verification at least as heavily as EIN/entity verification, since license status is what actually confirms legal cannabis-industry standing.</w:t>
      </w:r>
    </w:p>
    <w:p>
      <w:pPr>
        <w:pStyle w:val="Heading2"/>
        <w:spacing w:after="100" w:before="200"/>
      </w:pPr>
      <w:r>
        <w:t xml:space="preserve">Recommended Approach for Bridge</w:t>
      </w:r>
    </w:p>
    <w:p>
      <w:pPr>
        <w:pStyle w:val="ListParagraph"/>
        <w:numPr>
          <w:ilvl w:val="0"/>
          <w:numId w:val="2"/>
        </w:numPr>
        <w:spacing w:after="60"/>
      </w:pPr>
      <w:r>
        <w:t xml:space="preserve">Dual-layer verification at signup: EIN/W-9 collection (business entity legitimacy) combined with state cannabis license number capture (industry-specific legitimacy) — mirroring the Weedmaps/Leafly license-badge model rather than relying on EIN alone.</w:t>
      </w:r>
    </w:p>
    <w:p>
      <w:pPr>
        <w:pStyle w:val="ListParagraph"/>
        <w:numPr>
          <w:ilvl w:val="0"/>
          <w:numId w:val="2"/>
        </w:numPr>
        <w:spacing w:after="60"/>
      </w:pPr>
      <w:r>
        <w:t xml:space="preserve">Manual review queue for mismatches between submitted data and lookup results, rather than automatic rejection — this is standard KYB practice and avoids false-rejecting legitimate businesses over data-entry or formatting mismatches.</w:t>
      </w:r>
    </w:p>
    <w:p>
      <w:pPr>
        <w:pStyle w:val="ListParagraph"/>
        <w:numPr>
          <w:ilvl w:val="0"/>
          <w:numId w:val="2"/>
        </w:numPr>
        <w:spacing w:after="60"/>
      </w:pPr>
      <w:r>
        <w:t xml:space="preserve">Phase 3 realistic build: EIN format validation plus state licensee database lookups, with manual admin lookup as the MVP-stage process for license verification (most states publish public licensee registries that can be searched manually or scraped).</w:t>
      </w:r>
    </w:p>
    <w:p>
      <w:pPr>
        <w:pStyle w:val="ListParagraph"/>
        <w:numPr>
          <w:ilvl w:val="0"/>
          <w:numId w:val="2"/>
        </w:numPr>
        <w:spacing w:after="60"/>
      </w:pPr>
      <w:r>
        <w:t xml:space="preserve">Phase 3-plus / post-MVP enhancement: true IRS TIN Matching and a KYB API integration (Middesk or similar) for automated entity verification, plus automated license-registry API lookups for high-volume states like California and Oklahoma once volume justifies the integration cost.</w:t>
      </w:r>
    </w:p>
    <w:p>
      <w:pPr>
        <w:pStyle w:val="ListParagraph"/>
        <w:numPr>
          <w:ilvl w:val="0"/>
          <w:numId w:val="2"/>
        </w:numPr>
        <w:spacing w:after="60"/>
      </w:pPr>
      <w:r>
        <w:t xml:space="preserve">Data model implications to raise with Miraj: dedicated fields for `verification_status`, `ein`, `state_license_number`, `license_state`, `license_type`, and reviewer/audit metadata, so the verification workflow and admin review queue have what they need without later schema rework.</w:t>
      </w:r>
    </w:p>
    <w:p>
      <w:pPr>
        <w:pStyle w:val="Heading1"/>
        <w:spacing w:after="150" w:before="300"/>
      </w:pPr>
      <w:r>
        <w:t xml:space="preserve">Open Items to Flag in the Meeting</w:t>
      </w:r>
    </w:p>
    <w:p>
      <w:pPr>
        <w:pStyle w:val="ListParagraph"/>
        <w:numPr>
          <w:ilvl w:val="0"/>
          <w:numId w:val="2"/>
        </w:numPr>
        <w:spacing w:after="60"/>
      </w:pPr>
      <w:r>
        <w:t xml:space="preserve">Naming conflict: "Bridge" is the name of an actively operating, press-covered, multi-location cannabis dispensary brand founded by a public figure (Havoc of Mobb Deep) with NDICA — this carries more trademark and brand-confusion risk than a typical name collision and should be discussed with Tori before finalizing the product name.</w:t>
      </w:r>
    </w:p>
    <w:p>
      <w:pPr>
        <w:pStyle w:val="ListParagraph"/>
        <w:numPr>
          <w:ilvl w:val="0"/>
          <w:numId w:val="2"/>
        </w:numPr>
        <w:spacing w:after="60"/>
      </w:pPr>
      <w:r>
        <w:t xml:space="preserve">Federal rescheduling of medical cannabis to Schedule III (effective April 28, 2026) is a live regulatory shift — recommend a `license_type` field (medical / adult-use / dual) in the data model so compliance and future ad rules can differ by type rather than treating cannabis as one regulatory bucket.</w:t>
      </w:r>
    </w:p>
    <w:p>
      <w:pPr>
        <w:pStyle w:val="ListParagraph"/>
        <w:numPr>
          <w:ilvl w:val="0"/>
          <w:numId w:val="2"/>
        </w:numPr>
        <w:spacing w:after="60"/>
      </w:pPr>
      <w:r>
        <w:t xml:space="preserve">License-level verification (state cannabis license lookup) may be a stronger trust signal than EIN alone, based on how Weedmaps and Leafly handle this — worth scoping alongside EIN capture as a Phase 3 requirement, not a later add-on.</w:t>
      </w:r>
    </w:p>
    <w:p>
      <w:pPr>
        <w:pStyle w:val="ListParagraph"/>
        <w:numPr>
          <w:ilvl w:val="0"/>
          <w:numId w:val="2"/>
        </w:numPr>
        <w:spacing w:after="60"/>
      </w:pPr>
      <w:r>
        <w:t xml:space="preserve">Launch market prioritization is a moving target — quarterly shifts in active licensing (California/Oklahoma contracting, New York/Ohio/Texas growing) mean this should be revisited closer to Phase 4 rather than locked from Phase 1 data 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2026-07-26T03:41:51.757Z</dcterms:created>
  <dcterms:modified xsi:type="dcterms:W3CDTF">2026-07-26T03:41:51.773Z</dcterms:modified>
</cp:coreProperties>
</file>

<file path=docProps/custom.xml><?xml version="1.0" encoding="utf-8"?>
<Properties xmlns="http://schemas.openxmlformats.org/officeDocument/2006/custom-properties" xmlns:vt="http://schemas.openxmlformats.org/officeDocument/2006/docPropsVTypes"/>
</file>