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Living on GLP-1 Medicines</w:t>
      </w:r>
    </w:p>
    <w:p>
      <w:pPr>
        <w:pStyle w:val="BookSubtitle"/>
      </w:pPr>
      <w:r>
        <w:t xml:space="preserve">Protein, Muscle and Maintenance for the Life You’re Building Now</w:t>
      </w:r>
    </w:p>
    <w:p>
      <w:pPr>
        <w:pStyle w:val="BookAuthor"/>
      </w:pPr>
      <w:r>
        <w:t xml:space="preserve">Dana Whitfield</w:t>
      </w:r>
    </w:p>
    <w:p>
      <w:pPr>
        <w:pStyle w:val="Copyright"/>
        <w:pageBreakBefore/>
      </w:pPr>
      <w:r>
        <w:t xml:space="preserve">Copyright © 2026 Dana Whitfield</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The author name, Dana Whitfield, is a pen name. Personal stories are composites written to illustrate real situations, not accounts of real identifiable people. The author holds no credential as a dietitian, nurse, physician or trainer, and this book provides general information, not medical advice. Reading it creates no professional relationship. This book never recommends starting, raising, lowering, timing or stopping any dose. Side effects, dose changes, tapering and stopping are decisions for you and your prescriber. Facts and medication information change; confirm anything that affects your health or treatment with your prescriber, your pharmacist, or the drug manufacturer’s current FDA-approved label before you rely on it.</w:t>
      </w:r>
    </w:p>
    <w:p>
      <w:pPr>
        <w:pStyle w:val="ContentsHeading"/>
      </w:pPr>
      <w:r>
        <w:t xml:space="preserve">Contents</w:t>
      </w:r>
    </w:p>
    <w:p>
      <w:pPr>
        <w:pStyle w:val="ContentsEntry"/>
      </w:pPr>
      <w:hyperlink w:anchor="_Toc_00_introduction" w:history="1">
        <w:r>
          <w:rPr>
            <w:rStyle w:val="Hyperlink"/>
          </w:rPr>
          <w:t xml:space="preserve">The Carnitas I Couldn’t Eat</w:t>
        </w:r>
      </w:hyperlink>
    </w:p>
    <w:p>
      <w:pPr>
        <w:pStyle w:val="ContentsEntry"/>
      </w:pPr>
      <w:hyperlink w:anchor="_Toc_10_what_is_actually_happening" w:history="1">
        <w:r>
          <w:rPr>
            <w:rStyle w:val="Hyperlink"/>
          </w:rPr>
          <w:t xml:space="preserve">Chapter 10: What Is Actually Happening</w:t>
        </w:r>
      </w:hyperlink>
    </w:p>
    <w:p>
      <w:pPr>
        <w:pStyle w:val="ContentsEntry"/>
      </w:pPr>
      <w:hyperlink w:anchor="_Toc_11_protein_first" w:history="1">
        <w:r>
          <w:rPr>
            <w:rStyle w:val="Hyperlink"/>
          </w:rPr>
          <w:t xml:space="preserve">Chapter 11: Protein First</w:t>
        </w:r>
      </w:hyperlink>
    </w:p>
    <w:p>
      <w:pPr>
        <w:pStyle w:val="ContentsEntry"/>
      </w:pPr>
      <w:hyperlink w:anchor="_Toc_12_dont_lose_the_muscle" w:history="1">
        <w:r>
          <w:rPr>
            <w:rStyle w:val="Hyperlink"/>
          </w:rPr>
          <w:t xml:space="preserve">Chapter 12: Don’t Lose the Muscle</w:t>
        </w:r>
      </w:hyperlink>
    </w:p>
    <w:p>
      <w:pPr>
        <w:pStyle w:val="ContentsEntry"/>
      </w:pPr>
      <w:hyperlink w:anchor="_Toc_13_eating_around_side_effects" w:history="1">
        <w:r>
          <w:rPr>
            <w:rStyle w:val="Hyperlink"/>
          </w:rPr>
          <w:t xml:space="preserve">Chapter 13: Eating Around Side Effects</w:t>
        </w:r>
      </w:hyperlink>
    </w:p>
    <w:p>
      <w:pPr>
        <w:pStyle w:val="ContentsEntry"/>
      </w:pPr>
      <w:hyperlink w:anchor="_Toc_14_water_and_electrolytes" w:history="1">
        <w:r>
          <w:rPr>
            <w:rStyle w:val="Hyperlink"/>
          </w:rPr>
          <w:t xml:space="preserve">Chapter 14: Water and Electrolytes</w:t>
        </w:r>
      </w:hyperlink>
    </w:p>
    <w:p>
      <w:pPr>
        <w:pStyle w:val="ContentsEntry"/>
      </w:pPr>
      <w:hyperlink w:anchor="_Toc_15_the_plateau" w:history="1">
        <w:r>
          <w:rPr>
            <w:rStyle w:val="Hyperlink"/>
          </w:rPr>
          <w:t xml:space="preserve">Chapter 15: The Plateau</w:t>
        </w:r>
      </w:hyperlink>
    </w:p>
    <w:p>
      <w:pPr>
        <w:pStyle w:val="ContentsEntry"/>
      </w:pPr>
      <w:hyperlink w:anchor="_Toc_16_social_eating_and_food_noise" w:history="1">
        <w:r>
          <w:rPr>
            <w:rStyle w:val="Hyperlink"/>
          </w:rPr>
          <w:t xml:space="preserve">Chapter 16: Social Eating and Food Noise</w:t>
        </w:r>
      </w:hyperlink>
    </w:p>
    <w:p>
      <w:pPr>
        <w:pStyle w:val="ContentsEntry"/>
      </w:pPr>
      <w:hyperlink w:anchor="_Toc_17_money_and_coverage" w:history="1">
        <w:r>
          <w:rPr>
            <w:rStyle w:val="Hyperlink"/>
          </w:rPr>
          <w:t xml:space="preserve">Chapter 17: Money and Coverage</w:t>
        </w:r>
      </w:hyperlink>
    </w:p>
    <w:p>
      <w:pPr>
        <w:pStyle w:val="ContentsEntry"/>
      </w:pPr>
      <w:hyperlink w:anchor="_Toc_18_prep_for_low_appetite_days" w:history="1">
        <w:r>
          <w:rPr>
            <w:rStyle w:val="Hyperlink"/>
          </w:rPr>
          <w:t xml:space="preserve">Chapter 18: Prep for Low-Appetite Days</w:t>
        </w:r>
      </w:hyperlink>
    </w:p>
    <w:p>
      <w:pPr>
        <w:pStyle w:val="ContentsEntry"/>
      </w:pPr>
      <w:hyperlink w:anchor="_Toc_19_maintenance_for_the_long_run" w:history="1">
        <w:r>
          <w:rPr>
            <w:rStyle w:val="Hyperlink"/>
          </w:rPr>
          <w:t xml:space="preserve">Chapter 19: Maintenance for the Long Run</w:t>
        </w:r>
      </w:hyperlink>
    </w:p>
    <w:p>
      <w:pPr>
        <w:pStyle w:val="ContentsEntry"/>
      </w:pPr>
      <w:hyperlink w:anchor="_Toc_20_planning_a_medication_change_with_your_prescriber" w:history="1">
        <w:r>
          <w:rPr>
            <w:rStyle w:val="Hyperlink"/>
          </w:rPr>
          <w:t xml:space="preserve">Chapter 20: Planning a Medication Change With Your Prescriber</w:t>
        </w:r>
      </w:hyperlink>
    </w:p>
    <w:p>
      <w:pPr>
        <w:pStyle w:val="ContentsEntry"/>
      </w:pPr>
      <w:hyperlink w:anchor="_Toc_99_closing" w:history="1">
        <w:r>
          <w:rPr>
            <w:rStyle w:val="Hyperlink"/>
          </w:rPr>
          <w:t xml:space="preserve">The Next Ordinary Evening</w:t>
        </w:r>
      </w:hyperlink>
    </w:p>
    <w:p>
      <w:pPr>
        <w:pStyle w:val="Heading1"/>
      </w:pPr>
      <w:bookmarkStart w:id="1" w:name="_Toc_00_introduction"/>
      <w:r>
        <w:t xml:space="preserve">The Carnitas I Couldn’t Eat</w:t>
      </w:r>
      <w:bookmarkEnd w:id="1"/>
    </w:p>
    <w:p>
      <w:pPr>
        <w:pStyle w:val="BodyFirst"/>
      </w:pPr>
      <w:r>
        <w:t xml:space="preserve">My first week on a GLP-1 medicine, I made carnitas. Pork shoulder, orange, a stick of cinnamon, four hours in a low oven until the edges went dark and crackled. Teo had two helpings and said something kind about the orange.</w:t>
      </w:r>
    </w:p>
    <w:p>
      <w:pPr>
        <w:pStyle w:val="BodyText"/>
      </w:pPr>
      <w:r>
        <w:t xml:space="preserve">I managed three bites and set my fork down.</w:t>
      </w:r>
    </w:p>
    <w:p>
      <w:pPr>
        <w:pStyle w:val="BodyText"/>
      </w:pPr>
      <w:r>
        <w:t xml:space="preserve">Not wouldn’t. Couldn’t. A forkful of pork shoulder had turned into homework.</w:t>
      </w:r>
    </w:p>
    <w:p>
      <w:pPr>
        <w:pStyle w:val="BodyText"/>
      </w:pPr>
      <w:r>
        <w:t xml:space="preserve">An empty plate can tell you what you managed at one sitting. It cannot tell you what your body needs across a day, or why a symptom is happening. Anita, my nurse practitioner, is thorough. Still, there is a gap between a good appointment and standing in your kitchen at six in the evening, looking at the pan you cooked and wondering what to do next.</w:t>
      </w:r>
    </w:p>
    <w:p>
      <w:pPr>
        <w:pStyle w:val="BodyText"/>
      </w:pPr>
      <w:r>
        <w:t xml:space="preserve">That gap is what this book is for.</w:t>
      </w:r>
    </w:p>
    <w:p>
      <w:pPr>
        <w:pStyle w:val="Heading2"/>
      </w:pPr>
      <w:r>
        <w:t xml:space="preserve">What went quiet, and what didn’t</w:t>
      </w:r>
    </w:p>
    <w:p>
      <w:pPr>
        <w:pStyle w:val="BodyFirst"/>
      </w:pPr>
      <w:r>
        <w:t xml:space="preserve">The short version of the biology, which Chapter 10 explains in more detail: the National Institute of Diabetes and Digestive and Kidney Diseases describes semaglutide as mimicking GLP-1 signaling that affects brain areas involved in appetite and food intake. Tirzepatide mimics both GIP and GLP-1 signaling. These medicines can reduce appetite, but a quieter appetite does not tell you what amount or pattern of food and fluid is right for you.</w:t>
      </w:r>
    </w:p>
    <w:p>
      <w:pPr>
        <w:pStyle w:val="BodyText"/>
      </w:pPr>
      <w:r>
        <w:t xml:space="preserve">Eating too little overall and losing weight can put muscle at risk. Chapter 11 will help you agree on an appropriate protein target with your dietitian or prescriber. Strength, food and fluid needs can depend on your health and other medicines; a general book cannot set those needs for you.</w:t>
      </w:r>
    </w:p>
    <w:p>
      <w:pPr>
        <w:pStyle w:val="BodyText"/>
      </w:pPr>
      <w:r>
        <w:t xml:space="preserve">The NIDDK’s prescription-medications page says these medicines work best alongside a program of healthy eating and physical activity; they do not replace either. True, and hard to put into practice when half a sandwich feels like plenty. This book stays with that practical gap: what to ask, what to notice, and how to work with your own care team instead of borrowing a stranger’s plan.</w:t>
      </w:r>
    </w:p>
    <w:p>
      <w:pPr>
        <w:pStyle w:val="BodyText"/>
      </w:pPr>
      <w:r>
        <w:t xml:space="preserve">If a condition, another medicine, or a clinician’s instruction changes what is safe for you, take that detail to your prescriber or pharmacist. The point is not to force yourself into a standard routine. It is to find a workable one with the people who know your care.</w:t>
      </w:r>
    </w:p>
    <w:p>
      <w:pPr>
        <w:pStyle w:val="Heading2"/>
      </w:pPr>
      <w:r>
        <w:t xml:space="preserve">Two rules I cook by</w:t>
      </w:r>
    </w:p>
    <w:p>
      <w:pPr>
        <w:pStyle w:val="BodyFirst"/>
      </w:pPr>
      <w:r>
        <w:t xml:space="preserve">Two habits shape the book. They are starting points, not substitutes for advice about your own health.</w:t>
      </w:r>
    </w:p>
    <w:p>
      <w:pPr>
        <w:pStyle w:val="BodyText"/>
      </w:pPr>
      <w:r>
        <w:t xml:space="preserve">The first: make a plan for eating that does not depend entirely on appetite. Chapter 11 covers protein with a dietitian or prescriber, then breaks the day into manageable choices. Fluid needs are personal too; ask your clinician how to plan fluids if you have limits or side effects.</w:t>
      </w:r>
    </w:p>
    <w:p>
      <w:pPr>
        <w:pStyle w:val="BodyText"/>
      </w:pPr>
      <w:r>
        <w:t xml:space="preserve">The second: every question with a dose in it belongs with your prescriber. Not a forum, not a relative taking the same medicine, and not this book. Whether to start, raise, lower, skip, pause or stop is a decision to make with your prescriber, who can consider your situation. When a chapter brushes up against that line, it will point you toward the right conversation rather than guess at an answer. Chapter 20 is for planning any medication change with your prescriber.</w:t>
      </w:r>
    </w:p>
    <w:p>
      <w:pPr>
        <w:pStyle w:val="BodyText"/>
      </w:pPr>
      <w:r>
        <w:t xml:space="preserve">These two habits are a starting point, not a substitute for your medicine’s safety information; read the Chapter 10 warning card and your current label before relying on this book.</w:t>
      </w:r>
    </w:p>
    <w:p>
      <w:pPr>
        <w:pStyle w:val="Heading2"/>
      </w:pPr>
      <w:r>
        <w:t xml:space="preserve">Three things this book is not</w:t>
      </w:r>
    </w:p>
    <w:p>
      <w:pPr>
        <w:pStyle w:val="BodyFirst"/>
      </w:pPr>
      <w:r>
        <w:t xml:space="preserve">This book is general information, not legal, financial, or medical advice. Its narrator uses a pen name, and personal stories are composites written to illustrate real situations. Rules and product instructions change; confirm health decisions with the professionals who know your care.</w:t>
      </w:r>
    </w:p>
    <w:p>
      <w:pPr>
        <w:pStyle w:val="BodyText"/>
      </w:pPr>
      <w:r>
        <w:t xml:space="preserve">Keep your exact product guide nearby. Use this book to prepare questions, not to change treatment. Start with Chapter 10’s warning card, then go to the chapter that matches today’s problem.</w:t>
      </w:r>
    </w:p>
    <w:p>
      <w:pPr>
        <w:pStyle w:val="BodyText"/>
      </w:pPr>
      <w:r>
        <w:t xml:space="preserve">It’s not a cookbook. There are recipes here and there, usually because a technique needs a demonstration, but if you came for ninety days of dinners you’ll be disappointed and you should get your money back. The problem most of us have is not a shortage of recipes. It’s a plate we can’t finish.</w:t>
      </w:r>
    </w:p>
    <w:p>
      <w:pPr>
        <w:pStyle w:val="BodyText"/>
      </w:pPr>
      <w:r>
        <w:t xml:space="preserve">It’s not a dosing guide. No milligrams, no titration schedules, no opinions about what week you should be on what. I have read enough internet threads where strangers trade dose advice to know how confidently wrong people can be about someone else’s prescription.</w:t>
      </w:r>
    </w:p>
    <w:p>
      <w:pPr>
        <w:pStyle w:val="BodyText"/>
      </w:pPr>
      <w:r>
        <w:t xml:space="preserve">And it’s not medical advice. Dana Whitfield is a pen-name narrator, and my first-person scenes, like the other stories here, are composites. They illustrate a problem; they do not prove that a real author used these medicines or that a habit is safe. The named people are composites too. The facts and safety information come from the agencies and current product labels named in the text; when a decision depends on your health or prescription, take it to your care team.</w:t>
      </w:r>
    </w:p>
    <w:p>
      <w:pPr>
        <w:pStyle w:val="BodyText"/>
      </w:pPr>
      <w:r>
        <w:t xml:space="preserve">The help here is kitchen-level: ways to discuss protein with a dietitian, questions to bring to an appointment, and small routines to consider with your clinician. It is not evidence that a particular habit is safe for every reader.</w:t>
      </w:r>
    </w:p>
    <w:p>
      <w:pPr>
        <w:pStyle w:val="Heading2"/>
      </w:pPr>
      <w:r>
        <w:t xml:space="preserve">When to shut the book and call someone</w:t>
      </w:r>
    </w:p>
    <w:p>
      <w:pPr>
        <w:pStyle w:val="BodyFirst"/>
      </w:pPr>
      <w:r>
        <w:t xml:space="preserve">If you become dizzy or faint, do not assume a missed protein meal explains it. Follow your diabetes team’s low-glucose plan if you have one; contact a clinician promptly. If a symptom is new, worsening, severe, or you are unsure how urgent it is, stop reading. For trouble breathing, swelling of the face, throat, or tongue, fainting, severe confusion, or another immediately dangerous symptom, seek emergency help now. Otherwise, use the emergency instructions in your current Medication Guide and contact your prescriber or pharmacist.</w:t>
      </w:r>
    </w:p>
    <w:p>
      <w:pPr>
        <w:pStyle w:val="Heading2"/>
      </w:pPr>
      <w:r>
        <w:t xml:space="preserve">How it’s laid out</w:t>
      </w:r>
    </w:p>
    <w:p>
      <w:pPr>
        <w:pStyle w:val="BodyFirst"/>
      </w:pPr>
      <w:r>
        <w:t xml:space="preserve">Chapter 11 turns the protein question into small choices across an ordinary day; Chapter 12 covers strength work and a readiness check.</w:t>
      </w:r>
    </w:p>
    <w:p>
      <w:pPr>
        <w:pStyle w:val="BodyText"/>
      </w:pPr>
      <w:r>
        <w:t xml:space="preserve">Read in whatever order helps; no suggested order should delay medical attention. Later chapters are available when you want help preparing for a prescriber conversation, keeping a simple record, navigating social meals or insurance questions, and building routines around the life you actually have. You do not need to make every change at once, and a checklist is a prompt for a conversation, not a test you can pass or fail. Each substantive chapter has one you can adapt with your care team; skip anything that conflicts with their instructions.</w:t>
      </w:r>
    </w:p>
    <w:p>
      <w:pPr>
        <w:pStyle w:val="Heading1"/>
      </w:pPr>
      <w:bookmarkStart w:id="2" w:name="_Toc_10_what_is_actually_happening"/>
      <w:r>
        <w:t xml:space="preserve">Chapter 10: What Is Actually Happening</w:t>
      </w:r>
      <w:bookmarkEnd w:id="2"/>
    </w:p>
    <w:p>
      <w:pPr>
        <w:pStyle w:val="BodyFirst"/>
      </w:pPr>
      <w:r>
        <w:t xml:space="preserve">The pharmacy bag sits beside your mug. On your phone, one page calls the medicine by its brand name; another mentions a drug with the same active ingredient and a different name. At dinner, you put down your fork sooner than expected. The label is full of cautions, the internet is full of confident explanations, and your body has given you one plain fact: this feels different.</w:t>
      </w:r>
    </w:p>
    <w:p>
      <w:pPr>
        <w:pStyle w:val="Heading2"/>
      </w:pPr>
      <w:r>
        <w:t xml:space="preserve">A signal, not a character test</w:t>
      </w:r>
    </w:p>
    <w:p>
      <w:pPr>
        <w:pStyle w:val="BodyFirst"/>
      </w:pPr>
      <w:r>
        <w:t xml:space="preserve">Semaglutide and tirzepatide act on hormone pathways involved in appetite. On its prescription-medications page, NIDDK explains that semaglutide copies a gut-hormone signal called GLP-1, which is associated with appetite and food intake. Tirzepatide engages GIP and GLP-1 receptors, also affecting appetite-related brain areas.</w:t>
      </w:r>
    </w:p>
    <w:p>
      <w:pPr>
        <w:pStyle w:val="BodyText"/>
      </w:pPr>
      <w:r>
        <w:t xml:space="preserve">That is the short version. These medicines change signals; they do not supply a personal explanation for every sensation. A smaller appetite does not prove that you are eating enough, that you are eating too little, or that a new symptom is harmless. It is one observation to discuss with your care team, not a verdict about your effort or your health.</w:t>
      </w:r>
    </w:p>
    <w:p>
      <w:pPr>
        <w:pStyle w:val="BodyText"/>
      </w:pPr>
      <w:r>
        <w:t xml:space="preserve">The medicine’s approved purpose also matters. Some people are prescribed a product for weight management; others may have a type 2 diabetes-related indication or another product-specific approved use. The U.S. Food and Drug Administration does not give one shared list of indications to every medicine that happens to contain semaglutide or tirzepatide. For instance, the current labels include uses beyond weight management for some products, including cardiovascular-risk reduction or treatment of moderate-to-severe sleep apnea in particular groups. Wegovy’s current label also includes an indication related to certain adults with metabolic dysfunction-associated steatohepatitis (MASH), a liver disease. The exact conditions and eligible groups are product-specific.</w:t>
      </w:r>
    </w:p>
    <w:p>
      <w:pPr>
        <w:pStyle w:val="BodyText"/>
      </w:pPr>
      <w:r>
        <w:t xml:space="preserve">A brand pair is not a permission slip to borrow another product’s indications. An indication listed for Wegovy does not automatically apply to Ozempic; the same is true of Zepbound and Mounjaro. Your prescriber may have a reason for the product chosen, and this book cannot judge that reason. If you are not sure which purpose applies to your prescription, ask: “What condition is this product treating for me, and where can I read that in its current FDA label?”</w:t>
      </w:r>
    </w:p>
    <w:p>
      <w:pPr>
        <w:pStyle w:val="Heading2"/>
      </w:pPr>
      <w:r>
        <w:t xml:space="preserve">Common does not mean imaginary</w:t>
      </w:r>
    </w:p>
    <w:p>
      <w:pPr>
        <w:pStyle w:val="BodyFirst"/>
      </w:pPr>
      <w:r>
        <w:t xml:space="preserve">Nausea, diarrhea, vomiting, constipation and abdominal discomfort or pain appear among the common adverse reactions across these product labels. The exact common-effect list is not identical for every brand. Depending on the product, it may also include fatigue, indigestion, decreased appetite, reflux, burping or other effects. Check the current label for your own medicine rather than assuming a list copied from a different brand applies to you.</w:t>
      </w:r>
    </w:p>
    <w:p>
      <w:pPr>
        <w:pStyle w:val="BodyText"/>
      </w:pPr>
      <w:r>
        <w:t xml:space="preserve">“Common” is a label category, not a dismissal. A symptom can be familiar and still interfere with eating, drinking, sleep or ordinary life. It can also have a cause that has nothing to do with the medicine. Don’t use a symptom list to diagnose yourself, and don’t wait out a severe or persistent problem because somebody online called it normal.</w:t>
      </w:r>
    </w:p>
    <w:p>
      <w:pPr>
        <w:pStyle w:val="Heading2"/>
      </w:pPr>
      <w:r>
        <w:t xml:space="preserve">Reading the label without memorizing it</w:t>
      </w:r>
    </w:p>
    <w:p>
      <w:pPr>
        <w:pStyle w:val="BodyFirst"/>
      </w:pPr>
      <w:r>
        <w:t xml:space="preserve">The full prescribing information is arranged in sections for a reason. “Indications and Usage” states the approved purpose and eligible group for that product. “Contraindications” names situations in which the label says the medicine should not be used. “Warnings and Precautions” describes important risks and what patients or clinicians should watch for. “Adverse Reactions” lists effects observed in the product’s clinical studies and other reported reactions. These are not interchangeable lists, and a short summary cannot carry every instruction in them.</w:t>
      </w:r>
    </w:p>
    <w:p>
      <w:pPr>
        <w:pStyle w:val="BodyText"/>
      </w:pPr>
      <w:r>
        <w:t xml:space="preserve">The Medication Guide is the patient-facing companion to the full label. Start there if the prescribing information is dense. If a phrase or instruction is unclear, ask the pharmacist or prescriber to explain how it applies to you.</w:t>
      </w:r>
    </w:p>
    <w:p>
      <w:pPr>
        <w:pStyle w:val="BodyText"/>
      </w:pPr>
      <w:r>
        <w:t xml:space="preserve">Labels also describe risks that depend on a person’s health history or other treatment. For example, low blood sugar is a particular concern when some of these medicines are used with insulin or certain other diabetes drugs; it is not a reason to assume that everyone taking one of these products will have a low. A history named under contraindications is not the same thing as a symptom to monitor. If you recognize a history that might apply, raise it with the prescriber or pharmacist promptly rather than trying to interpret a relative’s diagnosis or an old chart on your own.</w:t>
      </w:r>
    </w:p>
    <w:p>
      <w:pPr>
        <w:pStyle w:val="BodyText"/>
      </w:pPr>
      <w:r>
        <w:t xml:space="preserve">The practical move is modest: note what you noticed, when it began, whether it is getting better or worse, and what question you want answered. The observation-versus-decision distinction from the introduction still matters here. A note helps a conversation; it does not authorize a change to food, other medicines or your prescription. If a symptom is troubling, keeps returning, or makes it hard to keep fluids down, contact your prescriber or pharmacist for advice tailored to you. If it feels urgent, use the emergency guidance in your current Medication Guide or seek urgent care. You do not need to prove that a symptom is serious before asking for help.</w:t>
      </w:r>
    </w:p>
    <w:p>
      <w:pPr>
        <w:pStyle w:val="BodyText"/>
      </w:pPr>
      <w:r>
        <w:t xml:space="preserve">Match the brand on your box to its current Medication Guide. The two-tier card below helps you decide how urgently to seek help; your pharmacist or prescriber can clarify what applies to your health and other medicines.</w:t>
      </w:r>
    </w:p>
    <w:p>
      <w:pPr>
        <w:pStyle w:val="Heading2"/>
      </w:pPr>
      <w:r>
        <w:t xml:space="preserve">A two-tier warning card</w:t>
      </w:r>
    </w:p>
    <w:p>
      <w:pPr>
        <w:pStyle w:val="BodyFirst"/>
      </w:pPr>
      <w:r>
        <w:t xml:space="preserve">Use the first tier for a possible emergency. The second is for warning signs that need prompt contact with your care team.</w:t>
      </w:r>
    </w:p>
    <w:p>
      <w:pPr>
        <w:pStyle w:val="Heading3"/>
      </w:pPr>
      <w:r>
        <w:t xml:space="preserve">Call 911 or get emergency care now</w:t>
      </w:r>
    </w:p>
    <w:p>
      <w:pPr>
        <w:pStyle w:val="ListItem"/>
        <w:numPr>
          <w:ilvl w:val="0"/>
          <w:numId w:val="1"/>
        </w:numPr>
      </w:pPr>
      <w:r>
        <w:t xml:space="preserve">Trouble breathing; swelling of the face, lips, tongue or throat; fainting; or other signs of a severe allergic reaction.</w:t>
      </w:r>
    </w:p>
    <w:p>
      <w:pPr>
        <w:pStyle w:val="ListLast"/>
        <w:numPr>
          <w:ilvl w:val="0"/>
          <w:numId w:val="1"/>
        </w:numPr>
      </w:pPr>
      <w:r>
        <w:t xml:space="preserve">Any symptom your current Medication Guide identifies as an emergency, or a severe, rapidly worsening symptom that makes you fear for your immediate safety.</w:t>
      </w:r>
    </w:p>
    <w:p>
      <w:pPr>
        <w:pStyle w:val="BodyFirst"/>
      </w:pPr>
      <w:r>
        <w:t xml:space="preserve">A serious allergic reaction can include more than a rash. If breathing or throat swelling is involved, do not wait for an office callback. Use emergency services.</w:t>
      </w:r>
    </w:p>
    <w:p>
      <w:pPr>
        <w:pStyle w:val="Heading3"/>
      </w:pPr>
      <w:r>
        <w:t xml:space="preserve">Call your prescriber urgently</w:t>
      </w:r>
    </w:p>
    <w:p>
      <w:pPr>
        <w:pStyle w:val="ListItem"/>
        <w:numPr>
          <w:ilvl w:val="0"/>
          <w:numId w:val="1"/>
        </w:numPr>
      </w:pPr>
      <w:r>
        <w:t xml:space="preserve">For severe abdominal pain that will not go away, with or without vomiting or pain reaching your back, follow your own product’s Medication Guide: stop using it and call your healthcare provider right away. If you cannot reach them or the pain is severe or worsening, seek urgent or emergency care.</w:t>
      </w:r>
    </w:p>
    <w:p>
      <w:pPr>
        <w:pStyle w:val="ListItem"/>
        <w:numPr>
          <w:ilvl w:val="0"/>
          <w:numId w:val="1"/>
        </w:numPr>
      </w:pPr>
      <w:r>
        <w:t xml:space="preserve">Pain in the upper abdomen, fever, yellowing of the skin or eyes, or pale stools. These can be signs of a gallbladder problem named in product warnings. Do not try to sort out the cause yourself.</w:t>
      </w:r>
    </w:p>
    <w:p>
      <w:pPr>
        <w:pStyle w:val="ListItem"/>
        <w:numPr>
          <w:ilvl w:val="0"/>
          <w:numId w:val="1"/>
        </w:numPr>
      </w:pPr>
      <w:r>
        <w:t xml:space="preserve">Repeated vomiting or diarrhea, inability to keep fluids down, much less urination than usual, or other signs that concern you about dehydration or kidney problems. The labels warn that fluid loss can lead to kidney injury. Contact your care team promptly; if you are fainting, confused, rapidly worsening or unable to get help safely, seek emergency care.</w:t>
      </w:r>
    </w:p>
    <w:p>
      <w:pPr>
        <w:pStyle w:val="ListItem"/>
        <w:numPr>
          <w:ilvl w:val="0"/>
          <w:numId w:val="1"/>
        </w:numPr>
      </w:pPr>
      <w:r>
        <w:t xml:space="preserve">Shakiness, sweating, confusion, dizziness or other possible low-blood-sugar symptoms, particularly if you also use insulin or certain other diabetes medicines. Follow the low-glucose plan your diabetes team gave you. If symptoms are severe, you cannot safely treat them, or you lose consciousness, get emergency help.</w:t>
      </w:r>
    </w:p>
    <w:p>
      <w:pPr>
        <w:pStyle w:val="ListItem"/>
        <w:numPr>
          <w:ilvl w:val="0"/>
          <w:numId w:val="1"/>
        </w:numPr>
      </w:pPr>
      <w:r>
        <w:t xml:space="preserve">A lump or swelling in the neck, persistent hoarseness, or trouble swallowing. The current semaglutide and tirzepatide labels carry a boxed warning about thyroid C-cell tumors seen in rodents; whether the medicines cause these tumors in people is unknown. The labels say not to use these products with a personal or family history of medullary thyroid carcinoma (MTC), a type of thyroid cancer, or with multiple endocrine neoplasia syndrome type 2 (MEN 2), an inherited condition. If either history applies to you, contact your prescriber or pharmacist promptly to discuss your specific prescription. Do not try to decide on your own what the history means.</w:t>
      </w:r>
    </w:p>
    <w:p>
      <w:pPr>
        <w:pStyle w:val="ListLast"/>
        <w:numPr>
          <w:ilvl w:val="0"/>
          <w:numId w:val="1"/>
        </w:numPr>
      </w:pPr>
      <w:r>
        <w:t xml:space="preserve">New or worsening vision changes, especially if you have diabetes, or another symptom your product’s Medication Guide tells you to report promptly. Tell the clinician what changed and when. Use emergency care for sudden severe vision loss or another immediately dangerous symptom.</w:t>
      </w:r>
    </w:p>
    <w:p>
      <w:pPr>
        <w:pStyle w:val="BodyFirst"/>
      </w:pPr>
      <w:r>
        <w:t xml:space="preserve">The second tier means contact your prescribing team without delay for advice about what to do next; the right timing and route depend on the symptom and your care plan. If you cannot reach them and the symptom is getting worse, seek urgent or emergency care. This card is a prompt to get help, not a rule that you must wait for a prescriber before acting.</w:t>
      </w:r>
    </w:p>
    <w:p>
      <w:pPr>
        <w:pStyle w:val="BodyText"/>
      </w:pPr>
      <w:r>
        <w:t xml:space="preserve">These four product labels also warn about serious allergic reactions, pancreatitis, gallbladder problems, hypoglycemia in some situations, kidney injury associated with dehydration, and thyroid C-cell tumors. Blood-sugar and vision instructions matter especially for people with diabetes.</w:t>
      </w:r>
    </w:p>
    <w:p>
      <w:pPr>
        <w:pStyle w:val="Heading2"/>
      </w:pPr>
      <w:r>
        <w:t xml:space="preserve">Take the right page to the right person</w:t>
      </w:r>
    </w:p>
    <w:p>
      <w:pPr>
        <w:pStyle w:val="BodyFirst"/>
      </w:pPr>
      <w:r>
        <w:t xml:space="preserve">A boxed warning is the FDA’s prominent warning for a serious risk; it does not predict that a particular patient will develop that problem.</w:t>
      </w:r>
    </w:p>
    <w:p>
      <w:pPr>
        <w:pStyle w:val="BodyText"/>
      </w:pPr>
      <w:r>
        <w:t xml:space="preserve">If your medicine is used for type 2 diabetes, include your diabetes care team in questions about blood sugar and other glucose-lowering medicines. If you take other prescriptions, mention them to the pharmacist or prescriber; a side effect, a low reading or a new symptom may depend on the whole medication picture. This is especially important when more than one clinician is involved. No one is expected to reconstruct that list from memory while feeling unwell. Bring the list or a photo of it.</w:t>
      </w:r>
    </w:p>
    <w:p>
      <w:pPr>
        <w:pStyle w:val="BodyText"/>
      </w:pPr>
      <w:r>
        <w:t xml:space="preserve">When an appointment feels rushed, use a short record rather than a theory. For example, suppose nausea has returned after dinner for several evenings. A note might read: “Since Tuesday, nausea has started after dinner and lasted about two hours. I vomited once on Wednesday. On Thursday I kept water down; urination was [usual/less than usual]. I also take [medicine names] and started [anything new] on [date]. Should I be seen, and what would make this urgent for me?” This is a reporting example, not a way to decide the medicine caused the symptom.</w:t>
      </w:r>
    </w:p>
    <w:p>
      <w:pPr>
        <w:pStyle w:val="BodyText"/>
      </w:pPr>
      <w:r>
        <w:t xml:space="preserve">Put the start date and time beside each symptom, and note whether it is improving, worsening or unchanged. Include what you could eat and drink, any vomiting or diarrhea, other medicines, and a relevant recent change. If your diabetes team already asked you to track glucose, include the reading and time; do not delay care to collect one. Have the brand name and strength from the package nearby, plus the Medication Guide if available. If you reach a covering clinician, say the exact product name; similar active ingredients do not make the product instructions identical.</w:t>
      </w:r>
    </w:p>
    <w:p>
      <w:pPr>
        <w:pStyle w:val="BodyText"/>
      </w:pPr>
      <w:r>
        <w:t xml:space="preserve">A compact message can end with a direct request: “Please tell me whether I should be seen today, who to call after hours, and which change means I should seek emergency care.” Write down the name of the person who answered and the next step they gave you. A pharmacist can help locate the correct product guide or review a medicine question; the prescriber can decide whether an assessment is needed. Do not hold up urgent care to finish the note. If the warning card says emergency care, or you cannot keep fluids down, act rather than waiting for an office callback.</w:t>
      </w:r>
    </w:p>
    <w:p>
      <w:pPr>
        <w:pStyle w:val="BodyText"/>
      </w:pPr>
      <w:r>
        <w:t xml:space="preserve">If you leave a message, include a callback number and a safe time to reach you. Keep the package nearby in case the office asks you to read the product name or strength. If the advice is unclear, repeat back the next step in your own words before ending the call.</w:t>
      </w:r>
    </w:p>
    <w:p>
      <w:pPr>
        <w:pStyle w:val="BodyText"/>
      </w:pPr>
      <w:r>
        <w:t xml:space="preserve">If you are already dealing with severe pain, breathing trouble, fainting, or another emergency sign, skip the appointment-prep exercise and get help. A tidy note is useful; it is never a prerequisite for care.</w:t>
      </w:r>
    </w:p>
    <w:p>
      <w:pPr>
        <w:pStyle w:val="Heading2"/>
      </w:pPr>
      <w:r>
        <w:t xml:space="preserve">Before you turn the page</w:t>
      </w:r>
    </w:p>
    <w:p>
      <w:pPr>
        <w:pStyle w:val="BodyFirst"/>
      </w:pPr>
      <w:r>
        <w:t xml:space="preserve">Keep the card beside your medicine list; if a warning sign appears, use it now.</w:t>
      </w:r>
    </w:p>
    <w:p>
      <w:pPr>
        <w:pStyle w:val="BodyText"/>
      </w:pPr>
      <w:r>
        <w:t xml:space="preserve">Before you close the book, keep these two steps with your medicine list:</w:t>
      </w:r>
    </w:p>
    <w:p>
      <w:pPr>
        <w:pStyle w:val="ListItem"/>
        <w:numPr>
          <w:ilvl w:val="0"/>
          <w:numId w:val="1"/>
        </w:numPr>
      </w:pPr>
      <w:r>
        <w:t xml:space="preserve">Contact your prescriber urgently about severe or persistent abdominal pain, gallbladder warning signs, inability to keep fluids down, possible low blood sugar, a neck lump or persistent hoarseness, vision changes, or another symptom the guide says to report.</w:t>
      </w:r>
    </w:p>
    <w:p>
      <w:pPr>
        <w:pStyle w:val="ListLast"/>
        <w:numPr>
          <w:ilvl w:val="0"/>
          <w:numId w:val="1"/>
        </w:numPr>
      </w:pPr>
      <w:r>
        <w:t xml:space="preserve">Ask your pharmacist or prescriber to clarify what is specific to your health history and other medicines.</w:t>
      </w:r>
    </w:p>
    <w:p>
      <w:pPr>
        <w:pStyle w:val="Heading2"/>
      </w:pPr>
      <w:r>
        <w:t xml:space="preserve">Sources</w:t>
      </w:r>
    </w:p>
    <w:p>
      <w:pPr>
        <w:pStyle w:val="ListItem"/>
        <w:numPr>
          <w:ilvl w:val="0"/>
          <w:numId w:val="1"/>
        </w:numPr>
      </w:pPr>
      <w:hyperlink r:id="rIdL1">
        <w:r>
          <w:rPr>
            <w:rStyle w:val="Hyperlink"/>
          </w:rPr>
          <w:t xml:space="preserve">Wegovy current label records (DailyMed)</w:t>
        </w:r>
      </w:hyperlink>
    </w:p>
    <w:p>
      <w:pPr>
        <w:pStyle w:val="ListItem"/>
        <w:numPr>
          <w:ilvl w:val="0"/>
          <w:numId w:val="1"/>
        </w:numPr>
      </w:pPr>
      <w:hyperlink r:id="rIdL2">
        <w:r>
          <w:rPr>
            <w:rStyle w:val="Hyperlink"/>
          </w:rPr>
          <w:t xml:space="preserve">Ozempic current label records (DailyMed)</w:t>
        </w:r>
      </w:hyperlink>
    </w:p>
    <w:p>
      <w:pPr>
        <w:pStyle w:val="ListItem"/>
        <w:numPr>
          <w:ilvl w:val="0"/>
          <w:numId w:val="1"/>
        </w:numPr>
      </w:pPr>
      <w:hyperlink r:id="rIdL3">
        <w:r>
          <w:rPr>
            <w:rStyle w:val="Hyperlink"/>
          </w:rPr>
          <w:t xml:space="preserve">Mounjaro current label records (DailyMed)</w:t>
        </w:r>
      </w:hyperlink>
    </w:p>
    <w:p>
      <w:pPr>
        <w:pStyle w:val="ListLast"/>
        <w:numPr>
          <w:ilvl w:val="0"/>
          <w:numId w:val="1"/>
        </w:numPr>
      </w:pPr>
      <w:hyperlink r:id="rIdL4">
        <w:r>
          <w:rPr>
            <w:rStyle w:val="Hyperlink"/>
          </w:rPr>
          <w:t xml:space="preserve">Zepbound current label records (DailyMed)</w:t>
        </w:r>
      </w:hyperlink>
    </w:p>
    <w:p>
      <w:pPr>
        <w:pStyle w:val="Heading1"/>
      </w:pPr>
      <w:bookmarkStart w:id="3" w:name="_Toc_11_protein_first"/>
      <w:r>
        <w:t xml:space="preserve">Chapter 11: Protein First</w:t>
      </w:r>
      <w:bookmarkEnd w:id="3"/>
    </w:p>
    <w:p>
      <w:pPr>
        <w:pStyle w:val="BodyFirst"/>
      </w:pPr>
      <w:r>
        <w:t xml:space="preserve">The grocery store was bright enough to make every label look urgent. It was week three. By three in the afternoon, I had managed half a burrito, and I was standing beside the carts trying to remember why I had come for eggs.</w:t>
      </w:r>
    </w:p>
    <w:p>
      <w:pPr>
        <w:pStyle w:val="BodyText"/>
      </w:pPr>
      <w:r>
        <w:t xml:space="preserve">Then I felt lightheaded.</w:t>
      </w:r>
    </w:p>
    <w:p>
      <w:pPr>
        <w:pStyle w:val="BodyText"/>
      </w:pPr>
      <w:r>
        <w:t xml:space="preserve">I set the basket down and sat. I did not know what had caused it, and I did not turn the moment into proof that one food or one missed meal explained everything. I called Anita’s office and described what I noticed. That is the part worth borrowing: report a symptom instead of naming its cause. Dizziness or fainting is not a cue to solve the problem with a snack and move on; if it happens to you, use the low-glucose instructions from your diabetes team, if you have them, and contact a clinician promptly.</w:t>
      </w:r>
    </w:p>
    <w:p>
      <w:pPr>
        <w:pStyle w:val="BodyText"/>
      </w:pPr>
      <w:r>
        <w:t xml:space="preserve">The grocery trip changed how I planned food. I stopped waiting for hunger to remind me to eat and started putting a few small chances for protein on the day. Not a prescription. A reminder that appetite is not a reliable appointment calendar.</w:t>
      </w:r>
    </w:p>
    <w:p>
      <w:pPr>
        <w:pStyle w:val="Heading2"/>
      </w:pPr>
      <w:r>
        <w:t xml:space="preserve">Start with a question, not a number</w:t>
      </w:r>
    </w:p>
    <w:p>
      <w:pPr>
        <w:pStyle w:val="BodyFirst"/>
      </w:pPr>
      <w:r>
        <w:t xml:space="preserve">Protein helps build and maintain muscle, among other jobs in the body. In its guide to healthy eating for adults with chronic kidney disease, NIDDK explains that protein needs can differ and may change over time. It advises people with kidney disease to work with a dietitian or health professional to find the right amount and sources. That is a useful caution for this whole conversation: a number that suits someone else may not suit you.</w:t>
      </w:r>
    </w:p>
    <w:p>
      <w:pPr>
        <w:pStyle w:val="BodyText"/>
      </w:pPr>
      <w:r>
        <w:t xml:space="preserve">This book does not set a gram target. The sources gathered for it do not establish one protein number for every person using a GLP-1 medicine. A target can depend on your health, the rest of your eating, and any instructions from your care team. If you have kidney disease or another condition that affects food choices, the target and the kinds of foods you use deserve particular care. Ask your prescriber or a registered dietitian who knows your history to help set it. A dietitian can also turn a target into foods and portions you can manage; that is far more useful than a number on a sticky note with no plan behind it.</w:t>
      </w:r>
    </w:p>
    <w:p>
      <w:pPr>
        <w:pStyle w:val="BodyText"/>
      </w:pPr>
      <w:r>
        <w:t xml:space="preserve">You can open the conversation plainly: “My appetite is smaller, and I want to talk about protein while I am losing weight. Is a protein target appropriate for me? If so, what amount and food sources fit my health and other instructions?” If you already have a target, bring it back for a check if your health, appetite, or treatment plan has changed. Do not increase it on your own because a social post or a package promises a bigger result.</w:t>
      </w:r>
    </w:p>
    <w:p>
      <w:pPr>
        <w:pStyle w:val="BodyText"/>
      </w:pPr>
      <w:r>
        <w:t xml:space="preserve">There is another reason to keep the conversation individualized. Protein is one part of maintaining nourishment during weight loss; it does not replace the individualized strength and activity discussion in Chapter 12 or advice from your care team. The NIDDK’s prescription-medications guidance describes these medicines as working alongside healthy eating and physical activity, not in place of either. Chapter 12 takes up strength work. Here, the job is narrower: make it easier to notice and plan a few protein-containing foods without turning meals into a math exam.</w:t>
      </w:r>
    </w:p>
    <w:p>
      <w:pPr>
        <w:pStyle w:val="Heading2"/>
      </w:pPr>
      <w:r>
        <w:t xml:space="preserve">Make the day easier to see</w:t>
      </w:r>
    </w:p>
    <w:p>
      <w:pPr>
        <w:pStyle w:val="BodyFirst"/>
      </w:pPr>
      <w:r>
        <w:t xml:space="preserve">When appetite is quiet, a large plate can look like a dare. I do better thinking in small checkpoints: an opportunity in the morning, another around midday, one later in the afternoon, and one at supper if it fits my day. Three or four is a planning frame, not a quota. Your clinician’s instructions come first, and there is no prize for forcing food when doing so conflicts with advice you have been given.</w:t>
      </w:r>
    </w:p>
    <w:p>
      <w:pPr>
        <w:pStyle w:val="BodyText"/>
      </w:pPr>
      <w:r>
        <w:t xml:space="preserve">A checkpoint is simply a moment when you ask, “What small protein food could fit here?” It might be part of breakfast, a small snack, or a few bites alongside something else. The question is not whether you can finish a restaurant-size portion. It’s whether you have made a reasonable opportunity before the day gets away from you.</w:t>
      </w:r>
    </w:p>
    <w:p>
      <w:pPr>
        <w:pStyle w:val="BodyText"/>
      </w:pPr>
      <w:r>
        <w:t xml:space="preserve">Try attaching the first checkpoint to a thing that already happens. If you take morning medicines with a clinician-approved breakfast, that may be a useful place to consider a protein food. If mornings are a sprint, pick a later anchor: the first pause at work, the time you make tea, or when you put lunch in the fridge. The anchor is a reminder, not a new medical schedule. If a medicine instruction, test, or care plan affects when you eat, follow that instruction and ask your care team how to fit food around it.</w:t>
      </w:r>
    </w:p>
    <w:p>
      <w:pPr>
        <w:pStyle w:val="BodyText"/>
      </w:pPr>
      <w:r>
        <w:t xml:space="preserve">I used to treat the end of the day like a service rush: if I had not eaten much, I tried to make supper do all the work. That usually made the plate feel even bigger. A few modest opportunities are less intimidating than asking one meal to repair the whole day. It also gives you something concrete to report at an appointment: “Breakfast was difficult; I could manage yogurt later,” is more useful than “I never eat enough,” which is both hard to measure and easy to turn into blame.</w:t>
      </w:r>
    </w:p>
    <w:p>
      <w:pPr>
        <w:pStyle w:val="Heading2"/>
      </w:pPr>
      <w:r>
        <w:t xml:space="preserve">Choose foods you will actually keep around</w:t>
      </w:r>
    </w:p>
    <w:p>
      <w:pPr>
        <w:pStyle w:val="BodyFirst"/>
      </w:pPr>
      <w:r>
        <w:t xml:space="preserve">Protein does not require a special powder or a heroic cooking session. Think of familiar foods you can store, portion, and eat in the circumstances you actually have. Eggs, yogurt or cottage cheese, beans, tofu, fish, and cooked chicken are examples. The right choices depend on your preferences, allergies, budget, cultural foods, and any medical limits. NIDDK’s kidney-nutrition guidance, for example, explains that some people with chronic kidney disease may need to adjust the amount or source of protein with a health professional. A general list is a starting shelf, not an instruction to eat every item on it.</w:t>
      </w:r>
    </w:p>
    <w:p>
      <w:pPr>
        <w:pStyle w:val="BodyText"/>
      </w:pPr>
      <w:r>
        <w:t xml:space="preserve">Keep convenience honest. A ready-to-eat food can be useful even if it is not an impressive recipe. A single-serving cup, a container of beans, or leftovers already divided into a small portion can lower the number of steps between you and a bite. If a food needs more work than you can face, it is not a practical option for that moment. I am a cook by temperament; I still know that “just prepare something” is useless advice when the cutting board feels like a project.</w:t>
      </w:r>
    </w:p>
    <w:p>
      <w:pPr>
        <w:pStyle w:val="BodyText"/>
      </w:pPr>
      <w:r>
        <w:t xml:space="preserve">A protein food can share the plate with whatever else is manageable. A few spoonfuls of yogurt beside fruit, an egg with toast, beans with rice, or some chicken tucked into soup are examples of combinations, not complete meal plans. If your clinician has asked you to follow a specific eating plan, use that plan rather than these illustrations. The goal is not to make every bite carry a nutritional assignment. The goal is to have a couple of low-friction options available when appetite gives you little notice.</w:t>
      </w:r>
    </w:p>
    <w:p>
      <w:pPr>
        <w:pStyle w:val="BodyText"/>
      </w:pPr>
      <w:r>
        <w:t xml:space="preserve">Choose two or three options for the week instead of buying a new shelf of products. Think about what keeps, what you already like, and what takes almost no assembly. If you shop once a week, put one shelf-stable choice in the pantry and one ready-to-eat choice where you can see it. If food cost is tight, tell the dietitian or clinic plainly; the plan needs to fit your budget, not an imaginary one. Frozen, canned, and dried foods may be useful depending on your needs and the instructions you have been given.</w:t>
      </w:r>
    </w:p>
    <w:p>
      <w:pPr>
        <w:pStyle w:val="Heading2"/>
      </w:pPr>
      <w:r>
        <w:t xml:space="preserve">Make portions smaller without making the plan smaller</w:t>
      </w:r>
    </w:p>
    <w:p>
      <w:pPr>
        <w:pStyle w:val="BodyFirst"/>
      </w:pPr>
      <w:r>
        <w:t xml:space="preserve">A checkpoint does not need to be a full meal. Put a small portion on a plate or in a cup, then give yourself permission to stop when you are done. You can decide later whether another small portion makes sense. Nothing here asks you to push through discomfort or ignore a symptom. If eating is repeatedly difficult or you are worried about getting enough, bring that to your prescriber or dietitian; they can help you consider the full picture.</w:t>
      </w:r>
    </w:p>
    <w:p>
      <w:pPr>
        <w:pStyle w:val="BodyText"/>
      </w:pPr>
      <w:r>
        <w:t xml:space="preserve">It can help to keep a short note for several ordinary days. Write the time and the food, and, if you already have an individualized target, note how the food fits it. Leave out calorie scoring and moral grades. You are looking for a pattern you can discuss: perhaps the morning checkpoint is consistently missing, or maybe one portable food works better than a cooked meal at lunch. One day is not a verdict. It is a sample.</w:t>
      </w:r>
    </w:p>
    <w:p>
      <w:pPr>
        <w:pStyle w:val="BodyText"/>
      </w:pPr>
      <w:r>
        <w:t xml:space="preserve">If you prefer not to track, use a simple visual cue. Put a small mark beside each planned checkpoint on your calendar or phone. The mark means “I paused to consider a protein food,” not “I passed.” If the calendar stays blank, look at the setup: the reminder may be late, or the food may not have been ready. Change the setup, not the story you tell about your character.</w:t>
      </w:r>
    </w:p>
    <w:p>
      <w:pPr>
        <w:pStyle w:val="BodyText"/>
      </w:pPr>
      <w:r>
        <w:t xml:space="preserve">The schedule should bend around real life. If you have a morning appointment, a long commute, or a shift with few breaks, plan the most dependable checkpoint first. Pack a food you know you can store safely, if that works for your situation. If food access or storage is a problem, say so when you speak with your care team. A plan that assumes a refrigerator you do not have will fail for a reason unrelated to effort.</w:t>
      </w:r>
    </w:p>
    <w:p>
      <w:pPr>
        <w:pStyle w:val="Heading2"/>
      </w:pPr>
      <w:r>
        <w:t xml:space="preserve">When the usual food list does not fit</w:t>
      </w:r>
    </w:p>
    <w:p>
      <w:pPr>
        <w:pStyle w:val="BodyFirst"/>
      </w:pPr>
      <w:r>
        <w:t xml:space="preserve">Some readers have food allergies, religious or cultural restrictions, limited budgets, swallowing or dental problems, kidney disease, diabetes meal instructions, or other conditions that change the choices. Do not squeeze yourself into a generic list. NIDDK notes that chronic kidney disease can change protein needs and that some people may need to limit or adjust protein, while others, including some people receiving dialysis, may need a different approach. That example is why a clinician or dietitian should help set a target when a medical condition affects nutrition.</w:t>
      </w:r>
    </w:p>
    <w:p>
      <w:pPr>
        <w:pStyle w:val="BodyText"/>
      </w:pPr>
      <w:r>
        <w:t xml:space="preserve">If dairy does not suit you, it does not follow that you have failed the chapter. If meat is not part of your diet, plant foods can be discussed as sources with your dietitian. If a supplement seems easier than food, ask your clinician or pharmacist whether a particular product fits your health, medicines, and any restrictions; the label’s front is not a personal assessment. You do not need to buy anything to begin this conversation.</w:t>
      </w:r>
    </w:p>
    <w:p>
      <w:pPr>
        <w:pStyle w:val="BodyText"/>
      </w:pPr>
      <w:r>
        <w:t xml:space="preserve">The same goes for a day when almost nothing sounds good. This chapter is not a treatment plan for nausea or other side effects, and a protein checklist is not a reason to wait out a symptom. Chapter 13 covers what to track and report when side effects interfere with eating. If you cannot keep fluids down, feel faint, or have a severe or worsening symptom, use the Chapter 10 warning card and contact your care team or emergency services as directed. Call a health professional when the pattern is interfering with eating or your health; do not try to solve it by forcing a new target.</w:t>
      </w:r>
    </w:p>
    <w:p>
      <w:pPr>
        <w:pStyle w:val="Heading2"/>
      </w:pPr>
      <w:r>
        <w:t xml:space="preserve">Make a target usable outside the appointment</w:t>
      </w:r>
    </w:p>
    <w:p>
      <w:pPr>
        <w:pStyle w:val="BodyFirst"/>
      </w:pPr>
      <w:r>
        <w:t xml:space="preserve">A target only helps if it fits the places where you eat. The appointment is a good place to say what those places look like, not just to ask for a number. Do you have a refrigerator at work? Can you take breaks when you need them? Is the kitchen shared? Does the grocery trip happen on foot, by bus, or as part of someone else’s errand? Those details are part of nutrition planning, not evidence that you lack discipline.</w:t>
      </w:r>
    </w:p>
    <w:p>
      <w:pPr>
        <w:pStyle w:val="BodyText"/>
      </w:pPr>
      <w:r>
        <w:t xml:space="preserve">If you can meet with a registered dietitian, ask whether they can help translate an individualized protein discussion into choices that fit your health, budget, preferences, and storage. Some clinics offer different ways to meet; ask what is available rather than assuming an appointment format or referral is available. If you are not sure how to find the right professional, ask the prescriber’s office who handles nutrition referrals for people with your conditions.</w:t>
      </w:r>
    </w:p>
    <w:p>
      <w:pPr>
        <w:pStyle w:val="BodyText"/>
      </w:pPr>
      <w:r>
        <w:t xml:space="preserve">It may help to arrive with a rough map of an ordinary day. Not a polished food diary: just note where food is available, where it is not, and what makes a choice hard. For example, a person who works a long shift might have ten minutes between customers, a shared refrigerator, and no reliable way to heat lunch. Another might shop once a week and have little freezer space. Those are different planning problems. Naming them lets the dietitian ask which options are realistic without asking you to make up a story about why a plan did not work.</w:t>
      </w:r>
    </w:p>
    <w:p>
      <w:pPr>
        <w:pStyle w:val="BodyText"/>
      </w:pPr>
      <w:r>
        <w:t xml:space="preserve">Ask the dietitian to separate three questions that can otherwise collapse into one: whether a target is appropriate for you, which sources fit your health and eating pattern, and what to do when the usual option is unavailable. With kidney disease, NIDDK says protein amounts and sources should be discussed with a dietitian or health professional; needs can differ and change. If another clinician has given you a food restriction, bring the exact instruction so the professionals can account for it rather than having you reconcile it alone.</w:t>
      </w:r>
    </w:p>
    <w:p>
      <w:pPr>
        <w:pStyle w:val="BodyText"/>
      </w:pPr>
      <w:r>
        <w:t xml:space="preserve">The wording can stay simple: “Here is what I can usually keep and eat. Which of these choices fit the target you recommend, and what is a practical backup when they are not available?” If cost is tight, say so before the conversation turns into a shopping list. Ask which lower-cost options fit your plan and whether a clinic social worker or another local resource can help with access. Availability varies; the point is to describe the obstacle early, not to promise that a particular service exists.</w:t>
      </w:r>
    </w:p>
    <w:p>
      <w:pPr>
        <w:pStyle w:val="BodyText"/>
      </w:pPr>
      <w:r>
        <w:t xml:space="preserve">Different constraints call for different questions. If you do not have dependable refrigeration, ask how the professional wants you to think about shelf-stable choices and safe storage. If chewing, swallowing, allergies, or nausea limits what works, describe the problem and ask which professional should address it. This book cannot decide whether a texture or packaged food is appropriate for your condition. It can help you bring the real limitation into the room instead of leaving with a plan designed for somebody else’s kitchen.</w:t>
      </w:r>
    </w:p>
    <w:p>
      <w:pPr>
        <w:pStyle w:val="BodyText"/>
      </w:pPr>
      <w:r>
        <w:t xml:space="preserve">If your family eats differently, you do not have to replace the household menu to have this discussion. Bring the foods you actually cook or buy and ask where a manageable protein choice could fit alongside them. A familiar bean dish, tofu, fish, eggs, dairy, or meat may be worth discussing depending on your needs and preferences; the list is not a recommendation to use any particular item. A dietitian can help consider the full combination and any relevant medical limits.</w:t>
      </w:r>
    </w:p>
    <w:p>
      <w:pPr>
        <w:pStyle w:val="BodyText"/>
      </w:pPr>
      <w:r>
        <w:t xml:space="preserve">If the clinician offers a specific target, make sure you understand whether it is a daily amount, a range, or something else they have chosen for you; this book will not supply or reinterpret the number. Ask how they want you to use it on a day when appetite is low, whether they want you to track anything, and when the target should be revisited if your health or care plan changes. If an answer is unclear, ask them to explain it in foods and examples rather than converting it yourself into a stricter rule.</w:t>
      </w:r>
    </w:p>
    <w:p>
      <w:pPr>
        <w:pStyle w:val="BodyText"/>
      </w:pPr>
      <w:r>
        <w:t xml:space="preserve">There is no need to prepare a perfect record before asking for help. Bring the map of your real week, one food-access barrier, and the question that has been hardest to answer. Leave with the name of the person who can help with the next part, or with a clear question to take back to your prescriber. Then choose only the option that fits the instructions you were given.</w:t>
      </w:r>
    </w:p>
    <w:p>
      <w:pPr>
        <w:pStyle w:val="Heading2"/>
      </w:pPr>
      <w:r>
        <w:t xml:space="preserve">If the barrier is access, not appetite</w:t>
      </w:r>
    </w:p>
    <w:p>
      <w:pPr>
        <w:pStyle w:val="BodyFirst"/>
      </w:pPr>
      <w:r>
        <w:t xml:space="preserve">Food access can change from one week to the next. A grocery trip may depend on a ride, a benefit balance, work hours, or whether the nearest shop carries the foods you know. If the options you discussed with a dietitian are not available, tell them which part failed: the price, the trip, storage, preparation, or the food itself. A useful plan needs a backup for the barrier you actually have.</w:t>
      </w:r>
    </w:p>
    <w:p>
      <w:pPr>
        <w:pStyle w:val="BodyText"/>
      </w:pPr>
      <w:r>
        <w:t xml:space="preserve">For an appointment, you could bring a short two-column note: “What I can get or store” and “What gets in the way.” Keep it concrete. “I can shop every other Friday and have one freezer drawer” gives a different picture than “I need to eat better.” If writing a list feels like work, say the details out loud. The professional can ask follow-up questions; you do not need to show up with a solution.</w:t>
      </w:r>
    </w:p>
    <w:p>
      <w:pPr>
        <w:pStyle w:val="BodyText"/>
      </w:pPr>
      <w:r>
        <w:t xml:space="preserve">Ask what local help is available, but treat each suggestion as a lead to verify. A clinic might know about a social worker, food pantry, community meal service, benefits counselor, or transportation resource. These programs differ in eligibility, location, schedule, and what they provide. The prescriber’s office may not know every current detail, so call the program directly before planning around it. If the first resource cannot help, ask whether they know the next appropriate contact.</w:t>
      </w:r>
    </w:p>
    <w:p>
      <w:pPr>
        <w:pStyle w:val="BodyText"/>
      </w:pPr>
      <w:r>
        <w:t xml:space="preserve">If a food pantry or community meal is part of the week, the dietitian can help you think through what is available without asking you to reject food you can access. You might ask, “Given my care plan, how should I choose among the options I actually receive?” Bring package labels or a menu only if they are easy to get; there is no requirement to document every meal. The purpose is to adapt the discussion to reality, not to make limited choices feel like a personal shortcoming.</w:t>
      </w:r>
    </w:p>
    <w:p>
      <w:pPr>
        <w:pStyle w:val="BodyText"/>
      </w:pPr>
      <w:r>
        <w:t xml:space="preserve">If you share shopping or cooking with another person, ask for one defined kind of help. “Could you tell me before you use the yogurt I set aside?” or “Would you add the canned beans from this list if they are in stock?” leaves the request clear. Avoid making them responsible for checking whether you met a target. That target, if one is appropriate, belongs in the conversation with your clinician or dietitian.</w:t>
      </w:r>
    </w:p>
    <w:p>
      <w:pPr>
        <w:pStyle w:val="BodyText"/>
      </w:pPr>
      <w:r>
        <w:t xml:space="preserve">Some readers have no stable place to store food or prepare it. In that case, don’t rely on advice that assumes a full kitchen. Ask the dietitian or clinic whether they can discuss options for your actual storage and food-safety situation. Do not keep perishable food without safe refrigeration because a checklist says it is convenient. Chapter 18 covers general leftovers and storage; the question here is which accessible choices fit your personal nutrition guidance.</w:t>
      </w:r>
    </w:p>
    <w:p>
      <w:pPr>
        <w:pStyle w:val="BodyText"/>
      </w:pPr>
      <w:r>
        <w:t xml:space="preserve">The plan can include a sentence for the next visit: “The options we discussed were not available this week because ___</w:t>
      </w:r>
      <w:r>
        <w:rPr>
          <w:i/>
        </w:rPr>
        <w:t xml:space="preserve">. Could we make a backup using ___</w:t>
      </w:r>
      <w:r>
        <w:t xml:space="preserve">, or connect me with someone who helps with food access?” That gives the professional a problem they can respond to. A program, benefit, or particular food may not be available, but naming the barrier gives the discussion a place to start.</w:t>
      </w:r>
    </w:p>
    <w:p>
      <w:pPr>
        <w:pStyle w:val="BodyText"/>
      </w:pPr>
      <w:r>
        <w:t xml:space="preserve">If access remains uncertain, keep the immediate food question separate from the target question. Ask what to do under your existing care instructions while you are trying to reach the dietitian, and who to contact if you are unable to eat or drink adequately. This book cannot decide how long you can wait or set an intake threshold. A worsening symptom or inability to keep fluids down belongs with the care team, not with a grocery workaround.</w:t>
      </w:r>
    </w:p>
    <w:p>
      <w:pPr>
        <w:pStyle w:val="Heading2"/>
      </w:pPr>
      <w:r>
        <w:t xml:space="preserve">The protein-on-a-schedule checklist</w:t>
      </w:r>
    </w:p>
    <w:p>
      <w:pPr>
        <w:pStyle w:val="BodyFirst"/>
      </w:pPr>
      <w:r>
        <w:t xml:space="preserve">Before you shop or plan tomorrow, put the clinician-approved target in the first line if you have one. If you do not, leave it blank and make that the question for your prescriber or dietitian. Then pick three or four possible checkpoints and name one manageable food for each. These are options to consider, not obligations; follow your personal care instructions.</w:t>
      </w:r>
    </w:p>
    <w:p>
      <w:pPr>
        <w:pStyle w:val="ListItem"/>
        <w:numPr>
          <w:ilvl w:val="0"/>
          <w:numId w:val="1"/>
        </w:numPr>
      </w:pPr>
      <w:r>
        <w:t xml:space="preserve">My protein target, if set with my care team: ______.</w:t>
      </w:r>
    </w:p>
    <w:p>
      <w:pPr>
        <w:pStyle w:val="ListItem"/>
        <w:numPr>
          <w:ilvl w:val="0"/>
          <w:numId w:val="1"/>
        </w:numPr>
      </w:pPr>
      <w:r>
        <w:t xml:space="preserve">Morning or first dependable pause: ______.</w:t>
      </w:r>
    </w:p>
    <w:p>
      <w:pPr>
        <w:pStyle w:val="ListItem"/>
        <w:numPr>
          <w:ilvl w:val="0"/>
          <w:numId w:val="1"/>
        </w:numPr>
      </w:pPr>
      <w:r>
        <w:t xml:space="preserve">Midday pause: ______.</w:t>
      </w:r>
    </w:p>
    <w:p>
      <w:pPr>
        <w:pStyle w:val="ListItem"/>
        <w:numPr>
          <w:ilvl w:val="0"/>
          <w:numId w:val="1"/>
        </w:numPr>
      </w:pPr>
      <w:r>
        <w:t xml:space="preserve">Afternoon pause: ______.</w:t>
      </w:r>
    </w:p>
    <w:p>
      <w:pPr>
        <w:pStyle w:val="ListItem"/>
        <w:numPr>
          <w:ilvl w:val="0"/>
          <w:numId w:val="1"/>
        </w:numPr>
      </w:pPr>
      <w:r>
        <w:t xml:space="preserve">Evening option, if it fits my instructions: ______.</w:t>
      </w:r>
    </w:p>
    <w:p>
      <w:pPr>
        <w:pStyle w:val="ListItem"/>
        <w:numPr>
          <w:ilvl w:val="0"/>
          <w:numId w:val="1"/>
        </w:numPr>
      </w:pPr>
      <w:r>
        <w:t xml:space="preserve">One food I can keep ready without much work: ______.</w:t>
      </w:r>
    </w:p>
    <w:p>
      <w:pPr>
        <w:pStyle w:val="ListLast"/>
        <w:numPr>
          <w:ilvl w:val="0"/>
          <w:numId w:val="1"/>
        </w:numPr>
      </w:pPr>
      <w:r>
        <w:t xml:space="preserve">One question I want to ask my prescriber or dietitian: ______.</w:t>
      </w:r>
    </w:p>
    <w:p>
      <w:pPr>
        <w:pStyle w:val="BodyFirst"/>
      </w:pPr>
      <w:r>
        <w:t xml:space="preserve">On a hard day, reduce the size of the task. A spoonful, a few bites, or a small container you can return to later may be a more workable starting point than a full plate, if that fits your care plan. If the checklist starts to feel like a demand, set it down and tell your clinician what is getting in the way. You are collecting useful information, not grading your appetite.</w:t>
      </w:r>
    </w:p>
    <w:p>
      <w:pPr>
        <w:pStyle w:val="BodyText"/>
      </w:pPr>
      <w:r>
        <w:t xml:space="preserve">I still think about that grocery-store basket, left beside the carts while I sat and made a call. The lesson was not that a particular food explains lightheadedness. I did not know the cause. The lesson was that a quiet appetite can make it easy to miss the ordinary chances to eat, so I now make those chances visible and ask for help when the body does something I cannot explain.</w:t>
      </w:r>
    </w:p>
    <w:p>
      <w:pPr>
        <w:pStyle w:val="BodyText"/>
      </w:pPr>
      <w:r>
        <w:t xml:space="preserve">Before your next grocery trip, write down one protein food you can manage tomorrow and one question about your target. Put both on the list.</w:t>
      </w:r>
    </w:p>
    <w:p>
      <w:pPr>
        <w:pStyle w:val="Heading1"/>
      </w:pPr>
      <w:bookmarkStart w:id="4" w:name="_Toc_12_dont_lose_the_muscle"/>
      <w:r>
        <w:t xml:space="preserve">Chapter 12: Don’t Lose the Muscle</w:t>
      </w:r>
      <w:bookmarkEnd w:id="4"/>
    </w:p>
    <w:p>
      <w:pPr>
        <w:pStyle w:val="BodyFirst"/>
      </w:pPr>
      <w:r>
        <w:t xml:space="preserve">The flour sack had the same label it always did: fifty pounds, white paper, a blue stripe down the side. I got my hands under it at the bakery and lifted. The bag cleared the floor. The stairs were another matter. I couldn’t haul it up the way I used to, and I stood there longer than I needed to, pretending to check the prep list.</w:t>
      </w:r>
    </w:p>
    <w:p>
      <w:pPr>
        <w:pStyle w:val="BodyText"/>
      </w:pPr>
      <w:r>
        <w:t xml:space="preserve">That moment bothered me more than a number on a scale. I wanted to know what my body could still do on an ordinary workday. Lou, who was already a regular at the rec center, invited me to come along. He didn’t hand me a workout plan or tell me what my body needed. He showed me where the strength room was, and we asked the staff how to get an orientation. I started with movements that felt manageable and learned to make the room less mysterious.</w:t>
      </w:r>
    </w:p>
    <w:p>
      <w:pPr>
        <w:pStyle w:val="BodyText"/>
      </w:pPr>
      <w:r>
        <w:t xml:space="preserve">I can’t say why that sack felt different on that day. A book can’t diagnose a change in strength, and a single lift cannot tell you how much muscle you have. But noticing a change gave me a useful question for my clinician: what kind of strength work is appropriate for me now?</w:t>
      </w:r>
    </w:p>
    <w:p>
      <w:pPr>
        <w:pStyle w:val="Heading2"/>
      </w:pPr>
      <w:r>
        <w:t xml:space="preserve">Strength belongs in the plan early</w:t>
      </w:r>
    </w:p>
    <w:p>
      <w:pPr>
        <w:pStyle w:val="BodyFirst"/>
      </w:pPr>
      <w:r>
        <w:t xml:space="preserve">Weight can change faster than your routines do. Your appetite may be quieter, your clothes may fit differently, and the scale may offer a steady stream of numbers. None of those tells you whether carrying laundry, getting out of a low chair, climbing stairs, or opening a stubborn jar is getting easier or harder.</w:t>
      </w:r>
    </w:p>
    <w:p>
      <w:pPr>
        <w:pStyle w:val="BodyText"/>
      </w:pPr>
      <w:r>
        <w:t xml:space="preserve">Strength work deserves a place while weight is changing, not just after you reach a number you had in mind. It is one way to practice using your muscles against resistance. A list of movements cannot tell you what will happen to your muscle during weight loss. It does give you a practical habit to discuss and build around your own body, abilities, and medical advice.</w:t>
      </w:r>
    </w:p>
    <w:p>
      <w:pPr>
        <w:pStyle w:val="BodyText"/>
      </w:pPr>
      <w:r>
        <w:t xml:space="preserve">NIDDK says weight-management medicines do not take the place of physical activity or healthy eating, and work best within a lifestyle program. The federal physical activity guidelines, linked from NIDDK’s page for prescription weight-management medicines, set a broad reference point: adults should aim for at least two days a week of muscle-strengthening activity, along with at least 150 minutes a week of moderate-intensity aerobic activity. That’s a public-health guideline, not a personal clearance or a demand to start at full pace tomorrow. Your starting point may need to be different.</w:t>
      </w:r>
    </w:p>
    <w:p>
      <w:pPr>
        <w:pStyle w:val="BodyText"/>
      </w:pPr>
      <w:r>
        <w:t xml:space="preserve">If you use a cane, have joint pain, neuropathy, heart or lung disease, a history of falls, or a long gap in activity, don’t treat a general guideline as a dare. Tell your prescriber what you hope to do and ask whether a physical therapist or another qualified professional should help you choose safe movements. A physical therapist can assess movement and balance, show you how to adjust an exercise, and help you work within a restriction. That is a better use of expertise than copying the strongest person in the room.</w:t>
      </w:r>
    </w:p>
    <w:p>
      <w:pPr>
        <w:pStyle w:val="Heading2"/>
      </w:pPr>
      <w:r>
        <w:t xml:space="preserve">Pause for a readiness check</w:t>
      </w:r>
    </w:p>
    <w:p>
      <w:pPr>
        <w:pStyle w:val="BodyFirst"/>
      </w:pPr>
      <w:r>
        <w:t xml:space="preserve">Before starting a new strength routine, use this clearance rule: if you have chest pain, dizziness, a recent injury or surgery, severe balance problems, uncontrolled blood sugar, or activity limits set by your clinician, ask your prescriber or a physical therapist what is safe for you. If you have several conditions or aren’t sure which clinician to ask, start with the person who knows your medical history and request a referral if needed.</w:t>
      </w:r>
    </w:p>
    <w:p>
      <w:pPr>
        <w:pStyle w:val="BodyText"/>
      </w:pPr>
      <w:r>
        <w:t xml:space="preserve">Be specific when you ask. “Can I exercise?” is a broad question, and a rushed answer may not tell you what to do next. Try: “I’d like to do some basic strength work at home or at the rec center. I have [condition, symptom, injury, or restriction]. Are there movements I should avoid, and should I see a physical therapist first?” Mention recent falls, pain that changes how you move, and any directions you already received about activity. Bring a written list if names or dates are hard to recall in the appointment.</w:t>
      </w:r>
    </w:p>
    <w:p>
      <w:pPr>
        <w:pStyle w:val="BodyText"/>
      </w:pPr>
      <w:r>
        <w:t xml:space="preserve">If you are already cleared for activity, but one movement feels uncertain, ask a physical therapist, exercise professional at the facility, or clinician to show you a safer variation. A sturdy chair and a wall can be useful tools; they do not make an exercise automatically safe. The floor, chair, band, and load all matter. So does your balance that day.</w:t>
      </w:r>
    </w:p>
    <w:p>
      <w:pPr>
        <w:pStyle w:val="BodyText"/>
      </w:pPr>
      <w:r>
        <w:t xml:space="preserve">During activity, stop for chest pain, fainting, or another sudden, severe symptom and seek urgent care. If you develop dizziness, unusual shortness of breath, pain that changes your movement, or a symptom that worries you, stop the movement and contact a health professional for advice before trying to push through. If it feels like an emergency, use emergency services. Don’t wait to finish a workout, and don’t let embarrassment make the decision for you.</w:t>
      </w:r>
    </w:p>
    <w:p>
      <w:pPr>
        <w:pStyle w:val="Heading2"/>
      </w:pPr>
      <w:r>
        <w:t xml:space="preserve">Four movements to discuss or adapt</w:t>
      </w:r>
    </w:p>
    <w:p>
      <w:pPr>
        <w:pStyle w:val="BodyFirst"/>
      </w:pPr>
      <w:r>
        <w:t xml:space="preserve">These are examples, not a prescribed workout, and they are not suitable for every person. Choose only movements that fit your clearance and ability. A physical therapist or qualified professional can show you how to adjust them. You don’t need to do all four, and this book isn’t assigning repetitions, weight, or a progression schedule.</w:t>
      </w:r>
    </w:p>
    <w:p>
      <w:pPr>
        <w:pStyle w:val="ListItem"/>
        <w:numPr>
          <w:ilvl w:val="0"/>
          <w:numId w:val="1"/>
        </w:numPr>
      </w:pPr>
      <w:r>
        <w:rPr>
          <w:b/>
        </w:rPr>
        <w:t xml:space="preserve">Sit-to-stand:</w:t>
      </w:r>
      <w:r>
        <w:t xml:space="preserve"> From a stable chair, practice rising and sitting with control. Using your hands for support or choosing a higher seat may be an option to discuss if the movement is difficult. Keep the chair from sliding, and don’t use this example if standing challenges your balance.</w:t>
      </w:r>
    </w:p>
    <w:p>
      <w:pPr>
        <w:pStyle w:val="ListItem"/>
        <w:numPr>
          <w:ilvl w:val="0"/>
          <w:numId w:val="1"/>
        </w:numPr>
      </w:pPr>
      <w:r>
        <w:rPr>
          <w:b/>
        </w:rPr>
        <w:t xml:space="preserve">Wall push-up:</w:t>
      </w:r>
      <w:r>
        <w:t xml:space="preserve"> Face a clear wall and place your hands at a comfortable height. Moving closer to or farther from the wall changes how demanding the movement feels. If you have shoulder, wrist, or balance concerns, ask for a suitable alternative rather than testing it alone.</w:t>
      </w:r>
    </w:p>
    <w:p>
      <w:pPr>
        <w:pStyle w:val="ListItem"/>
        <w:numPr>
          <w:ilvl w:val="0"/>
          <w:numId w:val="1"/>
        </w:numPr>
      </w:pPr>
      <w:r>
        <w:rPr>
          <w:b/>
        </w:rPr>
        <w:t xml:space="preserve">Band row:</w:t>
      </w:r>
      <w:r>
        <w:t xml:space="preserve"> A resistance band can provide a pulling movement without a weight machine. The band and its anchor must be in good condition and secured according to its instructions; a band that slips or snaps can injure someone. If you don’t know how to set it up, have a professional demonstrate it first.</w:t>
      </w:r>
    </w:p>
    <w:p>
      <w:pPr>
        <w:pStyle w:val="ListLast"/>
        <w:numPr>
          <w:ilvl w:val="0"/>
          <w:numId w:val="1"/>
        </w:numPr>
      </w:pPr>
      <w:r>
        <w:rPr>
          <w:b/>
        </w:rPr>
        <w:t xml:space="preserve">Farmer carry with a grocery bag:</w:t>
      </w:r>
      <w:r>
        <w:t xml:space="preserve"> Carrying a light bag for a short, clear path resembles a task many people already do. The bag is an example of a household object, not a suggested weight. Skip it if carrying affects your balance, grip, pain, or walking; ask about a safer substitute.</w:t>
      </w:r>
    </w:p>
    <w:p>
      <w:pPr>
        <w:pStyle w:val="BodyFirst"/>
      </w:pPr>
      <w:r>
        <w:t xml:space="preserve">The setup matters as much as the name of a movement. A chair on a rug can slide. A band anchored to a loose door handle can pull free. A bag that is easy to lift on one side may twist your body. Clear the space, use equipment as its maker instructs, and get another set of eyes on a movement if you’re uncertain. There is no prize for making a home exercise look like the version on a video.</w:t>
      </w:r>
    </w:p>
    <w:p>
      <w:pPr>
        <w:pStyle w:val="BodyText"/>
      </w:pPr>
      <w:r>
        <w:t xml:space="preserve">If you’re working with a physical therapist, follow the plan they give you rather than this list. At a gym, staff can orient you to equipment and facility rules; they cannot clear a medical restriction or choose movements for a health condition. Ask your clinician or physical therapist to adapt a movement. An online demonstration cannot see the way you move or what hurts.</w:t>
      </w:r>
    </w:p>
    <w:p>
      <w:pPr>
        <w:pStyle w:val="Heading2"/>
      </w:pPr>
      <w:r>
        <w:t xml:space="preserve">What a facility orientation can and cannot do</w:t>
      </w:r>
    </w:p>
    <w:p>
      <w:pPr>
        <w:pStyle w:val="BodyFirst"/>
      </w:pPr>
      <w:r>
        <w:t xml:space="preserve">An orientation at a rec center or gym can make equipment less unfamiliar. It is not a medical assessment and it cannot clear an injury, explain a new symptom, or replace an activity limit from your clinician. If a health condition or restriction is part of the question, take that to the clinician or physical therapist first. Once you know what kind of activity fits, facility staff can explain how the room works, where equipment is, and which local rules apply.</w:t>
      </w:r>
    </w:p>
    <w:p>
      <w:pPr>
        <w:pStyle w:val="BodyText"/>
      </w:pPr>
      <w:r>
        <w:t xml:space="preserve">Before you book, ask what the orientation includes and who will lead it. Some places offer a walk-through; others demonstrate equipment or explain how to adjust it. Do not assume the word “orientation” means an individual exercise plan. Tell the staff member what you are asking for: “I have a plan from my physical therapist and want to learn the equipment that matches it,” or “I’m new to this room and would like to know how to use the machines safely.” If you are not sure whether an instruction is medical or simply about the equipment, pause and check with the person who set the restriction.</w:t>
      </w:r>
    </w:p>
    <w:p>
      <w:pPr>
        <w:pStyle w:val="BodyText"/>
      </w:pPr>
      <w:r>
        <w:t xml:space="preserve">Bring the written movement limits or the name of the professional who gave them, if you have that information. You do not need to disclose your entire history to the front desk. Share only what helps staff answer the practical question, and ask the clinician what they want you to tell a trainer or facility worker. If the proposed equipment or movement does not match the plan you were given, do not let politeness make you try it. Ask for an alternative that does fit, or leave that question for your clinician.</w:t>
      </w:r>
    </w:p>
    <w:p>
      <w:pPr>
        <w:pStyle w:val="BodyText"/>
      </w:pPr>
      <w:r>
        <w:t xml:space="preserve">The room itself can be part of the decision. Is there a stable route from the entrance to the equipment? Can you pause without blocking other people? Is there seating nearby? Are instructions large enough to read? If hearing or vision makes demonstrations difficult, ask whether staff can explain the equipment another way. If you use a mobility aid, ask the facility about storage and accessible routes before you arrive. These are logistics, not signs that you need to prove anything before you belong there.</w:t>
      </w:r>
    </w:p>
    <w:p>
      <w:pPr>
        <w:pStyle w:val="BodyText"/>
      </w:pPr>
      <w:r>
        <w:t xml:space="preserve">Cost and access count too. Ask whether the orientation is included, whether there is a fee, and whether you can see the room before joining. If the facility is not affordable or reachable, tell your clinician what is realistic. They may be able to suggest a physical therapist, a community program, or another resource, but availability differs by location and insurance. A suggestion is not a promise that a service is covered or open to you.</w:t>
      </w:r>
    </w:p>
    <w:p>
      <w:pPr>
        <w:pStyle w:val="BodyText"/>
      </w:pPr>
      <w:r>
        <w:t xml:space="preserve">On the day, you can keep the visit narrow: learn the entrance, locate the equipment named in your plan, and find out whom to ask about a loose strap or an unclear setting. If the room is crowded or the staff member is rushed, reschedule the orientation instead of letting embarrassment turn it into an improvised workout. You can leave with the room still unfamiliar. That is safer than turning a walk-through into an unsupervised test of what your body can tolerate.</w:t>
      </w:r>
    </w:p>
    <w:p>
      <w:pPr>
        <w:pStyle w:val="Heading2"/>
      </w:pPr>
      <w:r>
        <w:t xml:space="preserve">Give a function goal a real setting</w:t>
      </w:r>
    </w:p>
    <w:p>
      <w:pPr>
        <w:pStyle w:val="BodyFirst"/>
      </w:pPr>
      <w:r>
        <w:t xml:space="preserve">“Get stronger” is a broad hope. A task gives your clinician or physical therapist something specific to discuss. Maybe you want to stand from the low chair at your kitchen table without grabbing the counter. Maybe the grocery tote has become awkward on the walk from the car. Maybe stairs are the hard part after a long work shift. Those are examples of priorities, not home assessments and not proof that a medicine has changed your muscle.</w:t>
      </w:r>
    </w:p>
    <w:p>
      <w:pPr>
        <w:pStyle w:val="BodyText"/>
      </w:pPr>
      <w:r>
        <w:t xml:space="preserve">Describe the task in its ordinary setting. How often does it come up? What part feels difficult: starting the movement, balance, pain, grip, or getting tired? Did something change recently, or has this been a long-standing limitation? Don’t repeat a movement that feels unsafe just to gather better evidence. Your clinician can decide what details are useful and whether a physical therapist should assess it.</w:t>
      </w:r>
    </w:p>
    <w:p>
      <w:pPr>
        <w:pStyle w:val="BodyText"/>
      </w:pPr>
      <w:r>
        <w:t xml:space="preserve">Different descriptions lead to different conversations. Someone who feels unsteady stepping off a curb may need to discuss balance and fall risk before choosing a strength activity. Someone whose hands hurt while opening jars may need help identifying whether the concern is grip, joint pain, or something else. Someone returning after surgery should follow the surgeon’s activity restrictions rather than using a general exercise list. The book cannot tell which explanation applies; it can help you say what task has changed and ask who should evaluate it.</w:t>
      </w:r>
    </w:p>
    <w:p>
      <w:pPr>
        <w:pStyle w:val="BodyText"/>
      </w:pPr>
      <w:r>
        <w:t xml:space="preserve">Keep the goal modest enough to recognize without turning it into a challenge. You might note, “I used the rail on the stairs today,” or “I carried the small bag with both hands.” Those are observations. Do not add repetitions, weight, or distance as a self-designed test. If a task is getting harder or a new symptom is involved, tell the clinician rather than waiting for a planned workout review.</w:t>
      </w:r>
    </w:p>
    <w:p>
      <w:pPr>
        <w:pStyle w:val="BodyText"/>
      </w:pPr>
      <w:r>
        <w:t xml:space="preserve">You can also choose a goal that is not about lifting anything. Getting to the bus stop, reaching a shelf, standing long enough to cook, or keeping balance while dressing may matter more than a gym machine. Explain why the task matters in your life. A physical therapist can use that context when discussing movement choices; a trainer’s demonstration may help with technique only after your health-related limits are understood.</w:t>
      </w:r>
    </w:p>
    <w:p>
      <w:pPr>
        <w:pStyle w:val="BodyText"/>
      </w:pPr>
      <w:r>
        <w:t xml:space="preserve">The question can be direct: “I want to keep doing [task] at home. What should be assessed, and is there a kind of professional who can help me work toward it safely?” If your ability changes sharply, you fall, or symptoms make the task unsafe, contact your care team promptly. You do not need a workout log or a comparison with last month before raising the concern.</w:t>
      </w:r>
    </w:p>
    <w:p>
      <w:pPr>
        <w:pStyle w:val="BodyText"/>
      </w:pPr>
      <w:r>
        <w:t xml:space="preserve">When you leave the conversation, write down the task you named and the professional who will address it. If the next step is a referral, ask whom to call and what to do if access is delayed. If the plan is to continue an activity you already do, repeat back the limits that matter to you. This is not the appointment paperwork from the plateau chapter; the question here is how to keep a specific daily task in view while you learn what movement fits.</w:t>
      </w:r>
    </w:p>
    <w:p>
      <w:pPr>
        <w:pStyle w:val="BodyText"/>
      </w:pPr>
      <w:r>
        <w:t xml:space="preserve">The flour sack made me think about a work task, but your meaningful task may be quieter. Write it in the first line of your next exercise note. Under it, put one question for the person who can help you decide what to do with it.</w:t>
      </w:r>
    </w:p>
    <w:p>
      <w:pPr>
        <w:pStyle w:val="Heading2"/>
      </w:pPr>
      <w:r>
        <w:t xml:space="preserve">Make the week repeatable</w:t>
      </w:r>
    </w:p>
    <w:p>
      <w:pPr>
        <w:pStyle w:val="BodyFirst"/>
      </w:pPr>
      <w:r>
        <w:t xml:space="preserve">The federal guideline’s two muscle-strengthening days can sound like a large commitment if your calendar is already packed. Think of it as a direction for the week, not a test you pass by doing a punishing session. If you’ve been cleared, choose two days with room between them and put a modest appointment on the calendar. It can be brief. The point is to make strength work visible enough that it isn’t postponed until an imaginary calmer month.</w:t>
      </w:r>
    </w:p>
    <w:p>
      <w:pPr>
        <w:pStyle w:val="BodyText"/>
      </w:pPr>
      <w:r>
        <w:t xml:space="preserve">If two days are not a safe or realistic starting point for you, ask your clinician what first step fits. The right answer may involve a physical therapist, a different movement, or waiting until a health issue is addressed. Do not turn a public guideline into a reason to ignore pain, medical restrictions, or a body that is telling you to stop.</w:t>
      </w:r>
    </w:p>
    <w:p>
      <w:pPr>
        <w:pStyle w:val="BodyText"/>
      </w:pPr>
      <w:r>
        <w:t xml:space="preserve">On a day when you feel well, the plan can still be smaller than your ambition. A short session that fits your clearance may be easier to repeat than a long one you dread. When a day goes sideways, don’t make up for it with extra work the next day. Return to the plan your care professional approved, or ask them how to adjust it if your symptoms or circumstances have changed.</w:t>
      </w:r>
    </w:p>
    <w:p>
      <w:pPr>
        <w:pStyle w:val="BodyText"/>
      </w:pPr>
      <w:r>
        <w:t xml:space="preserve">Strength work is not the same as aerobic activity. The NIDDK guidance describes both: muscle-strengthening activity at least two days weekly and at least 150 minutes of moderate-intensity aerobic activity weekly for adults. Those are broad guidelines, not a bespoke prescription. Walking, for example, may count toward aerobic activity for some people, but walking does not automatically replace strength work. If you have limits, ask your clinician how the recommendations translate to your situation.</w:t>
      </w:r>
    </w:p>
    <w:p>
      <w:pPr>
        <w:pStyle w:val="BodyText"/>
      </w:pPr>
      <w:r>
        <w:t xml:space="preserve">I put my two possible strength days beside appointments and work shifts. If the rec center was out of the way, I picked a cleared-at-home option instead. (I did not do this the first time.) I stopped treating the plan as a promise to become a different person. It was a small slot in the week, the same way I set aside time to shop before the refrigerator was empty.</w:t>
      </w:r>
    </w:p>
    <w:p>
      <w:pPr>
        <w:pStyle w:val="Heading2"/>
      </w:pPr>
      <w:r>
        <w:t xml:space="preserve">When you are restarting after time away</w:t>
      </w:r>
    </w:p>
    <w:p>
      <w:pPr>
        <w:pStyle w:val="BodyFirst"/>
      </w:pPr>
      <w:r>
        <w:t xml:space="preserve">A return after illness, surgery, a long work stretch, or a caregiving season is not the same as beginning from the old routine. The plan that fit before may no longer match your current ability. If a clinician gave you restrictions, ask them when and how they should be reviewed; don’t assume the restriction has expired because the calendar moved on. After surgery or a new diagnosis, the professional responsible for that care should guide the return.</w:t>
      </w:r>
    </w:p>
    <w:p>
      <w:pPr>
        <w:pStyle w:val="BodyText"/>
      </w:pPr>
      <w:r>
        <w:t xml:space="preserve">If you have simply been away from activity and have no new symptoms or medical restrictions, you still do not need to recreate your old schedule on the first day. Start by asking what part of your former routine you can resume safely, especially if your health or medicines changed during the break. A clinician or physical therapist can help if you are uncertain. There is no universal ramp-up schedule in this book, and I won’t turn a public activity guideline into one.</w:t>
      </w:r>
    </w:p>
    <w:p>
      <w:pPr>
        <w:pStyle w:val="BodyText"/>
      </w:pPr>
      <w:r>
        <w:t xml:space="preserve">It helps to identify why you stopped. Was the room too far away, did your shift change, did an injury interrupt the plan, or did the routine take more time than you had? Those require different repairs. A bus route may call for a home option already cleared for you; an injury may call for clinical advice; a schedule problem may be solved by choosing another time. Name the reason before picking the replacement.</w:t>
      </w:r>
    </w:p>
    <w:p>
      <w:pPr>
        <w:pStyle w:val="BodyText"/>
      </w:pPr>
      <w:r>
        <w:t xml:space="preserve">If you used to attend a class or follow a video, do not assume it remains appropriate after a health change. Ask the instructor whether a movement can be modified only after you know what limits your clinician wants respected. An online class cannot see a new balance problem or know your surgical restrictions. If there is pain, dizziness, a fall, or another new symptom, pause and get advice rather than testing whether the old version still works.</w:t>
      </w:r>
    </w:p>
    <w:p>
      <w:pPr>
        <w:pStyle w:val="BodyText"/>
      </w:pPr>
      <w:r>
        <w:t xml:space="preserve">Returning to a facility can be an access problem too. Ask whether your membership is active, whether orientation is available after an absence, and how to arrange equipment help. If cost has changed, ask the center whether it has a lower-cost option or community access hours, and verify the terms directly. The facility may not have a program; your clinician or local community center may know another route, but availability varies.</w:t>
      </w:r>
    </w:p>
    <w:p>
      <w:pPr>
        <w:pStyle w:val="BodyText"/>
      </w:pPr>
      <w:r>
        <w:t xml:space="preserve">When you talk with a physical therapist, bring the daily task that prompted you to return and what has changed since the previous plan. Ask whether the old goal still makes sense, which limits remain, and what sign means you should stop and call. Write down their words rather than translating them into a heavier load or more repetitions. If you do not understand a movement, ask for a demonstration or a simpler explanation before practicing alone.</w:t>
      </w:r>
    </w:p>
    <w:p>
      <w:pPr>
        <w:pStyle w:val="BodyText"/>
      </w:pPr>
      <w:r>
        <w:t xml:space="preserve">There is no shame in returning through a conversation instead of through a workout. My first trip with Lou was partly about finding the room and asking for an orientation. The practical win was knowing where to go next, not proving that I could lift the flour sack again. If you have been away, choose one next contact or one question about the task that matters to you, then let the professional help define what follows.</w:t>
      </w:r>
    </w:p>
    <w:p>
      <w:pPr>
        <w:pStyle w:val="Heading2"/>
      </w:pPr>
      <w:r>
        <w:t xml:space="preserve">Measure function, not just effort</w:t>
      </w:r>
    </w:p>
    <w:p>
      <w:pPr>
        <w:pStyle w:val="BodyFirst"/>
      </w:pPr>
      <w:r>
        <w:t xml:space="preserve">A workout log can be plain. Write the date, what you tried, whether it felt comfortable, and any symptom or pain that changed how you moved. If a clinician gave you boundaries, note those too. The log is for noticing patterns and making a useful conversation; it is not a scorecard and should not be used to increase a load or change a medical plan on your own.</w:t>
      </w:r>
    </w:p>
    <w:p>
      <w:pPr>
        <w:pStyle w:val="BodyText"/>
      </w:pPr>
      <w:r>
        <w:t xml:space="preserve">Pay attention to ordinary tasks without turning them into home tests. Maybe standing from your usual chair takes less effort. Maybe carrying a small grocery bag still feels awkward. Those observations can help your clinician or therapist understand what matters to you. Don’t repeatedly test a difficult movement to prove a point, especially if pain, dizziness, or unsteadiness is involved.</w:t>
      </w:r>
    </w:p>
    <w:p>
      <w:pPr>
        <w:pStyle w:val="BodyText"/>
      </w:pPr>
      <w:r>
        <w:t xml:space="preserve">If your strength seems to be dropping, you are falling, or daily tasks are becoming harder, contact your prescriber. Tell them what changed and when. They can consider whether you need an assessment, a referral, or another kind of support. A trainer can help with exercise technique within their scope, but a new or worsening health symptom belongs with a health professional.</w:t>
      </w:r>
    </w:p>
    <w:p>
      <w:pPr>
        <w:pStyle w:val="BodyText"/>
      </w:pPr>
      <w:r>
        <w:t xml:space="preserve">Food and recovery matter to a whole health plan, but I won’t turn this chapter into another protein checklist. Chapter 11 covers how to discuss an individualized protein target. Bring any difficulty eating, unexplained weakness, or concern about what you can manage to your care team; strength work isn’t a substitute for that conversation. The useful approach is coordinated: ask one person who knows your health, make a plan that fits your body, and report changes instead of trying to troubleshoot a symptom alone.</w:t>
      </w:r>
    </w:p>
    <w:p>
      <w:pPr>
        <w:pStyle w:val="Heading2"/>
      </w:pPr>
      <w:r>
        <w:t xml:space="preserve">A two-day strength-start checklist</w:t>
      </w:r>
    </w:p>
    <w:p>
      <w:pPr>
        <w:pStyle w:val="BodyFirst"/>
      </w:pPr>
      <w:r>
        <w:t xml:space="preserve">Use this as a planning page, not a prescription. Fill it out after you have addressed the readiness check and any limits from your clinician.</w:t>
      </w:r>
    </w:p>
    <w:p>
      <w:pPr>
        <w:pStyle w:val="ListItem"/>
        <w:numPr>
          <w:ilvl w:val="0"/>
          <w:numId w:val="1"/>
        </w:numPr>
      </w:pPr>
      <w:r>
        <w:t xml:space="preserve">The clinician or professional I will ask, if I need clearance: ______.</w:t>
      </w:r>
    </w:p>
    <w:p>
      <w:pPr>
        <w:pStyle w:val="ListItem"/>
        <w:numPr>
          <w:ilvl w:val="0"/>
          <w:numId w:val="1"/>
        </w:numPr>
      </w:pPr>
      <w:r>
        <w:t xml:space="preserve">My current movement limits or symptoms to mention: ______.</w:t>
      </w:r>
    </w:p>
    <w:p>
      <w:pPr>
        <w:pStyle w:val="ListItem"/>
        <w:numPr>
          <w:ilvl w:val="0"/>
          <w:numId w:val="1"/>
        </w:numPr>
      </w:pPr>
      <w:r>
        <w:t xml:space="preserve">Two possible days for cleared strength activity: ______ and ______.</w:t>
      </w:r>
    </w:p>
    <w:p>
      <w:pPr>
        <w:pStyle w:val="ListItem"/>
        <w:numPr>
          <w:ilvl w:val="0"/>
          <w:numId w:val="1"/>
        </w:numPr>
      </w:pPr>
      <w:r>
        <w:t xml:space="preserve">One movement I can ask a professional to demonstrate or adapt: ______.</w:t>
      </w:r>
    </w:p>
    <w:p>
      <w:pPr>
        <w:pStyle w:val="ListItem"/>
        <w:numPr>
          <w:ilvl w:val="0"/>
          <w:numId w:val="1"/>
        </w:numPr>
      </w:pPr>
      <w:r>
        <w:t xml:space="preserve">The stop signs I will respect: chest pain, losing consciousness, or another sudden, severe change.</w:t>
      </w:r>
    </w:p>
    <w:p>
      <w:pPr>
        <w:pStyle w:val="ListItem"/>
        <w:numPr>
          <w:ilvl w:val="0"/>
          <w:numId w:val="1"/>
        </w:numPr>
      </w:pPr>
      <w:r>
        <w:t xml:space="preserve">One ordinary task I want to feel more capable doing: ______.</w:t>
      </w:r>
    </w:p>
    <w:p>
      <w:pPr>
        <w:pStyle w:val="ListLast"/>
        <w:numPr>
          <w:ilvl w:val="0"/>
          <w:numId w:val="1"/>
        </w:numPr>
      </w:pPr>
      <w:r>
        <w:t xml:space="preserve">The date I will review this plan with my care team, if needed: ______.</w:t>
      </w:r>
    </w:p>
    <w:p>
      <w:pPr>
        <w:pStyle w:val="BodyFirst"/>
      </w:pPr>
      <w:r>
        <w:t xml:space="preserve">You are not behind if your plan starts with a call, a referral, or learning how to get safely out of a chair. You are not failing if the federal guideline is not your current starting point. Keep the part you can act on: before your next workout, write down one movement you want a professional to check and ask for that help.</w:t>
      </w:r>
    </w:p>
    <w:p>
      <w:pPr>
        <w:pStyle w:val="Heading2"/>
      </w:pPr>
      <w:r>
        <w:t xml:space="preserve">Sources</w:t>
      </w:r>
    </w:p>
    <w:p>
      <w:pPr>
        <w:pStyle w:val="ListLast"/>
        <w:numPr>
          <w:ilvl w:val="0"/>
          <w:numId w:val="1"/>
        </w:numPr>
      </w:pPr>
      <w:r>
        <w:t xml:space="preserve">NIDDK, </w:t>
      </w:r>
      <w:hyperlink r:id="rIdL5">
        <w:r>
          <w:rPr>
            <w:rStyle w:val="Hyperlink"/>
          </w:rPr>
          <w:t xml:space="preserve">guidance on prescription treatment for overweight and obesity</w:t>
        </w:r>
      </w:hyperlink>
      <w:r>
        <w:t xml:space="preserve">, including the linked federal physical activity guidance.</w:t>
      </w:r>
    </w:p>
    <w:p>
      <w:pPr>
        <w:pStyle w:val="Heading1"/>
      </w:pPr>
      <w:bookmarkStart w:id="5" w:name="_Toc_13_eating_around_side_effects"/>
      <w:r>
        <w:t xml:space="preserve">Chapter 13: Eating Around Side Effects</w:t>
      </w:r>
      <w:bookmarkEnd w:id="5"/>
    </w:p>
    <w:p>
      <w:pPr>
        <w:pStyle w:val="BodyFirst"/>
      </w:pPr>
      <w:r>
        <w:t xml:space="preserve">The Thanksgiving plates were still warm when I went back for seconds. I had recently had a dose change, and I ate quickly because everyone else was already halfway through dinner. That night, I was sick for hours.</w:t>
      </w:r>
    </w:p>
    <w:p>
      <w:pPr>
        <w:pStyle w:val="BodyText"/>
      </w:pPr>
      <w:r>
        <w:t xml:space="preserve">The next morning I told Anita what happened. I couldn’t tell her whether it was the amount, the speed, the medicine change, the meal, or something else. I had a sequence of events, not a diagnosis. That distinction mattered. I needed her help interpreting the night, not a confident guess from me about what to cut out or change.</w:t>
      </w:r>
    </w:p>
    <w:p>
      <w:pPr>
        <w:pStyle w:val="BodyText"/>
      </w:pPr>
      <w:r>
        <w:t xml:space="preserve">Side effects can make eating feel like a puzzle with missing pieces. This chapter is about keeping a useful record and reporting what you notice. It isn’t a list of foods that treat nausea, constipation, or heartburn. I don’t have verified evidence for a food remedy to recommend, and a remedy that suits one person may not fit another person’s health or care instructions.</w:t>
      </w:r>
    </w:p>
    <w:p>
      <w:pPr>
        <w:pStyle w:val="Heading2"/>
      </w:pPr>
      <w:r>
        <w:t xml:space="preserve">Common is a label, not a verdict</w:t>
      </w:r>
    </w:p>
    <w:p>
      <w:pPr>
        <w:pStyle w:val="BodyFirst"/>
      </w:pPr>
      <w:r>
        <w:t xml:space="preserve">Nausea, constipation, vomiting and abdominal discomfort appear among common adverse reactions in the current labels for several semaglutide and tirzepatide products. The wording and the full list vary by brand. The current Zepbound label, for example, includes gastroesophageal reflux disease (GERD) among common adverse reactions; the Mounjaro label uses indigestion in its list. Those terms are not a diagnosis for your particular burning or discomfort. Use the name you would use when telling your clinician what you feel, and check the Medication Guide for the exact product you take.</w:t>
      </w:r>
    </w:p>
    <w:p>
      <w:pPr>
        <w:pStyle w:val="BodyText"/>
      </w:pPr>
      <w:r>
        <w:t xml:space="preserve">The word “common” doesn’t tell you how serious a symptom is for you, whether it has another cause, or what you should do about it. A symptom that appears in a label can still make it hard to eat, sleep, work, or care for yourself. And a bad night after a meal or dose change doesn’t prove which event caused it. Keep those questions open until you can discuss them with someone who knows your treatment and health history.</w:t>
      </w:r>
    </w:p>
    <w:p>
      <w:pPr>
        <w:pStyle w:val="BodyText"/>
      </w:pPr>
      <w:r>
        <w:t xml:space="preserve">Chapter 10 has the two-tier warning card for signs that call for urgent or emergency attention. Use it rather than trying to solve a warning sign with a food experiment. If symptoms are severe, persistent, getting worse, or interfering with eating or drinking, contact your prescriber for guidance. Follow any specific instructions your care team has already given you, including instructions about whom to contact and when. If you cannot reach the office and the situation feels urgent, use the care route in your Medication Guide or seek urgent help. Don’t wait to finish a food log first.</w:t>
      </w:r>
    </w:p>
    <w:p>
      <w:pPr>
        <w:pStyle w:val="Heading2"/>
      </w:pPr>
      <w:r>
        <w:t xml:space="preserve">Keep an observation, not a theory</w:t>
      </w:r>
    </w:p>
    <w:p>
      <w:pPr>
        <w:pStyle w:val="BodyFirst"/>
      </w:pPr>
      <w:r>
        <w:t xml:space="preserve">A few plain details can make a short appointment message much more useful. Record what happened before you decide what it means. You don’t need to calculate calories or weigh a plate. A rough description is enough: a small bowl of soup, most of a sandwich, a few bites of a holiday meal. If you don’t remember an amount, write that down instead of inventing precision.</w:t>
      </w:r>
    </w:p>
    <w:p>
      <w:pPr>
        <w:pStyle w:val="BodyText"/>
      </w:pPr>
      <w:r>
        <w:t xml:space="preserve">For a few days when symptoms are happening, note the time you ate, what you ate, roughly how much, and how long the meal took. Note when the symptom began, what it felt like in your own words, how long it lasted, and whether it eased, stayed the same, or worsened. If vomiting or a bowel change occurred, include that fact. You can also note whether you were able to keep fluids down, without turning this into a fluid target; Chapter 14 handles the separate hydration plan.</w:t>
      </w:r>
    </w:p>
    <w:p>
      <w:pPr>
        <w:pStyle w:val="BodyText"/>
      </w:pPr>
      <w:r>
        <w:t xml:space="preserve">Add treatment context that may help your care team: when a dose change was made according to your prescriber’s instructions, any other recent medicine change, and whether anything else unusual was going on. Don’t record or change your dose as an experiment. Don’t delay care to fill in missing details, and don’t try to reproduce a meal or symptom to see if you can confirm a pattern.</w:t>
      </w:r>
    </w:p>
    <w:p>
      <w:pPr>
        <w:pStyle w:val="BodyText"/>
      </w:pPr>
      <w:r>
        <w:t xml:space="preserve">The point isn’t to build a case against a particular food. It’s to give the clinician a clearer picture than “my stomach is bad.” If several episodes happen after different meals, that is useful too. If the symptom arrived without an obvious food connection, that is useful. An honest blank is better information than a tidy story you had to make up.</w:t>
      </w:r>
    </w:p>
    <w:p>
      <w:pPr>
        <w:pStyle w:val="BodyText"/>
      </w:pPr>
      <w:r>
        <w:t xml:space="preserve">You don’t need to turn every meal into a report. Start with the episodes that matter to you, and follow any tracking instructions your care team has already given. If you already keep a blood-sugar log or another symptom record, ask whether they want this added there or kept separate. More detail is not automatically better if taking it makes you anxious or delays a call. The record should make a conversation easier, not become another job you can fail.</w:t>
      </w:r>
    </w:p>
    <w:p>
      <w:pPr>
        <w:pStyle w:val="BodyText"/>
      </w:pPr>
      <w:r>
        <w:t xml:space="preserve">Context can help without becoming a theory. If you were sick, unusually tired, traveling, or taking another medicine differently, note that if you know it. If you don’t know whether it matters, let the clinician decide. A short note like “ate at 6:30; burning began around 8; meal was different from usual; no vomiting” can be more useful than a page of guesses about ingredients. Don’t make yourself inspect labels or reconstruct a recipe while you feel unwell.</w:t>
      </w:r>
    </w:p>
    <w:p>
      <w:pPr>
        <w:pStyle w:val="BodyText"/>
      </w:pPr>
      <w:r>
        <w:t xml:space="preserve">If you are writing on a phone, use whatever privacy settings you normally use for health information. If someone helps you remember details, ask them to write only what you want shared. The goal is a record you can comfortably bring to an appointment or read over the phone, not a public food diary.</w:t>
      </w:r>
    </w:p>
    <w:p>
      <w:pPr>
        <w:pStyle w:val="Heading2"/>
      </w:pPr>
      <w:r>
        <w:t xml:space="preserve">Notice the meal without blaming it</w:t>
      </w:r>
    </w:p>
    <w:p>
      <w:pPr>
        <w:pStyle w:val="BodyFirst"/>
      </w:pPr>
      <w:r>
        <w:t xml:space="preserve">When appetite is small, it’s tempting to blame the last thing you ate. Sometimes the timing looks convincing: a symptom starts after dinner, so dinner must be the reason. But timing alone doesn’t identify a cause. A medicine effect, another medicine, an illness, a meal, or more than one factor could be involved. The log is a way to bring observations to your prescriber, not a home test that can sort those possibilities out.</w:t>
      </w:r>
    </w:p>
    <w:p>
      <w:pPr>
        <w:pStyle w:val="BodyText"/>
      </w:pPr>
      <w:r>
        <w:t xml:space="preserve">For the same reason, don’t make a long list of foods forbidden based on one difficult evening. A list that grows after every symptom can leave you with fewer choices without answering the medical question. Don’t force yourself to eat through discomfort, either. Write down what you could manage and what happened, then ask your care team what they want you to do. If your prescriber or dietitian has already given you an eating plan, follow that individualized guidance rather than a general example here.</w:t>
      </w:r>
    </w:p>
    <w:p>
      <w:pPr>
        <w:pStyle w:val="BodyText"/>
      </w:pPr>
      <w:r>
        <w:t xml:space="preserve">If a symptom keeps returning around meals, describe the pattern without presenting it as proof. You might say, “I’ve had a burning feeling after dinner on three evenings. It began about an hour later and lasted until bedtime. The meals were different. What should I do, and does this need an appointment?” The wording keeps what you observed separate from what you suspect. Your clinician can ask follow-up questions and decide whether you need an assessment.</w:t>
      </w:r>
    </w:p>
    <w:p>
      <w:pPr>
        <w:pStyle w:val="BodyText"/>
      </w:pPr>
      <w:r>
        <w:t xml:space="preserve">Constipation can feel especially difficult to discuss because people often arrive having already tried several things. You can describe the change in your own words, when it began, what else changed, and how it is affecting you. If you have a care plan for this symptom, follow it; if you don’t, ask before adding a remedy or supplement. This chapter won’t prescribe a food, drink, over-the-counter product, or supplement as a fix. Your other conditions and medicines matter, and a pharmacist or prescriber can help you check a specific product.</w:t>
      </w:r>
    </w:p>
    <w:p>
      <w:pPr>
        <w:pStyle w:val="BodyText"/>
      </w:pPr>
      <w:r>
        <w:t xml:space="preserve">The same restraint applies to nausea and reflux-like symptoms. I know the internet loves a universal fix. Your prescriber’s instructions and the product’s current Medication Guide are better starting points than a confident stranger’s menu. If you are unsure whether a symptom is covered by your instructions, send a message or call and ask. The question can be short. You are not required to arrive with a solution.</w:t>
      </w:r>
    </w:p>
    <w:p>
      <w:pPr>
        <w:pStyle w:val="Heading2"/>
      </w:pPr>
      <w:r>
        <w:t xml:space="preserve">Report a rough night after a change</w:t>
      </w:r>
    </w:p>
    <w:p>
      <w:pPr>
        <w:pStyle w:val="BodyFirst"/>
      </w:pPr>
      <w:r>
        <w:t xml:space="preserve">At Thanksgiving, I woke up with the details still out of order: the meal had gone fast, the plate was generous, and I had recently had a dose change. I told Anita the next morning. I didn’t say the change caused the night or promise myself I’d never eat those foods again. I told her what I remembered and asked what she wanted me to watch for.</w:t>
      </w:r>
    </w:p>
    <w:p>
      <w:pPr>
        <w:pStyle w:val="BodyText"/>
      </w:pPr>
      <w:r>
        <w:t xml:space="preserve">That report gave us something concrete to discuss. It did not turn my story into evidence that the same meal or experience will affect you the same way. If you have a rough night after a dose change, report the timing and symptoms to your prescriber, especially if they persist or interfere with eating or drinking. Follow the instructions your prescriber gave you for the change. This book cannot tell you whether to delay, repeat, raise, lower, or stop a dose; those decisions belong with the person managing your care.</w:t>
      </w:r>
    </w:p>
    <w:p>
      <w:pPr>
        <w:pStyle w:val="BodyText"/>
      </w:pPr>
      <w:r>
        <w:t xml:space="preserve">An appointment message can be simple:</w:t>
      </w:r>
    </w:p>
    <w:p>
      <w:pPr>
        <w:pStyle w:val="BodyText"/>
      </w:pPr>
      <w:r>
        <w:t xml:space="preserve">“I followed the dose-change instructions we discussed on [date]. On [date/time], I ate [rough description]. Around [time], I noticed [symptom in my own words]. It lasted [duration] and is now [better/same/worse]. I [did/did not] vomit, and I [could/could not] keep fluids down. I also take [other medicines] and had [other recent change, if any]. What should I do next, and when should I seek urgent care?”</w:t>
      </w:r>
    </w:p>
    <w:p>
      <w:pPr>
        <w:pStyle w:val="BodyText"/>
      </w:pPr>
      <w:r>
        <w:t xml:space="preserve">You can leave out details you don’t know. Keep a photo of the product name or the Medication Guide nearby if you need it, and include a callback number. If the office replies with instructions, write down who answered and the next step. If the message exchange leaves you uncertain, ask them to say plainly what would mean you need same-day attention or emergency care. The warning card in Chapter 10 remains the reference for urgent signs; don’t use a routine portal message for an emergency.</w:t>
      </w:r>
    </w:p>
    <w:p>
      <w:pPr>
        <w:pStyle w:val="BodyText"/>
      </w:pPr>
      <w:r>
        <w:t xml:space="preserve">If you are unsure whether to wait for a routine appointment, say so directly: “This is interfering with eating and drinking. Do I need same-day advice or an assessment?” You are asking the care team to set the urgency for your situation, not deciding it from a checklist in a book. If symptoms are severe or worsening, don’t wait for a routine portal reply; use the contact instructions you were given, call the office, or seek urgent care as appropriate. For emergency warning signs, use emergency services.</w:t>
      </w:r>
    </w:p>
    <w:p>
      <w:pPr>
        <w:pStyle w:val="BodyText"/>
      </w:pPr>
      <w:r>
        <w:t xml:space="preserve">If the answer involves a change to your medicine, make sure you understand the instruction and who is responsible for follow-up. Read it back in your own words: “So I should [repeat their instruction], and contact you again if [the condition they named]. Is that right?” Keep the instruction with your medication information. This is not a way to negotiate a different dose; it is a check that you understood the clinician’s plan. If the instruction conflicts with something on your product guide or with advice from another clinician, pause and clarify before acting, unless the guide says to seek emergency care now.</w:t>
      </w:r>
    </w:p>
    <w:p>
      <w:pPr>
        <w:pStyle w:val="Heading2"/>
      </w:pPr>
      <w:r>
        <w:t xml:space="preserve">A food-and-symptom note for the next appointment</w:t>
      </w:r>
    </w:p>
    <w:p>
      <w:pPr>
        <w:pStyle w:val="BodyFirst"/>
      </w:pPr>
      <w:r>
        <w:t xml:space="preserve">Use this as a record, not a food rule. It can be on paper or in a phone note. A few entries may be enough to describe what is happening; if care is needed sooner, contact the office rather than waiting to collect more.</w:t>
      </w:r>
    </w:p>
    <w:p>
      <w:pPr>
        <w:pStyle w:val="ListItem"/>
        <w:numPr>
          <w:ilvl w:val="0"/>
          <w:numId w:val="1"/>
        </w:numPr>
      </w:pPr>
      <w:r>
        <w:t xml:space="preserve">Date and time I ate: ______.</w:t>
      </w:r>
    </w:p>
    <w:p>
      <w:pPr>
        <w:pStyle w:val="ListItem"/>
        <w:numPr>
          <w:ilvl w:val="0"/>
          <w:numId w:val="1"/>
        </w:numPr>
      </w:pPr>
      <w:r>
        <w:t xml:space="preserve">Food and rough amount, or “not sure”: ______.</w:t>
      </w:r>
    </w:p>
    <w:p>
      <w:pPr>
        <w:pStyle w:val="ListItem"/>
        <w:numPr>
          <w:ilvl w:val="0"/>
          <w:numId w:val="1"/>
        </w:numPr>
      </w:pPr>
      <w:r>
        <w:t xml:space="preserve">About how long I took to eat: ______.</w:t>
      </w:r>
    </w:p>
    <w:p>
      <w:pPr>
        <w:pStyle w:val="ListItem"/>
        <w:numPr>
          <w:ilvl w:val="0"/>
          <w:numId w:val="1"/>
        </w:numPr>
      </w:pPr>
      <w:r>
        <w:t xml:space="preserve">Symptom, in my words, and when it began: ______.</w:t>
      </w:r>
    </w:p>
    <w:p>
      <w:pPr>
        <w:pStyle w:val="ListItem"/>
        <w:numPr>
          <w:ilvl w:val="0"/>
          <w:numId w:val="1"/>
        </w:numPr>
      </w:pPr>
      <w:r>
        <w:t xml:space="preserve">How long it lasted; better, unchanged, or worse: ______.</w:t>
      </w:r>
    </w:p>
    <w:p>
      <w:pPr>
        <w:pStyle w:val="ListItem"/>
        <w:numPr>
          <w:ilvl w:val="0"/>
          <w:numId w:val="1"/>
        </w:numPr>
      </w:pPr>
      <w:r>
        <w:t xml:space="preserve">Vomiting, bowel change, or difficulty keeping fluids down, if any: ______.</w:t>
      </w:r>
    </w:p>
    <w:p>
      <w:pPr>
        <w:pStyle w:val="ListItem"/>
        <w:numPr>
          <w:ilvl w:val="0"/>
          <w:numId w:val="1"/>
        </w:numPr>
      </w:pPr>
      <w:r>
        <w:t xml:space="preserve">Dose-change date per my prescriber’s instructions, if relevant: ______.</w:t>
      </w:r>
    </w:p>
    <w:p>
      <w:pPr>
        <w:pStyle w:val="ListItem"/>
        <w:numPr>
          <w:ilvl w:val="0"/>
          <w:numId w:val="1"/>
        </w:numPr>
      </w:pPr>
      <w:r>
        <w:t xml:space="preserve">Other recent medicine or health change to mention: ______.</w:t>
      </w:r>
    </w:p>
    <w:p>
      <w:pPr>
        <w:pStyle w:val="ListLast"/>
        <w:numPr>
          <w:ilvl w:val="0"/>
          <w:numId w:val="1"/>
        </w:numPr>
      </w:pPr>
      <w:r>
        <w:t xml:space="preserve">My question for the prescriber: ______.</w:t>
      </w:r>
    </w:p>
    <w:p>
      <w:pPr>
        <w:pStyle w:val="BodyFirst"/>
      </w:pPr>
      <w:r>
        <w:t xml:space="preserve">One note is not a pattern, and a pattern is not a diagnosis. Bring what you have. If the pages are mostly blank because the symptoms have been too disruptive to record, say that directly. It may be the most important detail.</w:t>
      </w:r>
    </w:p>
    <w:p>
      <w:pPr>
        <w:pStyle w:val="BodyText"/>
      </w:pPr>
      <w:r>
        <w:t xml:space="preserve">Before the next dose-change conversation, put the symptom note where you can find it and write down one question for your prescriber. That is enough preparation for now.</w:t>
      </w:r>
    </w:p>
    <w:p>
      <w:pPr>
        <w:pStyle w:val="Heading2"/>
      </w:pPr>
      <w:r>
        <w:t xml:space="preserve">Sources</w:t>
      </w:r>
    </w:p>
    <w:p>
      <w:pPr>
        <w:pStyle w:val="ListLast"/>
        <w:numPr>
          <w:ilvl w:val="0"/>
          <w:numId w:val="1"/>
        </w:numPr>
      </w:pPr>
      <w:r>
        <w:t xml:space="preserve">Current product labeling and Medication Guides: </w:t>
      </w:r>
      <w:hyperlink r:id="rIdL1">
        <w:r>
          <w:rPr>
            <w:rStyle w:val="Hyperlink"/>
          </w:rPr>
          <w:t xml:space="preserve">Wegovy on DailyMed</w:t>
        </w:r>
      </w:hyperlink>
      <w:r>
        <w:t xml:space="preserve">, </w:t>
      </w:r>
      <w:hyperlink r:id="rIdL2">
        <w:r>
          <w:rPr>
            <w:rStyle w:val="Hyperlink"/>
          </w:rPr>
          <w:t xml:space="preserve">Ozempic on DailyMed</w:t>
        </w:r>
      </w:hyperlink>
      <w:r>
        <w:t xml:space="preserve">, </w:t>
      </w:r>
      <w:hyperlink r:id="rIdL3">
        <w:r>
          <w:rPr>
            <w:rStyle w:val="Hyperlink"/>
          </w:rPr>
          <w:t xml:space="preserve">Mounjaro on DailyMed</w:t>
        </w:r>
      </w:hyperlink>
      <w:r>
        <w:t xml:space="preserve">, and </w:t>
      </w:r>
      <w:hyperlink r:id="rIdL4">
        <w:r>
          <w:rPr>
            <w:rStyle w:val="Hyperlink"/>
          </w:rPr>
          <w:t xml:space="preserve">Zepbound on DailyMed</w:t>
        </w:r>
      </w:hyperlink>
      <w:r>
        <w:t xml:space="preserve">.</w:t>
      </w:r>
    </w:p>
    <w:p>
      <w:pPr>
        <w:pStyle w:val="Heading1"/>
      </w:pPr>
      <w:bookmarkStart w:id="6" w:name="_Toc_14_water_and_electrolytes"/>
      <w:r>
        <w:t xml:space="preserve">Chapter 14: Water and Electrolytes</w:t>
      </w:r>
      <w:bookmarkEnd w:id="6"/>
    </w:p>
    <w:p>
      <w:pPr>
        <w:pStyle w:val="BodyFirst"/>
      </w:pPr>
      <w:r>
        <w:t xml:space="preserve">The trail was dry and bright, and Teo kept asking if I wanted to stop. I said no. I hadn’t noticed how little I had drunk until the headache settled in. The next few days brought constipation, too, though I can’t prove the hike or the fluids caused it. I had a useful observation, not a diagnosis: I had gone a long stretch without drinking and hadn’t noticed.</w:t>
      </w:r>
    </w:p>
    <w:p>
      <w:pPr>
        <w:pStyle w:val="BodyText"/>
      </w:pPr>
      <w:r>
        <w:t xml:space="preserve">After that, I stopped treating thirst as the only reminder I needed. Not because I know thirst disappears on a GLP-1 medicine. I don’t. Appetite and thirst are not the same signal, and I haven’t found evidence that these medicines reliably switch off thirst for everyone. But a quieter appetite, nausea, a busy day, or simply not having a drink nearby can make it easy to miss ordinary chances to drink. A routine can help without pretending to know what your body needs in ounces.</w:t>
      </w:r>
    </w:p>
    <w:p>
      <w:pPr>
        <w:pStyle w:val="Heading2"/>
      </w:pPr>
      <w:r>
        <w:t xml:space="preserve">Build reminders, not a quota</w:t>
      </w:r>
    </w:p>
    <w:p>
      <w:pPr>
        <w:pStyle w:val="BodyFirst"/>
      </w:pPr>
      <w:r>
        <w:t xml:space="preserve">There is no single daily fluid number in this book. Needs vary, and some people have been told to limit fluids because of a heart, kidney, or other health condition. If a clinician has given you a fluid limit or plan, use that rather than the reminders here. If you are not sure whether a limit applies, ask your prescriber or pharmacist before making a new target for yourself.</w:t>
      </w:r>
    </w:p>
    <w:p>
      <w:pPr>
        <w:pStyle w:val="BodyText"/>
      </w:pPr>
      <w:r>
        <w:t xml:space="preserve">For everyone else, try attaching a drink to something already on the day: when you make breakfast, when you sit down for lunch, or when you take the afternoon break you already keep. Keep a cup or bottle where you can see it. Refill it when you clear a plate, if that fits your routine. These are prompts to notice drinking, not instructions to finish a particular container or force fluids when you feel unwell.</w:t>
      </w:r>
    </w:p>
    <w:p>
      <w:pPr>
        <w:pStyle w:val="BodyText"/>
      </w:pPr>
      <w:r>
        <w:t xml:space="preserve">If a cue lands at a time when drinking feels uncomfortable, don’t turn it into a dare. Make a note of the symptom and ask your clinician what fits your situation, especially if it keeps happening or is limiting what you can drink. Chapter 13 explains how to record a symptom without guessing at its cause. This chapter’s routine is for ordinary days; it isn’t a treatment for nausea, vomiting, or diarrhea.</w:t>
      </w:r>
    </w:p>
    <w:p>
      <w:pPr>
        <w:pStyle w:val="BodyText"/>
      </w:pPr>
      <w:r>
        <w:t xml:space="preserve">Use the drink you normally tolerate and that fits any guidance from your care team. This chapter does not prescribe a particular beverage, amount, electrolyte powder, sports drink, or supplement. If a product has an ingredient or mineral you need to limit, a pharmacist can help you check the label against your medicines and health conditions. A product marketed for hydration is not automatically appropriate for you.</w:t>
      </w:r>
    </w:p>
    <w:p>
      <w:pPr>
        <w:pStyle w:val="Heading2"/>
      </w:pPr>
      <w:r>
        <w:t xml:space="preserve">One schedule and one product question</w:t>
      </w:r>
    </w:p>
    <w:p>
      <w:pPr>
        <w:pStyle w:val="BodyFirst"/>
      </w:pPr>
      <w:r>
        <w:t xml:space="preserve">On an early shift, I keep a bottle beside my lunch bag; if the break disappears, my cue is clocking out. A new powder stays unopened until my pharmacist checks its label against my fluid and potassium limits. I ask: “Does this exact product fit the fluid and potassium limits you have on file for me?”</w:t>
      </w:r>
    </w:p>
    <w:p>
      <w:pPr>
        <w:pStyle w:val="Heading2"/>
      </w:pPr>
      <w:r>
        <w:t xml:space="preserve">Put the written plan beside the cup</w:t>
      </w:r>
    </w:p>
    <w:p>
      <w:pPr>
        <w:pStyle w:val="BodyFirst"/>
      </w:pPr>
      <w:r>
        <w:t xml:space="preserve">NIDDK’s CKD guidance, reviewed in January 2025 and checked in October 2026, says some people with kidney disease need an individual liquid limit; it also advises contacting a health professional about swelling. If your existing instructions are outdated, unclear or conflict with another clinician’s orders, ask the office that set the plan to resolve them in writing. Keep the confirmed wording and date with your medication list.</w:t>
      </w:r>
    </w:p>
    <w:p>
      <w:pPr>
        <w:pStyle w:val="BodyText"/>
      </w:pPr>
      <w:r>
        <w:t xml:space="preserve">Then attach that instruction to the ordinary cue. For someone with a limit, breakfast can be the time to check the plan before pouring. The note uses the clinician’s terms rather than a bottle count invented here. My written plan says to check with the clinic if illness changes what I can drink; I put that phone number beside the breakfast cup.</w:t>
      </w:r>
    </w:p>
    <w:p>
      <w:pPr>
        <w:pStyle w:val="BodyText"/>
      </w:pPr>
      <w:r>
        <w:t xml:space="preserve">A missed reminder doesn’t create a debt to repay by forcing a large drink. Leave the chart out of it. Keep the cup where you work and use the cue that asks the least of you.</w:t>
      </w:r>
    </w:p>
    <w:p>
      <w:pPr>
        <w:pStyle w:val="Heading2"/>
      </w:pPr>
      <w:r>
        <w:t xml:space="preserve">Read the panel, not the promise</w:t>
      </w:r>
    </w:p>
    <w:p>
      <w:pPr>
        <w:pStyle w:val="BodyFirst"/>
      </w:pPr>
      <w:r>
        <w:t xml:space="preserve">Turn a packaged drink around. The front may tell you what kind of day the maker thinks you want: athletic, busy, outdoors. The panel on the back tells you what is in the labeled serving. Those are different pieces of information. Here, reading the panel is a way to understand the package, not a way to choose a treatment for dehydration.</w:t>
      </w:r>
    </w:p>
    <w:p>
      <w:pPr>
        <w:pStyle w:val="BodyText"/>
      </w:pPr>
      <w:r>
        <w:t xml:space="preserve">The FDA’s Nutrition Facts label-reading guide, dated March 2024 and checked in October 2026, says to start with serving size and servings per container. Nutrient amounts refer to that serving. The agency also makes a distinction worth remembering beside a water bottle: serving size describes an amount people typically consume; it is not a recommendation for how much you should drink.</w:t>
      </w:r>
    </w:p>
    <w:p>
      <w:pPr>
        <w:pStyle w:val="BodyText"/>
      </w:pPr>
      <w:r>
        <w:t xml:space="preserve">That matters when the container and the serving are not the same. In a hypothetical bottle holding two labeled servings, the whole bottle contains twice the sodium and other nutrients listed for one serving. That is package arithmetic, not a daily fluid goal or a suggested serving. Before comparing two drinks, check what each panel is counting. Comparing one product’s bottle with another product’s smaller serving can make their contents look more alike than they are.</w:t>
      </w:r>
    </w:p>
    <w:p>
      <w:pPr>
        <w:pStyle w:val="BodyText"/>
      </w:pPr>
      <w:r>
        <w:t xml:space="preserve">Some packages have separate columns for a serving and the entire container. The FDA describes these dual-column labels in the same guide. Read the heading above the numbers before copying them. “Per container” answers a different question from “per serving.” The bottle’s shape won’t settle it, and a container that fits neatly in your hand needn’t match the serving described on its panel.</w:t>
      </w:r>
    </w:p>
    <w:p>
      <w:pPr>
        <w:pStyle w:val="BodyText"/>
      </w:pPr>
      <w:r>
        <w:t xml:space="preserve">Keep the units attached to any amount you copy. Sodium and potassium may be shown in milligrams; a beverage’s volume may be shown in fluid ounces or milliliters. Those describe different things. A number without its nutrient name or unit loses the information you were trying to preserve. If you take a photo, include the serving information above the nutrient lines rather than cropping down to one number.</w:t>
      </w:r>
    </w:p>
    <w:p>
      <w:pPr>
        <w:pStyle w:val="BodyText"/>
      </w:pPr>
      <w:r>
        <w:t xml:space="preserve">The percentage beside a nutrient is its percent Daily Value. According to the FDA, it shows how much a serving contributes to a reference daily amount. It is not a percentage of your own kidney-care plan. NIDDK’s CKD guidance calls for individualized potassium and sodium advice. A general-reference percentage cannot tell you how much of a personal allowance remains, or whether a particular drink fits it.</w:t>
      </w:r>
    </w:p>
    <w:p>
      <w:pPr>
        <w:pStyle w:val="BodyText"/>
      </w:pPr>
      <w:r>
        <w:t xml:space="preserve">Don’t let one front-label claim stand in for the whole panel. “No added sugar” doesn’t give you the sodium amount. A potassium amount doesn’t describe the drink’s total volume. Read the relevant lines separately. This is especially useful when two versions share a brand name but differ in flavor, formulation or package size: look at the container actually in your hand, not a saved picture of a similar one.</w:t>
      </w:r>
    </w:p>
    <w:p>
      <w:pPr>
        <w:pStyle w:val="BodyText"/>
      </w:pPr>
      <w:r>
        <w:t xml:space="preserve">A powder introduces another distinction. The dry packet or scoop and the prepared drink are not interchangeable descriptions. Look for the labeled serving and the preparation directions, and keep both available for the product question above. Don’t infer that a larger mixing bottle changes how much mineral was in the packet. This book gives no homemade dilution recipe, and preparation directions are not instructions to treat illness.</w:t>
      </w:r>
    </w:p>
    <w:p>
      <w:pPr>
        <w:pStyle w:val="BodyText"/>
      </w:pPr>
      <w:r>
        <w:t xml:space="preserve">You don’t need to transcribe the entire package. A readable picture of the panel, ingredient list and preparation directions preserves more than a note saying “hydration powder.” If part of the printing is hidden by a fold, smooth it out before photographing it. Keep the exact product name visible. This is one of the few times a picture can save you from trying to remember small print while someone waits on the phone.</w:t>
      </w:r>
    </w:p>
    <w:p>
      <w:pPr>
        <w:pStyle w:val="BodyText"/>
      </w:pPr>
      <w:r>
        <w:t xml:space="preserve">Once you understand the panel, stop there. There is no ranking of drinks in this chapter and no number to chase across competing labels. The useful result is knowing what the package says, including what amount its figures describe. You can set an unreadable label aside rather than guessing. An open browser full of nearly matching products is a poor substitute for the actual container.</w:t>
      </w:r>
    </w:p>
    <w:p>
      <w:pPr>
        <w:pStyle w:val="Heading2"/>
      </w:pPr>
      <w:r>
        <w:t xml:space="preserve">Make the drink physically usable</w:t>
      </w:r>
    </w:p>
    <w:p>
      <w:pPr>
        <w:pStyle w:val="BodyFirst"/>
      </w:pPr>
      <w:r>
        <w:t xml:space="preserve">A reminder can work perfectly and still leave you holding a bottle you can’t comfortably use. Before buying another one, try the cap, handle and weight of the container you already have. Can you open it without a struggle? Can you lift it while seated? Does it fit where you can reach it without leaning over a hot tray? These are equipment questions. They don’t require you to choose a fluid amount.</w:t>
      </w:r>
    </w:p>
    <w:p>
      <w:pPr>
        <w:pStyle w:val="BodyText"/>
      </w:pPr>
      <w:r>
        <w:t xml:space="preserve">At home, the cup that feels comfortable in your hand may work better than the impressive insulated jug. For travel, a lid that closes securely may matter more than a motivational scale printed down the side. Test the closure before putting it beside your phone or paperwork. Use the drink’s normal storage directions; a bottle that is convenient to carry doesn’t change how its contents should be stored.</w:t>
      </w:r>
    </w:p>
    <w:p>
      <w:pPr>
        <w:pStyle w:val="BodyText"/>
      </w:pPr>
      <w:r>
        <w:t xml:space="preserve">Think about the refill itself, separately from remembering. If the sink is awkward to reach or the bottle doesn’t fit beneath the tap, use a practical arrangement you can manage safely, or ask for help. A reminder to perform an awkward task just repeats the obstacle. Choose the ordinary cup you can actually handle. You are allowed to leave the elaborate equipment in the cupboard.</w:t>
      </w:r>
    </w:p>
    <w:p>
      <w:pPr>
        <w:pStyle w:val="Heading2"/>
      </w:pPr>
      <w:r>
        <w:t xml:space="preserve">When vomiting or diarrhea changes the plan</w:t>
      </w:r>
    </w:p>
    <w:p>
      <w:pPr>
        <w:pStyle w:val="BodyFirst"/>
      </w:pPr>
      <w:r>
        <w:t xml:space="preserve">Vomiting and diarrhea are not just inconvenient if they keep you from drinking. The current Zepbound Medication Guide, revised August 2026, warns that nausea, vomiting and diarrhea can lead to dehydration and kidney problems, and tells patients to contact a healthcare provider about stomach problems that are severe or will not go away. The exact language and instructions can differ by product. Read the guide for the medicine you actually take, and follow any personal instructions your care team gave you.</w:t>
      </w:r>
    </w:p>
    <w:p>
      <w:pPr>
        <w:pStyle w:val="BodyText"/>
      </w:pPr>
      <w:r>
        <w:t xml:space="preserve">If you keep vomiting or having diarrhea, cannot keep fluids down, or are unsure how to follow your plan, contact your prescriber promptly for advice. Tell them when the symptoms began, how often they are happening, what you have been able to drink, and whether you are urinating less than usual. You do not have to calculate a perfect amount before calling. If you have a clinician-provided sick-day plan, follow it; if it is unclear or does not cover this situation, ask rather than improvising.</w:t>
      </w:r>
    </w:p>
    <w:p>
      <w:pPr>
        <w:pStyle w:val="BodyText"/>
      </w:pPr>
      <w:r>
        <w:t xml:space="preserve">Don’t wait for a routine appointment if symptoms are severe, persistent, worsening, or making it hard to drink. Chapter 10 has the warning card for urgent and emergency signs. Use that card and your Medication Guide; if you feel faint, confused, rapidly worse, or in immediate danger, seek emergency care. This is the point where getting an individual medical answer matters more than finishing a checklist.</w:t>
      </w:r>
    </w:p>
    <w:p>
      <w:pPr>
        <w:pStyle w:val="BodyText"/>
      </w:pPr>
      <w:r>
        <w:t xml:space="preserve">I also wouldn’t assume that electrolyte drinks are the answer. Vomiting or diarrhea can involve losses beyond water. Electrolyte products are not automatically suitable when vomiting or diarrhea makes fluids difficult. Ask your prescriber or pharmacist what, if anything, they recommend for you. This is especially important if you have been told to limit fluid, sodium, potassium, sugar, or another ingredient. Don’t use a supplement label as a substitute for that conversation.</w:t>
      </w:r>
    </w:p>
    <w:p>
      <w:pPr>
        <w:pStyle w:val="Heading2"/>
      </w:pPr>
      <w:r>
        <w:t xml:space="preserve">Make the call easy</w:t>
      </w:r>
    </w:p>
    <w:p>
      <w:pPr>
        <w:pStyle w:val="BodyFirst"/>
      </w:pPr>
      <w:r>
        <w:t xml:space="preserve">If vomiting or diarrhea makes drinking difficult, call the prescriber promptly. Say whether fluids stay down and whether urination is less than usual; Chapter 13 has the fuller symptom-note format. Use emergency care for the Chapter 10 warning signs.</w:t>
      </w:r>
    </w:p>
    <w:p>
      <w:pPr>
        <w:pStyle w:val="Heading2"/>
      </w:pPr>
      <w:r>
        <w:t xml:space="preserve">A fluid-timing checklist</w:t>
      </w:r>
    </w:p>
    <w:p>
      <w:pPr>
        <w:pStyle w:val="BodyFirst"/>
      </w:pPr>
      <w:r>
        <w:t xml:space="preserve">Use these prompts to make a routine, not a target. Leave out any that conflict with your clinician’s instructions.</w:t>
      </w:r>
    </w:p>
    <w:p>
      <w:pPr>
        <w:pStyle w:val="ListItem"/>
        <w:numPr>
          <w:ilvl w:val="0"/>
          <w:numId w:val="1"/>
        </w:numPr>
      </w:pPr>
      <w:r>
        <w:t xml:space="preserve">A drink I usually tolerate and can keep accessible: ______.</w:t>
      </w:r>
    </w:p>
    <w:p>
      <w:pPr>
        <w:pStyle w:val="ListItem"/>
        <w:numPr>
          <w:ilvl w:val="0"/>
          <w:numId w:val="1"/>
        </w:numPr>
      </w:pPr>
      <w:r>
        <w:t xml:space="preserve">One cue I can attach it to in the morning: ______.</w:t>
      </w:r>
    </w:p>
    <w:p>
      <w:pPr>
        <w:pStyle w:val="ListItem"/>
        <w:numPr>
          <w:ilvl w:val="0"/>
          <w:numId w:val="1"/>
        </w:numPr>
      </w:pPr>
      <w:r>
        <w:t xml:space="preserve">One cue that fits the middle of my day: ______.</w:t>
      </w:r>
    </w:p>
    <w:p>
      <w:pPr>
        <w:pStyle w:val="ListItem"/>
        <w:numPr>
          <w:ilvl w:val="0"/>
          <w:numId w:val="1"/>
        </w:numPr>
      </w:pPr>
      <w:r>
        <w:t xml:space="preserve">Where I will keep a cup or bottle so I notice it: ______.</w:t>
      </w:r>
    </w:p>
    <w:p>
      <w:pPr>
        <w:pStyle w:val="ListItem"/>
        <w:numPr>
          <w:ilvl w:val="0"/>
          <w:numId w:val="1"/>
        </w:numPr>
      </w:pPr>
      <w:r>
        <w:t xml:space="preserve">Any fluid limit or specific plan I need to follow: ______.</w:t>
      </w:r>
    </w:p>
    <w:p>
      <w:pPr>
        <w:pStyle w:val="ListItem"/>
        <w:numPr>
          <w:ilvl w:val="0"/>
          <w:numId w:val="1"/>
        </w:numPr>
      </w:pPr>
      <w:r>
        <w:t xml:space="preserve">The clinician or pharmacist I will ask if I am unsure about fluids or an electrolyte product: ______.</w:t>
      </w:r>
    </w:p>
    <w:p>
      <w:pPr>
        <w:pStyle w:val="ListLast"/>
        <w:numPr>
          <w:ilvl w:val="0"/>
          <w:numId w:val="1"/>
        </w:numPr>
      </w:pPr>
      <w:r>
        <w:t xml:space="preserve">The number or route to use if vomiting or diarrhea makes drinking difficult: ______.</w:t>
      </w:r>
    </w:p>
    <w:p>
      <w:pPr>
        <w:pStyle w:val="BodyFirst"/>
      </w:pPr>
      <w:r>
        <w:t xml:space="preserve">I keep a cup within reach when I’m working in the kitchen, not because it holds a magic amount but because a drink in the other room is easy to forget. On an ordinary day, that small bit of mise helps. On a day when fluids won’t stay down, the kitchen routine is no longer the answer; I call for medical guidance.</w:t>
      </w:r>
    </w:p>
    <w:p>
      <w:pPr>
        <w:pStyle w:val="BodyText"/>
      </w:pPr>
      <w:r>
        <w:t xml:space="preserve">Put one drink cue beside a meal or break on tomorrow’s calendar. If you have a fluid restriction, write down the question you need answered before changing your routine.</w:t>
      </w:r>
    </w:p>
    <w:p>
      <w:pPr>
        <w:pStyle w:val="Heading2"/>
      </w:pPr>
      <w:r>
        <w:t xml:space="preserve">Sources</w:t>
      </w:r>
    </w:p>
    <w:p>
      <w:pPr>
        <w:pStyle w:val="ListItem"/>
        <w:numPr>
          <w:ilvl w:val="0"/>
          <w:numId w:val="1"/>
        </w:numPr>
      </w:pPr>
      <w:hyperlink r:id="rIdL6">
        <w:r>
          <w:rPr>
            <w:rStyle w:val="Hyperlink"/>
          </w:rPr>
          <w:t xml:space="preserve">Zepbound current label and Medication Guide, DailyMed</w:t>
        </w:r>
      </w:hyperlink>
      <w:r>
        <w:t xml:space="preserve">, revised August 28, 2026.</w:t>
      </w:r>
    </w:p>
    <w:p>
      <w:pPr>
        <w:pStyle w:val="ListItem"/>
        <w:numPr>
          <w:ilvl w:val="0"/>
          <w:numId w:val="1"/>
        </w:numPr>
      </w:pPr>
      <w:hyperlink r:id="rIdL5">
        <w:r>
          <w:rPr>
            <w:rStyle w:val="Hyperlink"/>
          </w:rPr>
          <w:t xml:space="preserve">NIDDK, prescription medications to treat overweight and obesity</w:t>
        </w:r>
      </w:hyperlink>
      <w:r>
        <w:t xml:space="preserve">, for general medication context. It does not set a universal fluid target for this chapter.</w:t>
      </w:r>
    </w:p>
    <w:p>
      <w:pPr>
        <w:pStyle w:val="ListItem"/>
        <w:numPr>
          <w:ilvl w:val="0"/>
          <w:numId w:val="1"/>
        </w:numPr>
      </w:pPr>
      <w:hyperlink r:id="rIdL7">
        <w:r>
          <w:rPr>
            <w:rStyle w:val="Hyperlink"/>
          </w:rPr>
          <w:t xml:space="preserve">NIDDK, CKD liquid guidance</w:t>
        </w:r>
      </w:hyperlink>
      <w:r>
        <w:t xml:space="preserve">, for individualized fluid advice and the instruction to contact a health professional about swelling.</w:t>
      </w:r>
    </w:p>
    <w:p>
      <w:pPr>
        <w:pStyle w:val="ListLast"/>
        <w:numPr>
          <w:ilvl w:val="0"/>
          <w:numId w:val="1"/>
        </w:numPr>
      </w:pPr>
      <w:hyperlink r:id="rIdL8">
        <w:r>
          <w:rPr>
            <w:rStyle w:val="Hyperlink"/>
          </w:rPr>
          <w:t xml:space="preserve">FDA, How to Understand and Use the Nutrition Facts Label</w:t>
        </w:r>
      </w:hyperlink>
      <w:r>
        <w:t xml:space="preserve">, content dated March 5, 2024 and checked October 5, 2026; serving information, dual-column labels and percent Daily Value, not a hydration prescription.</w:t>
      </w:r>
    </w:p>
    <w:p>
      <w:pPr>
        <w:pStyle w:val="Heading1"/>
      </w:pPr>
      <w:bookmarkStart w:id="7" w:name="_Toc_15_the_plateau"/>
      <w:r>
        <w:t xml:space="preserve">Chapter 15: The Plateau</w:t>
      </w:r>
      <w:bookmarkEnd w:id="7"/>
    </w:p>
    <w:p>
      <w:pPr>
        <w:pStyle w:val="BodyFirst"/>
      </w:pPr>
      <w:r>
        <w:t xml:space="preserve">I weighed myself again before coffee. Anita asked what else had changed; I hadn’t checked.</w:t>
      </w:r>
    </w:p>
    <w:p>
      <w:pPr>
        <w:pStyle w:val="BodyText"/>
      </w:pPr>
      <w:r>
        <w:t xml:space="preserve">That was month eight. The scale had stayed flat long enough that I brought it up, and Anita asked me to keep a simple food log for two weeks. I wrote down what I ate and where protein showed up. By the end, I could see that protein had slipped out of the day more often than I realized. That was something we could discuss. It wasn’t proof that the missed protein caused the stall, and it wasn’t a reason for me to change my medicine on my own.</w:t>
      </w:r>
    </w:p>
    <w:p>
      <w:pPr>
        <w:pStyle w:val="Heading2"/>
      </w:pPr>
      <w:r>
        <w:t xml:space="preserve">A slower stretch is part of the picture</w:t>
      </w:r>
    </w:p>
    <w:p>
      <w:pPr>
        <w:pStyle w:val="BodyFirst"/>
      </w:pPr>
      <w:r>
        <w:t xml:space="preserve">NIDDK’s prescription-medications guidance reports that most weight loss on prescription weight-management medicines happens within the first six months. That describes a general pattern, not a deadline or a promise about what your own scale should do. A quieter period after earlier change is not, by itself, evidence that you have failed or that the medicine has stopped working.</w:t>
      </w:r>
    </w:p>
    <w:p>
      <w:pPr>
        <w:pStyle w:val="BodyText"/>
      </w:pPr>
      <w:r>
        <w:t xml:space="preserve">People use the word “plateau” to mean different things. For one person, the scale hasn’t moved for several weeks. For another, the pace has slowed enough to be discouraging. There isn’t a definition in this book that can diagnose what is happening in your body. Start with what you have actually noticed: the scale has been similar lately, your eating routine has changed, or you have a concern about how treatment is going. Keep the observation separate from the explanation.</w:t>
      </w:r>
    </w:p>
    <w:p>
      <w:pPr>
        <w:pStyle w:val="BodyText"/>
      </w:pPr>
      <w:r>
        <w:t xml:space="preserve">A scale gives one kind of information. It cannot tell you whether you feel stronger, how manageable your meals are, or what else may be affecting your health. You don’t have to produce a list of compensating wins to justify being concerned, either. If the number is the thing worrying you, say that plainly. Your prescriber can help decide what information is relevant to your care.</w:t>
      </w:r>
    </w:p>
    <w:p>
      <w:pPr>
        <w:pStyle w:val="BodyText"/>
      </w:pPr>
      <w:r>
        <w:t xml:space="preserve">There are many reasons a person’s weight trend may change, and a log cannot sort them all out. Changes in routine, other health factors, and treatment itself may be worth discussing. You don’t need to arrive with a theory about metabolism or a confession about what you ate. A clinician who knows your history is better placed to consider the whole situation than a chart, a forum post, or a stranger’s before-and-after story.</w:t>
      </w:r>
    </w:p>
    <w:p>
      <w:pPr>
        <w:pStyle w:val="Heading2"/>
      </w:pPr>
      <w:r>
        <w:t xml:space="preserve">What to bring to the appointment</w:t>
      </w:r>
    </w:p>
    <w:p>
      <w:pPr>
        <w:pStyle w:val="BodyFirst"/>
      </w:pPr>
      <w:r>
        <w:t xml:space="preserve">A useful appointment starts with a short description, not a perfect dataset. You might say, “My weight has been about the same for several weeks, and I’m worried the plan isn’t working. What would you want to review with me?” If you have a care team, ask whether they want information about meals, protein, activity, other medicines, or something else. You are offering observations so they can choose the next question, not trying to run your own assessment.</w:t>
      </w:r>
    </w:p>
    <w:p>
      <w:pPr>
        <w:pStyle w:val="BodyText"/>
      </w:pPr>
      <w:r>
        <w:t xml:space="preserve">If your clinician asks about food, use Chapter 11’s individualized protein guidance and Chapter 13’s observation-only approach rather than rebuilding either log here. Bring a practical snag to the appointment if it is affecting the plan; a registered dietitian may help adapt it without adding stricter rules.</w:t>
      </w:r>
    </w:p>
    <w:p>
      <w:pPr>
        <w:pStyle w:val="BodyText"/>
      </w:pPr>
      <w:r>
        <w:t xml:space="preserve">The scale may not be the only measure your clinician wants to discuss. If you take the medicine for a condition besides weight management, ask what goals and monitoring belong to that approved treatment purpose. Mention any meaningful change in routine as context, not as a cause you have decided on.</w:t>
      </w:r>
    </w:p>
    <w:p>
      <w:pPr>
        <w:pStyle w:val="BodyText"/>
      </w:pPr>
      <w:r>
        <w:t xml:space="preserve">If you are unsure what counts as a plateau, ask the clinician rather than setting your own cutoff. You might ask, “How long would you want to see this trend before we review it, and what should I bring to that conversation?” A clear answer can stop you from checking the scale repeatedly while waiting for an undefined milestone. The answer may depend on your treatment goals and health history. Don’t borrow a time threshold from a social-media post or another person’s appointment.</w:t>
      </w:r>
    </w:p>
    <w:p>
      <w:pPr>
        <w:pStyle w:val="BodyText"/>
      </w:pPr>
      <w:r>
        <w:t xml:space="preserve">If recording food or weight could worsen distress or conflict with eating-disorder care, say so and ask for another way to discuss the concern. You can bring a plateau question without starting a new log or changing how often you weigh.</w:t>
      </w:r>
    </w:p>
    <w:p>
      <w:pPr>
        <w:pStyle w:val="Heading2"/>
      </w:pPr>
      <w:r>
        <w:t xml:space="preserve">Keep the observation in its lane</w:t>
      </w:r>
    </w:p>
    <w:p>
      <w:pPr>
        <w:pStyle w:val="BodyFirst"/>
      </w:pPr>
      <w:r>
        <w:t xml:space="preserve">In my two weeks of notes, protein was missing from more meals than I had thought. That gave me one question for Anita; it did not explain why the scale had paused. A plateau tool should help you describe the trend and ask what your clinician wants to review, not turn meals into evidence or a reason to restrict, skip food, or add exercise. If eating has become difficult or symptoms are severe or persistent, use Chapters 10 and 13 for the right care route instead of waiting to build a plateau record.</w:t>
      </w:r>
    </w:p>
    <w:p>
      <w:pPr>
        <w:pStyle w:val="Heading2"/>
      </w:pPr>
      <w:r>
        <w:t xml:space="preserve">Keep medicine decisions with your prescriber</w:t>
      </w:r>
    </w:p>
    <w:p>
      <w:pPr>
        <w:pStyle w:val="BodyFirst"/>
      </w:pPr>
      <w:r>
        <w:t xml:space="preserve">A flat stretch can make it tempting to take matters into your own hands: change a dose, take it at a different time, skip it, or add something advertised for weight loss. Don’t use the scale as permission to do any of those things. Follow the instructions for your specific medicine and contact your prescriber with questions. Decisions about a dose, a different treatment, or stopping belong in that conversation.</w:t>
      </w:r>
    </w:p>
    <w:p>
      <w:pPr>
        <w:pStyle w:val="BodyText"/>
      </w:pPr>
      <w:r>
        <w:t xml:space="preserve">You can ask directly: “My weight has been stable for [time period]. What would you like to review before we decide whether anything about my treatment should change?” Add any relevant concerns about cost, side effects, or the routine you can maintain. If a change is discussed, ask what it is intended to address, how to follow the instructions, and whom to contact if you are uncertain. Write down the plan in the clinician’s words. Don’t fill in missing directions from an online group or from someone taking another product.</w:t>
      </w:r>
    </w:p>
    <w:p>
      <w:pPr>
        <w:pStyle w:val="BodyText"/>
      </w:pPr>
      <w:r>
        <w:t xml:space="preserve">Sometimes the answer may be to keep observing for a period; sometimes your clinician may want to assess another part of your health or discuss treatment options. I can’t predict which from a plateau, and neither can a food log. If the recommendation is unclear, ask for clarification before acting. If you have more than one clinician involved, tell them what guidance you have already received so they can coordinate rather than leaving you to reconcile different instructions alone.</w:t>
      </w:r>
    </w:p>
    <w:p>
      <w:pPr>
        <w:pStyle w:val="Heading2"/>
      </w:pPr>
      <w:r>
        <w:t xml:space="preserve">A plateau conversation card</w:t>
      </w:r>
    </w:p>
    <w:p>
      <w:pPr>
        <w:pStyle w:val="BodyFirst"/>
      </w:pPr>
      <w:r>
        <w:t xml:space="preserve">This card is for an appointment, not a tracking assignment. Fill in what you already know; you do not need to start a food or weighing log to use it.</w:t>
      </w:r>
    </w:p>
    <w:p>
      <w:pPr>
        <w:pStyle w:val="ListItem"/>
        <w:numPr>
          <w:ilvl w:val="0"/>
          <w:numId w:val="1"/>
        </w:numPr>
      </w:pPr>
      <w:r>
        <w:t xml:space="preserve">Trend/date (if already tracked): ______.</w:t>
      </w:r>
    </w:p>
    <w:p>
      <w:pPr>
        <w:pStyle w:val="ListItem"/>
        <w:numPr>
          <w:ilvl w:val="0"/>
          <w:numId w:val="1"/>
        </w:numPr>
      </w:pPr>
      <w:r>
        <w:t xml:space="preserve">Approved treatment purpose and other goals: ______.</w:t>
      </w:r>
    </w:p>
    <w:p>
      <w:pPr>
        <w:pStyle w:val="ListItem"/>
        <w:numPr>
          <w:ilvl w:val="0"/>
          <w:numId w:val="1"/>
        </w:numPr>
      </w:pPr>
      <w:r>
        <w:t xml:space="preserve">What changed in eating/activity/side effects: ______.</w:t>
      </w:r>
    </w:p>
    <w:p>
      <w:pPr>
        <w:pStyle w:val="ListItem"/>
        <w:numPr>
          <w:ilvl w:val="0"/>
          <w:numId w:val="1"/>
        </w:numPr>
      </w:pPr>
      <w:r>
        <w:t xml:space="preserve">What would you review before considering a change?</w:t>
      </w:r>
    </w:p>
    <w:p>
      <w:pPr>
        <w:pStyle w:val="ListLast"/>
        <w:numPr>
          <w:ilvl w:val="0"/>
          <w:numId w:val="1"/>
        </w:numPr>
      </w:pPr>
      <w:r>
        <w:t xml:space="preserve">When and how will we follow up?</w:t>
      </w:r>
    </w:p>
    <w:p>
      <w:pPr>
        <w:pStyle w:val="BodyFirst"/>
      </w:pPr>
      <w:r>
        <w:t xml:space="preserve">If tracking could cause distress or conflict with eating-disorder care, leave those fields blank. You can have this conversation without numbers or a new log.</w:t>
      </w:r>
    </w:p>
    <w:p>
      <w:pPr>
        <w:pStyle w:val="BodyText"/>
      </w:pPr>
      <w:r>
        <w:t xml:space="preserve">A short exchange might start: “The scale looks flat to me, and I want to know what it means for the plan.” The clinician’s answer might be that they need to review the existing record before commenting. That is an example of an unfinished assessment, not a recommendation for you. The card can hold an unanswered question without becoming permission to act.</w:t>
      </w:r>
    </w:p>
    <w:p>
      <w:pPr>
        <w:pStyle w:val="Heading2"/>
      </w:pPr>
      <w:r>
        <w:t xml:space="preserve">Put the answer on the back</w:t>
      </w:r>
    </w:p>
    <w:p>
      <w:pPr>
        <w:pStyle w:val="BodyFirst"/>
      </w:pPr>
      <w:r>
        <w:t xml:space="preserve">Anita’s answer goes on the back of the card: who will check the trend, by when, and what changes warrant an earlier call.</w:t>
      </w:r>
    </w:p>
    <w:p>
      <w:pPr>
        <w:pStyle w:val="BodyText"/>
      </w:pPr>
      <w:r>
        <w:t xml:space="preserve">The front helped you arrive with a concern. The back needs to preserve what was actually decided, including what remains undecided. A discussion of a possible option is easy to remember as a promise, particularly when you’ve been hoping for a different answer. Write “discussed; no decision” if that is where the visit ended. Don’t turn a possibility into an instruction while you are copying the note.</w:t>
      </w:r>
    </w:p>
    <w:p>
      <w:pPr>
        <w:pStyle w:val="BodyText"/>
      </w:pPr>
      <w:r>
        <w:t xml:space="preserve">This is appointment paperwork, not a second record of your meals or symptoms. Use the visit date as the heading. Under it, record the clinician’s conclusion about the stalled trend in the words they used. If they haven’t reached a conclusion, keep that visible. “Review pending” is more accurate than “medicine failed” when nobody has said the latter. You can record uncertainty without trying to close it yourself.</w:t>
      </w:r>
    </w:p>
    <w:p>
      <w:pPr>
        <w:pStyle w:val="BodyText"/>
      </w:pPr>
      <w:r>
        <w:t xml:space="preserve">NIDDK’s prescription-medications guidance describes treatment as a decision involving the patient and health professional, weighing benefits, side effects, health history, other medicines and cost. A follow-up note should preserve that individual discussion. It should not convert a general website’s outcome rule into a new instruction for your prescription. Copy the answer you received, not the answer an online chart says you should have received.</w:t>
      </w:r>
    </w:p>
    <w:p>
      <w:pPr>
        <w:pStyle w:val="BodyText"/>
      </w:pPr>
      <w:r>
        <w:t xml:space="preserve">One distinction deserves its own space: a result that exists and a result somebody has reviewed are different. If the clinician wants to look at an existing record before interpreting the plateau, note whether it has reached the right office. “Sent” describes your action. “Received” describes theirs. Neither says the clinician has finished the assessment. Keeping those stages separate makes an unfinished review easier to spot without rereading every message.</w:t>
      </w:r>
    </w:p>
    <w:p>
      <w:pPr>
        <w:pStyle w:val="BodyText"/>
      </w:pPr>
      <w:r>
        <w:t xml:space="preserve">Put an agreed calendar date on the next action, rather than leaving “later” in the margin. If the office has given you only an interval, confirm which appointment or event it runs from before entering it. This book supplies no review interval. The practical issue is that a reminder on your calendar needs an actual day, and the clinic’s wording needs to survive the trip from the examination room to your phone.</w:t>
      </w:r>
    </w:p>
    <w:p>
      <w:pPr>
        <w:pStyle w:val="BodyText"/>
      </w:pPr>
      <w:r>
        <w:t xml:space="preserve">Next to that action, put the person who has accepted it. You might be responsible for sending a record the clinician requested; the office might be responsible for reviewing it and contacting you. Those are separate jobs. A note saying “follow up” doesn’t tell you which is still waiting. You needn’t appoint yourself the person who decides what the information means just because you are the one arranging its delivery.</w:t>
      </w:r>
    </w:p>
    <w:p>
      <w:pPr>
        <w:pStyle w:val="BodyText"/>
      </w:pPr>
      <w:r>
        <w:t xml:space="preserve">For the agreed contact route, keep the specific office number or portal destination with the task. Use the route the office confirms for routine follow-up. A general message to an unfamiliar department can be hard to connect with the visit. If you send an update, include the appointment date and the requested action so the recipient can place it. There is no need to paste the entire conversation card into each message.</w:t>
      </w:r>
    </w:p>
    <w:p>
      <w:pPr>
        <w:pStyle w:val="BodyText"/>
      </w:pPr>
      <w:r>
        <w:t xml:space="preserve">If another professional is involved, distinguish a suggestion from an arranged handoff. “We discussed a dietitian” doesn’t say a referral was placed or an appointment booked. Ask the office which step has happened, then mark only that step complete. This is about making the clinician’s recommendation reachable. It does not promise access, insurance coverage or a particular assessment, and it doesn’t require you to begin a new eating program while you wait.</w:t>
      </w:r>
    </w:p>
    <w:p>
      <w:pPr>
        <w:pStyle w:val="BodyText"/>
      </w:pPr>
      <w:r>
        <w:t xml:space="preserve">A printed visit summary may help you preserve the answer, if your office provides one. Read the portion addressing the concern you raised. If your note and the summary seem to say different things, send the precise discrepancy for clarification through the office’s approved route. Don’t merge them into a third version that sounds reasonable to you. Any instruction about the medicine still requires the prescriber’s clear directions.</w:t>
      </w:r>
    </w:p>
    <w:p>
      <w:pPr>
        <w:pStyle w:val="BodyText"/>
      </w:pPr>
      <w:r>
        <w:t xml:space="preserve">Keep the current answer separate from older possibilities. You might cross-reference the visit date on an earlier note and label that note “earlier discussion” without throwing it away. This prevents a suggestion from a previous appointment resurfacing as today’s plan. The page is not evidence that treatment must change; it is a way to identify which conversation an instruction came from when you need to check it.</w:t>
      </w:r>
    </w:p>
    <w:p>
      <w:pPr>
        <w:pStyle w:val="BodyText"/>
      </w:pPr>
      <w:r>
        <w:t xml:space="preserve">At the agreed next contact, take the answer side with you. You can identify which action was completed and which hasn’t happened without building another presentation about everything you ate. If an assessment remains pending, say that directly. An incomplete task belongs on the page as an incomplete task, not as a new explanation for the plateau or a reason to compensate with stricter habits.</w:t>
      </w:r>
    </w:p>
    <w:p>
      <w:pPr>
        <w:pStyle w:val="BodyText"/>
      </w:pPr>
      <w:r>
        <w:t xml:space="preserve">If the routine follow-up date passes without the promised reply, contact the office through the agreed route and identify the outstanding task. Ask how it will be reassigned if the named person is unavailable. This is administrative follow-through, not a timetable for tolerating symptoms or interrupting medication. The clinician’s earlier-call instructions remain the boundary; an overdue answer doesn’t create treatment directions of its own.</w:t>
      </w:r>
    </w:p>
    <w:p>
      <w:pPr>
        <w:pStyle w:val="BodyText"/>
      </w:pPr>
      <w:r>
        <w:t xml:space="preserve">Follow your current Medication Guide and prescriber’s instructions; don’t change a dose because of a plateau. For warning symptoms use Chapter 10’s urgent/emergency card.</w:t>
      </w:r>
    </w:p>
    <w:p>
      <w:pPr>
        <w:pStyle w:val="BodyText"/>
      </w:pPr>
      <w:r>
        <w:t xml:space="preserve">Turn the card over before you put it away. Leave the unresolved action visible beside the date.</w:t>
      </w:r>
    </w:p>
    <w:p>
      <w:pPr>
        <w:pStyle w:val="Heading2"/>
      </w:pPr>
      <w:r>
        <w:t xml:space="preserve">Source</w:t>
      </w:r>
    </w:p>
    <w:p>
      <w:pPr>
        <w:pStyle w:val="ListLast"/>
        <w:numPr>
          <w:ilvl w:val="0"/>
          <w:numId w:val="1"/>
        </w:numPr>
      </w:pPr>
      <w:r>
        <w:t xml:space="preserve">NIDDK, </w:t>
      </w:r>
      <w:hyperlink r:id="rIdL5">
        <w:r>
          <w:rPr>
            <w:rStyle w:val="Hyperlink"/>
          </w:rPr>
          <w:t xml:space="preserve">Prescription Medications to Treat Overweight &amp; Obesity</w:t>
        </w:r>
      </w:hyperlink>
      <w:r>
        <w:t xml:space="preserve">, last reviewed June 2024. Its statement that most weight loss happens within the first six months is a general pattern, not an individual prediction.</w:t>
      </w:r>
    </w:p>
    <w:p>
      <w:pPr>
        <w:pStyle w:val="Heading1"/>
      </w:pPr>
      <w:bookmarkStart w:id="8" w:name="_Toc_16_social_eating_and_food_noise"/>
      <w:r>
        <w:t xml:space="preserve">Chapter 16: Social Eating and Food Noise</w:t>
      </w:r>
      <w:bookmarkEnd w:id="8"/>
    </w:p>
    <w:p>
      <w:pPr>
        <w:pStyle w:val="BodyFirst"/>
      </w:pPr>
      <w:r>
        <w:t xml:space="preserve">A simple invented illustration: Imagine a guest at dinner who wants a little lasagna while the host offers a large serving. The guest asks for a smaller piece, eats what feels comfortable, and lets the conversation continue. This is not a report from a real dinner. The awkwardness is familiar: a meal can carry expectations about what you should eat, how much, and why.</w:t>
      </w:r>
    </w:p>
    <w:p>
      <w:pPr>
        <w:pStyle w:val="Heading2"/>
      </w:pPr>
      <w:r>
        <w:t xml:space="preserve">Make room for the meal you came for</w:t>
      </w:r>
    </w:p>
    <w:p>
      <w:pPr>
        <w:pStyle w:val="BodyFirst"/>
      </w:pPr>
      <w:r>
        <w:t xml:space="preserve">A restaurant menu can make every choice feel like a commitment to finish. It isn’t. If you can look at the menu ahead of time, choose a dish that sounds good and decide whether you want to share, take some home, or order a smaller portion if the restaurant offers one. If you can’t plan ahead, take a moment with the menu before the server arrives. There is no need to order quickly because everybody else has.</w:t>
      </w:r>
    </w:p>
    <w:p>
      <w:pPr>
        <w:pStyle w:val="BodyText"/>
      </w:pPr>
      <w:r>
        <w:t xml:space="preserve">You may find it easier to start with a modest portion and decide later whether you want more. That is an option, not a rule. You don’t owe the table an explanation for leaving food. If the restaurant serves more than you want, ask for a container when it feels comfortable, or leave what you don’t want.</w:t>
      </w:r>
    </w:p>
    <w:p>
      <w:pPr>
        <w:pStyle w:val="BodyText"/>
      </w:pPr>
      <w:r>
        <w:t xml:space="preserve">A short menu scan is useful; a nutrition investigation is not required. If a dish has an ingredient or preparation that conflicts with instructions from your care team, ask the restaurant what you need to know or choose something else. If you have a dietary plan, allergy, or other restriction, keep following it. This chapter isn’t a reason to loosen or tighten a plan on your own.</w:t>
      </w:r>
    </w:p>
    <w:p>
      <w:pPr>
        <w:pStyle w:val="BodyText"/>
      </w:pPr>
      <w:r>
        <w:t xml:space="preserve">There is no need to engineer the whole day around dinner. Chapter 11 covers protein choices and individualized targets; use that guidance rather than trying to compensate for a restaurant meal here. If a long gap before dinner makes the outing harder, take a manageable snack that fits your instructions.</w:t>
      </w:r>
    </w:p>
    <w:p>
      <w:pPr>
        <w:pStyle w:val="Heading2"/>
      </w:pPr>
      <w:r>
        <w:t xml:space="preserve">Holidays have old choreography</w:t>
      </w:r>
    </w:p>
    <w:p>
      <w:pPr>
        <w:pStyle w:val="BodyFirst"/>
      </w:pPr>
      <w:r>
        <w:t xml:space="preserve">At holidays, the food arrives with a story attached. This is Aunt Jo’s pie. The roast is Grandpa’s recipe. Somebody remembers who took seconds last year. You can care about the people and traditions without taking part in every food ritual.</w:t>
      </w:r>
    </w:p>
    <w:p>
      <w:pPr>
        <w:pStyle w:val="BodyText"/>
      </w:pPr>
      <w:r>
        <w:t xml:space="preserve">Maybe the part you want most is catching up with your cousin after a hard year. Keep that in view if the table starts keeping score of who took seconds. You can stay for the conversation without managing everybody’s feelings about your plate.</w:t>
      </w:r>
    </w:p>
    <w:p>
      <w:pPr>
        <w:pStyle w:val="BodyText"/>
      </w:pPr>
      <w:r>
        <w:t xml:space="preserve">A host may offer food more than once. A plain “That looks lovely; I’m starting with this much” can be enough. If the offer keeps coming, repeat the same sentence rather than adding a new justification. Some people hear a reason as an invitation to debate it. You can thank them and change the subject: “I appreciate you making it. Tell me how the trip went.”</w:t>
      </w:r>
    </w:p>
    <w:p>
      <w:pPr>
        <w:pStyle w:val="BodyText"/>
      </w:pPr>
      <w:r>
        <w:t xml:space="preserve">If you are hosting, make the room easier on yourself. Put food where guests can serve themselves instead of having someone refill your plate. Set aside a small container for leftovers before the meal begins, if that helps. Pick a chair with space to get up and step away from the table. None of this needs to be announced as a medical plan; it’s ordinary hosting that gives everyone a little more choice.</w:t>
      </w:r>
    </w:p>
    <w:p>
      <w:pPr>
        <w:pStyle w:val="BodyText"/>
      </w:pPr>
      <w:r>
        <w:t xml:space="preserve">A holiday can be complicated for reasons that have nothing to do with appetite: grief, a strained relationship, money, travel, or a long day. You do not have to turn food into the only measure of whether the gathering went well. It is fine if the best part was seeing your cousin, taking a quiet walk, or leaving before you got worn down.</w:t>
      </w:r>
    </w:p>
    <w:p>
      <w:pPr>
        <w:pStyle w:val="Heading2"/>
      </w:pPr>
      <w:r>
        <w:t xml:space="preserve">Make the logistics yours</w:t>
      </w:r>
    </w:p>
    <w:p>
      <w:pPr>
        <w:pStyle w:val="BodyFirst"/>
      </w:pPr>
      <w:r>
        <w:t xml:space="preserve">The rest of the plan can be practical. When you are a guest at someone’s home, a short note beforehand may keep the meal from turning into an interview: “Thanks for having me. I’m looking forward to it. I may take a small serving, so please don’t worry if I don’t finish.” Add a specific dietary restriction if the host needs to know it; you don’t have to explain your medicine.</w:t>
      </w:r>
    </w:p>
    <w:p>
      <w:pPr>
        <w:pStyle w:val="BodyText"/>
      </w:pPr>
      <w:r>
        <w:t xml:space="preserve">Keep your way home in your own hands if you may want to leave before the group does. You might arrange a separate ride, or decide how you will get home before accepting the invitation. If you need a pause, offer to help in the kitchen or step outside for air. These choices are useful when dinner runs late or the room gets tiring; no announcement is needed.</w:t>
      </w:r>
    </w:p>
    <w:p>
      <w:pPr>
        <w:pStyle w:val="BodyText"/>
      </w:pPr>
      <w:r>
        <w:t xml:space="preserve">One different situation: a relative starts asking what medicine you take and how much weight you have lost while everyone is still at the table. You can answer the question you want to answer, not the one they asked. “I’m keeping the details between me and my clinician. Tell me how your new job is going.” If they push, say you would rather talk privately another day. You can be warm without making a family meal the place where you explain your medical choices.</w:t>
      </w:r>
    </w:p>
    <w:p>
      <w:pPr>
        <w:pStyle w:val="BodyText"/>
      </w:pPr>
      <w:r>
        <w:t xml:space="preserve">A work lunch has a different kind of pressure. The organizer may place one group order, then ask everyone to split the bill evenly. If that arrangement doesn’t fit your food needs or budget, message the organizer before the order goes in: “Could I send my own order, please? I’ll cover it separately.” If the restaurant needs one order, ask whether you can bring something appropriate for yourself or join after lunch. You don’t need to explain a medical reason to make a straightforward request about the order or the bill.</w:t>
      </w:r>
    </w:p>
    <w:p>
      <w:pPr>
        <w:pStyle w:val="BodyText"/>
      </w:pPr>
      <w:r>
        <w:t xml:space="preserve">Sometimes the difficult part is the invitation itself. A team lunch may be the only time coworkers see one another outside meetings, while a family celebration may be the first chance to visit someone in months. If the event sounds draining, decide what part you actually want: the conversation, a short visit with one person, or the whole evening. You can ask to meet for coffee another day, arrive for the part that matters, or leave when your ride is ready. None of those choices requires a report about your medicine or your appetite.</w:t>
      </w:r>
    </w:p>
    <w:p>
      <w:pPr>
        <w:pStyle w:val="BodyText"/>
      </w:pPr>
      <w:r>
        <w:t xml:space="preserve">If plans change at the last minute, you do not need to invent a complicated explanation. “I can’t stay for dinner, but I’d like to see you for a little while” gives the host useful information. If you prefer not to attend, a brief no is enough. Keep the invitation separate from the food decisions; you can value a person and still decline an event that doesn’t fit the day you are having.</w:t>
      </w:r>
    </w:p>
    <w:p>
      <w:pPr>
        <w:pStyle w:val="Heading2"/>
      </w:pPr>
      <w:r>
        <w:t xml:space="preserve">When food noise returns</w:t>
      </w:r>
    </w:p>
    <w:p>
      <w:pPr>
        <w:pStyle w:val="BodyFirst"/>
      </w:pPr>
      <w:r>
        <w:t xml:space="preserve">People use “food noise” for the background mental chatter about food: planning, anticipating, or circling back to what is in the kitchen. If you notice more food thoughts before a scheduled dose, record what you noticed without deciding the medicine has worn off; ask your prescriber whether it matters for your own plan.</w:t>
      </w:r>
    </w:p>
    <w:p>
      <w:pPr>
        <w:pStyle w:val="BodyText"/>
      </w:pPr>
      <w:r>
        <w:t xml:space="preserve">Write down the change you noticed and the date. Ask your prescriber what, if anything, they want to review. If those thoughts affect eating, sleep, mood, or daily life, include that detail when you contact your prescriber.</w:t>
      </w:r>
    </w:p>
    <w:p>
      <w:pPr>
        <w:pStyle w:val="BodyText"/>
      </w:pPr>
      <w:r>
        <w:t xml:space="preserve">A change in appetite or food thoughts is not an instruction to adjust the timing or amount of medicine. Follow the directions for your specific product and ask your prescriber if you have a question about the interval, an effect that seems to fade, or a change in symptoms. Don’t take a dose early, skip one, or alter the plan based on someone else’s schedule or a discussion group. That decision belongs with the clinician who knows your prescription.</w:t>
      </w:r>
    </w:p>
    <w:p>
      <w:pPr>
        <w:pStyle w:val="BodyText"/>
      </w:pPr>
      <w:r>
        <w:t xml:space="preserve">If food thoughts are causing distress or affecting your relationship with eating, a dietitian or therapist may also be useful.</w:t>
      </w:r>
    </w:p>
    <w:p>
      <w:pPr>
        <w:pStyle w:val="BodyText"/>
      </w:pPr>
      <w:r>
        <w:t xml:space="preserve">You don’t have to argue with a thought or act on it. Keep the plan you were given and bring a question to the person responsible for your care. If you have severe or persistent symptoms alongside an appetite change, use the product-specific guidance in Chapter 10 and contact your care team rather than waiting for a routine visit.</w:t>
      </w:r>
    </w:p>
    <w:p>
      <w:pPr>
        <w:pStyle w:val="Heading2"/>
      </w:pPr>
      <w:r>
        <w:t xml:space="preserve">Alcohol is a personal question</w:t>
      </w:r>
    </w:p>
    <w:p>
      <w:pPr>
        <w:pStyle w:val="BodyFirst"/>
      </w:pPr>
      <w:r>
        <w:t xml:space="preserve">Some social plans include wine, beer, cocktails, or a toast. This book can’t give you a universal safe amount or say that drinking is right for every person taking one of these medicines. Your product instructions, health history, other medicines, and the reason you take the medicine can matter. Check your current Medication Guide; a pharmacist can help you find the right product guide. Ask your prescriber before the event: “Is alcohol appropriate for me, given my product, health history and other medicines?”</w:t>
      </w:r>
    </w:p>
    <w:p>
      <w:pPr>
        <w:pStyle w:val="BodyText"/>
      </w:pPr>
      <w:r>
        <w:t xml:space="preserve">You can decide not to drink without offering a medical explanation. “No thanks, I’m having this” works. If you do drink, stay within any limits set for you by a clinician and follow your medicine’s instructions. Don’t use this book or another guest’s experience to set an amount. If you have not confirmed whether it fits your situation, choose a nonalcoholic drink.</w:t>
      </w:r>
    </w:p>
    <w:p>
      <w:pPr>
        <w:pStyle w:val="BodyText"/>
      </w:pPr>
      <w:r>
        <w:t xml:space="preserve">If you have already had alcohol and feel unwell, don’t assume the cause; use your care team’s urgent instructions and the warning guidance for your product.</w:t>
      </w:r>
    </w:p>
    <w:p>
      <w:pPr>
        <w:pStyle w:val="BodyText"/>
      </w:pPr>
      <w:r>
        <w:t xml:space="preserve">According to the </w:t>
      </w:r>
      <w:hyperlink r:id="rIdL9">
        <w:r>
          <w:rPr>
            <w:rStyle w:val="Hyperlink"/>
          </w:rPr>
          <w:t xml:space="preserve">NIDDK’s low-blood-glucose guidance</w:t>
        </w:r>
      </w:hyperlink>
      <w:r>
        <w:t xml:space="preserve">, drinking too much alcohol without enough food can make it harder for the body to keep blood glucose steady and can hide early symptoms. That diabetes guidance does not set an alcohol limit for people using GLP-1 medicines.</w:t>
      </w:r>
    </w:p>
    <w:p>
      <w:pPr>
        <w:pStyle w:val="BodyText"/>
      </w:pPr>
      <w:r>
        <w:t xml:space="preserve">If you take insulin or another medicine that can cause low blood glucose, ask your diabetes team about alcohol, food and your low-glucose plan before the event. Follow that plan; a protein snack alone is not a substitute. If you feel unwell, use your team’s urgent instructions and Chapter 10’s warning card.</w:t>
      </w:r>
    </w:p>
    <w:p>
      <w:pPr>
        <w:pStyle w:val="Heading2"/>
      </w:pPr>
      <w:r>
        <w:t xml:space="preserve">When a concern comes from someone close</w:t>
      </w:r>
    </w:p>
    <w:p>
      <w:pPr>
        <w:pStyle w:val="BodyFirst"/>
      </w:pPr>
      <w:r>
        <w:t xml:space="preserve">A close friend may ask because they care and still land on the wrong side of your privacy. A partner might be worried by a smaller dinner and press you to explain whether you are eating enough. A sibling may have strong opinions about the medicine. Those are different from a stranger commenting on a plate: you may want the relationship to continue, but the conversation needs a better time and a clearer boundary.</w:t>
      </w:r>
    </w:p>
    <w:p>
      <w:pPr>
        <w:pStyle w:val="BodyText"/>
      </w:pPr>
      <w:r>
        <w:t xml:space="preserve">You can move it out of the meal without promising to disclose more later. Try, “I know you’re concerned. I don’t want to work this out at the table. If I want to talk about it, I’ll bring it up another time.” If you do want their support, name a task instead of asking them to monitor you: “Could you ask before packing leftovers for me?” or “I’d like to keep our dinner conversation off my health unless I bring it up.” Choose a request that feels like yours; you do not owe a relative a role in your care.</w:t>
      </w:r>
    </w:p>
    <w:p>
      <w:pPr>
        <w:pStyle w:val="BodyText"/>
      </w:pPr>
      <w:r>
        <w:t xml:space="preserve">If the person is someone you may choose to tell, decide first what you want them to know and what should stay private. You might share that you are following a clinician’s plan without naming the product. You might say the name but not discuss weight or side effects. Or you might say nothing. A disclosure is not an all-access pass to your medical history. Tell them what kind of response would help: listen, keep the information confidential, or simply let the evening continue.</w:t>
      </w:r>
    </w:p>
    <w:p>
      <w:pPr>
        <w:pStyle w:val="BodyText"/>
      </w:pPr>
      <w:r>
        <w:t xml:space="preserve">An invitation can also come with a familiar argument: “You don’t need that medicine” or “You should take more because it worked for me.” You do not need to answer either claim at the table. A concise boundary could be, “My treatment is between me and my prescriber. I’m not comparing plans.” If you want to preserve the connection, add a subject change that is genuinely about the other person. If they keep pushing, you can end the exchange, move seats, or leave the event. A respectful relationship does not require you to litigate your prescription.</w:t>
      </w:r>
    </w:p>
    <w:p>
      <w:pPr>
        <w:pStyle w:val="BodyText"/>
      </w:pPr>
      <w:r>
        <w:t xml:space="preserve">For a gathering where you expect a hard conversation, choose one person you trust and privately tell them what help would look like. Maybe they can redirect the subject once, sit beside you, or walk with you to the car. Be specific: “If my uncle brings up my weight, could you ask me about the garden instead?” That is different from asking them to defend the medicine, correct somebody’s beliefs, or explain your choices. The purpose is company, not a second spokesperson.</w:t>
      </w:r>
    </w:p>
    <w:p>
      <w:pPr>
        <w:pStyle w:val="BodyText"/>
      </w:pPr>
      <w:r>
        <w:t xml:space="preserve">At work, health information has a different audience. A coworker may ask why you skipped the shared meal or why you carry a separate lunch. You can answer the practical part without naming treatment: “I brought what works for me today.” If you need an accommodation or have a workplace concern, use the appropriate workplace channel and decide what information is necessary there. A lunch table is not automatically the right place to make a private disclosure.</w:t>
      </w:r>
    </w:p>
    <w:p>
      <w:pPr>
        <w:pStyle w:val="BodyText"/>
      </w:pPr>
      <w:r>
        <w:t xml:space="preserve">After a tense exchange, you can decide whether it needs a follow-up. If the person listened, a short thank-you may be enough. If they repeated private information or ignored a direct request, you can state the boundary once more and limit what you share with them next time. You are not required to persuade them that your boundary is reasonable before using it.</w:t>
      </w:r>
    </w:p>
    <w:p>
      <w:pPr>
        <w:pStyle w:val="BodyText"/>
      </w:pPr>
      <w:r>
        <w:t xml:space="preserve">Before the next gathering, write one sentence you would actually say and choose one person or exit option that would make the room easier to leave. Keep the line short enough to remember. The food can stay on the table while you decide what conversation you are willing to have.</w:t>
      </w:r>
    </w:p>
    <w:p>
      <w:pPr>
        <w:pStyle w:val="Heading2"/>
      </w:pPr>
      <w:r>
        <w:t xml:space="preserve">Comments don’t require a seminar</w:t>
      </w:r>
    </w:p>
    <w:p>
      <w:pPr>
        <w:pStyle w:val="BodyFirst"/>
      </w:pPr>
      <w:r>
        <w:t xml:space="preserve">People may notice that you eat less, skip a drink, or leave early. Some ask because they care. Others ask because a quiet table makes them nervous. Either way, you can choose how much to share.</w:t>
      </w:r>
    </w:p>
    <w:p>
      <w:pPr>
        <w:pStyle w:val="BodyText"/>
      </w:pPr>
      <w:r>
        <w:t xml:space="preserve">A few short answers can keep the boundary firm without turning dinner into a debate:</w:t>
      </w:r>
    </w:p>
    <w:p>
      <w:pPr>
        <w:pStyle w:val="ListItem"/>
        <w:numPr>
          <w:ilvl w:val="0"/>
          <w:numId w:val="1"/>
        </w:numPr>
      </w:pPr>
      <w:r>
        <w:t xml:space="preserve">“I’m good with what I have, thanks.”</w:t>
      </w:r>
    </w:p>
    <w:p>
      <w:pPr>
        <w:pStyle w:val="ListItem"/>
        <w:numPr>
          <w:ilvl w:val="0"/>
          <w:numId w:val="1"/>
        </w:numPr>
      </w:pPr>
      <w:r>
        <w:t xml:space="preserve">“I’m following a plan with my clinician.”</w:t>
      </w:r>
    </w:p>
    <w:p>
      <w:pPr>
        <w:pStyle w:val="ListItem"/>
        <w:numPr>
          <w:ilvl w:val="0"/>
          <w:numId w:val="1"/>
        </w:numPr>
      </w:pPr>
      <w:r>
        <w:t xml:space="preserve">“I’d rather talk about something else. How is your new job?”</w:t>
      </w:r>
    </w:p>
    <w:p>
      <w:pPr>
        <w:pStyle w:val="ListLast"/>
        <w:numPr>
          <w:ilvl w:val="0"/>
          <w:numId w:val="1"/>
        </w:numPr>
      </w:pPr>
      <w:r>
        <w:t xml:space="preserve">“I’m not discussing my health at dinner.”</w:t>
      </w:r>
    </w:p>
    <w:p>
      <w:pPr>
        <w:pStyle w:val="BodyFirst"/>
      </w:pPr>
      <w:r>
        <w:t xml:space="preserve">Pick wording that sounds like you. If a relative pushes, you can repeat the same answer or step away to help in the kitchen. You do not have to defend a prescribed medicine, explain your body, or educate the room about drug names. If you want to tell someone, choose a quieter moment and share only what you’re comfortable sharing.</w:t>
      </w:r>
    </w:p>
    <w:p>
      <w:pPr>
        <w:pStyle w:val="BodyText"/>
      </w:pPr>
      <w:r>
        <w:t xml:space="preserve">The reverse matters too: don’t diagnose a friend’s appetite, medication, or plate. You may know what has worked for you, but their clinician is responsible for their treatment. A supportive question is simpler: “Would you like company, or would you rather I drop it?”</w:t>
      </w:r>
    </w:p>
    <w:p>
      <w:pPr>
        <w:pStyle w:val="Heading2"/>
      </w:pPr>
      <w:r>
        <w:t xml:space="preserve">Before you go out</w:t>
      </w:r>
    </w:p>
    <w:p>
      <w:pPr>
        <w:pStyle w:val="BodyFirst"/>
      </w:pPr>
      <w:r>
        <w:t xml:space="preserve">Write down a plan small enough to remember while you’re finding parking or greeting the host. Leave out any option that conflicts with your care instructions.</w:t>
      </w:r>
    </w:p>
    <w:p>
      <w:pPr>
        <w:pStyle w:val="ListItem"/>
        <w:numPr>
          <w:ilvl w:val="0"/>
          <w:numId w:val="1"/>
        </w:numPr>
      </w:pPr>
      <w:r>
        <w:t xml:space="preserve">A manageable protein snack beforehand, if that fits my plan: ______.</w:t>
      </w:r>
    </w:p>
    <w:p>
      <w:pPr>
        <w:pStyle w:val="ListItem"/>
        <w:numPr>
          <w:ilvl w:val="0"/>
          <w:numId w:val="1"/>
        </w:numPr>
      </w:pPr>
      <w:r>
        <w:t xml:space="preserve">The one dish I most want to try: ______.</w:t>
      </w:r>
    </w:p>
    <w:p>
      <w:pPr>
        <w:pStyle w:val="ListItem"/>
        <w:numPr>
          <w:ilvl w:val="0"/>
          <w:numId w:val="1"/>
        </w:numPr>
      </w:pPr>
      <w:r>
        <w:t xml:space="preserve">My first answer if someone comments on my plate: ______.</w:t>
      </w:r>
    </w:p>
    <w:p>
      <w:pPr>
        <w:pStyle w:val="ListItem"/>
        <w:numPr>
          <w:ilvl w:val="0"/>
          <w:numId w:val="1"/>
        </w:numPr>
      </w:pPr>
      <w:r>
        <w:t xml:space="preserve">The person I can step outside or sit beside if I need a breather: ______.</w:t>
      </w:r>
    </w:p>
    <w:p>
      <w:pPr>
        <w:pStyle w:val="ListItem"/>
        <w:numPr>
          <w:ilvl w:val="0"/>
          <w:numId w:val="1"/>
        </w:numPr>
      </w:pPr>
      <w:r>
        <w:t xml:space="preserve">If alcohol comes up, the choice I’ve made or the question I need to ask: ______.</w:t>
      </w:r>
    </w:p>
    <w:p>
      <w:pPr>
        <w:pStyle w:val="ListLast"/>
        <w:numPr>
          <w:ilvl w:val="0"/>
          <w:numId w:val="1"/>
        </w:numPr>
      </w:pPr>
      <w:r>
        <w:t xml:space="preserve">If diabetes applies, I will check my team’s alcohol, food and low-glucose instructions before the event, follow that plan rather than relying on a protein snack, and use the team’s urgent instructions and Chapter 10 warning card if I feel unwell.</w:t>
      </w:r>
    </w:p>
    <w:p>
      <w:pPr>
        <w:pStyle w:val="BodyFirst"/>
      </w:pPr>
      <w:r>
        <w:t xml:space="preserve">You don’t have to bring the checklist to the table. Use it to settle one or two decisions before you leave, then be where you are. A good dinner is company and conversation, too. If you want another bite, you can choose it; if you’re done, you can put your fork down and ask about the pie recipe.</w:t>
      </w:r>
    </w:p>
    <w:p>
      <w:pPr>
        <w:pStyle w:val="Heading1"/>
      </w:pPr>
      <w:bookmarkStart w:id="9" w:name="_Toc_17_money_and_coverage"/>
      <w:r>
        <w:t xml:space="preserve">Chapter 17: Money and Coverage</w:t>
      </w:r>
      <w:bookmarkEnd w:id="9"/>
    </w:p>
    <w:p>
      <w:pPr>
        <w:pStyle w:val="BodyFirst"/>
      </w:pPr>
      <w:r>
        <w:t xml:space="preserve">The letter came in January 2025, folded once, with the plan’s logo in the corner. A formulary change had been followed by a denial. I read the first page standing at the counter, then set it beside the coffee tin and read it again sitting down. The word “denied” was clear. What I was supposed to do next was not.</w:t>
      </w:r>
    </w:p>
    <w:p>
      <w:pPr>
        <w:pStyle w:val="BodyText"/>
      </w:pPr>
      <w:r>
        <w:t xml:space="preserve">That composite story is why I keep the envelope. A denial is a decision, but it is also a document with a reason, a date, and instructions. Those details matter more than the large print.</w:t>
      </w:r>
    </w:p>
    <w:p>
      <w:pPr>
        <w:pStyle w:val="Heading2"/>
      </w:pPr>
      <w:r>
        <w:t xml:space="preserve">Start with the exact question</w:t>
      </w:r>
    </w:p>
    <w:p>
      <w:pPr>
        <w:pStyle w:val="BodyFirst"/>
      </w:pPr>
      <w:r>
        <w:t xml:space="preserve">Insurance coverage for medicines used for weight management varies by plan. NIDDK says some, but not all, insurance plans cover medicines that treat overweight and obesity, and advises contacting the insurer to find out whether a plan covers them. That is a useful starting point, not the end of the call: ask about your specific medicine, the reason it was prescribed, and the benefit that processes the claim.</w:t>
      </w:r>
    </w:p>
    <w:p>
      <w:pPr>
        <w:pStyle w:val="BodyText"/>
      </w:pPr>
      <w:r>
        <w:t xml:space="preserve">The coverage answer is plan-specific. Don’t guess from a neighbor’s approval or from a search result that names the same active ingredient. Ask the insurer to check your exact product and the indication your prescriber documented. Nobody should be asked to misstate the reason for a prescription to fit a benefit rule.</w:t>
      </w:r>
    </w:p>
    <w:p>
      <w:pPr>
        <w:pStyle w:val="BodyText"/>
      </w:pPr>
      <w:r>
        <w:t xml:space="preserve">Have your insurance card, the exact drug and device name from the prescription, the pharmacy’s message, and the letter or claim notice in front of you. You don’t have to disclose your whole medical history to the first person who answers. Start with the coverage question and let the plan tell you what documentation it needs.</w:t>
      </w:r>
    </w:p>
    <w:p>
      <w:pPr>
        <w:pStyle w:val="BodyText"/>
      </w:pPr>
      <w:r>
        <w:t xml:space="preserve">If you have insurance through work, the prescription benefit may be managed by a separate pharmacy benefit manager. The phone number on the card, the plan’s member website, or the denial notice should point to the right department. Your employer’s benefits office can explain plan documents or enrollment contacts, but it may not be the office that decides a claim. Keep the insurer’s member-services number and the prescriber-office number separate on your notes. Different jobs, different people.</w:t>
      </w:r>
    </w:p>
    <w:p>
      <w:pPr>
        <w:pStyle w:val="Heading2"/>
      </w:pPr>
      <w:r>
        <w:t xml:space="preserve">Translate the letter</w:t>
      </w:r>
    </w:p>
    <w:p>
      <w:pPr>
        <w:pStyle w:val="BodyFirst"/>
      </w:pPr>
      <w:r>
        <w:t xml:space="preserve">A pharmacy rejection at the counter and a written denial after review are not always the same stage. The pharmacy may be reporting that the claim needs prior authorization, that the product is not on the formulary, or that another plan rule has not been met. Ask the pharmacist what message came back and whether the prescription was submitted to the correct plan. Then ask the insurer what that message means and what process applies. A screen that says “rejected” does not tell you, by itself, whether the plan has considered an exception or appeal.</w:t>
      </w:r>
    </w:p>
    <w:p>
      <w:pPr>
        <w:pStyle w:val="BodyText"/>
      </w:pPr>
      <w:r>
        <w:t xml:space="preserve">A prior authorization is a request for the insurer to review information before it decides whether to cover a medicine. The insurer’s criteria may ask for information from the prescriber. Find out whether the request was received, what information is missing, and whether a decision has been made. If the office says it sent paperwork, ask when and how it was sent; if the insurer cannot find it, ask where the prescriber should send it and how to confirm receipt. Keep the conversation focused on the next administrative step, not on trying to interpret clinical criteria yourself.</w:t>
      </w:r>
    </w:p>
    <w:p>
      <w:pPr>
        <w:pStyle w:val="BodyText"/>
      </w:pPr>
      <w:r>
        <w:t xml:space="preserve">Read past the first page of a denial letter. Look for the exact reason, the medicine and claim date, the plan’s appeal or review instructions, any submission deadline, and the address, fax, portal or phone number it gives. If a word or code is unclear, ask the plan to explain it in ordinary language. Ask for the explanation in writing if the answer is being given by phone. Write down the representative’s name or ID if offered, the date and time, and the reference number for the call.</w:t>
      </w:r>
    </w:p>
    <w:p>
      <w:pPr>
        <w:pStyle w:val="BodyText"/>
      </w:pPr>
      <w:r>
        <w:t xml:space="preserve">Some plans use terms such as formulary exception, coverage determination, internal appeal, or external review. They do not all mean the same thing, and the route depends on your plan. Ask: “Is this a request for prior authorization, an appeal of a final denial, or another review? What form and deadline apply to my plan?” Then follow the directions on the notice and confirm where the request must go. Don’t assume that sending the same paperwork to the pharmacy, the prescriber’s office, and the insurer creates a complete appeal.</w:t>
      </w:r>
    </w:p>
    <w:p>
      <w:pPr>
        <w:pStyle w:val="BodyText"/>
      </w:pPr>
      <w:r>
        <w:t xml:space="preserve">The HealthCare.gov guide to appealing a health-plan decision describes internal appeals and, for plans subject to those protections, external review by an independent reviewer. Its process is not a substitute for your own plan’s notice. Employer plans, Medicare, Medicaid, and other coverage can have different procedures. If your plan is not a Marketplace plan, ask the plan which rules apply and where to find the official appeal instructions. A state insurance department or a local consumer-assistance program may help identify the right office, but cannot promise a particular outcome.</w:t>
      </w:r>
    </w:p>
    <w:p>
      <w:pPr>
        <w:pStyle w:val="Heading2"/>
      </w:pPr>
      <w:r>
        <w:t xml:space="preserve">Give the prescriber’s office a clean handoff</w:t>
      </w:r>
    </w:p>
    <w:p>
      <w:pPr>
        <w:pStyle w:val="BodyFirst"/>
      </w:pPr>
      <w:r>
        <w:t xml:space="preserve">The plan decides coverage; your prescriber’s office supplies medical information when requested and appropriate. Anita’s office cannot appeal a letter it hasn’t seen. Send the relevant pages through the office’s approved route, including the denial reason and deadline, and ask whether the insurer sent a request directly to them. Don’t rely on a message that says only “insurance won’t pay.” The specific reason may determine what the office can respond to.</w:t>
      </w:r>
    </w:p>
    <w:p>
      <w:pPr>
        <w:pStyle w:val="BodyText"/>
      </w:pPr>
      <w:r>
        <w:t xml:space="preserve">Ask the office who is handling the prior-authorization or appeal paperwork and how you will know it was submitted. If they need a form, a signature, or information from you, ask what and by when. If the request is outside their role, ask who can explain the next step: the prescriber, a benefits specialist, the insurer, or a patient-support service. These are administrative questions, not a request for the clinician to promise an approval.</w:t>
      </w:r>
    </w:p>
    <w:p>
      <w:pPr>
        <w:pStyle w:val="BodyText"/>
      </w:pPr>
      <w:r>
        <w:t xml:space="preserve">You can ask the insurer whether the denial is because the product is excluded from the benefit, because information is missing, or because the request did not meet a stated criterion. Those are different explanations. The prescriber may be able to clarify clinical information, but can’t change the plan’s written benefit by choosing different wording. If the plan says a medicine is excluded, ask whether your plan has any exception process and what it can consider; don’t assume an exception is available or that a medical letter will override an exclusion.</w:t>
      </w:r>
    </w:p>
    <w:p>
      <w:pPr>
        <w:pStyle w:val="BodyText"/>
      </w:pPr>
      <w:r>
        <w:t xml:space="preserve">If a plan’s answer changes between calls, ask for the applicable rule or decision in writing. Save the letter, portal messages, fax confirmations, and a brief call log together. A folder on your phone works. Label files with the date and what each contains so you can find the final decision without opening every attachment. This is not a second medical record; it is a paper trail for one coverage question.</w:t>
      </w:r>
    </w:p>
    <w:p>
      <w:pPr>
        <w:pStyle w:val="Heading2"/>
      </w:pPr>
      <w:r>
        <w:t xml:space="preserve">A changed formulary is a new question</w:t>
      </w:r>
    </w:p>
    <w:p>
      <w:pPr>
        <w:pStyle w:val="BodyFirst"/>
      </w:pPr>
      <w:r>
        <w:t xml:space="preserve">A formulary is the plan’s list of medicines it covers, often with conditions or cost levels attached. Plans can revise coverage rules, and an annual enrollment packet may not answer what applies to a particular prescription later in the year. When the list changes, ask when the change takes effect, whether it applies to your exact plan and product, and whether any transition or review process is available. Get the answer and the effective date in writing.</w:t>
      </w:r>
    </w:p>
    <w:p>
      <w:pPr>
        <w:pStyle w:val="BodyText"/>
      </w:pPr>
      <w:r>
        <w:t xml:space="preserve">If the plan proposes a different covered product, don’t treat the list as a clinical instruction. Ask your prescriber whether that option is appropriate for you and how any change should be handled. This chapter does not compare products or recommend substitutions. For any medication change, follow the prescriber’s plan; Chapter 20 is devoted to that conversation.</w:t>
      </w:r>
    </w:p>
    <w:p>
      <w:pPr>
        <w:pStyle w:val="BodyText"/>
      </w:pPr>
      <w:r>
        <w:t xml:space="preserve">Cost-sharing is another question, separate from whether a medicine is covered. Ask what the current estimate includes: deductible, copay or coinsurance, any quantity limit, and the pharmacy that can fill it. Ask whether the amount is a one-time estimate or depends on where you are in the plan year. A medicine can appear on a formulary and still leave a bill you cannot manage. Write down the amount the plan quotes and ask the pharmacy what it expects at pickup; don’t assume either number is final until the claim is processed.</w:t>
      </w:r>
    </w:p>
    <w:p>
      <w:pPr>
        <w:pStyle w:val="Heading2"/>
      </w:pPr>
      <w:r>
        <w:t xml:space="preserve">Savings offers are not the same as coverage</w:t>
      </w:r>
    </w:p>
    <w:p>
      <w:pPr>
        <w:pStyle w:val="BodyFirst"/>
      </w:pPr>
      <w:r>
        <w:t xml:space="preserve">A manufacturer savings card or patient-assistance program may be worth asking about, but payment is not assured. Eligibility, covered products, insurance status, limits, and dates can differ. Some offers exclude people enrolled in government health programs; other programs have their own rules. A discount card is not an insurance appeal and may not count toward your deductible. Read the current terms for the exact product before relying on an advertised price.</w:t>
      </w:r>
    </w:p>
    <w:p>
      <w:pPr>
        <w:pStyle w:val="BodyText"/>
      </w:pPr>
      <w:r>
        <w:t xml:space="preserve">The official Wegovy cost-and-savings page and Lilly’s Zepbound coverage-and-savings page describe offers with conditions and direct readers to the full terms. Both pages say eligibility and coverage depend on the applicable terms. Those terms can change, so use the manufacturer page and its current written conditions rather than an old screenshot or a friend’s card. If you are unsure whether a program fits your coverage, ask the program administrator and your insurer separately. One does not speak for the other.</w:t>
      </w:r>
    </w:p>
    <w:p>
      <w:pPr>
        <w:pStyle w:val="BodyText"/>
      </w:pPr>
      <w:r>
        <w:t xml:space="preserve">Ask the manufacturer or prescriber’s office whether there is a patient-support program, what it does, and what it does not do. “Support” can mean education or help navigating coverage, not necessarily money toward a prescription. If you are offered a cash price, ask which product and fill it applies to, what the total charges are, and whether using it affects your insurance claim. Don’t share personal or insurance information through a link or phone number you cannot verify from the manufacturer’s official site.</w:t>
      </w:r>
    </w:p>
    <w:p>
      <w:pPr>
        <w:pStyle w:val="BodyText"/>
      </w:pPr>
      <w:r>
        <w:t xml:space="preserve">If you can’t afford the next fill or the plan has not answered in time, tell the prescriber’s office and pharmacist promptly. Say plainly that cost or access may interrupt the prescription and ask whom to contact today. Do not make a dose or stopping decision from a coupon page, and don’t assume that an online seller or product with a similar name is a safe equivalent. Your care team can discuss the situation with you; the coverage call does not replace that conversation.</w:t>
      </w:r>
    </w:p>
    <w:p>
      <w:pPr>
        <w:pStyle w:val="Heading2"/>
      </w:pPr>
      <w:r>
        <w:t xml:space="preserve">A call script that gets to the point</w:t>
      </w:r>
    </w:p>
    <w:p>
      <w:pPr>
        <w:pStyle w:val="BodyFirst"/>
      </w:pPr>
      <w:r>
        <w:t xml:space="preserve">Keep the letter in front of you. You can read this slowly; the person on the phone has heard worse scripts and probably has a headset dent.</w:t>
      </w:r>
    </w:p>
    <w:p>
      <w:pPr>
        <w:pStyle w:val="BodyText"/>
      </w:pPr>
      <w:r>
        <w:t xml:space="preserve">“I’m calling about a coverage decision for [medicine and product]. My member ID ends in [last four digits]. The claim or letter date is [date], and the reference number is [number]. Can you tell me the exact reason for the decision and whether this is a prior-authorization request, a final denial, or another review?”</w:t>
      </w:r>
    </w:p>
    <w:p>
      <w:pPr>
        <w:pStyle w:val="BodyText"/>
      </w:pPr>
      <w:r>
        <w:t xml:space="preserve">Then ask one question at a time:</w:t>
      </w:r>
    </w:p>
    <w:p>
      <w:pPr>
        <w:pStyle w:val="ListItem"/>
        <w:numPr>
          <w:ilvl w:val="0"/>
          <w:numId w:val="1"/>
        </w:numPr>
      </w:pPr>
      <w:r>
        <w:t xml:space="preserve">“What benefit and plan rule were used for this decision?”</w:t>
      </w:r>
    </w:p>
    <w:p>
      <w:pPr>
        <w:pStyle w:val="ListItem"/>
        <w:numPr>
          <w:ilvl w:val="0"/>
          <w:numId w:val="1"/>
        </w:numPr>
      </w:pPr>
      <w:r>
        <w:t xml:space="preserve">“Is the medicine excluded, or is information missing?”</w:t>
      </w:r>
    </w:p>
    <w:p>
      <w:pPr>
        <w:pStyle w:val="ListItem"/>
        <w:numPr>
          <w:ilvl w:val="0"/>
          <w:numId w:val="1"/>
        </w:numPr>
      </w:pPr>
      <w:r>
        <w:t xml:space="preserve">“What appeal or exception process applies to my plan, and what is the deadline?”</w:t>
      </w:r>
    </w:p>
    <w:p>
      <w:pPr>
        <w:pStyle w:val="ListItem"/>
        <w:numPr>
          <w:ilvl w:val="0"/>
          <w:numId w:val="1"/>
        </w:numPr>
      </w:pPr>
      <w:r>
        <w:t xml:space="preserve">“What form, records, or prescriber contact do you need, and where should they be sent?”</w:t>
      </w:r>
    </w:p>
    <w:p>
      <w:pPr>
        <w:pStyle w:val="ListItem"/>
        <w:numPr>
          <w:ilvl w:val="0"/>
          <w:numId w:val="1"/>
        </w:numPr>
      </w:pPr>
      <w:r>
        <w:t xml:space="preserve">“How can I confirm the documents were received and the review is complete?”</w:t>
      </w:r>
    </w:p>
    <w:p>
      <w:pPr>
        <w:pStyle w:val="ListLast"/>
        <w:numPr>
          <w:ilvl w:val="0"/>
          <w:numId w:val="1"/>
        </w:numPr>
      </w:pPr>
      <w:r>
        <w:t xml:space="preserve">“Can you send me the explanation and next steps in writing?”</w:t>
      </w:r>
    </w:p>
    <w:p>
      <w:pPr>
        <w:pStyle w:val="BodyFirst"/>
      </w:pPr>
      <w:r>
        <w:t xml:space="preserve">Before you hang up, repeat the next step back: who will send what, where it goes, and by what date. Ask for a call reference number. If the representative cannot answer, ask which department can. If you are transferred, start with the claim date and reference number rather than reciting your whole history again.</w:t>
      </w:r>
    </w:p>
    <w:p>
      <w:pPr>
        <w:pStyle w:val="BodyText"/>
      </w:pPr>
      <w:r>
        <w:t xml:space="preserve">For the prescriber’s office, keep the message short: “My plan denied [medicine] on [date]. The letter says [brief exact reason] and gives a deadline of [date]. I have sent the relevant pages through [approved route]. Can you tell me whether your office received the insurer’s request, who handles the response, and what you need from me?”</w:t>
      </w:r>
    </w:p>
    <w:p>
      <w:pPr>
        <w:pStyle w:val="BodyText"/>
      </w:pPr>
      <w:r>
        <w:t xml:space="preserve">If no deadline is listed or the notice is confusing, call the plan using the number on your card or notice and ask where the official instructions are. If the deadline is close, say that at the start of the call. Keep the original notice and submit documents in the way the plan specifies; save proof of delivery or portal submission. A polite follow-up is reasonable when a stated decision date passes, but a routine appeal timeline is not a reason to wait on an urgent medical concern. Use your prescriber’s or product guide’s instructions for health questions.</w:t>
      </w:r>
    </w:p>
    <w:p>
      <w:pPr>
        <w:pStyle w:val="Heading2"/>
      </w:pPr>
      <w:r>
        <w:t xml:space="preserve">Before you call</w:t>
      </w:r>
    </w:p>
    <w:p>
      <w:pPr>
        <w:pStyle w:val="BodyFirst"/>
      </w:pPr>
      <w:r>
        <w:t xml:space="preserve">Put these details on one sheet. Leave anything blank that you do not know yet.</w:t>
      </w:r>
    </w:p>
    <w:p>
      <w:pPr>
        <w:pStyle w:val="ListItem"/>
        <w:numPr>
          <w:ilvl w:val="0"/>
          <w:numId w:val="1"/>
        </w:numPr>
      </w:pPr>
      <w:r>
        <w:t xml:space="preserve">Exact medicine/product and the reason it was prescribed: ______.</w:t>
      </w:r>
    </w:p>
    <w:p>
      <w:pPr>
        <w:pStyle w:val="ListItem"/>
        <w:numPr>
          <w:ilvl w:val="0"/>
          <w:numId w:val="1"/>
        </w:numPr>
      </w:pPr>
      <w:r>
        <w:t xml:space="preserve">Plan name, member-services number, and pharmacy-benefit number if separate: ______.</w:t>
      </w:r>
    </w:p>
    <w:p>
      <w:pPr>
        <w:pStyle w:val="ListItem"/>
        <w:numPr>
          <w:ilvl w:val="0"/>
          <w:numId w:val="1"/>
        </w:numPr>
      </w:pPr>
      <w:r>
        <w:t xml:space="preserve">Letter or claim date, exact reason given, and reference number: ______.</w:t>
      </w:r>
    </w:p>
    <w:p>
      <w:pPr>
        <w:pStyle w:val="ListItem"/>
        <w:numPr>
          <w:ilvl w:val="0"/>
          <w:numId w:val="1"/>
        </w:numPr>
      </w:pPr>
      <w:r>
        <w:t xml:space="preserve">Is this prior authorization, a final denial, or another review? ______.</w:t>
      </w:r>
    </w:p>
    <w:p>
      <w:pPr>
        <w:pStyle w:val="ListItem"/>
        <w:numPr>
          <w:ilvl w:val="0"/>
          <w:numId w:val="1"/>
        </w:numPr>
      </w:pPr>
      <w:r>
        <w:t xml:space="preserve">Appeal/exception route, submission method, and deadline confirmed by the plan: ______.</w:t>
      </w:r>
    </w:p>
    <w:p>
      <w:pPr>
        <w:pStyle w:val="ListItem"/>
        <w:numPr>
          <w:ilvl w:val="0"/>
          <w:numId w:val="1"/>
        </w:numPr>
      </w:pPr>
      <w:r>
        <w:t xml:space="preserve">What the insurer needs from the prescriber, and what the office needs from me: ______.</w:t>
      </w:r>
    </w:p>
    <w:p>
      <w:pPr>
        <w:pStyle w:val="ListItem"/>
        <w:numPr>
          <w:ilvl w:val="0"/>
          <w:numId w:val="1"/>
        </w:numPr>
      </w:pPr>
      <w:r>
        <w:t xml:space="preserve">Name or ID of the person I spoke with, date, and promised next step: ______.</w:t>
      </w:r>
    </w:p>
    <w:p>
      <w:pPr>
        <w:pStyle w:val="ListLast"/>
        <w:numPr>
          <w:ilvl w:val="0"/>
          <w:numId w:val="1"/>
        </w:numPr>
      </w:pPr>
      <w:r>
        <w:t xml:space="preserve">Where I saved the letter, call notes, and submission receipt: ______.</w:t>
      </w:r>
    </w:p>
    <w:p>
      <w:pPr>
        <w:pStyle w:val="BodyFirst"/>
      </w:pPr>
      <w:r>
        <w:t xml:space="preserve">Make the first call with the letter open and a pen beside it. Get one answer in writing before the paper goes back in the envelope.</w:t>
      </w:r>
    </w:p>
    <w:p>
      <w:pPr>
        <w:pStyle w:val="Heading2"/>
      </w:pPr>
      <w:r>
        <w:t xml:space="preserve">Sources</w:t>
      </w:r>
    </w:p>
    <w:p>
      <w:pPr>
        <w:pStyle w:val="ListItem"/>
        <w:numPr>
          <w:ilvl w:val="0"/>
          <w:numId w:val="1"/>
        </w:numPr>
      </w:pPr>
      <w:hyperlink r:id="rIdL5">
        <w:r>
          <w:rPr>
            <w:rStyle w:val="Hyperlink"/>
          </w:rPr>
          <w:t xml:space="preserve">NIDDK guidance on prescription medicines for weight management</w:t>
        </w:r>
      </w:hyperlink>
      <w:r>
        <w:t xml:space="preserve">, reviewed June 2024.</w:t>
      </w:r>
    </w:p>
    <w:p>
      <w:pPr>
        <w:pStyle w:val="ListItem"/>
        <w:numPr>
          <w:ilvl w:val="0"/>
          <w:numId w:val="1"/>
        </w:numPr>
      </w:pPr>
      <w:r>
        <w:t xml:space="preserve">HealthCare.gov, </w:t>
      </w:r>
      <w:hyperlink r:id="rIdL10">
        <w:r>
          <w:rPr>
            <w:rStyle w:val="Hyperlink"/>
          </w:rPr>
          <w:t xml:space="preserve">Appealing a health plan decision</w:t>
        </w:r>
      </w:hyperlink>
      <w:r>
        <w:t xml:space="preserve">, accessed October 5, 2026. Plan-specific procedures and rights vary.</w:t>
      </w:r>
    </w:p>
    <w:p>
      <w:pPr>
        <w:pStyle w:val="ListItem"/>
        <w:numPr>
          <w:ilvl w:val="0"/>
          <w:numId w:val="1"/>
        </w:numPr>
      </w:pPr>
      <w:r>
        <w:t xml:space="preserve">Novo Nordisk, </w:t>
      </w:r>
      <w:hyperlink r:id="rIdL11">
        <w:r>
          <w:rPr>
            <w:rStyle w:val="Hyperlink"/>
          </w:rPr>
          <w:t xml:space="preserve">Wegovy coverage and savings</w:t>
        </w:r>
      </w:hyperlink>
      <w:r>
        <w:t xml:space="preserve">, accessed October 5, 2026; check current offer terms.</w:t>
      </w:r>
    </w:p>
    <w:p>
      <w:pPr>
        <w:pStyle w:val="ListLast"/>
        <w:numPr>
          <w:ilvl w:val="0"/>
          <w:numId w:val="1"/>
        </w:numPr>
      </w:pPr>
      <w:r>
        <w:t xml:space="preserve">Lilly, </w:t>
      </w:r>
      <w:hyperlink r:id="rIdL12">
        <w:r>
          <w:rPr>
            <w:rStyle w:val="Hyperlink"/>
          </w:rPr>
          <w:t xml:space="preserve">Zepbound coverage and savings</w:t>
        </w:r>
      </w:hyperlink>
      <w:r>
        <w:t xml:space="preserve">, accessed October 5, 2026; check current offer terms.</w:t>
      </w:r>
    </w:p>
    <w:p>
      <w:pPr>
        <w:pStyle w:val="Heading1"/>
      </w:pPr>
      <w:bookmarkStart w:id="10" w:name="_Toc_18_prep_for_low_appetite_days"/>
      <w:r>
        <w:t xml:space="preserve">Chapter 18: Prep for Low-Appetite Days</w:t>
      </w:r>
      <w:bookmarkEnd w:id="10"/>
    </w:p>
    <w:p>
      <w:pPr>
        <w:pStyle w:val="BodyFirst"/>
      </w:pPr>
      <w:r>
        <w:t xml:space="preserve">Gail labeled everything in the walk-in. Not “chicken,” but “chicken, Tuesday, lunch,” in block letters big enough to read with a fogged-up pair of glasses. There was no mystery container and no committee meeting with the refrigerator. You opened the door, saw what was ready, and got on with the shift.</w:t>
      </w:r>
    </w:p>
    <w:p>
      <w:pPr>
        <w:pStyle w:val="BodyText"/>
      </w:pPr>
      <w:r>
        <w:t xml:space="preserve">My Sunday version is smaller. A few portions of protein, a couple of easy pairings, labels facing out. I call it protein mise, borrowing a kitchen word for the things set in place before the rush. It is not a meal plan or a quota. It is a favor to the version of you who may not want to stand at the stove tomorrow.</w:t>
      </w:r>
    </w:p>
    <w:p>
      <w:pPr>
        <w:pStyle w:val="BodyText"/>
      </w:pPr>
      <w:r>
        <w:t xml:space="preserve">The useful Sunday is not the one where you cook every meal for the week. It’s the one that makes one ordinary choice easier.</w:t>
      </w:r>
    </w:p>
    <w:p>
      <w:pPr>
        <w:pStyle w:val="Heading2"/>
      </w:pPr>
      <w:r>
        <w:t xml:space="preserve">Prep for the day you have</w:t>
      </w:r>
    </w:p>
    <w:p>
      <w:pPr>
        <w:pStyle w:val="BodyFirst"/>
      </w:pPr>
      <w:r>
        <w:t xml:space="preserve">A good day for cooking can be a Saturday morning, a quiet Tuesday, or ten minutes after you put groceries away. It does not have to be Sunday. And “good” need not mean energetic. Maybe you can rinse grapes and put yogurt at eye level. That counts as preparation.</w:t>
      </w:r>
    </w:p>
    <w:p>
      <w:pPr>
        <w:pStyle w:val="BodyText"/>
      </w:pPr>
      <w:r>
        <w:t xml:space="preserve">Before you start, take stock of what already works. What can you eat when a full meal sounds like a project? Which textures or smells are welcome today? What foods fit the plan from your clinician, your budget, allergies, and the rest of your household? Those answers may change from week to week. This is a kitchen arrangement, not a test of whether you can follow a perfect menu.</w:t>
      </w:r>
    </w:p>
    <w:p>
      <w:pPr>
        <w:pStyle w:val="BodyText"/>
      </w:pPr>
      <w:r>
        <w:t xml:space="preserve">I used to think useful prep meant a row of matching containers and five different recipes. That’s a charming fantasy for people who own a commercial dishwasher. A handful of ready choices is enough. If you start with two foods you already like, you have something to reach for without making your refrigerator a second job.</w:t>
      </w:r>
    </w:p>
    <w:p>
      <w:pPr>
        <w:pStyle w:val="BodyText"/>
      </w:pPr>
      <w:r>
        <w:t xml:space="preserve">The distinction matters: you are preparing options, not deciding in advance exactly what you will be able to eat. A portion can wait in the freezer. A label can say what is there without promising it has to be eaten on a certain day. If today’s appetite is different from yesterday’s, the container is still only an option.</w:t>
      </w:r>
    </w:p>
    <w:p>
      <w:pPr>
        <w:pStyle w:val="Heading2"/>
      </w:pPr>
      <w:r>
        <w:t xml:space="preserve">Build a small, visible shelf</w:t>
      </w:r>
    </w:p>
    <w:p>
      <w:pPr>
        <w:pStyle w:val="BodyFirst"/>
      </w:pPr>
      <w:r>
        <w:t xml:space="preserve">Choose one or two protein foods you already tolerate and know how to handle. That might be cooked chicken, hard-cooked eggs, tofu, beans, lentils, yogurt, cottage cheese, or a store-bought option that fits your needs. This is not a list of foods that suit everybody. Use your established dietary instructions and avoid anything you have been told not to eat.</w:t>
      </w:r>
    </w:p>
    <w:p>
      <w:pPr>
        <w:pStyle w:val="BodyText"/>
      </w:pPr>
      <w:r>
        <w:t xml:space="preserve">You do not need a new recipe. A prepared food can stand alone, or sit beside something already familiar: crackers, fruit, toast, rice, a few cucumber slices, or whatever fits your own eating plan. Keep this flexible. Chapter 11 is where the protein target and ways of distributing opportunities across the day belong; here, the job is simply to have a manageable choice ready.</w:t>
      </w:r>
    </w:p>
    <w:p>
      <w:pPr>
        <w:pStyle w:val="BodyText"/>
      </w:pPr>
      <w:r>
        <w:t xml:space="preserve">If handling raw ingredients is a chore, let the store do part of the work. A carton of yogurt, a can of beans, or a ready-cooked item can be useful when it fits your budget and instructions. Check labels if you need to track an ingredient, allergen, or amount for a reason your care team has given you. No brand or packaged food is required for this system to work.</w:t>
      </w:r>
    </w:p>
    <w:p>
      <w:pPr>
        <w:pStyle w:val="BodyText"/>
      </w:pPr>
      <w:r>
        <w:t xml:space="preserve">Put the easiest choices where you can see them. A small clear bin on a shelf can hold a few individually portioned items, with labels facing front. Keep foods that need refrigeration cold, and don’t move them to the counter as a reminder. A visible choice is helpful; unsafe storage is not.</w:t>
      </w:r>
    </w:p>
    <w:p>
      <w:pPr>
        <w:pStyle w:val="BodyText"/>
      </w:pPr>
      <w:r>
        <w:t xml:space="preserve">Portioning is about making a choice easier to reach. It is not a direction to eat a particular amount. Use containers you can open, lift, and clean without a wrestling match. If a large tub is hard to manage, transfer a modest amount to a small container and put the main container back promptly. If a container system irritates you, keep the original packaging and make the shelf easier to scan instead.</w:t>
      </w:r>
    </w:p>
    <w:p>
      <w:pPr>
        <w:pStyle w:val="BodyText"/>
      </w:pPr>
      <w:r>
        <w:t xml:space="preserve">A few choices can have different textures and temperatures. Maybe one is cold and soft, another is warm, another is something you can eat with one hand. That variety is practical, not a claim that one texture is better for a symptom. You decide what sounds acceptable on the day. If something doesn’t, close it up safely and choose a different option rather than forcing it.</w:t>
      </w:r>
    </w:p>
    <w:p>
      <w:pPr>
        <w:pStyle w:val="Heading2"/>
      </w:pPr>
      <w:r>
        <w:t xml:space="preserve">The Sunday protein mise</w:t>
      </w:r>
    </w:p>
    <w:p>
      <w:pPr>
        <w:pStyle w:val="BodyFirst"/>
      </w:pPr>
      <w:r>
        <w:t xml:space="preserve">I set out clean containers before cooking. This keeps the prep from turning into a hunt for lids halfway through. Then I decide what will actually be used, not what an ambitious version of me thinks a week should look like.</w:t>
      </w:r>
    </w:p>
    <w:p>
      <w:pPr>
        <w:pStyle w:val="BodyText"/>
      </w:pPr>
      <w:r>
        <w:t xml:space="preserve">A small batch could be a few portions of baked tofu, cooked beans, or chicken from a meal already being made. If you are cooking, follow safe cooking temperatures and handling instructions for that food. If you would rather not cook, use a suitable ready-to-eat option. You do not have to prepare several foods to earn the word “prep.”</w:t>
      </w:r>
    </w:p>
    <w:p>
      <w:pPr>
        <w:pStyle w:val="BodyText"/>
      </w:pPr>
      <w:r>
        <w:t xml:space="preserve">Once food is ready, let the plan be simple. Put portions you expect to use soon in the refrigerator, and freeze the rest if that works for the food and your routine. Write the food and preparation date on a piece of tape or a freezer label. A marker at the front of the drawer beats a perfect labeling system that lives in a junk drawer.</w:t>
      </w:r>
    </w:p>
    <w:p>
      <w:pPr>
        <w:pStyle w:val="BodyText"/>
      </w:pPr>
      <w:r>
        <w:t xml:space="preserve">A label can answer three questions: What is this? When did I prepare or open it? Is it in the refrigerator or freezer? If the package has its own storage directions or use-by date, keep those in view too. When you freeze something, label it before it disappears under the bag of peas. Future you is not a detective.</w:t>
      </w:r>
    </w:p>
    <w:p>
      <w:pPr>
        <w:pStyle w:val="BodyText"/>
      </w:pPr>
      <w:r>
        <w:t xml:space="preserve">The USDA Food Safety and Inspection Service says to refrigerate perishable leftovers within two hours, divide large amounts into shallow containers so they cool quickly, and keep the refrigerator at 40 degrees Fahrenheit or below. It says refrigerated leftovers generally keep for three to four days; frozen leftovers keep best for quality for three to four months. Those are general storage guidelines, not a safety promise for every food or package. Follow the product’s directions, and when you are unsure how long something has been stored, don’t gamble on a smell test.</w:t>
      </w:r>
    </w:p>
    <w:p>
      <w:pPr>
        <w:pStyle w:val="BodyText"/>
      </w:pPr>
      <w:r>
        <w:t xml:space="preserve">For cooked leftovers, the USDA also advises reheating to 165 degrees Fahrenheit. Use a food thermometer when needed, and follow the full guidance for the food in front of you. If you do not have the tools, space, or energy to store food safely, choose a shelf-stable or freshly opened option instead. The plan should make the day simpler, not ask you to bend food-safety rules.</w:t>
      </w:r>
    </w:p>
    <w:p>
      <w:pPr>
        <w:pStyle w:val="Heading2"/>
      </w:pPr>
      <w:r>
        <w:t xml:space="preserve">Quarter of a plate, without a grade</w:t>
      </w:r>
    </w:p>
    <w:p>
      <w:pPr>
        <w:pStyle w:val="BodyFirst"/>
      </w:pPr>
      <w:r>
        <w:t xml:space="preserve">On a low-appetite day, a quarter of a plate may be all that feels manageable. It can be a real win over staring at a full plate and giving up before you start. It is not a medical target, a complete nutrition standard, or proof that the body’s needs have been met. A small portion is a starting point for that moment, not a verdict on the day.</w:t>
      </w:r>
    </w:p>
    <w:p>
      <w:pPr>
        <w:pStyle w:val="BodyText"/>
      </w:pPr>
      <w:r>
        <w:t xml:space="preserve">Sometimes the practical move is to put less in front of yourself and keep the rest available. A tiny bowl can feel less like a dare than a dinner plate. You can choose more later if you want it. Or not. The point is to make a choice possible, not to set a trap where finishing becomes the price of opening the refrigerator.</w:t>
      </w:r>
    </w:p>
    <w:p>
      <w:pPr>
        <w:pStyle w:val="BodyText"/>
      </w:pPr>
      <w:r>
        <w:t xml:space="preserve">You can also make a short list of combinations that take almost no assembly. Yogurt with a familiar topping. Beans beside toast. A ready-to-eat protein with a few bites of something you enjoy. These are examples, not prescriptions or a promise that a particular food will fix nausea, fullness, or another symptom. If you have a care plan for what to eat, that plan wins over a sample from this page.</w:t>
      </w:r>
    </w:p>
    <w:p>
      <w:pPr>
        <w:pStyle w:val="BodyText"/>
      </w:pPr>
      <w:r>
        <w:t xml:space="preserve">Some days you’ll open the refrigerator and nothing in the bin sounds right. Close it. Pick another safe option, ask someone at home to help, or use the backup you chose while you had more energy. A food can be perfectly good and still not be the food you want today. There is no character lesson in that.</w:t>
      </w:r>
    </w:p>
    <w:p>
      <w:pPr>
        <w:pStyle w:val="Heading2"/>
      </w:pPr>
      <w:r>
        <w:t xml:space="preserve">Make the system easier to restart</w:t>
      </w:r>
    </w:p>
    <w:p>
      <w:pPr>
        <w:pStyle w:val="BodyFirst"/>
      </w:pPr>
      <w:r>
        <w:t xml:space="preserve">A prep habit that depends on a perfect week is not much of a habit. It needs a small version for the week when you are tired or busy. Mine is to wash one container, move one food to the front, or add a couple of ready options to the next grocery list. One action can be enough to keep the shelf from becoming a museum of good intentions.</w:t>
      </w:r>
    </w:p>
    <w:p>
      <w:pPr>
        <w:pStyle w:val="BodyText"/>
      </w:pPr>
      <w:r>
        <w:t xml:space="preserve">If another person offers help, be specific about the job. “Could you portion these into the small containers?” is easier to answer than “Can you help me eat better?” You can also ask someone to pick up a few familiar foods, label the date, or put the bin on the shelf you can reach. Help with setup is not permission for someone else to police what you eat.</w:t>
      </w:r>
    </w:p>
    <w:p>
      <w:pPr>
        <w:pStyle w:val="BodyText"/>
      </w:pPr>
      <w:r>
        <w:t xml:space="preserve">Budget counts. You can build this with foods you already buy, use a freezer portion from a meal you were making anyway, or skip the containers and use the original package. A special product, matching set, or weekly delivery service is not the entry fee. If money or food access is tight, tell your care team; they may know a local resource or a way to connect you with a dietitian or social worker. You deserve a plan that fits the actual kitchen and the actual budget.</w:t>
      </w:r>
    </w:p>
    <w:p>
      <w:pPr>
        <w:pStyle w:val="BodyText"/>
      </w:pPr>
      <w:r>
        <w:t xml:space="preserve">There is a boundary to kitchen planning. If you repeatedly cannot manage food or fluids, or symptoms are persistent or concerning, a labeled container is not the answer. Use the product-specific guidance and care-team contact plan in Chapters 10, 13, and 14. Tell your prescriber what is happening and ask what they want you to do. This chapter cannot sort out the cause or decide whether a symptom is safe to wait on.</w:t>
      </w:r>
    </w:p>
    <w:p>
      <w:pPr>
        <w:pStyle w:val="Heading2"/>
      </w:pPr>
      <w:r>
        <w:t xml:space="preserve">Keep the shelf in rotation</w:t>
      </w:r>
    </w:p>
    <w:p>
      <w:pPr>
        <w:pStyle w:val="BodyFirst"/>
      </w:pPr>
      <w:r>
        <w:t xml:space="preserve">Once a week, take a quick look at what is already there before adding more. Move the older dated items toward the front, check the package instructions, and make a note of anything that needs using or replacing. This is not a food audit. It is the same small reset you might do with the coffee filters or the dish soap, so you don’t discover an empty spot when you need it.</w:t>
      </w:r>
    </w:p>
    <w:p>
      <w:pPr>
        <w:pStyle w:val="BodyText"/>
      </w:pPr>
      <w:r>
        <w:t xml:space="preserve">If the refrigerator is crowded, the system is too large for the space. Keep fewer choices, or use a single bin that slides out without moving three jars of mustard. If you share the kitchen, agree on one shelf or a label that other people understand. A plan that requires everyone else to remember a complicated arrangement will fail by Thursday, and then everybody will blame the container.</w:t>
      </w:r>
    </w:p>
    <w:p>
      <w:pPr>
        <w:pStyle w:val="BodyText"/>
      </w:pPr>
      <w:r>
        <w:t xml:space="preserve">Use what you have before buying a special prep ingredient. A meal’s extra portion can become tomorrow’s option if it is cooled and stored safely. A freezer portion can be moved to the refrigerator according to the safe-thawing guidance. If you often forget what is in the freezer, keep a short list on the door and cross things off when you use them. It can be three words long. This is logistics, not a new hobby.</w:t>
      </w:r>
    </w:p>
    <w:p>
      <w:pPr>
        <w:pStyle w:val="BodyText"/>
      </w:pPr>
      <w:r>
        <w:t xml:space="preserve">The reset also gives you a chance to notice what consistently goes untouched. Maybe the portion is too big to feel inviting, the lid is difficult, or the food simply isn’t one you want on a low-appetite day. Adjust the arrangement or stop buying that item. There is no prize for finishing a prep system that does not suit you.</w:t>
      </w:r>
    </w:p>
    <w:p>
      <w:pPr>
        <w:pStyle w:val="Heading2"/>
      </w:pPr>
      <w:r>
        <w:t xml:space="preserve">Sunday prep checklist</w:t>
      </w:r>
    </w:p>
    <w:p>
      <w:pPr>
        <w:pStyle w:val="BodyFirst"/>
      </w:pPr>
      <w:r>
        <w:t xml:space="preserve">Keep only the parts that fit your life. Ten minutes is a valid prep session.</w:t>
      </w:r>
    </w:p>
    <w:p>
      <w:pPr>
        <w:pStyle w:val="ListItem"/>
        <w:numPr>
          <w:ilvl w:val="0"/>
          <w:numId w:val="1"/>
        </w:numPr>
      </w:pPr>
      <w:r>
        <w:t xml:space="preserve">Pick one or two familiar protein-containing foods that fit my care instructions, budget, and food preferences.</w:t>
      </w:r>
    </w:p>
    <w:p>
      <w:pPr>
        <w:pStyle w:val="ListItem"/>
        <w:numPr>
          <w:ilvl w:val="0"/>
          <w:numId w:val="1"/>
        </w:numPr>
      </w:pPr>
      <w:r>
        <w:t xml:space="preserve">Choose a small number of ready-to-eat or easy-to-assemble options for the days I don’t want to cook.</w:t>
      </w:r>
    </w:p>
    <w:p>
      <w:pPr>
        <w:pStyle w:val="ListItem"/>
        <w:numPr>
          <w:ilvl w:val="0"/>
          <w:numId w:val="1"/>
        </w:numPr>
      </w:pPr>
      <w:r>
        <w:t xml:space="preserve">Put out clean containers I can open and use without extra effort, or keep food in its original package.</w:t>
      </w:r>
    </w:p>
    <w:p>
      <w:pPr>
        <w:pStyle w:val="ListItem"/>
        <w:numPr>
          <w:ilvl w:val="0"/>
          <w:numId w:val="1"/>
        </w:numPr>
      </w:pPr>
      <w:r>
        <w:t xml:space="preserve">Portion only to make choices manageable; these portions are options, not targets.</w:t>
      </w:r>
    </w:p>
    <w:p>
      <w:pPr>
        <w:pStyle w:val="ListItem"/>
        <w:numPr>
          <w:ilvl w:val="0"/>
          <w:numId w:val="1"/>
        </w:numPr>
      </w:pPr>
      <w:r>
        <w:t xml:space="preserve">Label what the food is and the date I prepared or opened it; follow package directions.</w:t>
      </w:r>
    </w:p>
    <w:p>
      <w:pPr>
        <w:pStyle w:val="ListItem"/>
        <w:numPr>
          <w:ilvl w:val="0"/>
          <w:numId w:val="1"/>
        </w:numPr>
      </w:pPr>
      <w:r>
        <w:t xml:space="preserve">Refrigerate or freeze food promptly and safely. Check USDA guidance if I’m unsure about cooling, storage, or reheating.</w:t>
      </w:r>
    </w:p>
    <w:p>
      <w:pPr>
        <w:pStyle w:val="ListItem"/>
        <w:numPr>
          <w:ilvl w:val="0"/>
          <w:numId w:val="1"/>
        </w:numPr>
      </w:pPr>
      <w:r>
        <w:t xml:space="preserve">Put the easiest options where I can see and reach them while keeping refrigerated food cold.</w:t>
      </w:r>
    </w:p>
    <w:p>
      <w:pPr>
        <w:pStyle w:val="ListItem"/>
        <w:numPr>
          <w:ilvl w:val="0"/>
          <w:numId w:val="1"/>
        </w:numPr>
      </w:pPr>
      <w:r>
        <w:t xml:space="preserve">Keep a backup that needs little or no preparation, if one fits my needs.</w:t>
      </w:r>
    </w:p>
    <w:p>
      <w:pPr>
        <w:pStyle w:val="ListItem"/>
        <w:numPr>
          <w:ilvl w:val="0"/>
          <w:numId w:val="1"/>
        </w:numPr>
      </w:pPr>
      <w:r>
        <w:t xml:space="preserve">Ask for one specific kind of help if I need it.</w:t>
      </w:r>
    </w:p>
    <w:p>
      <w:pPr>
        <w:pStyle w:val="ListLast"/>
        <w:numPr>
          <w:ilvl w:val="0"/>
          <w:numId w:val="1"/>
        </w:numPr>
      </w:pPr>
      <w:r>
        <w:t xml:space="preserve">If eating or drinking remains difficult or symptoms concern me, contact my care team rather than treating prep as the solution.</w:t>
      </w:r>
    </w:p>
    <w:p>
      <w:pPr>
        <w:pStyle w:val="BodyFirst"/>
      </w:pPr>
      <w:r>
        <w:t xml:space="preserve">Gail’s labels made the next choice obvious. That’s the whole trick: set out a few things while the kitchen is kind to you, so a harder day has one less decision to make.</w:t>
      </w:r>
    </w:p>
    <w:p>
      <w:pPr>
        <w:pStyle w:val="Heading2"/>
      </w:pPr>
      <w:r>
        <w:t xml:space="preserve">Sources</w:t>
      </w:r>
    </w:p>
    <w:p>
      <w:pPr>
        <w:pStyle w:val="ListLast"/>
        <w:numPr>
          <w:ilvl w:val="0"/>
          <w:numId w:val="1"/>
        </w:numPr>
      </w:pPr>
      <w:r>
        <w:t xml:space="preserve">USDA Food Safety and Inspection Service, </w:t>
      </w:r>
      <w:hyperlink r:id="rIdL13">
        <w:r>
          <w:rPr>
            <w:rStyle w:val="Hyperlink"/>
          </w:rPr>
          <w:t xml:space="preserve">Leftovers and Food Safety</w:t>
        </w:r>
      </w:hyperlink>
      <w:r>
        <w:t xml:space="preserve">, accessed October 5, 2026.</w:t>
      </w:r>
    </w:p>
    <w:p>
      <w:pPr>
        <w:pStyle w:val="Heading1"/>
      </w:pPr>
      <w:bookmarkStart w:id="11" w:name="_Toc_19_maintenance_for_the_long_run"/>
      <w:r>
        <w:t xml:space="preserve">Chapter 19: Maintenance for the Long Run</w:t>
      </w:r>
      <w:bookmarkEnd w:id="11"/>
    </w:p>
    <w:p>
      <w:pPr>
        <w:pStyle w:val="BodyFirst"/>
      </w:pPr>
      <w:r>
        <w:t xml:space="preserve">The calendar on my refrigerator has a small square for the week and a larger one for whatever I keep forgetting. Some weeks the larger square says “two strength days.” Some weeks it says “put the water bottle by the keys.” Maintenance, I have learned, looks less like a finish line and more like making the next ordinary week possible.</w:t>
      </w:r>
    </w:p>
    <w:p>
      <w:pPr>
        <w:pStyle w:val="BodyText"/>
      </w:pPr>
      <w:r>
        <w:t xml:space="preserve">There is no ceremony when the steepest stretch of weight loss eases. You still have work, errands, appointments, a sink full of dishes, and a body whose needs don’t check the calendar. The task changes shape: keep the useful habits, loosen the parts that were built for a temporary rush, and make a plan you can return to after an imperfect week.</w:t>
      </w:r>
    </w:p>
    <w:p>
      <w:pPr>
        <w:pStyle w:val="BodyText"/>
      </w:pPr>
      <w:r>
        <w:t xml:space="preserve">Maintenance is not a promise that your weight will stay at one exact number. It is a way to keep caring for yourself without making the scale the shift manager.</w:t>
      </w:r>
    </w:p>
    <w:p>
      <w:pPr>
        <w:pStyle w:val="Heading2"/>
      </w:pPr>
      <w:r>
        <w:t xml:space="preserve">Keep the supports, not the whole production</w:t>
      </w:r>
    </w:p>
    <w:p>
      <w:pPr>
        <w:pStyle w:val="BodyFirst"/>
      </w:pPr>
      <w:r>
        <w:t xml:space="preserve">The habits in this book were never a short-term entrance fee. Protein, strength work, and fluids are supports you can keep using while your schedule, appetite, and priorities change. The trick is to keep them workable instead of trying to run the most demanding version forever.</w:t>
      </w:r>
    </w:p>
    <w:p>
      <w:pPr>
        <w:pStyle w:val="BodyText"/>
      </w:pPr>
      <w:r>
        <w:t xml:space="preserve">For protein, go back to the target you discussed with your dietitian or prescriber in Chapter 11. If you never settled on one, or your health or eating needs have changed, ask for help setting an individualized approach. This chapter is not going to invent a maintenance number. Keep a few choices you can manage, and use the small-meal or prep ideas from Chapters 11 and 18 when they help. You do not need a new system just because the calendar turned a page.</w:t>
      </w:r>
    </w:p>
    <w:p>
      <w:pPr>
        <w:pStyle w:val="BodyText"/>
      </w:pPr>
      <w:r>
        <w:t xml:space="preserve">Keep the strength, food, and fluid choices you already built in Chapters 11, 12, 14, and 18. On your next calendar change, choose which one still fits and take a new health limitation to your clinician before adapting it.</w:t>
      </w:r>
    </w:p>
    <w:p>
      <w:pPr>
        <w:pStyle w:val="BodyText"/>
      </w:pPr>
      <w:r>
        <w:t xml:space="preserve">Sleep also deserves a place in the maintenance picture. Not as a trick that sets a number on the scale, and not as one more thing you can fail at. If your sleep schedule is getting squeezed out by shifts, caregiving, pain, or late-night scrolling, choose one practical adjustment to discuss or try: a more consistent wind-down, a protected quiet stretch, or a question for your clinician if sleep problems persist. Your circumstances may limit what is possible. The plan should acknowledge that instead of scolding you for it.</w:t>
      </w:r>
    </w:p>
    <w:p>
      <w:pPr>
        <w:pStyle w:val="Heading2"/>
      </w:pPr>
      <w:r>
        <w:t xml:space="preserve">Make a small version and a regular version</w:t>
      </w:r>
    </w:p>
    <w:p>
      <w:pPr>
        <w:pStyle w:val="BodyFirst"/>
      </w:pPr>
      <w:r>
        <w:t xml:space="preserve">The low-effort version is the smallest useful plan for a disrupted day; the regular version is the pattern you can follow in an ordinary week. Write both beside a concrete trigger for review, such as a new work schedule that lasts beyond its first week.</w:t>
      </w:r>
    </w:p>
    <w:p>
      <w:pPr>
        <w:pStyle w:val="BodyText"/>
      </w:pPr>
      <w:r>
        <w:t xml:space="preserve">For example, a regular week might include the individualized food and fluid approach you agreed on and a clinician-cleared activity session on Tuesday. In the low-effort version, you keep the food and fluid approach that still fits and mark the activity for rescheduling rather than squeezing it into an unsafe time. That is a complete plan: it says what continues, what changes, and when you will look again. Put it on the calendar or in a phone note you can find quickly.</w:t>
      </w:r>
    </w:p>
    <w:p>
      <w:pPr>
        <w:pStyle w:val="BodyText"/>
      </w:pPr>
      <w:r>
        <w:t xml:space="preserve">When your shift changes, cross out the activity day that no longer fits, write a possible replacement, and ask your clinician before substituting movement if the change was caused by pain or illness. If the new schedule is still disrupting the plan after a week, revisit the note and decide what question belongs at your next care-team appointment. If your clinician has asked you to track something, follow that individualized request and ask how long they want it done.</w:t>
      </w:r>
    </w:p>
    <w:p>
      <w:pPr>
        <w:pStyle w:val="Heading2"/>
      </w:pPr>
      <w:r>
        <w:t xml:space="preserve">Make the review produce a decision</w:t>
      </w:r>
    </w:p>
    <w:p>
      <w:pPr>
        <w:pStyle w:val="BodyFirst"/>
      </w:pPr>
      <w:r>
        <w:t xml:space="preserve">A plan review can be a short note, not a diary. Start with the event that prompted it: “My shift moved to evenings,” “The grocery store is farther away this month,” or “I have a new limit from my clinician.” Then separate what still works from what needs attention. That distinction matters. A change in transportation may call for a different shopping plan; a new health limitation belongs in a conversation with the professional who knows your situation.</w:t>
      </w:r>
    </w:p>
    <w:p>
      <w:pPr>
        <w:pStyle w:val="BodyText"/>
      </w:pPr>
      <w:r>
        <w:t xml:space="preserve">Use four prompts: What changed? Which part of my plan still fits? What is the specific snag? What is my next action, and who owns it? The answer to the last prompt should be something you can point to. “Ask the clinic whether the activity option I wrote down fits my new limitation” is clearer than “get healthier.” “Ask my sister to add two shelf-stable foods to the grocery order” gives another person a manageable task. You do not have to solve every obstacle in one sitting.</w:t>
      </w:r>
    </w:p>
    <w:p>
      <w:pPr>
        <w:pStyle w:val="BodyText"/>
      </w:pPr>
      <w:r>
        <w:t xml:space="preserve">Suppose the Tuesday activity no longer fits a changed work schedule. Your note might say that your food and fluid approach remains workable, Tuesday is unavailable, and Thursday is a possible alternative. If the calendar changed without a health problem, you can decide when to check whether the replacement time is realistic. If pain or illness is part of the reason, write down the question for your clinician before trying a substitute. The same calendar square can represent two very different decisions, depending on why it stopped working.</w:t>
      </w:r>
    </w:p>
    <w:p>
      <w:pPr>
        <w:pStyle w:val="BodyText"/>
      </w:pPr>
      <w:r>
        <w:t xml:space="preserve">Use the note to decide among three ordinary outcomes: keep the plan as written, change one practical detail, or ask for clinical guidance before changing it. No outcome is a grade. If the plan still fits, leave it alone. If a task repeatedly falls through, make that task smaller or ask for specific help. If you cannot tell whether a symptom or health change affects what is appropriate, do not guess from a checklist; contact your care team and describe what changed and when.</w:t>
      </w:r>
    </w:p>
    <w:p>
      <w:pPr>
        <w:pStyle w:val="BodyText"/>
      </w:pPr>
      <w:r>
        <w:t xml:space="preserve">Bring a compact account to an appointment rather than trying to remember a whole month. One or two concrete examples can help you ask a focused question: “My appetite changed after the last visit, and I want to know what details you need from me,” or “My usual activity is harder since my balance changed; who should help me choose an alternative?” These are prompts for a conversation, not conclusions about what caused the change. The clinician may want different information depending on your health and treatment.</w:t>
      </w:r>
    </w:p>
    <w:p>
      <w:pPr>
        <w:pStyle w:val="BodyText"/>
      </w:pPr>
      <w:r>
        <w:t xml:space="preserve">If you share errands, meals, or caregiving with someone, make the request narrow enough to accept or decline. “Could you put the unopened soup and crackers on the counter before your shift?” is clearer than “keep me on track.” If the person cannot help, that tells you to find another workable option; it does not make the plan a failure. Write down the backup you can manage yourself, and keep any health-related question separate from the household logistics.</w:t>
      </w:r>
    </w:p>
    <w:p>
      <w:pPr>
        <w:pStyle w:val="BodyText"/>
      </w:pPr>
      <w:r>
        <w:t xml:space="preserve">The review is finished when you have named the next action, not when every part of life is tidy. Put a date or event beside that action only if it will help you remember it. If the next step depends on a care-team answer, mark that conversation; do not fill the gap with a guess. The goal is a plan you can revise with the right person when circumstances change, while keeping the parts that remain useful.</w:t>
      </w:r>
    </w:p>
    <w:p>
      <w:pPr>
        <w:pStyle w:val="Heading2"/>
      </w:pPr>
      <w:r>
        <w:t xml:space="preserve">Choose what you want the plan to protect</w:t>
      </w:r>
    </w:p>
    <w:p>
      <w:pPr>
        <w:pStyle w:val="BodyFirst"/>
      </w:pPr>
      <w:r>
        <w:t xml:space="preserve">Weight is one piece of health information, not a complete description of how your days are going. Choose one or two things you want to keep doing, such as carrying groceries or getting through a workday with enough energy to finish it. These are personal priorities, not outcomes I can promise.</w:t>
      </w:r>
    </w:p>
    <w:p>
      <w:pPr>
        <w:pStyle w:val="BodyText"/>
      </w:pPr>
      <w:r>
        <w:t xml:space="preserve">Name the priority in terms you can recognize on an ordinary day. “Stay strong” is a nice refrigerator magnet; “carry the laundry basket upstairs without rushing” gives you something concrete to discuss with your clinician or physical therapist. If you have a health goal being followed by your care team, ask what information they want and what it can tell you. Don’t turn one good or bad day into a diagnosis.</w:t>
      </w:r>
    </w:p>
    <w:p>
      <w:pPr>
        <w:pStyle w:val="BodyText"/>
      </w:pPr>
      <w:r>
        <w:t xml:space="preserve">If weighing brings distress or starts to crowd out other parts of life, say so at an appointment and ask about alternatives. Chapter 15’s plateau conversation card can help you discuss a weight trend; it does not decide treatment.</w:t>
      </w:r>
    </w:p>
    <w:p>
      <w:pPr>
        <w:pStyle w:val="BodyText"/>
      </w:pPr>
      <w:r>
        <w:t xml:space="preserve">A useful check-in sounds ordinary: “What is working? What keeps getting in the way? What should we change, if anything?” Bring one example, not a courtroom brief. You may find that the habit needs a smaller footprint, a different time, help from another person, or no change at all. Your prescriber or dietitian can help sort out a health-related question. The book cannot determine whether a change in appetite, weight, strength, or symptoms is medically important for you.</w:t>
      </w:r>
    </w:p>
    <w:p>
      <w:pPr>
        <w:pStyle w:val="Heading2"/>
      </w:pPr>
      <w:r>
        <w:t xml:space="preserve">Medication can be part of maintenance</w:t>
      </w:r>
    </w:p>
    <w:p>
      <w:pPr>
        <w:pStyle w:val="BodyFirst"/>
      </w:pPr>
      <w:r>
        <w:t xml:space="preserve">NIDDK’s weight-management guidance says these medicines work best when combined with a lifestyle program and do not replace healthy eating habits or physical activity. That is not a demand to build a flawless lifestyle around a prescription. It is a reminder that medicine and daily supports can have different jobs in the same care plan.</w:t>
      </w:r>
    </w:p>
    <w:p>
      <w:pPr>
        <w:pStyle w:val="BodyText"/>
      </w:pPr>
      <w:r>
        <w:t xml:space="preserve">If your prescribed medicine is continuing, take it only as your prescriber directs. Keep follow-up questions in the same place as your other appointment notes. A stable stretch does not mean you have to invent a reason to change something, and a difficult stretch does not authorize you to change it on your own. If you want to revisit the plan, ask your prescriber what information would help that discussion.</w:t>
      </w:r>
    </w:p>
    <w:p>
      <w:pPr>
        <w:pStyle w:val="BodyText"/>
      </w:pPr>
      <w:r>
        <w:t xml:space="preserve">If you ever consider switching, interrupting, or stopping, take that conversation to your prescriber before making a change. Chapter 20 is about preparing for that conversation. This chapter cannot tell you whether to continue or stop, and it cannot lay out a taper or a substitute plan.</w:t>
      </w:r>
    </w:p>
    <w:p>
      <w:pPr>
        <w:pStyle w:val="BodyText"/>
      </w:pPr>
      <w:r>
        <w:t xml:space="preserve">NIDDK also says people will probably regain some weight after stopping weight-management medication, and that developing and maintaining healthy eating habits and increasing physical activity may help them regain less or keep it off. That is a general statement, not a forecast for your body or certainty that habits will prevent regain. It is one reason to build supports before a change is on the table, while being honest that the medicine decision belongs in a conversation with your own clinician.</w:t>
      </w:r>
    </w:p>
    <w:p>
      <w:pPr>
        <w:pStyle w:val="BodyText"/>
      </w:pPr>
      <w:r>
        <w:t xml:space="preserve">No one can promise that maintenance will mean holding one exact weight or that a good routine will cancel every biological, medical, financial, or life circumstance. If weight changes after a medication change, that is information to bring to the clinician, not proof that you did something wrong. The work is to plan together, protect what matters to you, and respond to the situation you actually have.</w:t>
      </w:r>
    </w:p>
    <w:p>
      <w:pPr>
        <w:pStyle w:val="Heading2"/>
      </w:pPr>
      <w:r>
        <w:t xml:space="preserve">When the routine gets knocked sideways</w:t>
      </w:r>
    </w:p>
    <w:p>
      <w:pPr>
        <w:pStyle w:val="BodyFirst"/>
      </w:pPr>
      <w:r>
        <w:t xml:space="preserve">If the disruption is a symptom, repeated difficulty eating or drinking, or another new health concern, do not treat it as a scheduling problem. Contact your care team and follow your product-specific instructions. Chapter 10’s warning card and Chapters 13 and 14 explain where those concerns belong.</w:t>
      </w:r>
    </w:p>
    <w:p>
      <w:pPr>
        <w:pStyle w:val="Heading2"/>
      </w:pPr>
      <w:r>
        <w:t xml:space="preserve">My maintenance habits</w:t>
      </w:r>
    </w:p>
    <w:p>
      <w:pPr>
        <w:pStyle w:val="BodyFirst"/>
      </w:pPr>
      <w:r>
        <w:t xml:space="preserve">Keep this checklist loose. It is a prompt for your own plan, not a prescription, scorecard, or promise of a particular result. Fill in only what fits, and take health questions to the professional who knows your situation.</w:t>
      </w:r>
    </w:p>
    <w:p>
      <w:pPr>
        <w:pStyle w:val="ListItem"/>
        <w:numPr>
          <w:ilvl w:val="0"/>
          <w:numId w:val="1"/>
        </w:numPr>
      </w:pPr>
      <w:r>
        <w:t xml:space="preserve">Protein: The individualized approach I discussed with my dietitian or prescriber is: _____</w:t>
      </w:r>
      <w:r>
        <w:rPr>
          <w:i/>
        </w:rPr>
        <w:t xml:space="preserve">. A manageable food I can keep available is: _____</w:t>
      </w:r>
      <w:r>
        <w:t xml:space="preserve">.</w:t>
      </w:r>
    </w:p>
    <w:p>
      <w:pPr>
        <w:pStyle w:val="ListItem"/>
        <w:numPr>
          <w:ilvl w:val="0"/>
          <w:numId w:val="1"/>
        </w:numPr>
      </w:pPr>
      <w:r>
        <w:t xml:space="preserve">Strength and movement: The activity that fits my ability and care-team guidance is: _____</w:t>
      </w:r>
      <w:r>
        <w:rPr>
          <w:i/>
        </w:rPr>
        <w:t xml:space="preserve">. The realistic days or occasions are: _____</w:t>
      </w:r>
      <w:r>
        <w:t xml:space="preserve">.</w:t>
      </w:r>
    </w:p>
    <w:p>
      <w:pPr>
        <w:pStyle w:val="ListItem"/>
        <w:numPr>
          <w:ilvl w:val="0"/>
          <w:numId w:val="1"/>
        </w:numPr>
      </w:pPr>
      <w:r>
        <w:t xml:space="preserve">Fluids: My clinician’s instructions or limits are: _____</w:t>
      </w:r>
      <w:r>
        <w:rPr>
          <w:i/>
        </w:rPr>
        <w:t xml:space="preserve">. The routine cue that helps me notice is: _____</w:t>
      </w:r>
      <w:r>
        <w:t xml:space="preserve">.</w:t>
      </w:r>
    </w:p>
    <w:p>
      <w:pPr>
        <w:pStyle w:val="ListItem"/>
        <w:numPr>
          <w:ilvl w:val="0"/>
          <w:numId w:val="1"/>
        </w:numPr>
      </w:pPr>
      <w:r>
        <w:t xml:space="preserve">Sleep and recovery: One practical thing I want to protect or ask about is: ______.</w:t>
      </w:r>
    </w:p>
    <w:p>
      <w:pPr>
        <w:pStyle w:val="ListItem"/>
        <w:numPr>
          <w:ilvl w:val="0"/>
          <w:numId w:val="1"/>
        </w:numPr>
      </w:pPr>
      <w:r>
        <w:t xml:space="preserve">Low-effort setting: When the day gets crowded, the smallest useful version of my routine is: ______.</w:t>
      </w:r>
    </w:p>
    <w:p>
      <w:pPr>
        <w:pStyle w:val="ListItem"/>
        <w:numPr>
          <w:ilvl w:val="0"/>
          <w:numId w:val="1"/>
        </w:numPr>
      </w:pPr>
      <w:r>
        <w:t xml:space="preserve">Support: The person or service I can ask for one specific kind of help is: ______.</w:t>
      </w:r>
    </w:p>
    <w:p>
      <w:pPr>
        <w:pStyle w:val="ListItem"/>
        <w:numPr>
          <w:ilvl w:val="0"/>
          <w:numId w:val="1"/>
        </w:numPr>
      </w:pPr>
      <w:r>
        <w:t xml:space="preserve">Appointment question: One change or obstacle I want to bring to my care team is: ______.</w:t>
      </w:r>
    </w:p>
    <w:p>
      <w:pPr>
        <w:pStyle w:val="ListLast"/>
        <w:numPr>
          <w:ilvl w:val="0"/>
          <w:numId w:val="1"/>
        </w:numPr>
      </w:pPr>
      <w:r>
        <w:t xml:space="preserve">Medication: If I have a question about continuing, switching, interrupting, or stopping, I will contact my prescriber before making a change.</w:t>
      </w:r>
    </w:p>
    <w:p>
      <w:pPr>
        <w:pStyle w:val="BodyFirst"/>
      </w:pPr>
      <w:r>
        <w:t xml:space="preserve">A maintenance plan does not have to sound impressive. It has to be findable on a Tuesday when the day has gone sideways. Put one small version where tomorrow-you can see it, then let the rest of the evening be an evening.</w:t>
      </w:r>
    </w:p>
    <w:p>
      <w:pPr>
        <w:pStyle w:val="Heading2"/>
      </w:pPr>
      <w:r>
        <w:t xml:space="preserve">Source</w:t>
      </w:r>
    </w:p>
    <w:p>
      <w:pPr>
        <w:pStyle w:val="ListLast"/>
        <w:numPr>
          <w:ilvl w:val="0"/>
          <w:numId w:val="1"/>
        </w:numPr>
      </w:pPr>
      <w:hyperlink r:id="rIdL5">
        <w:r>
          <w:rPr>
            <w:rStyle w:val="Hyperlink"/>
          </w:rPr>
          <w:t xml:space="preserve">NIDDK, </w:t>
        </w:r>
      </w:hyperlink>
      <w:hyperlink r:id="rIdL5">
        <w:r>
          <w:rPr>
            <w:i/>
            <w:rStyle w:val="Hyperlink"/>
          </w:rPr>
          <w:t xml:space="preserve">Prescription Medications to Treat Overweight &amp; Obesity</w:t>
        </w:r>
      </w:hyperlink>
      <w:r>
        <w:t xml:space="preserve">, reviewed June 2024; checked October 5, 2026.</w:t>
      </w:r>
    </w:p>
    <w:p>
      <w:pPr>
        <w:pStyle w:val="Heading1"/>
      </w:pPr>
      <w:bookmarkStart w:id="12" w:name="_Toc_20_planning_a_medication_change_with_your_prescriber"/>
      <w:r>
        <w:t xml:space="preserve">Chapter 20: Planning a Medication Change With Your Prescriber</w:t>
      </w:r>
      <w:bookmarkEnd w:id="12"/>
    </w:p>
    <w:p>
      <w:pPr>
        <w:pStyle w:val="BodyFirst"/>
      </w:pPr>
      <w:r>
        <w:t xml:space="preserve">In one composite story, my younger sister Nina called from a grocery-store parking lot with a question she had been carrying around for a week: if the refill cost more than rent, what was she supposed to do? She had already stopped taking her medicine. The next part of her story was not a neat lesson about what happens to everyone. Her appetite changed, and she felt unprepared for it. That is all I can honestly take from the composite story. It is not a timetable, a prediction, or a reason to blame her for a cost problem.</w:t>
      </w:r>
    </w:p>
    <w:p>
      <w:pPr>
        <w:pStyle w:val="BodyText"/>
      </w:pPr>
      <w:r>
        <w:t xml:space="preserve">The part worth borrowing is earlier: for a planned medication change, contact the prescriber before you act. A warning in your current Medication Guide that calls for immediate action is different: act on that instruction and seek the help it names without waiting for a routine response. Chapter 10 points to the product-specific urgent guidance. Continuing, switching, interrupting, or stopping are treatment decisions. This book cannot pick one for you, map out a taper, or tell you what to do with a dose. Your prescriber needs to help make a plan that fits the reason for the change and your health.</w:t>
      </w:r>
    </w:p>
    <w:p>
      <w:pPr>
        <w:pStyle w:val="Heading2"/>
      </w:pPr>
      <w:r>
        <w:t xml:space="preserve">Start before the last dose or the last dollar</w:t>
      </w:r>
    </w:p>
    <w:p>
      <w:pPr>
        <w:pStyle w:val="BodyFirst"/>
      </w:pPr>
      <w:r>
        <w:t xml:space="preserve">Sometimes the conversation starts because things are going well and you want to understand what comes next. Sometimes the reason is harder: a side effect is wearing you down, the pharmacy cannot fill the prescription, coverage changed, a different health issue has become the priority, or you are simply ready to ask whether the current plan still makes sense. You do not have to make the reason sound tidy before you bring it up.</w:t>
      </w:r>
    </w:p>
    <w:p>
      <w:pPr>
        <w:pStyle w:val="BodyText"/>
      </w:pPr>
      <w:r>
        <w:t xml:space="preserve">Try to contact the prescriber while there is still time to talk, especially if cost or access could interrupt treatment. That is not a claim that one path is safer or more effective than another. It is a practical difference: a conversation gives the care team a chance to review your situation and tell you what they recommend before you have to guess. If the difficulty is coverage or price, Chapter 17 has the insurer and prescriber-office questions; the two offices have different jobs, and neither can promise an outcome in advance.</w:t>
      </w:r>
    </w:p>
    <w:p>
      <w:pPr>
        <w:pStyle w:val="BodyText"/>
      </w:pPr>
      <w:r>
        <w:t xml:space="preserve">If a change is already underway, say so plainly. You are not asking permission to report what happened. Tell the office when you last took the medicine if you know, what has changed, and what you need to know now. A pharmacist may be able to explain product-specific written instructions or help you reach the prescriber, but the pharmacist should not have to infer the treatment plan from a half-remembered conversation. Use the current guide for your exact product and ask the prescriber or pharmacist about anything unclear. Do not fill in missing instructions with advice from a forum, an old prescription, or someone else’s experience.</w:t>
      </w:r>
    </w:p>
    <w:p>
      <w:pPr>
        <w:pStyle w:val="Heading2"/>
      </w:pPr>
      <w:r>
        <w:t xml:space="preserve">Name the decision without deciding it alone</w:t>
      </w:r>
    </w:p>
    <w:p>
      <w:pPr>
        <w:pStyle w:val="BodyFirst"/>
      </w:pPr>
      <w:r>
        <w:t xml:space="preserve">The word “change” can hide several different questions. You might be asking whether to continue the current treatment, whether a different medicine should be considered, what to do if access is interrupted, or whether stopping belongs in the plan. Say which question is closest, then leave the answer open. A useful opening line is: “I’m considering a change because ____. Can we review the options before I do anything differently?”</w:t>
      </w:r>
    </w:p>
    <w:p>
      <w:pPr>
        <w:pStyle w:val="BodyText"/>
      </w:pPr>
      <w:r>
        <w:t xml:space="preserve">There may be more than one relevant reason. Write down the practical one first, then add the health details you think matter. If the reason is a symptom, include what it feels like, when it began, whether it is changing, and what else was happening. Chapter 13’s observation note can help you describe a rough period without deciding what caused it. If a symptom seems urgent, do not wait for a scheduled medication-planning visit; use the product-specific instructions and contact route in Chapter 10.</w:t>
      </w:r>
    </w:p>
    <w:p>
      <w:pPr>
        <w:pStyle w:val="BodyText"/>
      </w:pPr>
      <w:r>
        <w:t xml:space="preserve">If cost is the issue, say whether you are weighing a refill against other necessary expenses. If you cannot obtain the next fill, say that directly rather than waiting until the gap has become a surprise. If another clinician has suggested a change, bring that information too. The prescriber may need to coordinate with that clinician, your pharmacy, or another part of your care team. A medication list and the name of the pharmacy can save a round of messages.</w:t>
      </w:r>
    </w:p>
    <w:p>
      <w:pPr>
        <w:pStyle w:val="BodyText"/>
      </w:pPr>
      <w:r>
        <w:t xml:space="preserve">Your goal for the conversation does not have to be a number on the scale. Perhaps you want to understand what treatment is intended to support, what matters to you now, or which tradeoffs deserve more discussion. NIDDK’s patient guidance frames weight-management treatment selection as shared with a health professional and attentive to potential benefits, side effects, health conditions, other medicines, family history, and cost. That is a useful frame for a conversation, not a formula that dictates one answer.</w:t>
      </w:r>
    </w:p>
    <w:p>
      <w:pPr>
        <w:pStyle w:val="BodyText"/>
      </w:pPr>
      <w:r>
        <w:t xml:space="preserve">Bring the name of the medicine and the reason it was prescribed, as you understand it. If you are unsure of the purpose or how the current plan connects to it, make that the first question. A change can be discussed differently when the concern is access, a symptom, a health goal, or a competing medical need. You are not expected to rank those factors like a clinician. You can say which one is pressing on your daily life and ask what else the prescriber needs to weigh before recommending a path.</w:t>
      </w:r>
    </w:p>
    <w:p>
      <w:pPr>
        <w:pStyle w:val="BodyText"/>
      </w:pPr>
      <w:r>
        <w:t xml:space="preserve">If an option is raised, ask what it is meant to address in your case and what is known or uncertain about it. You can ask how it fits alongside other medicines and conditions, what practical costs or access questions remain, and what follow-up the clinician thinks is appropriate. You do not need to compare products from memory or arrive with a preferred answer. If a term is unfamiliar, ask for the plain-language version and write it beside the question. Understanding the reason for a recommendation is part of the conversation, not a challenge to the person making it.</w:t>
      </w:r>
    </w:p>
    <w:p>
      <w:pPr>
        <w:pStyle w:val="BodyText"/>
      </w:pPr>
      <w:r>
        <w:t xml:space="preserve">Sometimes a proposed option has a practical condition attached: a coverage decision, a pharmacy able to fill it, or another clinician’s input. Ask what is settled and what is still contingent. If the plan depends on something that has not happened yet, clarify what you should do in the meantime using your existing product-specific directions. Do not treat a possible option as a prescription already in force, and don’t assume that a conversation about alternatives means you should stop or substitute anything.</w:t>
      </w:r>
    </w:p>
    <w:p>
      <w:pPr>
        <w:pStyle w:val="Heading2"/>
      </w:pPr>
      <w:r>
        <w:t xml:space="preserve">Ask what the next stretch could look like</w:t>
      </w:r>
    </w:p>
    <w:p>
      <w:pPr>
        <w:pStyle w:val="BodyFirst"/>
      </w:pPr>
      <w:r>
        <w:t xml:space="preserve">You may want to know what to expect if the plan continues, changes, is interrupted, or stops. Ask directly, while leaving room for an answer that cannot set a reliable calendar for every possible response. Appetite, weight, symptoms, and other health measures can vary; I cannot tell you which will change, when, or by how much for you. Your prescriber can explain what is known for the particular medicine and your circumstances, what is uncertain, and what should prompt a call.</w:t>
      </w:r>
    </w:p>
    <w:p>
      <w:pPr>
        <w:pStyle w:val="BodyText"/>
      </w:pPr>
      <w:r>
        <w:t xml:space="preserve">Chapter 19 covers the daily supports. Here, ask what the prescriber would want you to watch for after </w:t>
      </w:r>
      <w:r>
        <w:rPr>
          <w:i/>
        </w:rPr>
        <w:t xml:space="preserve">your</w:t>
      </w:r>
      <w:r>
        <w:t xml:space="preserve"> proposed change, and when they want to hear from you.</w:t>
      </w:r>
    </w:p>
    <w:p>
      <w:pPr>
        <w:pStyle w:val="BodyText"/>
      </w:pPr>
      <w:r>
        <w:t xml:space="preserve">Make the question specific to the reason for your prescription. If the treatment is meant to address a health concern beyond weight, ask which changes or symptoms matter for that concern and whether another clinician should help interpret them. If appetite is the part you are worried about, say so plainly; Nina’s experience is hers, not a timetable for you. The clinician can tell you which observations would be useful and what should bring you back sooner, without turning someone else’s response into your forecast.</w:t>
      </w:r>
    </w:p>
    <w:p>
      <w:pPr>
        <w:pStyle w:val="BodyText"/>
      </w:pPr>
      <w:r>
        <w:t xml:space="preserve">Ask what to do if a planned change is delayed or the pharmacy cannot supply what was discussed. Ask who to contact if you miss a dose or have already had a gap, and what written instructions apply to your specific product. The answer can depend on the medicine and the circumstances; I will not turn that into a universal rule here. If you are switching, ask who is coordinating the old and new prescriptions and where to get the confirmed instructions. Don’t create an overlap, substitute, or restart plan from this chapter.</w:t>
      </w:r>
    </w:p>
    <w:p>
      <w:pPr>
        <w:pStyle w:val="BodyText"/>
      </w:pPr>
      <w:r>
        <w:t xml:space="preserve">It is also fair to ask what the prescriber wants you to keep doing while the decision is pending. That may be a question about the existing plan, an appointment, or who to contact if something changes. Ask for an answer tied to your situation, rather than treating Chapter 19’s maintenance checklist as a medication plan. Those daily supports can be useful, but they cannot tell you whether to continue, switch, interrupt, or stop.</w:t>
      </w:r>
    </w:p>
    <w:p>
      <w:pPr>
        <w:pStyle w:val="Heading2"/>
      </w:pPr>
      <w:r>
        <w:t xml:space="preserve">Make room for cost and access without shame</w:t>
      </w:r>
    </w:p>
    <w:p>
      <w:pPr>
        <w:pStyle w:val="BodyFirst"/>
      </w:pPr>
      <w:r>
        <w:t xml:space="preserve">Nina’s call started with money because that was the immediate wall in front of her. People sometimes try to make a financial problem sound like a medical preference because they worry they will be judged. Don’t spend energy polishing it. “I can’t afford the next fill at this price” is important information for the prescriber and the insurance conversation.</w:t>
      </w:r>
    </w:p>
    <w:p>
      <w:pPr>
        <w:pStyle w:val="BodyText"/>
      </w:pPr>
      <w:r>
        <w:t xml:space="preserve">The prescriber’s office may be able to discuss clinical options or help with documentation. The insurer decides coverage under the plan, and a pharmacy can clarify what it has received or can fill. Those are separate steps. A savings offer, appeal, or alternative may not resolve the problem. Chapter 17’s call script and recordkeeping approach belong there; here, bring the unresolved issue into the medication conversation and ask who will do what next.</w:t>
      </w:r>
    </w:p>
    <w:p>
      <w:pPr>
        <w:pStyle w:val="BodyText"/>
      </w:pPr>
      <w:r>
        <w:t xml:space="preserve">An access question may still be unresolved when you reach the office. Ask what information they need to consider options—the exact product, refill date, cost, insurer message, or pharmacy availability—and whether another office must be involved. Chapter 17 handles coverage calls; this conversation is about the clinical decision and how the care team will respond. If a delay becomes urgent, use the contact route in your product instructions rather than treating an unanswered routine message as a plan.</w:t>
      </w:r>
    </w:p>
    <w:p>
      <w:pPr>
        <w:pStyle w:val="Heading2"/>
      </w:pPr>
      <w:r>
        <w:t xml:space="preserve">Separate a clinical option from a handoff</w:t>
      </w:r>
    </w:p>
    <w:p>
      <w:pPr>
        <w:pStyle w:val="BodyFirst"/>
      </w:pPr>
      <w:r>
        <w:t xml:space="preserve">A medication conversation sometimes produces an option that depends on another office, a pharmacy, or a coverage decision. Keep the clinical question and the handoff question distinct. Your prescriber can discuss whether an option is appropriate; the insurer can explain a benefit rule; the pharmacy can say what prescription it received and whether it can fill it. A hopeful discussion is not a completed prescription, and a coverage answer is not a clinical recommendation.</w:t>
      </w:r>
    </w:p>
    <w:p>
      <w:pPr>
        <w:pStyle w:val="BodyText"/>
      </w:pPr>
      <w:r>
        <w:t xml:space="preserve">If the clinician mentions a different product, ask what part is still undecided. Is the prescriber gathering records, waiting for a test or another clinician, checking a contraindication, or asking you to call the insurer? Ask which person owns that next clinical step and whether you should keep following your current written instructions while it is pending. Do not treat the name of an alternative written on a visit note as permission to start it, combine it with something else, or stop the medicine you already have.</w:t>
      </w:r>
    </w:p>
    <w:p>
      <w:pPr>
        <w:pStyle w:val="BodyText"/>
      </w:pPr>
      <w:r>
        <w:t xml:space="preserve">The pharmacy handoff has its own points to confirm. Ask whether the pharmacy has the actual prescription, whether it can obtain that exact product, and whether it has a question for the prescriber. If the answer is that the product is unavailable, ask the pharmacist to tell you what information the prescriber needs. Do not accept a look-alike listing, online marketplace, or different formulation as a substitute without a direction from the prescriber. Products with related names can have different instructions and approved uses.</w:t>
      </w:r>
    </w:p>
    <w:p>
      <w:pPr>
        <w:pStyle w:val="BodyText"/>
      </w:pPr>
      <w:r>
        <w:t xml:space="preserve">Sometimes a plan depends on a condition being met first. The insurer may need documentation; another clinician may need to weigh in; or the pharmacy may need an updated order. Ask what event would make the plan final and how you will be told it occurred. If there is no clear answer, call the prescriber’s office and say, “I understand this is being considered, but I don’t know whether the prescription has changed. Which instructions apply to me now?” You are not being difficult by distinguishing a discussion from an instruction.</w:t>
      </w:r>
    </w:p>
    <w:p>
      <w:pPr>
        <w:pStyle w:val="BodyText"/>
      </w:pPr>
      <w:r>
        <w:t xml:space="preserve">If two clinicians give you different recommendations, avoid choosing between them from memory. Tell each clinician what the other advised, include the exact product name, and ask whether they can coordinate. If a specialist is responsible for one condition and the prescriber for another, ask who is coordinating the medication question. Until they clarify, follow the written instructions that currently apply to your medicine and use the Medication Guide’s urgent directions if a warning sign appears.</w:t>
      </w:r>
    </w:p>
    <w:p>
      <w:pPr>
        <w:pStyle w:val="BodyText"/>
      </w:pPr>
      <w:r>
        <w:t xml:space="preserve">The paperwork may use words that sound final but are not. “Submitted” does not mean approved; “approved” may refer to insurance coverage rather than the prescriber’s decision; and “sent to the pharmacy” does not confirm that the pharmacy can dispense it. Ask the person speaking which step they mean and what still needs to happen. For detailed records and coverage paper trails, Chapter 15 and Chapter 17 already have the tools; this section stays with the product-specific change and who must confirm it.</w:t>
      </w:r>
    </w:p>
    <w:p>
      <w:pPr>
        <w:pStyle w:val="BodyText"/>
      </w:pPr>
      <w:r>
        <w:t xml:space="preserve">If you cannot reach the prescriber and a planned change is approaching, contact the office through its after-hours or urgent route and explain the timing. A pharmacist may help clarify the current written product instructions or route a question, but this chapter does not authorize the pharmacist or the reader to invent a plan from incomplete information. If the current Medication Guide gives an immediate-action instruction, follow it without waiting for a routine callback.</w:t>
      </w:r>
    </w:p>
    <w:p>
      <w:pPr>
        <w:pStyle w:val="BodyText"/>
      </w:pPr>
      <w:r>
        <w:t xml:space="preserve">Write down the exact point still unresolved: “Prescriber has not confirmed a change,” “pharmacy does not have the prescription,” or “insurer needs a form.” Then use the contact responsible for that point. This is a handoff map for the medication question, not a general call log. One clear unresolved sentence is more useful than a page of messages that leaves you unsure what you are supposed to do next.</w:t>
      </w:r>
    </w:p>
    <w:p>
      <w:pPr>
        <w:pStyle w:val="Heading2"/>
      </w:pPr>
      <w:r>
        <w:t xml:space="preserve">Confirm the product-specific plan</w:t>
      </w:r>
    </w:p>
    <w:p>
      <w:pPr>
        <w:pStyle w:val="BodyFirst"/>
      </w:pPr>
      <w:r>
        <w:t xml:space="preserve">Before leaving, confirm whether any medicine instruction actually changed, which written product-specific directions control, who will coordinate the pharmacy and other clinicians, and how to reach the team before the next scheduled dose if the plan remains pending.</w:t>
      </w:r>
    </w:p>
    <w:p>
      <w:pPr>
        <w:pStyle w:val="BodyText"/>
      </w:pPr>
      <w:r>
        <w:t xml:space="preserve">For records and handoffs, use the approaches in Chapters 15 and 17 rather than rebuilding them here.</w:t>
      </w:r>
    </w:p>
    <w:p>
      <w:pPr>
        <w:pStyle w:val="Heading2"/>
      </w:pPr>
      <w:r>
        <w:t xml:space="preserve">Questions for the medication-change conversation</w:t>
      </w:r>
    </w:p>
    <w:p>
      <w:pPr>
        <w:pStyle w:val="BodyFirst"/>
      </w:pPr>
      <w:r>
        <w:t xml:space="preserve">Take the questions that fit. The product-specific close above covers confirmation, coordination, and contact if the plan is pending.</w:t>
      </w:r>
    </w:p>
    <w:p>
      <w:pPr>
        <w:pStyle w:val="ListItem"/>
        <w:numPr>
          <w:ilvl w:val="0"/>
          <w:numId w:val="1"/>
        </w:numPr>
      </w:pPr>
      <w:r>
        <w:t xml:space="preserve">My reason for raising a change is: ______. What information would help you review it?</w:t>
      </w:r>
    </w:p>
    <w:p>
      <w:pPr>
        <w:pStyle w:val="ListItem"/>
        <w:numPr>
          <w:ilvl w:val="0"/>
          <w:numId w:val="1"/>
        </w:numPr>
      </w:pPr>
      <w:r>
        <w:t xml:space="preserve">Are we discussing continuing, switching, a possible interruption, or stopping? What options are appropriate for my situation, and what are the tradeoffs or uncertainties?</w:t>
      </w:r>
    </w:p>
    <w:p>
      <w:pPr>
        <w:pStyle w:val="ListItem"/>
        <w:numPr>
          <w:ilvl w:val="0"/>
          <w:numId w:val="1"/>
        </w:numPr>
      </w:pPr>
      <w:r>
        <w:t xml:space="preserve">If the plan changes or treatment stops, what changes might I notice, including appetite? What should I not assume or use as a prediction?</w:t>
      </w:r>
    </w:p>
    <w:p>
      <w:pPr>
        <w:pStyle w:val="ListItem"/>
        <w:numPr>
          <w:ilvl w:val="0"/>
          <w:numId w:val="1"/>
        </w:numPr>
      </w:pPr>
      <w:r>
        <w:t xml:space="preserve">What should I do if I cannot get the refill, have already had a gap, or receive conflicting instructions? Who should I contact, and what current product-specific guidance applies?</w:t>
      </w:r>
    </w:p>
    <w:p>
      <w:pPr>
        <w:pStyle w:val="ListItem"/>
        <w:numPr>
          <w:ilvl w:val="0"/>
          <w:numId w:val="1"/>
        </w:numPr>
      </w:pPr>
      <w:r>
        <w:t xml:space="preserve">If cost or coverage is blocking access, which part should I take to your office, and which part belongs with the insurer or pharmacy?</w:t>
      </w:r>
    </w:p>
    <w:p>
      <w:pPr>
        <w:pStyle w:val="ListLast"/>
        <w:numPr>
          <w:ilvl w:val="0"/>
          <w:numId w:val="1"/>
        </w:numPr>
      </w:pPr>
      <w:r>
        <w:t xml:space="preserve">What should I continue doing while the decision is pending, and what symptoms or circumstances mean I should contact you sooner?</w:t>
      </w:r>
    </w:p>
    <w:p>
      <w:pPr>
        <w:pStyle w:val="BodyFirst"/>
      </w:pPr>
      <w:r>
        <w:t xml:space="preserve">Do not act on an unclear interpretation; contact your prescriber or pharmacist for clarification. For urgent symptoms, follow the current product’s emergency guidance rather than waiting for a routine reply.</w:t>
      </w:r>
    </w:p>
    <w:p>
      <w:pPr>
        <w:pStyle w:val="Heading2"/>
      </w:pPr>
      <w:r>
        <w:t xml:space="preserve">The decision belongs with the people who know your care</w:t>
      </w:r>
    </w:p>
    <w:p>
      <w:pPr>
        <w:pStyle w:val="BodyFirst"/>
      </w:pPr>
      <w:r>
        <w:t xml:space="preserve">Sometimes the answer will be to stay with the current plan. Sometimes the clinician may want more information or another appointment before deciding. A change may be considered, but the reasons and instructions need to be clear. None of those possibilities is a verdict on your effort. They are different paths in a care conversation.</w:t>
      </w:r>
    </w:p>
    <w:p>
      <w:pPr>
        <w:pStyle w:val="BodyText"/>
      </w:pPr>
      <w:r>
        <w:t xml:space="preserve">If you are the person asking, you are allowed to bring the uncomfortable part: cost, fear of symptoms, frustration, or the fact that you already stopped. You don’t have to justify yourself before the clinician can help.</w:t>
      </w:r>
    </w:p>
    <w:p>
      <w:pPr>
        <w:pStyle w:val="BodyText"/>
      </w:pPr>
      <w:r>
        <w:t xml:space="preserve">For a planned change, I will ask my prescriber about ____. If my current Medication Guide says to stop and seek immediate help for a warning sign, I will follow it now, not wait for a routine reply.</w:t>
      </w:r>
    </w:p>
    <w:p>
      <w:pPr>
        <w:pStyle w:val="Heading2"/>
      </w:pPr>
      <w:r>
        <w:t xml:space="preserve">Source</w:t>
      </w:r>
    </w:p>
    <w:p>
      <w:pPr>
        <w:pStyle w:val="ListLast"/>
        <w:numPr>
          <w:ilvl w:val="0"/>
          <w:numId w:val="1"/>
        </w:numPr>
      </w:pPr>
      <w:r>
        <w:t xml:space="preserve">NIDDK, </w:t>
      </w:r>
      <w:hyperlink r:id="rIdL5">
        <w:r>
          <w:rPr>
            <w:rStyle w:val="Hyperlink"/>
          </w:rPr>
          <w:t xml:space="preserve">prescription-medicine guidance for overweight and obesity</w:t>
        </w:r>
      </w:hyperlink>
      <w:r>
        <w:t xml:space="preserve">, page last reviewed June 2024 and checked October 5, 2026. It gives general advice about treatment choice and possible regain, not an individual forecast or a taper protocol.</w:t>
      </w:r>
    </w:p>
    <w:p>
      <w:pPr>
        <w:pStyle w:val="Heading1"/>
      </w:pPr>
      <w:bookmarkStart w:id="13" w:name="_Toc_99_closing"/>
      <w:r>
        <w:t xml:space="preserve">The Next Ordinary Evening</w:t>
      </w:r>
      <w:bookmarkEnd w:id="13"/>
    </w:p>
    <w:p>
      <w:pPr>
        <w:pStyle w:val="BodyFirst"/>
      </w:pPr>
      <w:r>
        <w:t xml:space="preserve">The plate from my first week still comes to mind. Cold groceries need putting away before they warm, and the washer has been quiet long enough to remind me it is waiting. The kitchen is busy with small unfinished jobs. I rinse the plate and set it in the rack, then turn back to the groceries. The evening keeps its ordinary size.</w:t>
      </w:r>
    </w:p>
    <w:p>
      <w:pPr>
        <w:pStyle w:val="BodyText"/>
      </w:pPr>
      <w:r>
        <w:t xml:space="preserve">The sink water is cool against my hands. A paper bag leans against the cupboard, its top folded over once. The cup beside it has a faint ring of tea.</w:t>
      </w:r>
    </w:p>
    <w:p>
      <w:pPr>
        <w:pStyle w:val="BodyText"/>
      </w:pPr>
      <w:r>
        <w:t xml:space="preserve">An unanswered, non-urgent question remains for the care team to consider in context. Routine ideas here fit only when they match your care plan; ask a pharmacist or prescriber to clarify an unclear safety instruction. For urgent directions, the current Medication Guide for your exact product controls. If it calls for immediate action, follow that direction and get the help it names rather than waiting for a routine office reply. This is the one place where the book’s quiet pace should not slow you down.</w:t>
      </w:r>
    </w:p>
    <w:p>
      <w:pPr>
        <w:pStyle w:val="BodyText"/>
      </w:pPr>
      <w:r>
        <w:t xml:space="preserve">Before you close the book, leave one note for yourself: a food idea for tomorrow that fits your own instructions, or one question you need to ask. Put it where you will see it when you come back to the kitchen. The next ordinary evening can begin there.</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L1" Type="http://schemas.openxmlformats.org/officeDocument/2006/relationships/hyperlink" Target="https://dailymed.nlm.nih.gov/dailymed/services/v2/spls.json?drug_name=wegovy" TargetMode="External"/><Relationship Id="rIdL2" Type="http://schemas.openxmlformats.org/officeDocument/2006/relationships/hyperlink" Target="https://dailymed.nlm.nih.gov/dailymed/services/v2/spls.json?drug_name=ozempic" TargetMode="External"/><Relationship Id="rIdL3" Type="http://schemas.openxmlformats.org/officeDocument/2006/relationships/hyperlink" Target="https://dailymed.nlm.nih.gov/dailymed/services/v2/spls.json?drug_name=mounjaro" TargetMode="External"/><Relationship Id="rIdL4" Type="http://schemas.openxmlformats.org/officeDocument/2006/relationships/hyperlink" Target="https://dailymed.nlm.nih.gov/dailymed/services/v2/spls.json?drug_name=zepbound" TargetMode="External"/><Relationship Id="rIdL5" Type="http://schemas.openxmlformats.org/officeDocument/2006/relationships/hyperlink" Target="https://www.niddk.nih.gov/health-information/weight-management/prescription-medications-treat-overweight-obesity" TargetMode="External"/><Relationship Id="rIdL6" Type="http://schemas.openxmlformats.org/officeDocument/2006/relationships/hyperlink" Target="https://dailymed.nlm.nih.gov/dailymed/drugInfo.cfm?setid=487cd7e7-434c-4925-99fa-aa80b1cc776b" TargetMode="External"/><Relationship Id="rIdL7" Type="http://schemas.openxmlformats.org/officeDocument/2006/relationships/hyperlink" Target="https://www.niddk.nih.gov/health-information/kidney-disease/chronic-kidney-disease-ckd/healthy-eating-adults-chronic-kidney-disease" TargetMode="External"/><Relationship Id="rIdL8" Type="http://schemas.openxmlformats.org/officeDocument/2006/relationships/hyperlink" Target="https://www.fda.gov/food/nutrition-facts-label/how-understand-and-use-nutrition-facts-label" TargetMode="External"/><Relationship Id="rIdL9" Type="http://schemas.openxmlformats.org/officeDocument/2006/relationships/hyperlink" Target="https://www.niddk.nih.gov/health-information/diabetes/overview/preventing-problems/low-blood-glucose-hypoglycemia" TargetMode="External"/><Relationship Id="rIdL10" Type="http://schemas.openxmlformats.org/officeDocument/2006/relationships/hyperlink" Target="https://www.healthcare.gov/appeal-insurance-company-decision/" TargetMode="External"/><Relationship Id="rIdL11" Type="http://schemas.openxmlformats.org/officeDocument/2006/relationships/hyperlink" Target="https://www.wegovy.com/coverage-and-savings.html" TargetMode="External"/><Relationship Id="rIdL12" Type="http://schemas.openxmlformats.org/officeDocument/2006/relationships/hyperlink" Target="https://www.zepbound.lilly.com/coverage-savings" TargetMode="External"/><Relationship Id="rIdL13" Type="http://schemas.openxmlformats.org/officeDocument/2006/relationships/hyperlink" Target="https://www.fsis.usda.gov/food-safety/safe-food-handling-and-preparation/food-safety-basics/leftovers-and-food-safety"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Living on GLP-1 Medicines</dc:title>
  <dc:creator>Dana Whitfield</dc:creator>
  <dc:language>en-US</dc:language>
  <dcterms:created xsi:type="dcterms:W3CDTF">2026-01-01T00:00:00Z</dcterms:created>
</cp:coreProperties>
</file>