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b/>
          <w:color w:val="11AFA0"/>
          <w:sz w:val="30"/>
        </w:rPr>
        <w:t>LOGHAWK</w:t>
      </w:r>
    </w:p>
    <w:p>
      <w:pPr>
        <w:pStyle w:val="Title"/>
        <w:jc w:val="center"/>
      </w:pPr>
      <w:r>
        <w:rPr>
          <w:color w:val="000000"/>
        </w:rPr>
        <w:t>Hawk Console</w:t>
      </w:r>
    </w:p>
    <w:p>
      <w:pPr>
        <w:jc w:val="center"/>
      </w:pPr>
      <w:r>
        <w:t>Beginner guide to the four pane terminal RAG commands tasks and collectors</w:t>
      </w:r>
    </w:p>
    <w:p>
      <w:pPr>
        <w:spacing w:before="480"/>
        <w:jc w:val="center"/>
      </w:pPr>
      <w:r>
        <w:t>A step by step guide for first time users</w:t>
      </w:r>
    </w:p>
    <w:p>
      <w:pPr>
        <w:jc w:val="center"/>
      </w:pPr>
      <w:r>
        <w:t>Windows  •  Linux  •  macOS</w:t>
      </w:r>
    </w:p>
    <w:p>
      <w:r>
        <w:br w:type="page"/>
      </w:r>
    </w:p>
    <w:p>
      <w:pPr>
        <w:pStyle w:val="Heading1"/>
      </w:pPr>
      <w:r>
        <w:rPr>
          <w:color w:val="000000"/>
        </w:rPr>
        <w:t>What Hawk Console is</w:t>
      </w:r>
    </w:p>
    <w:p>
      <w:r>
        <w:t>Hawk Console is a standalone terminal application for operational guidance and root-cause analysis. It combines LLM chat, two command terminals, and an editor. It can run signed in through the LogHawk API or in local mode with Console-local data.</w:t>
      </w:r>
    </w:p>
    <w:p>
      <w:r>
        <w:t>Keep execution under your control. Review /command proposals and local scripts before confirming them. Signed-in AI collectors follow approved versions and execution policies; Auto-Approved collectors can run without confirmation when input review is unchecked.</w:t>
      </w:r>
    </w:p>
    <w:p>
      <w:pPr>
        <w:spacing w:after="0"/>
      </w:pPr>
    </w:p>
    <w:p>
      <w:pPr>
        <w:pStyle w:val="Heading1"/>
      </w:pPr>
      <w:r>
        <w:rPr>
          <w:color w:val="000000"/>
        </w:rPr>
        <w:t>Step 1 Install Hawk Console</w:t>
      </w:r>
    </w:p>
    <w:p>
      <w:r>
        <w:t>From the repository root, run the setup script for your operating system. It creates a separate Hawk Console Python environment, installs Console dependencies, sets up Console LanceDB, and prepares the tools environment used for local task and collector runs.</w:t>
      </w:r>
    </w:p>
    <w:p>
      <w:pPr>
        <w:pStyle w:val="Heading2"/>
      </w:pPr>
      <w:r>
        <w:rPr>
          <w:color w:val="000000"/>
        </w:rPr>
        <w:t>Windows</w:t>
      </w:r>
    </w:p>
    <w:p>
      <w:pPr>
        <w:pStyle w:val="GuideCode"/>
        <w:keepNext w:val="0"/>
        <w:keepLines/>
        <w:shd w:fill="F2F5F7"/>
      </w:pPr>
      <w:r>
        <w:rPr>
          <w:sz w:val="18"/>
        </w:rPr>
        <w:t>.\firsttime_setup_hawkconsole.bat</w:t>
      </w:r>
    </w:p>
    <w:p>
      <w:pPr>
        <w:pStyle w:val="GuideCode"/>
        <w:keepNext w:val="0"/>
        <w:keepLines/>
        <w:shd w:fill="F2F5F7"/>
      </w:pPr>
      <w:r>
        <w:rPr>
          <w:sz w:val="18"/>
        </w:rPr>
        <w:t>.\venv_hawkconsole\Scripts\Activate.ps1</w:t>
      </w:r>
    </w:p>
    <w:p>
      <w:pPr>
        <w:pStyle w:val="Heading2"/>
      </w:pPr>
      <w:r>
        <w:rPr>
          <w:color w:val="000000"/>
        </w:rPr>
        <w:t>Linux and macOS</w:t>
      </w:r>
    </w:p>
    <w:p>
      <w:pPr>
        <w:pStyle w:val="GuideCode"/>
        <w:keepNext w:val="0"/>
        <w:keepLines/>
        <w:shd w:fill="F2F5F7"/>
      </w:pPr>
      <w:r>
        <w:rPr>
          <w:sz w:val="18"/>
        </w:rPr>
        <w:t>bash firsttime_setup_hawkconsole.sh</w:t>
      </w:r>
    </w:p>
    <w:p>
      <w:pPr>
        <w:pStyle w:val="GuideCode"/>
        <w:keepNext w:val="0"/>
        <w:keepLines/>
        <w:shd w:fill="F2F5F7"/>
      </w:pPr>
      <w:r>
        <w:rPr>
          <w:sz w:val="18"/>
        </w:rPr>
        <w:t>conda activate venv_hawkconsole</w:t>
      </w:r>
    </w:p>
    <w:p>
      <w:r>
        <w:t>If conda is unavailable in a new shell, initialize the Miniforge shell using the command printed by setup, then activate venv_hawkconsole. Windows uses a repository-local environment; Linux/macOS uses the named Conda environment. Setup also invokes setup_tools for venv_tools.</w:t>
      </w:r>
    </w:p>
    <w:p>
      <w:pPr>
        <w:pStyle w:val="Heading2"/>
      </w:pPr>
      <w:r>
        <w:t>If using Ollama</w:t>
      </w:r>
    </w:p>
    <w:p>
      <w:pPr>
        <w:spacing w:after="120"/>
      </w:pPr>
      <w:r>
        <w:t>Follow these steps only if LogHawk is configured to use Ollama. Install and start Ollama, then download the models configured in .env to the Ollama instance that LogHawk connects to. These steps do not apply to other LLM providers.</w:t>
      </w:r>
    </w:p>
    <w:p>
      <w:pPr>
        <w:pStyle w:val="Heading3"/>
      </w:pPr>
      <w:r>
        <w:t>Install and start Ollama</w:t>
      </w:r>
    </w:p>
    <w:p>
      <w:pPr>
        <w:spacing w:after="120"/>
      </w:pPr>
      <w:r>
        <w:t>Install Ollama on the computer that will serve the models, using the installer or instructions at https://ollama.com/download. Start the Ollama application or service. If it is already running, do not start a second server on the same port. If no server is running, start it with the command below and leave that terminal running.</w:t>
      </w:r>
    </w:p>
    <w:p>
      <w:pPr>
        <w:spacing w:after="0"/>
      </w:pPr>
      <w:r>
        <w:rPr>
          <w:rFonts w:ascii="Consolas" w:hAnsi="Consolas"/>
          <w:sz w:val="20"/>
        </w:rPr>
        <w:t>ollama serve</w:t>
      </w:r>
    </w:p>
    <w:p>
      <w:pPr>
        <w:pStyle w:val="Heading3"/>
      </w:pPr>
      <w:r>
        <w:t>Identify the configured models</w:t>
      </w:r>
    </w:p>
    <w:p>
      <w:pPr>
        <w:spacing w:after="120"/>
      </w:pPr>
      <w:r>
        <w:t>Check the .env used by the relevant LogHawk process. LH_LLM_PROVIDER=ollama selects Ollama for the LLM. LH_LLM_MODEL supplies general chat; LH_LLM_CODEASSIST_MODEL supplies task/code generation and falls back to LH_LLM_MODEL when blank; LH_LLM_TOOL_MODEL supplies RCA tool calling; LH_EMBEDDING_MODEL supplies RAG embeddings. Download each distinct model required by the features you will use.</w:t>
      </w:r>
    </w:p>
    <w:p>
      <w:pPr>
        <w:spacing w:after="120"/>
      </w:pPr>
      <w:r>
        <w:t>For example, with LH_LLM_MODEL=llama3.2:3b, a blank LH_LLM_CODEASSIST_MODEL, LH_LLM_TOOL_MODEL=qwen3:4b-instruct and LH_EMBEDDING_MODEL=ollama/nomic-embed-text, run the following commands against the intended Ollama instance. Wait for each download to finish. Replace the names if your configuration differs.</w:t>
      </w:r>
    </w:p>
    <w:p>
      <w:pPr>
        <w:spacing w:after="0"/>
      </w:pPr>
      <w:r>
        <w:rPr>
          <w:rFonts w:ascii="Consolas" w:hAnsi="Consolas"/>
          <w:sz w:val="20"/>
        </w:rPr>
        <w:t>ollama pull llama3.2:3b</w:t>
      </w:r>
    </w:p>
    <w:p>
      <w:pPr>
        <w:spacing w:after="0"/>
      </w:pPr>
      <w:r>
        <w:rPr>
          <w:rFonts w:ascii="Consolas" w:hAnsi="Consolas"/>
          <w:sz w:val="20"/>
        </w:rPr>
        <w:t>ollama pull qwen3:4b-instruct</w:t>
      </w:r>
    </w:p>
    <w:p>
      <w:pPr>
        <w:spacing w:after="0"/>
      </w:pPr>
      <w:r>
        <w:rPr>
          <w:rFonts w:ascii="Consolas" w:hAnsi="Consolas"/>
          <w:sz w:val="20"/>
        </w:rPr>
        <w:t>ollama pull nomic-embed-text</w:t>
      </w:r>
    </w:p>
    <w:p>
      <w:pPr>
        <w:spacing w:after="120"/>
      </w:pPr>
      <w:r>
        <w:t>ollama/ and ollama_chat/ are LiteLLM provider prefixes, not part of the Ollama model name. For ollama/nomic-embed-text, pull nomic-embed-text. Remove only the provider prefix; retain the actual model name, namespace when present, and tag. A blank code-assist setting does not require another model download.</w:t>
      </w:r>
    </w:p>
    <w:p>
      <w:pPr>
        <w:spacing w:after="120"/>
      </w:pPr>
      <w:r>
        <w:t>Also check LH_LLM_FALLBACK_MODELS for fallback models used by applicable LogHawk paths. Download the fallback models you intend to use. In the current configuration code, blank or unset LH_LLM_FALLBACK_MODELS with Ollama selects defaults llama3.2:1b, qwen2.5:0.5b and tinyllama; it does not disable fallback models. If using these defaults, pull them too:</w:t>
      </w:r>
    </w:p>
    <w:p>
      <w:pPr>
        <w:spacing w:after="0"/>
      </w:pPr>
      <w:r>
        <w:rPr>
          <w:rFonts w:ascii="Consolas" w:hAnsi="Consolas"/>
          <w:sz w:val="20"/>
        </w:rPr>
        <w:t>ollama pull llama3.2:1b</w:t>
      </w:r>
    </w:p>
    <w:p>
      <w:pPr>
        <w:spacing w:after="0"/>
      </w:pPr>
      <w:r>
        <w:rPr>
          <w:rFonts w:ascii="Consolas" w:hAnsi="Consolas"/>
          <w:sz w:val="20"/>
        </w:rPr>
        <w:t>ollama pull qwen2.5:0.5b</w:t>
      </w:r>
    </w:p>
    <w:p>
      <w:pPr>
        <w:spacing w:after="0"/>
      </w:pPr>
      <w:r>
        <w:rPr>
          <w:rFonts w:ascii="Consolas" w:hAnsi="Consolas"/>
          <w:sz w:val="20"/>
        </w:rPr>
        <w:t>ollama pull tinyllama</w:t>
      </w:r>
    </w:p>
    <w:p>
      <w:pPr>
        <w:pStyle w:val="Heading3"/>
      </w:pPr>
      <w:r>
        <w:t>Use the same Ollama instance as LogHawk</w:t>
      </w:r>
    </w:p>
    <w:p>
      <w:pPr>
        <w:spacing w:after="120"/>
      </w:pPr>
      <w:r>
        <w:t>LH_LLM_BASE_URL is the model server address used for chat and tool calls. LH_EMBEDDING_BASE_URL is the embedding server address. Models must exist on the instance reached at the applicable address. Downloading models to another Ollama installation will not make them available there. If those endpoints use different servers, download the required models on each corresponding server.</w:t>
      </w:r>
    </w:p>
    <w:p>
      <w:pPr>
        <w:spacing w:after="120"/>
      </w:pPr>
      <w:r>
        <w:t>For Web UI and signed-in Hawk Console, model calls use the API server configuration. The person using the browser or signed-in Console does not need a separate local model download if the configured server already has the models. For hawk --local, the Console uses its own configuration and endpoints; those endpoints may still point to a remote Ollama server.</w:t>
      </w:r>
    </w:p>
    <w:p>
      <w:pPr>
        <w:spacing w:after="120"/>
      </w:pPr>
      <w:r>
        <w:t>Run the pull and list commands using an Ollama CLI connected to the intended server. A CLI targeting localhost can see different models from LogHawk targeting a Windows host IP from WSL. localhost always refers to the computer or environment making the connection. Compare the configured endpoint with the CLI target, including any OLLAMA_HOST setting. Do not assume that Windows and WSL commands reach the same instance.</w:t>
      </w:r>
    </w:p>
    <w:p>
      <w:pPr>
        <w:pStyle w:val="Heading3"/>
      </w:pPr>
      <w:r>
        <w:t>Verify models and start LogHawk</w:t>
      </w:r>
    </w:p>
    <w:p>
      <w:pPr>
        <w:spacing w:after="0"/>
      </w:pPr>
      <w:r>
        <w:rPr>
          <w:rFonts w:ascii="Consolas" w:hAnsi="Consolas"/>
          <w:sz w:val="20"/>
        </w:rPr>
        <w:t>ollama ls</w:t>
      </w:r>
    </w:p>
    <w:p>
      <w:pPr>
        <w:spacing w:after="0"/>
      </w:pPr>
      <w:r>
        <w:rPr>
          <w:rFonts w:ascii="Consolas" w:hAnsi="Consolas"/>
          <w:sz w:val="20"/>
        </w:rPr>
        <w:t>ollama ps</w:t>
      </w:r>
    </w:p>
    <w:p>
      <w:pPr>
        <w:spacing w:after="120"/>
      </w:pPr>
      <w:r>
        <w:t>ollama ls lists installed models on the instance addressed by the CLI. Verify that the required names and tags are present. ollama ps lists currently loaded models; an empty list does not mean that installed models are missing. Model downloads are separate from installing LogHawk Python packages. Editing .env does not download a model.</w:t>
      </w:r>
    </w:p>
    <w:p>
      <w:pPr>
        <w:spacing w:after="120"/>
      </w:pPr>
      <w:r>
        <w:t>After changing .env model names or endpoint settings, restart the API server for Web UI and signed-in Console use, or restart Hawk Console for local mode. Then try ordinary chat, task generation, RAG and RCA as applicable. If a model is reported missing, verify its exact tag and the Ollama instance before downloading it again.</w:t>
      </w:r>
    </w:p>
    <w:p>
      <w:pPr>
        <w:spacing w:after="120"/>
      </w:pPr>
      <w:r>
        <w:t>Ollama command reference: https://docs.ollama.com/cli. For duplicate servers, GPU visibility and endpoint problems, see How_to_Troubleshoot_Ollama.docx in Howto_Guides.</w:t>
      </w:r>
    </w:p>
    <w:p>
      <w:pPr>
        <w:pStyle w:val="Heading1"/>
      </w:pPr>
      <w:r>
        <w:rPr>
          <w:color w:val="000000"/>
        </w:rPr>
        <w:t>Step 2 Choose a mode and start</w:t>
      </w:r>
    </w:p>
    <w:p>
      <w:pPr>
        <w:pStyle w:val="Heading2"/>
      </w:pPr>
      <w:r>
        <w:rPr>
          <w:color w:val="000000"/>
        </w:rPr>
        <w:t>Signed In Mode</w:t>
      </w:r>
    </w:p>
    <w:p>
      <w:pPr>
        <w:pStyle w:val="GuideCode"/>
        <w:keepNext w:val="0"/>
        <w:keepLines/>
        <w:shd w:fill="F2F5F7"/>
      </w:pPr>
      <w:r>
        <w:rPr>
          <w:sz w:val="18"/>
        </w:rPr>
        <w:t>hawk</w:t>
      </w:r>
    </w:p>
    <w:p>
      <w:r>
        <w:t>Signed-in mode connects to the authenticated LogHawk API. The API server must be running, and LH_API_SERVER_URL in .env must be reachable from this computer. Sign in with your LogHawk account. The initial Administrator account is user ID admin and password admin; change it in Web UI Account Settings.</w:t>
      </w:r>
    </w:p>
    <w:p>
      <w:pPr>
        <w:pStyle w:val="Heading2"/>
      </w:pPr>
      <w:r>
        <w:rPr>
          <w:color w:val="000000"/>
        </w:rPr>
        <w:t>Local mode</w:t>
      </w:r>
    </w:p>
    <w:p>
      <w:pPr>
        <w:pStyle w:val="GuideCode"/>
        <w:keepNext w:val="0"/>
        <w:keepLines/>
        <w:shd w:fill="F2F5F7"/>
      </w:pPr>
      <w:r>
        <w:rPr>
          <w:sz w:val="18"/>
        </w:rPr>
        <w:t>hawk --local</w:t>
      </w:r>
    </w:p>
    <w:p>
      <w:r>
        <w:t>Local mode skips sign-in and uses Console-local SQLite and LanceDB. Its chat, RAG index, tasks, and history are separate from signed-in server data.</w:t>
      </w:r>
    </w:p>
    <w:p>
      <w:pPr>
        <w:jc w:val="center"/>
      </w:pPr>
      <w:r>
        <w:drawing>
          <wp:inline xmlns:a="http://schemas.openxmlformats.org/drawingml/2006/main" xmlns:pic="http://schemas.openxmlformats.org/drawingml/2006/picture">
            <wp:extent cx="5303520" cy="2850642"/>
            <wp:docPr id="1" name="Picture 1"/>
            <wp:cNvGraphicFramePr>
              <a:graphicFrameLocks noChangeAspect="1"/>
            </wp:cNvGraphicFramePr>
            <a:graphic>
              <a:graphicData uri="http://schemas.openxmlformats.org/drawingml/2006/picture">
                <pic:pic>
                  <pic:nvPicPr>
                    <pic:cNvPr id="0" name="loghawk_console_screen1.jpg"/>
                    <pic:cNvPicPr/>
                  </pic:nvPicPr>
                  <pic:blipFill>
                    <a:blip r:embed="rId11"/>
                    <a:stretch>
                      <a:fillRect/>
                    </a:stretch>
                  </pic:blipFill>
                  <pic:spPr>
                    <a:xfrm>
                      <a:off x="0" y="0"/>
                      <a:ext cx="5303520" cy="2850642"/>
                    </a:xfrm>
                    <a:prstGeom prst="rect"/>
                  </pic:spPr>
                </pic:pic>
              </a:graphicData>
            </a:graphic>
          </wp:inline>
        </w:drawing>
      </w:r>
    </w:p>
    <w:p>
      <w:pPr>
        <w:pStyle w:val="Caption"/>
        <w:jc w:val="center"/>
      </w:pPr>
      <w:r>
        <w:rPr>
          <w:i/>
          <w:color w:val="5B6570"/>
        </w:rPr>
        <w:t>Hawk Console sign-in screen.</w:t>
      </w:r>
    </w:p>
    <w:p>
      <w:pPr>
        <w:pStyle w:val="Heading1"/>
      </w:pPr>
      <w:r>
        <w:rPr>
          <w:color w:val="000000"/>
        </w:rPr>
        <w:t>Step 3 Understand the four panes</w:t>
      </w:r>
    </w:p>
    <w:p>
      <w:r>
        <w:t>The upper-left pane is the AI/LLM Terminal. The two panes below it are Command Terminal 1 and Command Terminal 2. The Editor on the right spans the height of all three terminals.</w:t>
      </w:r>
    </w:p>
    <w:p>
      <w:pPr>
        <w:jc w:val="center"/>
      </w:pPr>
      <w:r>
        <w:drawing>
          <wp:inline xmlns:a="http://schemas.openxmlformats.org/drawingml/2006/main" xmlns:pic="http://schemas.openxmlformats.org/drawingml/2006/picture">
            <wp:extent cx="5303520" cy="2850642"/>
            <wp:docPr id="2" name="Picture 2"/>
            <wp:cNvGraphicFramePr>
              <a:graphicFrameLocks noChangeAspect="1"/>
            </wp:cNvGraphicFramePr>
            <a:graphic>
              <a:graphicData uri="http://schemas.openxmlformats.org/drawingml/2006/picture">
                <pic:pic>
                  <pic:nvPicPr>
                    <pic:cNvPr id="0" name="loghawk_console_screen2.jpg"/>
                    <pic:cNvPicPr/>
                  </pic:nvPicPr>
                  <pic:blipFill>
                    <a:blip r:embed="rId12"/>
                    <a:stretch>
                      <a:fillRect/>
                    </a:stretch>
                  </pic:blipFill>
                  <pic:spPr>
                    <a:xfrm>
                      <a:off x="0" y="0"/>
                      <a:ext cx="5303520" cy="2850642"/>
                    </a:xfrm>
                    <a:prstGeom prst="rect"/>
                  </pic:spPr>
                </pic:pic>
              </a:graphicData>
            </a:graphic>
          </wp:inline>
        </w:drawing>
      </w:r>
    </w:p>
    <w:p>
      <w:pPr>
        <w:pStyle w:val="Caption"/>
        <w:jc w:val="center"/>
      </w:pPr>
      <w:r>
        <w:rPr>
          <w:i/>
          <w:color w:val="5B6570"/>
        </w:rPr>
        <w:t>Hawk Console four-pane layout.</w:t>
      </w:r>
    </w:p>
    <w:p>
      <w:pPr>
        <w:pStyle w:val="ListBullet"/>
      </w:pPr>
      <w:r>
        <w:t>AI/LLM Terminal — ordinary chat uses the configured LLM. Prefix a prompt with /rag to search indexed documents, or use /command for shell-command suggestions.</w:t>
      </w:r>
    </w:p>
    <w:p>
      <w:pPr>
        <w:pStyle w:val="ListBullet"/>
      </w:pPr>
      <w:r>
        <w:t>Command Terminals — enter shell commands or Console commands. Choose the shell type configured for your operating system.</w:t>
      </w:r>
    </w:p>
    <w:p>
      <w:pPr>
        <w:pStyle w:val="ListBullet"/>
      </w:pPr>
      <w:r>
        <w:t>Editor — inspect/edit task artifacts, review command proposals, manage versions, and read mirrored command output.</w:t>
      </w:r>
    </w:p>
    <w:p>
      <w:r>
        <w:rPr>
          <w:b/>
          <w:color w:val="17324D"/>
        </w:rPr>
        <w:t xml:space="preserve">Keyboard: </w:t>
      </w:r>
      <w:r>
        <w:t>Ctrl+Q exits. Shift+Ctrl+C and Shift+Ctrl+V copy and paste.</w:t>
      </w:r>
    </w:p>
    <w:p>
      <w:pPr>
        <w:pStyle w:val="Heading1"/>
      </w:pPr>
      <w:r>
        <w:rPr>
          <w:color w:val="000000"/>
        </w:rPr>
        <w:t>Step 4 Chat RAG and command suggestions</w:t>
      </w:r>
    </w:p>
    <w:p>
      <w:pPr>
        <w:pStyle w:val="Heading2"/>
      </w:pPr>
      <w:r>
        <w:rPr>
          <w:color w:val="000000"/>
        </w:rPr>
        <w:t>Ordinary chat</w:t>
      </w:r>
    </w:p>
    <w:p>
      <w:r>
        <w:t>Type a question in the AI/LLM Terminal to chat with the configured LLM. The response is guidance; it does not run shell commands by itself.</w:t>
      </w:r>
    </w:p>
    <w:p>
      <w:pPr>
        <w:pStyle w:val="Heading2"/>
      </w:pPr>
      <w:r>
        <w:rPr>
          <w:color w:val="000000"/>
        </w:rPr>
        <w:t>Ask indexed documents with /rag</w:t>
      </w:r>
    </w:p>
    <w:p>
      <w:pPr>
        <w:pStyle w:val="GuideCode"/>
        <w:keepNext w:val="0"/>
        <w:keepLines/>
        <w:shd w:fill="F2F5F7"/>
      </w:pPr>
      <w:r>
        <w:rPr>
          <w:sz w:val="18"/>
        </w:rPr>
        <w:t>/rag What do my uploaded documents say about kubectl?</w:t>
      </w:r>
    </w:p>
    <w:p>
      <w:pPr>
        <w:pStyle w:val="GuideCode"/>
        <w:keepNext w:val="0"/>
        <w:keepLines/>
        <w:shd w:fill="F2F5F7"/>
      </w:pPr>
      <w:r>
        <w:rPr>
          <w:sz w:val="18"/>
        </w:rPr>
        <w:t>/rag tell me about "CH.pdf"</w:t>
      </w:r>
    </w:p>
    <w:p>
      <w:pPr>
        <w:pStyle w:val="GuideCode"/>
        <w:keepNext w:val="0"/>
        <w:keepLines/>
        <w:shd w:fill="F2F5F7"/>
      </w:pPr>
      <w:r>
        <w:rPr>
          <w:sz w:val="18"/>
        </w:rPr>
        <w:t>/rag compare "CH.pdf" and "Science and Sports (Ch 5 to 8).pdf"</w:t>
      </w:r>
    </w:p>
    <w:p>
      <w:r>
        <w:t>Use /rag followed by your question. Put double quotes around filenames that contain spaces. Signed-in mode searches the server index; --local searches the Console-local index.</w:t>
      </w:r>
    </w:p>
    <w:p>
      <w:pPr>
        <w:pStyle w:val="Heading2"/>
      </w:pPr>
      <w:r>
        <w:rPr>
          <w:color w:val="000000"/>
        </w:rPr>
        <w:t>Upload a file or crawl a website</w:t>
      </w:r>
    </w:p>
    <w:p>
      <w:pPr>
        <w:pStyle w:val="GuideCode"/>
        <w:keepNext w:val="0"/>
        <w:keepLines/>
        <w:shd w:fill="F2F5F7"/>
      </w:pPr>
      <w:r>
        <w:rPr>
          <w:sz w:val="18"/>
        </w:rPr>
        <w:t>/ragupload /mnt/c/Users/ACER/Downloads/CH.pdf</w:t>
      </w:r>
    </w:p>
    <w:p>
      <w:pPr>
        <w:pStyle w:val="GuideCode"/>
        <w:keepNext w:val="0"/>
        <w:keepLines/>
        <w:shd w:fill="F2F5F7"/>
      </w:pPr>
      <w:r>
        <w:rPr>
          <w:sz w:val="18"/>
        </w:rPr>
        <w:t>/ragupload "/mnt/c/Users/ACER/Downloads/Science and Sports (Ch 5 to 8).pdf"</w:t>
      </w:r>
    </w:p>
    <w:p>
      <w:pPr>
        <w:pStyle w:val="GuideCode"/>
        <w:keepNext w:val="0"/>
        <w:keepLines/>
        <w:shd w:fill="F2F5F7"/>
      </w:pPr>
      <w:r>
        <w:rPr>
          <w:sz w:val="18"/>
        </w:rPr>
        <w:t>/ragscrape https://example.com/</w:t>
      </w:r>
    </w:p>
    <w:p>
      <w:r>
        <w:t>Run /ragupload or /ragscrape in Command Terminal 1 or 2. Wait for a completion or error message. Put double quotes around paths with spaces. Duplicate indexed content may be skipped.</w:t>
      </w:r>
    </w:p>
    <w:p>
      <w:pPr>
        <w:pStyle w:val="Heading2"/>
      </w:pPr>
      <w:r>
        <w:rPr>
          <w:color w:val="000000"/>
        </w:rPr>
        <w:t>Generate shell commands safely</w:t>
      </w:r>
    </w:p>
    <w:p>
      <w:pPr>
        <w:pStyle w:val="GuideCode"/>
        <w:keepNext w:val="0"/>
        <w:keepLines/>
        <w:shd w:fill="F2F5F7"/>
      </w:pPr>
      <w:r>
        <w:rPr>
          <w:sz w:val="18"/>
        </w:rPr>
        <w:t>/command generate commands based on above discussion</w:t>
      </w:r>
    </w:p>
    <w:p>
      <w:pPr>
        <w:pStyle w:val="GuideCode"/>
        <w:keepNext w:val="0"/>
        <w:keepLines/>
        <w:shd w:fill="F2F5F7"/>
      </w:pPr>
      <w:r>
        <w:rPr>
          <w:sz w:val="18"/>
        </w:rPr>
        <w:t>/command list Kubernetes nodes and show pod status</w:t>
      </w:r>
    </w:p>
    <w:p>
      <w:r>
        <w:t>Review the proposal. Type YES or yes to run it in Command Terminal 1. Type E or e to edit it in the Editor; confirm the edits and review the updated proposal. Type N or anything else to cancel. Read the command before confirming.</w:t>
      </w:r>
    </w:p>
    <w:p>
      <w:r>
        <w:t>When editing a /command proposal, Quick Save can create or version a Task. Enter its name, artifact type, and category, then select Quick Save. Python syntax is checked when saved. Quick Save does not execute the command; Confirm Changes returns it for YES/yes execution confirmation.</w:t>
      </w:r>
    </w:p>
    <w:p>
      <w:r>
        <w:t>Use Up and Down in a Command Terminal to recall persisted command history, edit the command, and submit it. Signed-in history is saved through the API; local history uses Console storage.</w:t>
      </w:r>
    </w:p>
    <w:p>
      <w:pPr>
        <w:pStyle w:val="Heading1"/>
      </w:pPr>
      <w:r>
        <w:rPr>
          <w:color w:val="000000"/>
        </w:rPr>
        <w:t>Step 5 Tasks create edit and run</w:t>
      </w:r>
    </w:p>
    <w:p>
      <w:pPr>
        <w:pStyle w:val="Heading2"/>
      </w:pPr>
      <w:r>
        <w:rPr>
          <w:color w:val="000000"/>
        </w:rPr>
        <w:t>Create and manage tasks</w:t>
      </w:r>
    </w:p>
    <w:p>
      <w:pPr>
        <w:pStyle w:val="GuideCode"/>
        <w:keepNext w:val="0"/>
        <w:keepLines/>
        <w:shd w:fill="F2F5F7"/>
      </w:pPr>
      <w:r>
        <w:rPr>
          <w:sz w:val="18"/>
        </w:rPr>
        <w:t>/tasknew</w:t>
      </w:r>
    </w:p>
    <w:p>
      <w:pPr>
        <w:pStyle w:val="GuideCode"/>
        <w:keepNext w:val="0"/>
        <w:keepLines/>
        <w:shd w:fill="F2F5F7"/>
      </w:pPr>
      <w:r>
        <w:rPr>
          <w:sz w:val="18"/>
        </w:rPr>
        <w:t>/tasklist</w:t>
      </w:r>
    </w:p>
    <w:p>
      <w:pPr>
        <w:pStyle w:val="GuideCode"/>
        <w:keepNext w:val="0"/>
        <w:keepLines/>
        <w:shd w:fill="F2F5F7"/>
      </w:pPr>
      <w:r>
        <w:rPr>
          <w:sz w:val="18"/>
        </w:rPr>
        <w:t>/taskedit "task name"</w:t>
      </w:r>
    </w:p>
    <w:p>
      <w:pPr>
        <w:pStyle w:val="GuideCode"/>
        <w:keepNext w:val="0"/>
        <w:keepLines/>
        <w:shd w:fill="F2F5F7"/>
      </w:pPr>
      <w:r>
        <w:rPr>
          <w:sz w:val="18"/>
        </w:rPr>
        <w:t>/taskview "task name"</w:t>
      </w:r>
    </w:p>
    <w:p>
      <w:pPr>
        <w:pStyle w:val="GuideCode"/>
        <w:keepNext w:val="0"/>
        <w:keepLines/>
        <w:shd w:fill="F2F5F7"/>
      </w:pPr>
      <w:r>
        <w:rPr>
          <w:sz w:val="18"/>
        </w:rPr>
        <w:t>/taskdelete "task name"</w:t>
      </w:r>
    </w:p>
    <w:p>
      <w:r>
        <w:t>In the Editor, set a task name, description, category, artifact type, task kind, and execution policy. Chat with the LLM to draft code, review it, then choose Save Version. Changes are not saved automatically. Each saved version is immutable; save edits as a new version.</w:t>
      </w:r>
    </w:p>
    <w:p>
      <w:pPr>
        <w:pStyle w:val="ListBullet"/>
      </w:pPr>
      <w:r>
        <w:t>Artifact types include Python, Bash, PowerShell, Windows CMD, and n8n workflow JSON.</w:t>
      </w:r>
    </w:p>
    <w:p>
      <w:pPr>
        <w:pStyle w:val="ListBullet"/>
      </w:pPr>
      <w:r>
        <w:t>Task kinds include General, Remediation, Rollback, and Collector.</w:t>
      </w:r>
    </w:p>
    <w:p>
      <w:pPr>
        <w:pStyle w:val="ListBullet"/>
      </w:pPr>
      <w:r>
        <w:t>Execution policies are Manual, AI-Assisted, Auto-Approved, and Disabled. Signed-in AI collector execution is available when enabled on the API server. General, Remediation, and Rollback Tasks are not automatically executed by the RCA collector dispatcher.</w:t>
      </w:r>
    </w:p>
    <w:p>
      <w:pPr>
        <w:pStyle w:val="Heading2"/>
      </w:pPr>
      <w:r>
        <w:rPr>
          <w:color w:val="000000"/>
        </w:rPr>
        <w:t>Local development run versus API run</w:t>
      </w:r>
    </w:p>
    <w:p>
      <w:pPr>
        <w:pStyle w:val="GuideCode"/>
        <w:keepNext w:val="0"/>
        <w:keepLines/>
        <w:shd w:fill="F2F5F7"/>
      </w:pPr>
      <w:r>
        <w:rPr>
          <w:sz w:val="18"/>
        </w:rPr>
        <w:t>/taskrun "task name"</w:t>
      </w:r>
    </w:p>
    <w:p>
      <w:pPr>
        <w:pStyle w:val="GuideCode"/>
        <w:keepNext w:val="0"/>
        <w:keepLines/>
        <w:shd w:fill="F2F5F7"/>
      </w:pPr>
      <w:r>
        <w:rPr>
          <w:sz w:val="18"/>
        </w:rPr>
        <w:t>/task "task name"</w:t>
      </w:r>
    </w:p>
    <w:p>
      <w:r>
        <w:t>/taskrun loads the latest saved version, asks for confirmation, then runs it locally in a Command Terminal. It is intended for development and debugging; it does not require approval or enabled status. Run only code you trust.</w:t>
      </w:r>
    </w:p>
    <w:p>
      <w:r>
        <w:t>/task is the signed-in API run path. It uses the server-side runner and requires an approved and enabled version. n8n JSON is not executed by Hawk Console; import it into a customer-managed n8n instance.</w:t>
      </w:r>
    </w:p>
    <w:p>
      <w:pPr>
        <w:pStyle w:val="Heading2"/>
      </w:pPr>
      <w:r>
        <w:rPr>
          <w:color w:val="000000"/>
        </w:rPr>
        <w:t>Step 6 Collectors view and run</w:t>
      </w:r>
    </w:p>
    <w:p>
      <w:pPr>
        <w:pStyle w:val="GuideCode"/>
        <w:keepNext w:val="0"/>
        <w:keepLines/>
        <w:shd w:fill="F2F5F7"/>
      </w:pPr>
      <w:r>
        <w:rPr>
          <w:sz w:val="18"/>
        </w:rPr>
        <w:t>/collectlist</w:t>
      </w:r>
    </w:p>
    <w:p>
      <w:pPr>
        <w:pStyle w:val="GuideCode"/>
        <w:keepNext w:val="0"/>
        <w:keepLines/>
        <w:shd w:fill="F2F5F7"/>
      </w:pPr>
      <w:r>
        <w:rPr>
          <w:sz w:val="18"/>
        </w:rPr>
        <w:t>/collectview prometheus-query</w:t>
      </w:r>
    </w:p>
    <w:p>
      <w:pPr>
        <w:pStyle w:val="GuideCode"/>
        <w:keepNext w:val="0"/>
        <w:keepLines/>
        <w:shd w:fill="F2F5F7"/>
      </w:pPr>
      <w:r>
        <w:rPr>
          <w:sz w:val="18"/>
        </w:rPr>
        <w:t>/collect prometheus-query {"query":"up"}</w:t>
      </w:r>
    </w:p>
    <w:p>
      <w:pPr>
        <w:pStyle w:val="GuideCode"/>
        <w:keepNext w:val="0"/>
        <w:keepLines/>
        <w:shd w:fill="F2F5F7"/>
      </w:pPr>
      <w:r>
        <w:rPr>
          <w:sz w:val="18"/>
        </w:rPr>
        <w:t>/collectrun prometheus-query {"query":"up"}</w:t>
      </w:r>
    </w:p>
    <w:p>
      <w:r>
        <w:t>/collectlist and /collectview show available collectors and their descriptions/arguments. /collect calls the authenticated API; custom collector Tasks must be approved and enabled. /collectrun runs locally in a Command Terminal for development and testing without approval or enabled status. Output is also shown in the Editor.</w:t>
      </w:r>
    </w:p>
    <w:p>
      <w:r>
        <w:rPr>
          <w:b/>
          <w:color w:val="17324D"/>
        </w:rPr>
        <w:t xml:space="preserve">Arguments: </w:t>
      </w:r>
      <w:r>
        <w:t>If a collector expects arguments, pass a JSON object after its name and keep the braces and quotes intact.</w:t>
      </w:r>
    </w:p>
    <w:p>
      <w:pPr>
        <w:pStyle w:val="Heading2"/>
      </w:pPr>
      <w:r>
        <w:rPr>
          <w:color w:val="000000"/>
        </w:rPr>
        <w:t>Roles and version controls</w:t>
      </w:r>
    </w:p>
    <w:p>
      <w:r>
        <w:t>These permissions apply to signed-in server operations. The owner is the user who created the Task. Administrator access does not bypass approval, enablement, or execution policy.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rPr>
          <w:tblHeader/>
        </w:trPr>
        <w:tc>
          <w:tcPr>
            <w:tcW w:type="dxa" w:w="3528"/>
            <w:vAlign w:val="center"/>
            <w:shd w:fill="E8EEF4"/>
            <w:tcMar>
              <w:top w:w="85" w:type="dxa"/>
              <w:left w:w="85" w:type="dxa"/>
              <w:bottom w:w="85" w:type="dxa"/>
              <w:right w:w="85" w:type="dxa"/>
            </w:tcMar>
          </w:tcPr>
          <w:p>
            <w:pPr>
              <w:spacing w:after="80"/>
            </w:pPr>
            <w:r>
              <w:rPr>
                <w:b/>
                <w:color w:val="000000"/>
                <w:sz w:val="18"/>
              </w:rPr>
              <w:t>Capability</w:t>
            </w:r>
          </w:p>
        </w:tc>
        <w:tc>
          <w:tcPr>
            <w:tcW w:type="dxa" w:w="1872"/>
            <w:vAlign w:val="center"/>
            <w:shd w:fill="E8EEF4"/>
            <w:tcMar>
              <w:top w:w="85" w:type="dxa"/>
              <w:left w:w="85" w:type="dxa"/>
              <w:bottom w:w="85" w:type="dxa"/>
              <w:right w:w="85" w:type="dxa"/>
            </w:tcMar>
          </w:tcPr>
          <w:p>
            <w:pPr>
              <w:spacing w:after="80"/>
            </w:pPr>
            <w:r>
              <w:rPr>
                <w:b/>
                <w:color w:val="000000"/>
                <w:sz w:val="18"/>
              </w:rPr>
              <w:t>Administrator</w:t>
            </w:r>
          </w:p>
        </w:tc>
        <w:tc>
          <w:tcPr>
            <w:tcW w:type="dxa" w:w="1872"/>
            <w:vAlign w:val="center"/>
            <w:shd w:fill="E8EEF4"/>
            <w:tcMar>
              <w:top w:w="85" w:type="dxa"/>
              <w:left w:w="85" w:type="dxa"/>
              <w:bottom w:w="85" w:type="dxa"/>
              <w:right w:w="85" w:type="dxa"/>
            </w:tcMar>
          </w:tcPr>
          <w:p>
            <w:pPr>
              <w:spacing w:after="80"/>
            </w:pPr>
            <w:r>
              <w:rPr>
                <w:b/>
                <w:color w:val="000000"/>
                <w:sz w:val="18"/>
              </w:rPr>
              <w:t>Power User</w:t>
            </w:r>
          </w:p>
        </w:tc>
        <w:tc>
          <w:tcPr>
            <w:tcW w:type="dxa" w:w="1872"/>
            <w:vAlign w:val="center"/>
            <w:shd w:fill="E8EEF4"/>
            <w:tcMar>
              <w:top w:w="85" w:type="dxa"/>
              <w:left w:w="85" w:type="dxa"/>
              <w:bottom w:w="85" w:type="dxa"/>
              <w:right w:w="85" w:type="dxa"/>
            </w:tcMar>
          </w:tcPr>
          <w:p>
            <w:pPr>
              <w:spacing w:after="80"/>
            </w:pPr>
            <w:r>
              <w:rPr>
                <w:b/>
                <w:color w:val="000000"/>
                <w:sz w:val="18"/>
              </w:rPr>
              <w:t>User</w:t>
            </w:r>
          </w:p>
        </w:tc>
      </w:tr>
      <w:tr>
        <w:tc>
          <w:tcPr>
            <w:tcW w:type="dxa" w:w="3528"/>
            <w:vAlign w:val="center"/>
            <w:shd w:fill="FFFFFF"/>
            <w:tcMar>
              <w:top w:w="85" w:type="dxa"/>
              <w:left w:w="85" w:type="dxa"/>
              <w:bottom w:w="85" w:type="dxa"/>
              <w:right w:w="85" w:type="dxa"/>
            </w:tcMar>
          </w:tcPr>
          <w:p>
            <w:pPr>
              <w:spacing w:after="80"/>
            </w:pPr>
            <w:r>
              <w:rPr>
                <w:color w:val="000000"/>
                <w:sz w:val="18"/>
              </w:rPr>
              <w:t>Create Tasks and Collectors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r>
      <w:tr>
        <w:tc>
          <w:tcPr>
            <w:tcW w:type="dxa" w:w="3528"/>
            <w:vAlign w:val="center"/>
            <w:shd w:fill="F5F7F9"/>
            <w:tcMar>
              <w:top w:w="85" w:type="dxa"/>
              <w:left w:w="85" w:type="dxa"/>
              <w:bottom w:w="85" w:type="dxa"/>
              <w:right w:w="85" w:type="dxa"/>
            </w:tcMar>
          </w:tcPr>
          <w:p>
            <w:pPr>
              <w:spacing w:after="80"/>
            </w:pPr>
            <w:r>
              <w:rPr>
                <w:color w:val="000000"/>
                <w:sz w:val="18"/>
              </w:rPr>
              <w:t>Edit or delete a Task or version</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Own Tasks</w:t>
            </w:r>
          </w:p>
        </w:tc>
      </w:tr>
      <w:tr>
        <w:tc>
          <w:tcPr>
            <w:tcW w:type="dxa" w:w="3528"/>
            <w:vAlign w:val="center"/>
            <w:shd w:fill="FFFFFF"/>
            <w:tcMar>
              <w:top w:w="85" w:type="dxa"/>
              <w:left w:w="85" w:type="dxa"/>
              <w:bottom w:w="85" w:type="dxa"/>
              <w:right w:w="85" w:type="dxa"/>
            </w:tcMar>
          </w:tcPr>
          <w:p>
            <w:pPr>
              <w:spacing w:after="80"/>
            </w:pPr>
            <w:r>
              <w:rPr>
                <w:color w:val="000000"/>
                <w:sz w:val="18"/>
              </w:rPr>
              <w:t>Approve Version</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No</w:t>
            </w:r>
          </w:p>
        </w:tc>
      </w:tr>
      <w:tr>
        <w:tc>
          <w:tcPr>
            <w:tcW w:type="dxa" w:w="3528"/>
            <w:vAlign w:val="center"/>
            <w:shd w:fill="F5F7F9"/>
            <w:tcMar>
              <w:top w:w="85" w:type="dxa"/>
              <w:left w:w="85" w:type="dxa"/>
              <w:bottom w:w="85" w:type="dxa"/>
              <w:right w:w="85" w:type="dxa"/>
            </w:tcMar>
          </w:tcPr>
          <w:p>
            <w:pPr>
              <w:spacing w:after="80"/>
            </w:pPr>
            <w:r>
              <w:rPr>
                <w:color w:val="000000"/>
                <w:sz w:val="18"/>
              </w:rPr>
              <w:t>Enable or disable a version</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Own Tasks</w:t>
            </w:r>
          </w:p>
        </w:tc>
      </w:tr>
      <w:tr>
        <w:tc>
          <w:tcPr>
            <w:tcW w:type="dxa" w:w="3528"/>
            <w:vAlign w:val="center"/>
            <w:shd w:fill="FFFFFF"/>
            <w:tcMar>
              <w:top w:w="85" w:type="dxa"/>
              <w:left w:w="85" w:type="dxa"/>
              <w:bottom w:w="85" w:type="dxa"/>
              <w:right w:w="85" w:type="dxa"/>
            </w:tcMar>
          </w:tcPr>
          <w:p>
            <w:pPr>
              <w:spacing w:after="80"/>
            </w:pPr>
            <w:r>
              <w:rPr>
                <w:color w:val="000000"/>
                <w:sz w:val="18"/>
              </w:rPr>
              <w:t>Set Manual AI-Assisted or Disabled policy</w:t>
            </w:r>
          </w:p>
        </w:tc>
        <w:tc>
          <w:tcPr>
            <w:tcW w:type="dxa" w:w="1872"/>
            <w:vAlign w:val="center"/>
            <w:shd w:fill="FFFFFF"/>
            <w:tcMar>
              <w:top w:w="85" w:type="dxa"/>
              <w:left w:w="85" w:type="dxa"/>
              <w:bottom w:w="85" w:type="dxa"/>
              <w:right w:w="85" w:type="dxa"/>
            </w:tcMar>
          </w:tcPr>
          <w:p>
            <w:pPr>
              <w:spacing w:after="80"/>
            </w:pPr>
            <w:r>
              <w:rPr>
                <w:color w:val="000000"/>
                <w:sz w:val="18"/>
              </w:rPr>
              <w:t>Any Task</w:t>
            </w:r>
          </w:p>
        </w:tc>
        <w:tc>
          <w:tcPr>
            <w:tcW w:type="dxa" w:w="1872"/>
            <w:vAlign w:val="center"/>
            <w:shd w:fill="FFFFFF"/>
            <w:tcMar>
              <w:top w:w="85" w:type="dxa"/>
              <w:left w:w="85" w:type="dxa"/>
              <w:bottom w:w="85" w:type="dxa"/>
              <w:right w:w="85" w:type="dxa"/>
            </w:tcMar>
          </w:tcPr>
          <w:p>
            <w:pPr>
              <w:spacing w:after="80"/>
            </w:pPr>
            <w:r>
              <w:rPr>
                <w:color w:val="000000"/>
                <w:sz w:val="18"/>
              </w:rPr>
              <w:t>Any Task</w:t>
            </w:r>
          </w:p>
        </w:tc>
        <w:tc>
          <w:tcPr>
            <w:tcW w:type="dxa" w:w="1872"/>
            <w:vAlign w:val="center"/>
            <w:shd w:fill="FFFFFF"/>
            <w:tcMar>
              <w:top w:w="85" w:type="dxa"/>
              <w:left w:w="85" w:type="dxa"/>
              <w:bottom w:w="85" w:type="dxa"/>
              <w:right w:w="85" w:type="dxa"/>
            </w:tcMar>
          </w:tcPr>
          <w:p>
            <w:pPr>
              <w:spacing w:after="80"/>
            </w:pPr>
            <w:r>
              <w:rPr>
                <w:color w:val="000000"/>
                <w:sz w:val="18"/>
              </w:rPr>
              <w:t>Own Tasks</w:t>
            </w:r>
          </w:p>
        </w:tc>
      </w:tr>
      <w:tr>
        <w:tc>
          <w:tcPr>
            <w:tcW w:type="dxa" w:w="3528"/>
            <w:vAlign w:val="center"/>
            <w:shd w:fill="F5F7F9"/>
            <w:tcMar>
              <w:top w:w="85" w:type="dxa"/>
              <w:left w:w="85" w:type="dxa"/>
              <w:bottom w:w="85" w:type="dxa"/>
              <w:right w:w="85" w:type="dxa"/>
            </w:tcMar>
          </w:tcPr>
          <w:p>
            <w:pPr>
              <w:spacing w:after="80"/>
            </w:pPr>
            <w:r>
              <w:rPr>
                <w:color w:val="000000"/>
                <w:sz w:val="18"/>
              </w:rPr>
              <w:t>Set Auto-Approved policy</w:t>
            </w:r>
          </w:p>
        </w:tc>
        <w:tc>
          <w:tcPr>
            <w:tcW w:type="dxa" w:w="1872"/>
            <w:vAlign w:val="center"/>
            <w:shd w:fill="F5F7F9"/>
            <w:tcMar>
              <w:top w:w="85" w:type="dxa"/>
              <w:left w:w="85" w:type="dxa"/>
              <w:bottom w:w="85" w:type="dxa"/>
              <w:right w:w="85" w:type="dxa"/>
            </w:tcMar>
          </w:tcPr>
          <w:p>
            <w:pPr>
              <w:spacing w:after="80"/>
            </w:pPr>
            <w:r>
              <w:rPr>
                <w:color w:val="000000"/>
                <w:sz w:val="18"/>
              </w:rPr>
              <w:t>Yes</w:t>
            </w:r>
          </w:p>
        </w:tc>
        <w:tc>
          <w:tcPr>
            <w:tcW w:type="dxa" w:w="1872"/>
            <w:vAlign w:val="center"/>
            <w:shd w:fill="F5F7F9"/>
            <w:tcMar>
              <w:top w:w="85" w:type="dxa"/>
              <w:left w:w="85" w:type="dxa"/>
              <w:bottom w:w="85" w:type="dxa"/>
              <w:right w:w="85" w:type="dxa"/>
            </w:tcMar>
          </w:tcPr>
          <w:p>
            <w:pPr>
              <w:spacing w:after="80"/>
            </w:pPr>
            <w:r>
              <w:rPr>
                <w:color w:val="000000"/>
                <w:sz w:val="18"/>
              </w:rPr>
              <w:t>Yes</w:t>
            </w:r>
          </w:p>
        </w:tc>
        <w:tc>
          <w:tcPr>
            <w:tcW w:type="dxa" w:w="1872"/>
            <w:vAlign w:val="center"/>
            <w:shd w:fill="F5F7F9"/>
            <w:tcMar>
              <w:top w:w="85" w:type="dxa"/>
              <w:left w:w="85" w:type="dxa"/>
              <w:bottom w:w="85" w:type="dxa"/>
              <w:right w:w="85" w:type="dxa"/>
            </w:tcMar>
          </w:tcPr>
          <w:p>
            <w:pPr>
              <w:spacing w:after="80"/>
            </w:pPr>
            <w:r>
              <w:rPr>
                <w:color w:val="000000"/>
                <w:sz w:val="18"/>
              </w:rPr>
              <w:t>No</w:t>
            </w:r>
          </w:p>
        </w:tc>
      </w:tr>
      <w:tr>
        <w:tc>
          <w:tcPr>
            <w:tcW w:type="dxa" w:w="3528"/>
            <w:vAlign w:val="center"/>
            <w:shd w:fill="FFFFFF"/>
            <w:tcMar>
              <w:top w:w="85" w:type="dxa"/>
              <w:left w:w="85" w:type="dxa"/>
              <w:bottom w:w="85" w:type="dxa"/>
              <w:right w:w="85" w:type="dxa"/>
            </w:tcMar>
          </w:tcPr>
          <w:p>
            <w:pPr>
              <w:spacing w:after="80"/>
            </w:pPr>
            <w:r>
              <w:rPr>
                <w:color w:val="000000"/>
                <w:sz w:val="18"/>
              </w:rPr>
              <w:t>Run approved enabled versions through API</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r>
      <w:tr>
        <w:tc>
          <w:tcPr>
            <w:tcW w:type="dxa" w:w="3528"/>
            <w:vAlign w:val="center"/>
            <w:shd w:fill="F5F7F9"/>
            <w:tcMar>
              <w:top w:w="85" w:type="dxa"/>
              <w:left w:w="85" w:type="dxa"/>
              <w:bottom w:w="85" w:type="dxa"/>
              <w:right w:w="85" w:type="dxa"/>
            </w:tcMar>
          </w:tcPr>
          <w:p>
            <w:pPr>
              <w:spacing w:after="80"/>
            </w:pPr>
            <w:r>
              <w:rPr>
                <w:color w:val="000000"/>
                <w:sz w:val="18"/>
              </w:rPr>
              <w:t>Create and delete users</w:t>
            </w:r>
          </w:p>
        </w:tc>
        <w:tc>
          <w:tcPr>
            <w:tcW w:type="dxa" w:w="1872"/>
            <w:vAlign w:val="center"/>
            <w:shd w:fill="F5F7F9"/>
            <w:tcMar>
              <w:top w:w="85" w:type="dxa"/>
              <w:left w:w="85" w:type="dxa"/>
              <w:bottom w:w="85" w:type="dxa"/>
              <w:right w:w="85" w:type="dxa"/>
            </w:tcMar>
          </w:tcPr>
          <w:p>
            <w:pPr>
              <w:spacing w:after="80"/>
            </w:pPr>
            <w:r>
              <w:rPr>
                <w:color w:val="000000"/>
                <w:sz w:val="18"/>
              </w:rPr>
              <w:t>Yes</w:t>
            </w:r>
          </w:p>
        </w:tc>
        <w:tc>
          <w:tcPr>
            <w:tcW w:type="dxa" w:w="1872"/>
            <w:vAlign w:val="center"/>
            <w:shd w:fill="F5F7F9"/>
            <w:tcMar>
              <w:top w:w="85" w:type="dxa"/>
              <w:left w:w="85" w:type="dxa"/>
              <w:bottom w:w="85" w:type="dxa"/>
              <w:right w:w="85" w:type="dxa"/>
            </w:tcMar>
          </w:tcPr>
          <w:p>
            <w:pPr>
              <w:spacing w:after="80"/>
            </w:pPr>
            <w:r>
              <w:rPr>
                <w:color w:val="000000"/>
                <w:sz w:val="18"/>
              </w:rPr>
              <w:t>No</w:t>
            </w:r>
          </w:p>
        </w:tc>
        <w:tc>
          <w:tcPr>
            <w:tcW w:type="dxa" w:w="1872"/>
            <w:vAlign w:val="center"/>
            <w:shd w:fill="F5F7F9"/>
            <w:tcMar>
              <w:top w:w="85" w:type="dxa"/>
              <w:left w:w="85" w:type="dxa"/>
              <w:bottom w:w="85" w:type="dxa"/>
              <w:right w:w="85" w:type="dxa"/>
            </w:tcMar>
          </w:tcPr>
          <w:p>
            <w:pPr>
              <w:spacing w:after="80"/>
            </w:pPr>
            <w:r>
              <w:rPr>
                <w:color w:val="000000"/>
                <w:sz w:val="18"/>
              </w:rPr>
              <w:t>No</w:t>
            </w:r>
          </w:p>
        </w:tc>
      </w:tr>
      <w:tr>
        <w:tc>
          <w:tcPr>
            <w:tcW w:type="dxa" w:w="3528"/>
            <w:vAlign w:val="center"/>
            <w:shd w:fill="FFFFFF"/>
            <w:tcMar>
              <w:top w:w="85" w:type="dxa"/>
              <w:left w:w="85" w:type="dxa"/>
              <w:bottom w:w="85" w:type="dxa"/>
              <w:right w:w="85" w:type="dxa"/>
            </w:tcMar>
          </w:tcPr>
          <w:p>
            <w:pPr>
              <w:spacing w:after="80"/>
            </w:pPr>
            <w:r>
              <w:rPr>
                <w:color w:val="000000"/>
                <w:sz w:val="18"/>
              </w:rPr>
              <w:t>Change own password</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r>
    </w:tbl>
    <w:p>
      <w:r>
        <w:t>For built-in collectors, all three roles can enable or disable a collector. Only Administrators and Power Users can change its approval or execution policy.</w:t>
      </w:r>
    </w:p>
    <w:p>
      <w:r>
        <w:t>1. Save the artifact and select its version. A new version starts unapproved and disabled.</w:t>
      </w:r>
    </w:p>
    <w:p>
      <w:r>
        <w:t>2. An Administrator or Power User reviews the code and argument schema, then selects Approve Version.</w:t>
      </w:r>
    </w:p>
    <w:p>
      <w:r>
        <w:t>3. An Administrator, Power User, or Task owner selects Enable Version. Both approval and enablement are required for API execution.</w:t>
      </w:r>
    </w:p>
    <w:p>
      <w:r>
        <w:t>4. Choose an appropriate execution policy. Saving edited code or schema creates a new version; approval and enablement do not carry over.</w:t>
      </w:r>
    </w:p>
    <w:p>
      <w:pPr>
        <w:pStyle w:val="Heading2"/>
      </w:pPr>
      <w:r>
        <w:rPr>
          <w:color w:val="000000"/>
        </w:rPr>
        <w:t>Execution policies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1872"/>
            <w:vAlign w:val="center"/>
            <w:shd w:fill="E8EEF4"/>
            <w:tcMar>
              <w:top w:w="85" w:type="dxa"/>
              <w:left w:w="85" w:type="dxa"/>
              <w:bottom w:w="85" w:type="dxa"/>
              <w:right w:w="85" w:type="dxa"/>
            </w:tcMar>
          </w:tcPr>
          <w:p>
            <w:pPr>
              <w:spacing w:after="80"/>
            </w:pPr>
            <w:r>
              <w:rPr>
                <w:b/>
                <w:color w:val="000000"/>
                <w:sz w:val="18"/>
              </w:rPr>
              <w:t>Policy</w:t>
            </w:r>
          </w:p>
        </w:tc>
        <w:tc>
          <w:tcPr>
            <w:tcW w:type="dxa" w:w="3384"/>
            <w:vAlign w:val="center"/>
            <w:shd w:fill="E8EEF4"/>
            <w:tcMar>
              <w:top w:w="85" w:type="dxa"/>
              <w:left w:w="85" w:type="dxa"/>
              <w:bottom w:w="85" w:type="dxa"/>
              <w:right w:w="85" w:type="dxa"/>
            </w:tcMar>
          </w:tcPr>
          <w:p>
            <w:pPr>
              <w:spacing w:after="80"/>
            </w:pPr>
            <w:r>
              <w:rPr>
                <w:b/>
                <w:color w:val="000000"/>
                <w:sz w:val="18"/>
              </w:rPr>
              <w:t>Human API request</w:t>
            </w:r>
          </w:p>
        </w:tc>
        <w:tc>
          <w:tcPr>
            <w:tcW w:type="dxa" w:w="3888"/>
            <w:vAlign w:val="center"/>
            <w:shd w:fill="E8EEF4"/>
            <w:tcMar>
              <w:top w:w="85" w:type="dxa"/>
              <w:left w:w="85" w:type="dxa"/>
              <w:bottom w:w="85" w:type="dxa"/>
              <w:right w:w="85" w:type="dxa"/>
            </w:tcMar>
          </w:tcPr>
          <w:p>
            <w:pPr>
              <w:spacing w:after="80"/>
            </w:pPr>
            <w:r>
              <w:rPr>
                <w:b/>
                <w:color w:val="000000"/>
                <w:sz w:val="18"/>
              </w:rPr>
              <w:t>AI collector request</w:t>
            </w:r>
          </w:p>
        </w:tc>
      </w:tr>
      <w:tr>
        <w:tc>
          <w:tcPr>
            <w:tcW w:type="dxa" w:w="1872"/>
            <w:vAlign w:val="center"/>
            <w:shd w:fill="FFFFFF"/>
            <w:tcMar>
              <w:top w:w="85" w:type="dxa"/>
              <w:left w:w="85" w:type="dxa"/>
              <w:bottom w:w="85" w:type="dxa"/>
              <w:right w:w="85" w:type="dxa"/>
            </w:tcMar>
          </w:tcPr>
          <w:p>
            <w:pPr>
              <w:spacing w:after="80"/>
            </w:pPr>
            <w:r>
              <w:rPr>
                <w:color w:val="000000"/>
                <w:sz w:val="18"/>
              </w:rPr>
              <w:t>Manual</w:t>
            </w:r>
          </w:p>
        </w:tc>
        <w:tc>
          <w:tcPr>
            <w:tcW w:type="dxa" w:w="3384"/>
            <w:vAlign w:val="center"/>
            <w:shd w:fill="FFFFFF"/>
            <w:tcMar>
              <w:top w:w="85" w:type="dxa"/>
              <w:left w:w="85" w:type="dxa"/>
              <w:bottom w:w="85" w:type="dxa"/>
              <w:right w:w="85" w:type="dxa"/>
            </w:tcMar>
          </w:tcPr>
          <w:p>
            <w:pPr>
              <w:spacing w:after="80"/>
            </w:pPr>
            <w:r>
              <w:rPr>
                <w:color w:val="000000"/>
                <w:sz w:val="18"/>
              </w:rPr>
              <w:t>Allowed if approved and enabled</w:t>
            </w:r>
          </w:p>
        </w:tc>
        <w:tc>
          <w:tcPr>
            <w:tcW w:type="dxa" w:w="3888"/>
            <w:vAlign w:val="center"/>
            <w:shd w:fill="FFFFFF"/>
            <w:tcMar>
              <w:top w:w="85" w:type="dxa"/>
              <w:left w:w="85" w:type="dxa"/>
              <w:bottom w:w="85" w:type="dxa"/>
              <w:right w:w="85" w:type="dxa"/>
            </w:tcMar>
          </w:tcPr>
          <w:p>
            <w:pPr>
              <w:spacing w:after="80"/>
            </w:pPr>
            <w:r>
              <w:rPr>
                <w:color w:val="000000"/>
                <w:sz w:val="18"/>
              </w:rPr>
              <w:t>Not offered to AI</w:t>
            </w:r>
          </w:p>
        </w:tc>
      </w:tr>
      <w:tr>
        <w:tc>
          <w:tcPr>
            <w:tcW w:type="dxa" w:w="1872"/>
            <w:vAlign w:val="center"/>
            <w:shd w:fill="F5F7F9"/>
            <w:tcMar>
              <w:top w:w="85" w:type="dxa"/>
              <w:left w:w="85" w:type="dxa"/>
              <w:bottom w:w="85" w:type="dxa"/>
              <w:right w:w="85" w:type="dxa"/>
            </w:tcMar>
          </w:tcPr>
          <w:p>
            <w:pPr>
              <w:spacing w:after="80"/>
            </w:pPr>
            <w:r>
              <w:rPr>
                <w:color w:val="000000"/>
                <w:sz w:val="18"/>
              </w:rPr>
              <w:t>AI-Assisted</w:t>
            </w:r>
          </w:p>
        </w:tc>
        <w:tc>
          <w:tcPr>
            <w:tcW w:type="dxa" w:w="3384"/>
            <w:vAlign w:val="center"/>
            <w:shd w:fill="F5F7F9"/>
            <w:tcMar>
              <w:top w:w="85" w:type="dxa"/>
              <w:left w:w="85" w:type="dxa"/>
              <w:bottom w:w="85" w:type="dxa"/>
              <w:right w:w="85" w:type="dxa"/>
            </w:tcMar>
          </w:tcPr>
          <w:p>
            <w:pPr>
              <w:spacing w:after="80"/>
            </w:pPr>
            <w:r>
              <w:rPr>
                <w:color w:val="000000"/>
                <w:sz w:val="18"/>
              </w:rPr>
              <w:t>Allowed if approved and enabled</w:t>
            </w:r>
          </w:p>
        </w:tc>
        <w:tc>
          <w:tcPr>
            <w:tcW w:type="dxa" w:w="3888"/>
            <w:vAlign w:val="center"/>
            <w:shd w:fill="F5F7F9"/>
            <w:tcMar>
              <w:top w:w="85" w:type="dxa"/>
              <w:left w:w="85" w:type="dxa"/>
              <w:bottom w:w="85" w:type="dxa"/>
              <w:right w:w="85" w:type="dxa"/>
            </w:tcMar>
          </w:tcPr>
          <w:p>
            <w:pPr>
              <w:spacing w:after="80"/>
            </w:pPr>
            <w:r>
              <w:rPr>
                <w:color w:val="000000"/>
                <w:sz w:val="18"/>
              </w:rPr>
              <w:t>Human confirmation required</w:t>
            </w:r>
          </w:p>
        </w:tc>
      </w:tr>
      <w:tr>
        <w:tc>
          <w:tcPr>
            <w:tcW w:type="dxa" w:w="1872"/>
            <w:vAlign w:val="center"/>
            <w:shd w:fill="FFFFFF"/>
            <w:tcMar>
              <w:top w:w="85" w:type="dxa"/>
              <w:left w:w="85" w:type="dxa"/>
              <w:bottom w:w="85" w:type="dxa"/>
              <w:right w:w="85" w:type="dxa"/>
            </w:tcMar>
          </w:tcPr>
          <w:p>
            <w:pPr>
              <w:spacing w:after="80"/>
            </w:pPr>
            <w:r>
              <w:rPr>
                <w:color w:val="000000"/>
                <w:sz w:val="18"/>
              </w:rPr>
              <w:t>Auto-Approved</w:t>
            </w:r>
          </w:p>
        </w:tc>
        <w:tc>
          <w:tcPr>
            <w:tcW w:type="dxa" w:w="3384"/>
            <w:vAlign w:val="center"/>
            <w:shd w:fill="FFFFFF"/>
            <w:tcMar>
              <w:top w:w="85" w:type="dxa"/>
              <w:left w:w="85" w:type="dxa"/>
              <w:bottom w:w="85" w:type="dxa"/>
              <w:right w:w="85" w:type="dxa"/>
            </w:tcMar>
          </w:tcPr>
          <w:p>
            <w:pPr>
              <w:spacing w:after="80"/>
            </w:pPr>
            <w:r>
              <w:rPr>
                <w:color w:val="000000"/>
                <w:sz w:val="18"/>
              </w:rPr>
              <w:t>Allowed if approved and enabled</w:t>
            </w:r>
          </w:p>
        </w:tc>
        <w:tc>
          <w:tcPr>
            <w:tcW w:type="dxa" w:w="3888"/>
            <w:vAlign w:val="center"/>
            <w:shd w:fill="FFFFFF"/>
            <w:tcMar>
              <w:top w:w="85" w:type="dxa"/>
              <w:left w:w="85" w:type="dxa"/>
              <w:bottom w:w="85" w:type="dxa"/>
              <w:right w:w="85" w:type="dxa"/>
            </w:tcMar>
          </w:tcPr>
          <w:p>
            <w:pPr>
              <w:spacing w:after="80"/>
            </w:pPr>
            <w:r>
              <w:rPr>
                <w:color w:val="000000"/>
                <w:sz w:val="18"/>
              </w:rPr>
              <w:t>Automatic unless argument review is selected</w:t>
            </w:r>
          </w:p>
        </w:tc>
      </w:tr>
      <w:tr>
        <w:tc>
          <w:tcPr>
            <w:tcW w:type="dxa" w:w="1872"/>
            <w:vAlign w:val="center"/>
            <w:shd w:fill="F5F7F9"/>
            <w:tcMar>
              <w:top w:w="85" w:type="dxa"/>
              <w:left w:w="85" w:type="dxa"/>
              <w:bottom w:w="85" w:type="dxa"/>
              <w:right w:w="85" w:type="dxa"/>
            </w:tcMar>
          </w:tcPr>
          <w:p>
            <w:pPr>
              <w:spacing w:after="80"/>
            </w:pPr>
            <w:r>
              <w:rPr>
                <w:color w:val="000000"/>
                <w:sz w:val="18"/>
              </w:rPr>
              <w:t>Disabled</w:t>
            </w:r>
          </w:p>
        </w:tc>
        <w:tc>
          <w:tcPr>
            <w:tcW w:type="dxa" w:w="3384"/>
            <w:vAlign w:val="center"/>
            <w:shd w:fill="F5F7F9"/>
            <w:tcMar>
              <w:top w:w="85" w:type="dxa"/>
              <w:left w:w="85" w:type="dxa"/>
              <w:bottom w:w="85" w:type="dxa"/>
              <w:right w:w="85" w:type="dxa"/>
            </w:tcMar>
          </w:tcPr>
          <w:p>
            <w:pPr>
              <w:spacing w:after="80"/>
            </w:pPr>
            <w:r>
              <w:rPr>
                <w:color w:val="000000"/>
                <w:sz w:val="18"/>
              </w:rPr>
              <w:t>Blocked for every role</w:t>
            </w:r>
          </w:p>
        </w:tc>
        <w:tc>
          <w:tcPr>
            <w:tcW w:type="dxa" w:w="3888"/>
            <w:vAlign w:val="center"/>
            <w:shd w:fill="F5F7F9"/>
            <w:tcMar>
              <w:top w:w="85" w:type="dxa"/>
              <w:left w:w="85" w:type="dxa"/>
              <w:bottom w:w="85" w:type="dxa"/>
              <w:right w:w="85" w:type="dxa"/>
            </w:tcMar>
          </w:tcPr>
          <w:p>
            <w:pPr>
              <w:spacing w:after="80"/>
            </w:pPr>
            <w:r>
              <w:rPr>
                <w:color w:val="000000"/>
                <w:sz w:val="18"/>
              </w:rPr>
              <w:t>Not offered to AI</w:t>
            </w:r>
          </w:p>
        </w:tc>
      </w:tr>
    </w:tbl>
    <w:p>
      <w:r>
        <w:t>Typing /task or /collect is an explicit human request; Manual policy does not add another Yes/No prompt. AI tool calling currently executes eligible Collectors. General, Remediation, and Rollback Tasks are not executed automatically by the RCA collector dispatcher.</w:t>
      </w:r>
    </w:p>
    <w:p>
      <w:r>
        <w:t>Local /taskrun and /collectrun are for development and debugging. They require Y/N confirmation but do not require server approval or enablement.</w:t>
      </w:r>
    </w:p>
    <w:p>
      <w:pPr>
        <w:pStyle w:val="Heading2"/>
      </w:pPr>
      <w:r>
        <w:rPr>
          <w:color w:val="000000"/>
        </w:rPr>
        <w:t>Define input arguments</w:t>
      </w:r>
    </w:p>
    <w:p>
      <w:r>
        <w:t>Arguments schema JSON is optional for every task kind and is saved with the artifact version. A schema defines allowed argument names, types, and required fields. Blank or {} is saved as the explicit no-arguments schema below; it accepts {} and rejects extra fields.</w:t>
      </w:r>
    </w:p>
    <w:p>
      <w:pPr>
        <w:pStyle w:val="GuideCode"/>
        <w:keepNext w:val="0"/>
      </w:pPr>
      <w:r>
        <w:rPr>
          <w:sz w:val="18"/>
        </w:rPr>
        <w:t>{</w:t>
      </w:r>
    </w:p>
    <w:p>
      <w:pPr>
        <w:pStyle w:val="GuideCode"/>
        <w:keepNext w:val="0"/>
      </w:pPr>
      <w:r>
        <w:rPr>
          <w:sz w:val="18"/>
        </w:rPr>
        <w:t xml:space="preserve">  "type": "object",</w:t>
      </w:r>
    </w:p>
    <w:p>
      <w:pPr>
        <w:pStyle w:val="GuideCode"/>
        <w:keepNext w:val="0"/>
      </w:pPr>
      <w:r>
        <w:rPr>
          <w:sz w:val="18"/>
        </w:rPr>
        <w:t xml:space="preserve">  "properties": {},</w:t>
      </w:r>
    </w:p>
    <w:p>
      <w:pPr>
        <w:pStyle w:val="GuideCode"/>
        <w:keepNext w:val="0"/>
      </w:pPr>
      <w:r>
        <w:rPr>
          <w:sz w:val="18"/>
        </w:rPr>
        <w:t xml:space="preserve">  "required": [],</w:t>
      </w:r>
    </w:p>
    <w:p>
      <w:pPr>
        <w:pStyle w:val="GuideCode"/>
        <w:keepNext w:val="0"/>
      </w:pPr>
      <w:r>
        <w:rPr>
          <w:sz w:val="18"/>
        </w:rPr>
        <w:t xml:space="preserve">  "additionalProperties": false</w:t>
      </w:r>
    </w:p>
    <w:p>
      <w:pPr>
        <w:pStyle w:val="GuideCode"/>
        <w:keepNext w:val="0"/>
      </w:pPr>
      <w:r>
        <w:rPr>
          <w:sz w:val="18"/>
        </w:rPr>
        <w:t>}</w:t>
      </w:r>
    </w:p>
    <w:p>
      <w:r>
        <w:t>For a Prometheus collector that needs a query, use this schema before saving and approving the version:</w:t>
      </w:r>
    </w:p>
    <w:p>
      <w:pPr>
        <w:pStyle w:val="GuideCode"/>
        <w:keepNext w:val="0"/>
      </w:pPr>
      <w:r>
        <w:rPr>
          <w:sz w:val="18"/>
        </w:rPr>
        <w:t>{</w:t>
      </w:r>
    </w:p>
    <w:p>
      <w:pPr>
        <w:pStyle w:val="GuideCode"/>
        <w:keepNext w:val="0"/>
      </w:pPr>
      <w:r>
        <w:rPr>
          <w:sz w:val="18"/>
        </w:rPr>
        <w:t xml:space="preserve">  "type": "object",</w:t>
      </w:r>
    </w:p>
    <w:p>
      <w:pPr>
        <w:pStyle w:val="GuideCode"/>
        <w:keepNext w:val="0"/>
      </w:pPr>
      <w:r>
        <w:rPr>
          <w:sz w:val="18"/>
        </w:rPr>
        <w:t xml:space="preserve">  "properties": {</w:t>
      </w:r>
    </w:p>
    <w:p>
      <w:pPr>
        <w:pStyle w:val="GuideCode"/>
        <w:keepNext w:val="0"/>
      </w:pPr>
      <w:r>
        <w:rPr>
          <w:sz w:val="18"/>
        </w:rPr>
        <w:t xml:space="preserve">    "query": {"type": "string", "minLength": 1, "maxLength": 2000}</w:t>
      </w:r>
    </w:p>
    <w:p>
      <w:pPr>
        <w:pStyle w:val="GuideCode"/>
        <w:keepNext w:val="0"/>
      </w:pPr>
      <w:r>
        <w:rPr>
          <w:sz w:val="18"/>
        </w:rPr>
        <w:t xml:space="preserve">  },</w:t>
      </w:r>
    </w:p>
    <w:p>
      <w:pPr>
        <w:pStyle w:val="GuideCode"/>
        <w:keepNext w:val="0"/>
      </w:pPr>
      <w:r>
        <w:rPr>
          <w:sz w:val="18"/>
        </w:rPr>
        <w:t xml:space="preserve">  "required": ["query"],</w:t>
      </w:r>
    </w:p>
    <w:p>
      <w:pPr>
        <w:pStyle w:val="GuideCode"/>
        <w:keepNext w:val="0"/>
      </w:pPr>
      <w:r>
        <w:rPr>
          <w:sz w:val="18"/>
        </w:rPr>
        <w:t xml:space="preserve">  "additionalProperties": false</w:t>
      </w:r>
    </w:p>
    <w:p>
      <w:pPr>
        <w:pStyle w:val="GuideCode"/>
        <w:keepNext w:val="0"/>
      </w:pPr>
      <w:r>
        <w:rPr>
          <w:sz w:val="18"/>
        </w:rPr>
        <w:t>}</w:t>
      </w:r>
    </w:p>
    <w:p>
      <w:r>
        <w:t>Python scripts receive the validated JSON through the environment:</w:t>
      </w:r>
    </w:p>
    <w:p>
      <w:pPr>
        <w:pStyle w:val="GuideCode"/>
        <w:keepNext w:val="0"/>
      </w:pPr>
      <w:r>
        <w:rPr>
          <w:sz w:val="18"/>
        </w:rPr>
        <w:t>import json</w:t>
      </w:r>
    </w:p>
    <w:p>
      <w:pPr>
        <w:pStyle w:val="GuideCode"/>
        <w:keepNext w:val="0"/>
      </w:pPr>
      <w:r>
        <w:rPr>
          <w:sz w:val="18"/>
        </w:rPr>
        <w:t>import os</w:t>
      </w:r>
    </w:p>
    <w:p>
      <w:pPr>
        <w:pStyle w:val="GuideCode"/>
        <w:keepNext w:val="0"/>
      </w:pPr>
      <w:r>
        <w:rPr>
          <w:sz w:val="18"/>
        </w:rPr>
        <w:t>arguments = json.loads(os.environ.get("LH_RUNNER_ARGUMENTS_JSON", "{}"))</w:t>
      </w:r>
    </w:p>
    <w:p>
      <w:pPr>
        <w:pStyle w:val="Heading2"/>
      </w:pPr>
      <w:r>
        <w:t>Shared script contract and execution flow</w:t>
      </w:r>
    </w:p>
    <w:p>
      <w:pPr>
        <w:spacing w:after="120"/>
      </w:pPr>
      <w:r>
        <w:t>General Tasks, Remediation Tasks, Rollback Tasks and custom Collectors use the same executable artifact contract. Python, Bash, PowerShell and Windows CMD scripts receive a JSON object in LH_RUNNER_ARGUMENTS_JSON and communicate through stdout, stderr and the process exit code. Packaged built-in collectors are complete Python scripts using this contract too. n8n workflow JSON is drafted and imported into customer-managed n8n; it is not executed by this runner.</w:t>
      </w:r>
    </w:p>
    <w:p>
      <w:pPr>
        <w:spacing w:after="120"/>
      </w:pPr>
      <w:r>
        <w:t>For API execution, LogHawk resolves the selected definition and version, checks approval, enablement and execution policy, validates arguments against the saved schema, and invokes lhrunner.run_artifact(). Python runs using venv_tools; other languages require their corresponding interpreter on the execution host. Windows CMD requires Windows. The runner captures bounded output and exit status; the API returns normalized output and records the execution. Administrator status does not bypass approval and enablement.</w:t>
      </w:r>
    </w:p>
    <w:p>
      <w:pPr>
        <w:spacing w:after="120"/>
      </w:pPr>
      <w:r>
        <w:t>Built-ins use run_builtin_collector(), which validates arguments and delegates to run_artifact(). Custom task kinds use task_runner.run_version(), which delegates to the same runner and then calls the same normalize_output() helper. Built-ins and custom scripts share the execution mechanism, but retain their own registry and audit records. Built-in failures still raise through the built-in adapter; custom execution results retain FAILED status and captured error output.</w:t>
      </w:r>
    </w:p>
    <w:p>
      <w:pPr>
        <w:spacing w:after="120"/>
      </w:pPr>
      <w:r>
        <w:t>/task and /collect execute on the API server and use server-side .env_tools. Local /taskrun and /collectrun execute on the Console computer, even when signed in, and use that computer’s .env_tools. Local development runs do not require enabled or approved versions. hawk --local uses local storage. Existing process environment values override .env_tools; the runner sets LH_RUNNER_ARGUMENTS_JSON for each invocation.</w:t>
      </w:r>
    </w:p>
    <w:p>
      <w:pPr>
        <w:spacing w:after="120"/>
      </w:pPr>
      <w:r>
        <w:t>AI-assisted RCA discovery currently selects eligible Collectors. Sharing the runner with General, Remediation and Rollback Tasks does not make those task kinds automatically available as AI tools. Collectors still need the appropriate schema, enabled and approved version, and AI-Assisted or Auto-Approved execution policy.</w:t>
      </w:r>
    </w:p>
    <w:p>
      <w:pPr>
        <w:pStyle w:val="Heading2"/>
      </w:pPr>
      <w:r>
        <w:t>Normalized output and raw captured output</w:t>
      </w:r>
    </w:p>
    <w:p>
      <w:pPr>
        <w:spacing w:after="120"/>
      </w:pPr>
      <w:r>
        <w:t>For a successful built-in call and for custom API task results, normalization adds summary and data while preserving stdout, stderr, exit_code, status and output_metadata. A JSON object containing data supplies the structured data field; a string summary is used when present. Other valid JSON becomes the data value. Plain text, mixed logs plus JSON, empty output or runner-truncated JSON is returned as data.text. Print one complete JSON document on stdout for structured evidence; send diagnostic messages to stderr.</w:t>
      </w:r>
    </w:p>
    <w:p>
      <w:pPr>
        <w:spacing w:after="120"/>
      </w:pPr>
      <w:r>
        <w:t>Example printed JSON: {"summary":"Found 2 pods.","data":{"count":2}}. The API exposes summary = "Found 2 pods." and data = {"count":2}. The raw stdout string is also retained, so escaped quotation marks inside stdout are expected. If the program prints [1,2], data is [1,2]. If it prints hello, data is {"text":"hello"}. These examples describe the normalized fields; the full response also contains execution metadata.</w:t>
      </w:r>
    </w:p>
    <w:p>
      <w:pPr>
        <w:spacing w:after="120"/>
      </w:pPr>
      <w:r>
        <w:t>When a printed object contains data, additional top-level payload fields are not promoted into the normalized result. Put important result metadata such as source_limit, included_items and truncated inside data. Raw stdout still preserves the original bounded output. Script fields cannot replace runner status, run ID or version metadata. Printing {"status":"FAILED"} with exit code 0 does not fail the execution: use a nonzero exit code.</w:t>
      </w:r>
    </w:p>
    <w:p>
      <w:pPr>
        <w:spacing w:after="120"/>
      </w:pPr>
      <w:r>
        <w:t>Normalization does not remove redaction or size limits. stdout and stderr are each capped at 100,000 characters, with a truncation marker when needed. output_metadata describes original, retained and returned lengths before redaction. AI-assisted RCA saves returned evidence after sensitive-value redaction in llm_tool_calls.result_text, before model compaction. LH_LLM_TOOL_MAX_RESULT_CHARS limits the model copy, not the already saved evidence. Redaction masks sensitive values; truncation omits content.</w:t>
      </w:r>
    </w:p>
    <w:p>
      <w:pPr>
        <w:spacing w:after="120"/>
      </w:pPr>
      <w:r>
        <w:t>Built-in runs use collector_runs; custom General, Remediation, Rollback and Collector runs use task_runs. The latter stores captured stdout/stderr before AI evidence redaction. Local custom /taskrun and /collectrun display captured stdout/stderr and exit code directly rather than the normalized API envelope, and do not create server execution records. Existing saved evidence is not rewritten by normalization.</w:t>
      </w:r>
    </w:p>
    <w:p>
      <w:pPr>
        <w:pStyle w:val="Heading1"/>
      </w:pPr>
      <w:r>
        <w:rPr>
          <w:color w:val="000000"/>
        </w:rPr>
        <w:t>Investigate with AI assisted RCA</w:t>
      </w:r>
    </w:p>
    <w:p>
      <w:r>
        <w:t>RCA means root-cause analysis. Ask a concrete operational question, let the model discover an eligible collector, review the proposed arguments, and inspect the evidence returned by deterministic execution. An AI explanation is an interpretation of evidence, not proof that an action ran.</w:t>
      </w:r>
    </w:p>
    <w:p>
      <w:pPr>
        <w:pStyle w:val="Heading2"/>
      </w:pPr>
      <w:r>
        <w:rPr>
          <w:color w:val="000000"/>
        </w:rPr>
        <w:t>Prepare a collector</w:t>
      </w:r>
    </w:p>
    <w:p>
      <w:r>
        <w:t>1. Have an Administrator configure the API server LLM settings in .env and connector access in .env_tools. The API host must be able to reach Prometheus, Kubernetes, or Jira as applicable.</w:t>
      </w:r>
    </w:p>
    <w:p>
      <w:r>
        <w:t>2. In the Web UI, open Tasks &amp; Collectors &gt; Built-in Collectors. Built-ins are separate from user-created Collector Tasks. Initial built-in registration is approved and enabled with Manual policy.</w:t>
      </w:r>
    </w:p>
    <w:p>
      <w:r>
        <w:t>3. An Administrator or Power User selects AI-Assisted or Auto-Approved policy. For a custom collector, save a description and argument schema, then approve and enable the latest version. AI discovery does not fall back to an older version when the latest is ineligible.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3024"/>
            <w:vAlign w:val="center"/>
            <w:shd w:fill="E8EEF4"/>
            <w:tcMar>
              <w:top w:w="85" w:type="dxa"/>
              <w:left w:w="85" w:type="dxa"/>
              <w:bottom w:w="85" w:type="dxa"/>
              <w:right w:w="85" w:type="dxa"/>
            </w:tcMar>
          </w:tcPr>
          <w:p>
            <w:pPr>
              <w:spacing w:after="80"/>
            </w:pPr>
            <w:r>
              <w:rPr>
                <w:b/>
                <w:color w:val="000000"/>
                <w:sz w:val="18"/>
              </w:rPr>
              <w:t>Built-in collector</w:t>
            </w:r>
          </w:p>
        </w:tc>
        <w:tc>
          <w:tcPr>
            <w:tcW w:type="dxa" w:w="6120"/>
            <w:vAlign w:val="center"/>
            <w:shd w:fill="E8EEF4"/>
            <w:tcMar>
              <w:top w:w="85" w:type="dxa"/>
              <w:left w:w="85" w:type="dxa"/>
              <w:bottom w:w="85" w:type="dxa"/>
              <w:right w:w="85" w:type="dxa"/>
            </w:tcMar>
          </w:tcPr>
          <w:p>
            <w:pPr>
              <w:spacing w:after="80"/>
            </w:pPr>
            <w:r>
              <w:rPr>
                <w:b/>
                <w:color w:val="000000"/>
                <w:sz w:val="18"/>
              </w:rPr>
              <w:t>What it reads</w:t>
            </w:r>
          </w:p>
        </w:tc>
      </w:tr>
      <w:tr>
        <w:tc>
          <w:tcPr>
            <w:tcW w:type="dxa" w:w="3024"/>
            <w:vAlign w:val="center"/>
            <w:shd w:fill="FFFFFF"/>
            <w:tcMar>
              <w:top w:w="85" w:type="dxa"/>
              <w:left w:w="85" w:type="dxa"/>
              <w:bottom w:w="85" w:type="dxa"/>
              <w:right w:w="85" w:type="dxa"/>
            </w:tcMar>
          </w:tcPr>
          <w:p>
            <w:pPr>
              <w:spacing w:after="80"/>
            </w:pPr>
            <w:r>
              <w:rPr>
                <w:color w:val="000000"/>
                <w:sz w:val="18"/>
              </w:rPr>
              <w:t>prometheus-query</w:t>
            </w:r>
          </w:p>
        </w:tc>
        <w:tc>
          <w:tcPr>
            <w:tcW w:type="dxa" w:w="6120"/>
            <w:vAlign w:val="center"/>
            <w:shd w:fill="FFFFFF"/>
            <w:tcMar>
              <w:top w:w="85" w:type="dxa"/>
              <w:left w:w="85" w:type="dxa"/>
              <w:bottom w:w="85" w:type="dxa"/>
              <w:right w:w="85" w:type="dxa"/>
            </w:tcMar>
          </w:tcPr>
          <w:p>
            <w:pPr>
              <w:spacing w:after="80"/>
            </w:pPr>
            <w:r>
              <w:rPr>
                <w:color w:val="000000"/>
                <w:sz w:val="18"/>
              </w:rPr>
              <w:t>An instant PromQL query</w:t>
            </w:r>
          </w:p>
        </w:tc>
      </w:tr>
      <w:tr>
        <w:tc>
          <w:tcPr>
            <w:tcW w:type="dxa" w:w="3024"/>
            <w:vAlign w:val="center"/>
            <w:shd w:fill="F5F7F9"/>
            <w:tcMar>
              <w:top w:w="85" w:type="dxa"/>
              <w:left w:w="85" w:type="dxa"/>
              <w:bottom w:w="85" w:type="dxa"/>
              <w:right w:w="85" w:type="dxa"/>
            </w:tcMar>
          </w:tcPr>
          <w:p>
            <w:pPr>
              <w:spacing w:after="80"/>
            </w:pPr>
            <w:r>
              <w:rPr>
                <w:color w:val="000000"/>
                <w:sz w:val="18"/>
              </w:rPr>
              <w:t>kubernetes-pods</w:t>
            </w:r>
          </w:p>
        </w:tc>
        <w:tc>
          <w:tcPr>
            <w:tcW w:type="dxa" w:w="6120"/>
            <w:vAlign w:val="center"/>
            <w:shd w:fill="F5F7F9"/>
            <w:tcMar>
              <w:top w:w="85" w:type="dxa"/>
              <w:left w:w="85" w:type="dxa"/>
              <w:bottom w:w="85" w:type="dxa"/>
              <w:right w:w="85" w:type="dxa"/>
            </w:tcMar>
          </w:tcPr>
          <w:p>
            <w:pPr>
              <w:spacing w:after="80"/>
            </w:pPr>
            <w:r>
              <w:rPr>
                <w:color w:val="000000"/>
                <w:sz w:val="18"/>
              </w:rPr>
              <w:t>Pod names and status in a namespace</w:t>
            </w:r>
          </w:p>
        </w:tc>
      </w:tr>
      <w:tr>
        <w:tc>
          <w:tcPr>
            <w:tcW w:type="dxa" w:w="3024"/>
            <w:vAlign w:val="center"/>
            <w:shd w:fill="FFFFFF"/>
            <w:tcMar>
              <w:top w:w="85" w:type="dxa"/>
              <w:left w:w="85" w:type="dxa"/>
              <w:bottom w:w="85" w:type="dxa"/>
              <w:right w:w="85" w:type="dxa"/>
            </w:tcMar>
          </w:tcPr>
          <w:p>
            <w:pPr>
              <w:spacing w:after="80"/>
            </w:pPr>
            <w:r>
              <w:rPr>
                <w:color w:val="000000"/>
                <w:sz w:val="18"/>
              </w:rPr>
              <w:t>jira-issue-search</w:t>
            </w:r>
          </w:p>
        </w:tc>
        <w:tc>
          <w:tcPr>
            <w:tcW w:type="dxa" w:w="6120"/>
            <w:vAlign w:val="center"/>
            <w:shd w:fill="FFFFFF"/>
            <w:tcMar>
              <w:top w:w="85" w:type="dxa"/>
              <w:left w:w="85" w:type="dxa"/>
              <w:bottom w:w="85" w:type="dxa"/>
              <w:right w:w="85" w:type="dxa"/>
            </w:tcMar>
          </w:tcPr>
          <w:p>
            <w:pPr>
              <w:spacing w:after="80"/>
            </w:pPr>
            <w:r>
              <w:rPr>
                <w:color w:val="000000"/>
                <w:sz w:val="18"/>
              </w:rPr>
              <w:t>Jira issues matching a JQL search</w:t>
            </w:r>
          </w:p>
        </w:tc>
      </w:tr>
    </w:tbl>
    <w:p>
      <w:pPr>
        <w:pStyle w:val="Heading2"/>
      </w:pPr>
      <w:r>
        <w:rPr>
          <w:color w:val="000000"/>
        </w:rPr>
        <w:t>Run your first investigation</w:t>
      </w:r>
    </w:p>
    <w:p>
      <w:r>
        <w:t>1. Start Hawk Console with hawk, sign in, and use the AI/LLM Terminal.</w:t>
      </w:r>
    </w:p>
    <w:p>
      <w:r>
        <w:t>2. Leave Review Input Args checked in the Editor area.</w:t>
      </w:r>
    </w:p>
    <w:p>
      <w:r>
        <w:t>3. Send the example below. When input review appears, inspect the exact collector version and JSON arguments. Use query up for a simple Prometheus connectivity check.</w:t>
      </w:r>
    </w:p>
    <w:p>
      <w:r>
        <w:t>4. Edit arguments if needed, then choose Confirm &amp; Execute, or choose Cancel. This reviews the inputs only; it does not approve the collector code.</w:t>
      </w:r>
    </w:p>
    <w:p>
      <w:r>
        <w:t>5. Wait for the server-reported result. Inspect the collector name, version, status, run ID, arguments, and evidence before relying on the explanation.</w:t>
      </w:r>
    </w:p>
    <w:p>
      <w:pPr>
        <w:pStyle w:val="GuideCode"/>
        <w:keepNext w:val="0"/>
      </w:pPr>
      <w:r>
        <w:rPr>
          <w:sz w:val="18"/>
        </w:rPr>
        <w:t>Use the Prometheus collector to query Kubernetes metrics.</w:t>
      </w:r>
    </w:p>
    <w:p>
      <w:pPr>
        <w:pStyle w:val="GuideCode"/>
        <w:keepNext w:val="0"/>
      </w:pPr>
    </w:p>
    <w:p>
      <w:pPr>
        <w:pStyle w:val="GuideCode"/>
        <w:keepNext w:val="0"/>
      </w:pPr>
      <w:r>
        <w:rPr>
          <w:sz w:val="18"/>
        </w:rPr>
        <w:t>Example input arguments:</w:t>
      </w:r>
    </w:p>
    <w:p>
      <w:pPr>
        <w:pStyle w:val="GuideCode"/>
        <w:keepNext w:val="0"/>
      </w:pPr>
      <w:r>
        <w:rPr>
          <w:sz w:val="18"/>
        </w:rPr>
        <w:t>{"query":"up"}</w:t>
      </w:r>
    </w:p>
    <w:p>
      <w:r>
        <w:t>Invalid arguments are rejected against the saved schema and can be corrected before confirmation. Unchanged masked values retain their original server-side values. A metric value of 1 for kube_pod_info is metadata; it does not establish that a pod is healthy or ready.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2016"/>
            <w:vAlign w:val="center"/>
            <w:shd w:fill="E8EEF4"/>
            <w:tcMar>
              <w:top w:w="85" w:type="dxa"/>
              <w:left w:w="85" w:type="dxa"/>
              <w:bottom w:w="85" w:type="dxa"/>
              <w:right w:w="85" w:type="dxa"/>
            </w:tcMar>
          </w:tcPr>
          <w:p>
            <w:pPr>
              <w:spacing w:after="80"/>
            </w:pPr>
            <w:r>
              <w:rPr>
                <w:b/>
                <w:color w:val="000000"/>
                <w:sz w:val="18"/>
              </w:rPr>
              <w:t>Review Input Args</w:t>
            </w:r>
          </w:p>
        </w:tc>
        <w:tc>
          <w:tcPr>
            <w:tcW w:type="dxa" w:w="3528"/>
            <w:vAlign w:val="center"/>
            <w:shd w:fill="E8EEF4"/>
            <w:tcMar>
              <w:top w:w="85" w:type="dxa"/>
              <w:left w:w="85" w:type="dxa"/>
              <w:bottom w:w="85" w:type="dxa"/>
              <w:right w:w="85" w:type="dxa"/>
            </w:tcMar>
          </w:tcPr>
          <w:p>
            <w:pPr>
              <w:spacing w:after="80"/>
            </w:pPr>
            <w:r>
              <w:rPr>
                <w:b/>
                <w:color w:val="000000"/>
                <w:sz w:val="18"/>
              </w:rPr>
              <w:t>Auto-Approved policy</w:t>
            </w:r>
          </w:p>
        </w:tc>
        <w:tc>
          <w:tcPr>
            <w:tcW w:type="dxa" w:w="3600"/>
            <w:vAlign w:val="center"/>
            <w:shd w:fill="E8EEF4"/>
            <w:tcMar>
              <w:top w:w="85" w:type="dxa"/>
              <w:left w:w="85" w:type="dxa"/>
              <w:bottom w:w="85" w:type="dxa"/>
              <w:right w:w="85" w:type="dxa"/>
            </w:tcMar>
          </w:tcPr>
          <w:p>
            <w:pPr>
              <w:spacing w:after="80"/>
            </w:pPr>
            <w:r>
              <w:rPr>
                <w:b/>
                <w:color w:val="000000"/>
                <w:sz w:val="18"/>
              </w:rPr>
              <w:t>AI-Assisted policy</w:t>
            </w:r>
          </w:p>
        </w:tc>
      </w:tr>
      <w:tr>
        <w:tc>
          <w:tcPr>
            <w:tcW w:type="dxa" w:w="2016"/>
            <w:vAlign w:val="center"/>
            <w:shd w:fill="FFFFFF"/>
            <w:tcMar>
              <w:top w:w="85" w:type="dxa"/>
              <w:left w:w="85" w:type="dxa"/>
              <w:bottom w:w="85" w:type="dxa"/>
              <w:right w:w="85" w:type="dxa"/>
            </w:tcMar>
          </w:tcPr>
          <w:p>
            <w:pPr>
              <w:spacing w:after="80"/>
            </w:pPr>
            <w:r>
              <w:rPr>
                <w:color w:val="000000"/>
                <w:sz w:val="18"/>
              </w:rPr>
              <w:t>Checked</w:t>
            </w:r>
          </w:p>
        </w:tc>
        <w:tc>
          <w:tcPr>
            <w:tcW w:type="dxa" w:w="3528"/>
            <w:vAlign w:val="center"/>
            <w:shd w:fill="FFFFFF"/>
            <w:tcMar>
              <w:top w:w="85" w:type="dxa"/>
              <w:left w:w="85" w:type="dxa"/>
              <w:bottom w:w="85" w:type="dxa"/>
              <w:right w:w="85" w:type="dxa"/>
            </w:tcMar>
          </w:tcPr>
          <w:p>
            <w:pPr>
              <w:spacing w:after="80"/>
            </w:pPr>
            <w:r>
              <w:rPr>
                <w:color w:val="000000"/>
                <w:sz w:val="18"/>
              </w:rPr>
              <w:t>Edit inputs then confirm or cancel</w:t>
            </w:r>
          </w:p>
        </w:tc>
        <w:tc>
          <w:tcPr>
            <w:tcW w:type="dxa" w:w="3600"/>
            <w:vAlign w:val="center"/>
            <w:shd w:fill="FFFFFF"/>
            <w:tcMar>
              <w:top w:w="85" w:type="dxa"/>
              <w:left w:w="85" w:type="dxa"/>
              <w:bottom w:w="85" w:type="dxa"/>
              <w:right w:w="85" w:type="dxa"/>
            </w:tcMar>
          </w:tcPr>
          <w:p>
            <w:pPr>
              <w:spacing w:after="80"/>
            </w:pPr>
            <w:r>
              <w:rPr>
                <w:color w:val="000000"/>
                <w:sz w:val="18"/>
              </w:rPr>
              <w:t>Edit inputs then confirm or cancel</w:t>
            </w:r>
          </w:p>
        </w:tc>
      </w:tr>
      <w:tr>
        <w:tc>
          <w:tcPr>
            <w:tcW w:type="dxa" w:w="2016"/>
            <w:vAlign w:val="center"/>
            <w:shd w:fill="F5F7F9"/>
            <w:tcMar>
              <w:top w:w="85" w:type="dxa"/>
              <w:left w:w="85" w:type="dxa"/>
              <w:bottom w:w="85" w:type="dxa"/>
              <w:right w:w="85" w:type="dxa"/>
            </w:tcMar>
          </w:tcPr>
          <w:p>
            <w:pPr>
              <w:spacing w:after="80"/>
            </w:pPr>
            <w:r>
              <w:rPr>
                <w:color w:val="000000"/>
                <w:sz w:val="18"/>
              </w:rPr>
              <w:t>Unchecked</w:t>
            </w:r>
          </w:p>
        </w:tc>
        <w:tc>
          <w:tcPr>
            <w:tcW w:type="dxa" w:w="3528"/>
            <w:vAlign w:val="center"/>
            <w:shd w:fill="F5F7F9"/>
            <w:tcMar>
              <w:top w:w="85" w:type="dxa"/>
              <w:left w:w="85" w:type="dxa"/>
              <w:bottom w:w="85" w:type="dxa"/>
              <w:right w:w="85" w:type="dxa"/>
            </w:tcMar>
          </w:tcPr>
          <w:p>
            <w:pPr>
              <w:spacing w:after="80"/>
            </w:pPr>
            <w:r>
              <w:rPr>
                <w:color w:val="000000"/>
                <w:sz w:val="18"/>
              </w:rPr>
              <w:t>Executes automatically; inputs appear with result</w:t>
            </w:r>
          </w:p>
        </w:tc>
        <w:tc>
          <w:tcPr>
            <w:tcW w:type="dxa" w:w="3600"/>
            <w:vAlign w:val="center"/>
            <w:shd w:fill="F5F7F9"/>
            <w:tcMar>
              <w:top w:w="85" w:type="dxa"/>
              <w:left w:w="85" w:type="dxa"/>
              <w:bottom w:w="85" w:type="dxa"/>
              <w:right w:w="85" w:type="dxa"/>
            </w:tcMar>
          </w:tcPr>
          <w:p>
            <w:pPr>
              <w:spacing w:after="80"/>
            </w:pPr>
            <w:r>
              <w:rPr>
                <w:color w:val="000000"/>
                <w:sz w:val="18"/>
              </w:rPr>
              <w:t>Still requires confirmation; inputs are read-only</w:t>
            </w:r>
          </w:p>
        </w:tc>
      </w:tr>
    </w:tbl>
    <w:p>
      <w:pPr>
        <w:keepNext/>
        <w:jc w:val="center"/>
      </w:pPr>
      <w:r>
        <w:drawing>
          <wp:inline xmlns:a="http://schemas.openxmlformats.org/drawingml/2006/main" xmlns:pic="http://schemas.openxmlformats.org/drawingml/2006/picture">
            <wp:extent cx="5806440" cy="3120962"/>
            <wp:docPr id="3" name="Picture 3" descr="RCA with input review, example 1. Compare the displayed inputs and server status with your own request; example names and results vary."/>
            <wp:cNvGraphicFramePr>
              <a:graphicFrameLocks noChangeAspect="1"/>
            </wp:cNvGraphicFramePr>
            <a:graphic>
              <a:graphicData uri="http://schemas.openxmlformats.org/drawingml/2006/picture">
                <pic:pic>
                  <pic:nvPicPr>
                    <pic:cNvPr id="0" name="loghawk_console_RCA_screen1.jpg"/>
                    <pic:cNvPicPr/>
                  </pic:nvPicPr>
                  <pic:blipFill>
                    <a:blip r:embed="rId13"/>
                    <a:stretch>
                      <a:fillRect/>
                    </a:stretch>
                  </pic:blipFill>
                  <pic:spPr>
                    <a:xfrm>
                      <a:off x="0" y="0"/>
                      <a:ext cx="5806440" cy="3120962"/>
                    </a:xfrm>
                    <a:prstGeom prst="rect"/>
                  </pic:spPr>
                </pic:pic>
              </a:graphicData>
            </a:graphic>
          </wp:inline>
        </w:drawing>
      </w:r>
    </w:p>
    <w:p>
      <w:pPr>
        <w:pStyle w:val="Caption"/>
        <w:keepNext w:val="0"/>
      </w:pPr>
      <w:r>
        <w:t>RCA with input review, example 1. Compare the displayed inputs and server status with your own request; example names and results vary.</w:t>
      </w:r>
    </w:p>
    <w:p>
      <w:pPr>
        <w:keepNext/>
        <w:jc w:val="center"/>
      </w:pPr>
      <w:r>
        <w:drawing>
          <wp:inline xmlns:a="http://schemas.openxmlformats.org/drawingml/2006/main" xmlns:pic="http://schemas.openxmlformats.org/drawingml/2006/picture">
            <wp:extent cx="5806440" cy="3120962"/>
            <wp:docPr id="4" name="Picture 4" descr="RCA with input review, example 2. Compare the displayed inputs and server status with your own request; example names and results vary."/>
            <wp:cNvGraphicFramePr>
              <a:graphicFrameLocks noChangeAspect="1"/>
            </wp:cNvGraphicFramePr>
            <a:graphic>
              <a:graphicData uri="http://schemas.openxmlformats.org/drawingml/2006/picture">
                <pic:pic>
                  <pic:nvPicPr>
                    <pic:cNvPr id="0" name="loghawk_console_RCA_screen2.jpg"/>
                    <pic:cNvPicPr/>
                  </pic:nvPicPr>
                  <pic:blipFill>
                    <a:blip r:embed="rId14"/>
                    <a:stretch>
                      <a:fillRect/>
                    </a:stretch>
                  </pic:blipFill>
                  <pic:spPr>
                    <a:xfrm>
                      <a:off x="0" y="0"/>
                      <a:ext cx="5806440" cy="3120962"/>
                    </a:xfrm>
                    <a:prstGeom prst="rect"/>
                  </pic:spPr>
                </pic:pic>
              </a:graphicData>
            </a:graphic>
          </wp:inline>
        </w:drawing>
      </w:r>
    </w:p>
    <w:p>
      <w:pPr>
        <w:pStyle w:val="Caption"/>
        <w:keepNext w:val="0"/>
      </w:pPr>
      <w:r>
        <w:t>RCA with input review, example 2. Compare the displayed inputs and server status with your own request; example names and results vary.</w:t>
      </w:r>
    </w:p>
    <w:p>
      <w:pPr>
        <w:pStyle w:val="Heading2"/>
      </w:pPr>
      <w:r>
        <w:rPr>
          <w:color w:val="000000"/>
        </w:rPr>
        <w:t>Use automatic collector execution</w:t>
      </w:r>
    </w:p>
    <w:p>
      <w:r>
        <w:t>Use this option only for a collector whose saved version is approved, enabled, and has Auto-Approved policy. Clear Review Input Args before sending the request. The server displays the arguments with the result. Clearing the checkbox does not override an AI-Assisted policy, which still requires confirmation.</w:t>
      </w:r>
    </w:p>
    <w:p>
      <w:pPr>
        <w:keepNext/>
        <w:jc w:val="center"/>
      </w:pPr>
      <w:r>
        <w:drawing>
          <wp:inline xmlns:a="http://schemas.openxmlformats.org/drawingml/2006/main" xmlns:pic="http://schemas.openxmlformats.org/drawingml/2006/picture">
            <wp:extent cx="5806440" cy="3120962"/>
            <wp:docPr id="5" name="Picture 5" descr="Automatic RCA example 1. Read the recorded execution outcome before interpreting the model response."/>
            <wp:cNvGraphicFramePr>
              <a:graphicFrameLocks noChangeAspect="1"/>
            </wp:cNvGraphicFramePr>
            <a:graphic>
              <a:graphicData uri="http://schemas.openxmlformats.org/drawingml/2006/picture">
                <pic:pic>
                  <pic:nvPicPr>
                    <pic:cNvPr id="0" name="loghawk_console_RCA_auto_screen1.jpg"/>
                    <pic:cNvPicPr/>
                  </pic:nvPicPr>
                  <pic:blipFill>
                    <a:blip r:embed="rId15"/>
                    <a:stretch>
                      <a:fillRect/>
                    </a:stretch>
                  </pic:blipFill>
                  <pic:spPr>
                    <a:xfrm>
                      <a:off x="0" y="0"/>
                      <a:ext cx="5806440" cy="3120962"/>
                    </a:xfrm>
                    <a:prstGeom prst="rect"/>
                  </pic:spPr>
                </pic:pic>
              </a:graphicData>
            </a:graphic>
          </wp:inline>
        </w:drawing>
      </w:r>
    </w:p>
    <w:p>
      <w:pPr>
        <w:pStyle w:val="Caption"/>
        <w:keepNext w:val="0"/>
      </w:pPr>
      <w:r>
        <w:t>Automatic RCA example 1. Read the recorded execution outcome before interpreting the model response.</w:t>
      </w:r>
    </w:p>
    <w:p>
      <w:pPr>
        <w:keepNext/>
        <w:jc w:val="center"/>
      </w:pPr>
      <w:r>
        <w:drawing>
          <wp:inline xmlns:a="http://schemas.openxmlformats.org/drawingml/2006/main" xmlns:pic="http://schemas.openxmlformats.org/drawingml/2006/picture">
            <wp:extent cx="5806440" cy="3120962"/>
            <wp:docPr id="6" name="Picture 6" descr="Automatic RCA example 2. Read the recorded execution outcome before interpreting the model response."/>
            <wp:cNvGraphicFramePr>
              <a:graphicFrameLocks noChangeAspect="1"/>
            </wp:cNvGraphicFramePr>
            <a:graphic>
              <a:graphicData uri="http://schemas.openxmlformats.org/drawingml/2006/picture">
                <pic:pic>
                  <pic:nvPicPr>
                    <pic:cNvPr id="0" name="loghawk_console_RCA_auto_screen2.jpg"/>
                    <pic:cNvPicPr/>
                  </pic:nvPicPr>
                  <pic:blipFill>
                    <a:blip r:embed="rId16"/>
                    <a:stretch>
                      <a:fillRect/>
                    </a:stretch>
                  </pic:blipFill>
                  <pic:spPr>
                    <a:xfrm>
                      <a:off x="0" y="0"/>
                      <a:ext cx="5806440" cy="3120962"/>
                    </a:xfrm>
                    <a:prstGeom prst="rect"/>
                  </pic:spPr>
                </pic:pic>
              </a:graphicData>
            </a:graphic>
          </wp:inline>
        </w:drawing>
      </w:r>
    </w:p>
    <w:p>
      <w:pPr>
        <w:pStyle w:val="Caption"/>
        <w:keepNext w:val="0"/>
      </w:pPr>
      <w:r>
        <w:t>Automatic RCA example 2. Read the recorded execution outcome before interpreting the model response.</w:t>
      </w:r>
    </w:p>
    <w:p>
      <w:pPr>
        <w:pStyle w:val="Heading2"/>
      </w:pPr>
      <w:r>
        <w:rPr>
          <w:color w:val="000000"/>
        </w:rPr>
        <w:t>Read evidence and start a new conversation</w:t>
      </w:r>
    </w:p>
    <w:p>
      <w:r>
        <w:t>Select Show RCA Output to display the current RCA result in the Editor. Use Copy or Download to retain it, and Close to return to your work. New Chat clears the active conversation context; it does not delete stored history. Saved conversations are not automatically replayed into a new RCA session.</w:t>
      </w:r>
    </w:p>
    <w:p>
      <w:r>
        <w:t>The server status is authoritative. A model statement such as "proceeding with execution" does not mean a collector ran. A completed collector can still be followed by a failed AI explanation.</w:t>
      </w:r>
    </w:p>
    <w:p>
      <w:r>
        <w:t>Redacted means sensitive values such as credentials and tokens are masked. Compacted means repeated details have been reduced. Truncated means some content was omitted. Saved returned evidence is separate from the smaller model input; collectors may themselves limit the number of records returned.</w:t>
      </w:r>
    </w:p>
    <w:p>
      <w:r>
        <w:t>AI audit records retain origin=AI, origin_userid for the signed-in user, and origin_software=web or console. Explanation attempts are recorded separately from execution outcomes.</w:t>
      </w:r>
    </w:p>
    <w:p>
      <w:pPr>
        <w:pStyle w:val="Heading2"/>
      </w:pPr>
      <w:r>
        <w:rPr>
          <w:color w:val="000000"/>
        </w:rPr>
        <w:t>Retry an explanation without running the collector again</w:t>
      </w:r>
    </w:p>
    <w:p>
      <w:r>
        <w:t>1. If execution says COMPLETED but the explanation fails or times out, inspect the saved evidence first.</w:t>
      </w:r>
    </w:p>
    <w:p>
      <w:r>
        <w:t>2. In RCA Output, select Retry AI Explanation.</w:t>
      </w:r>
    </w:p>
    <w:p>
      <w:r>
        <w:t>3. Wait for a new explanation based on the saved question and evidence. The retry does not rediscover or rerun collectors.</w:t>
      </w:r>
    </w:p>
    <w:p>
      <w:r>
        <w:t>4. If it fails again, check model availability and the separate explanation timeout. Only requests with saved explanation context support this retry.</w:t>
      </w:r>
    </w:p>
    <w:p>
      <w:r>
        <w:t>The API checks request ownership and prevents concurrent active explanation retries. Each retry has its own time budget and audit record. Do not resubmit the original collection request merely to retry an explanation.</w:t>
      </w:r>
    </w:p>
    <w:p>
      <w:pPr>
        <w:pStyle w:val="Heading2"/>
      </w:pPr>
      <w:r>
        <w:t>Audit records, execution records, and saved evidence</w:t>
      </w:r>
    </w:p>
    <w:p>
      <w:r>
        <w:t>All server records below use the database configured by LH_SERVER_DATABASE_URL.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Record</w:t>
            </w:r>
          </w:p>
        </w:tc>
        <w:tc>
          <w:tcPr>
            <w:tcW w:type="dxa" w:w="6192"/>
            <w:vAlign w:val="center"/>
            <w:shd w:fill="E8EEF4"/>
            <w:tcMar>
              <w:top w:w="85" w:type="dxa"/>
              <w:left w:w="85" w:type="dxa"/>
              <w:bottom w:w="85" w:type="dxa"/>
              <w:right w:w="85" w:type="dxa"/>
            </w:tcMar>
          </w:tcPr>
          <w:p>
            <w:pPr>
              <w:spacing w:after="80"/>
            </w:pPr>
            <w:r>
              <w:rPr>
                <w:b/>
                <w:color w:val="000000"/>
                <w:sz w:val="18"/>
              </w:rPr>
              <w:t>Stored information</w:t>
            </w:r>
          </w:p>
        </w:tc>
      </w:tr>
      <w:tr>
        <w:tc>
          <w:tcPr>
            <w:tcW w:type="dxa" w:w="2952"/>
            <w:vAlign w:val="center"/>
            <w:shd w:fill="FFFFFF"/>
            <w:tcMar>
              <w:top w:w="85" w:type="dxa"/>
              <w:left w:w="85" w:type="dxa"/>
              <w:bottom w:w="85" w:type="dxa"/>
              <w:right w:w="85" w:type="dxa"/>
            </w:tcMar>
          </w:tcPr>
          <w:p>
            <w:pPr>
              <w:spacing w:after="80"/>
            </w:pPr>
            <w:r>
              <w:rPr>
                <w:b w:val="0"/>
                <w:color w:val="000000"/>
                <w:sz w:val="18"/>
              </w:rPr>
              <w:t>llm_tool_requests</w:t>
            </w:r>
          </w:p>
        </w:tc>
        <w:tc>
          <w:tcPr>
            <w:tcW w:type="dxa" w:w="6192"/>
            <w:vAlign w:val="center"/>
            <w:shd w:fill="FFFFFF"/>
            <w:tcMar>
              <w:top w:w="85" w:type="dxa"/>
              <w:left w:w="85" w:type="dxa"/>
              <w:bottom w:w="85" w:type="dxa"/>
              <w:right w:w="85" w:type="dxa"/>
            </w:tcMar>
          </w:tcPr>
          <w:p>
            <w:pPr>
              <w:spacing w:after="80"/>
            </w:pPr>
            <w:r>
              <w:rPr>
                <w:b w:val="0"/>
                <w:color w:val="000000"/>
                <w:sz w:val="18"/>
              </w:rPr>
              <w:t>AI request owner, originating software, request status, and confirmation/explanation state</w:t>
            </w:r>
          </w:p>
        </w:tc>
      </w:tr>
      <w:tr>
        <w:tc>
          <w:tcPr>
            <w:tcW w:type="dxa" w:w="2952"/>
            <w:vAlign w:val="center"/>
            <w:shd w:fill="F5F7F9"/>
            <w:tcMar>
              <w:top w:w="85" w:type="dxa"/>
              <w:left w:w="85" w:type="dxa"/>
              <w:bottom w:w="85" w:type="dxa"/>
              <w:right w:w="85" w:type="dxa"/>
            </w:tcMar>
          </w:tcPr>
          <w:p>
            <w:pPr>
              <w:spacing w:after="80"/>
            </w:pPr>
            <w:r>
              <w:rPr>
                <w:b w:val="0"/>
                <w:color w:val="000000"/>
                <w:sz w:val="18"/>
              </w:rPr>
              <w:t>llm_tool_calls</w:t>
            </w:r>
          </w:p>
        </w:tc>
        <w:tc>
          <w:tcPr>
            <w:tcW w:type="dxa" w:w="6192"/>
            <w:vAlign w:val="center"/>
            <w:shd w:fill="F5F7F9"/>
            <w:tcMar>
              <w:top w:w="85" w:type="dxa"/>
              <w:left w:w="85" w:type="dxa"/>
              <w:bottom w:w="85" w:type="dxa"/>
              <w:right w:w="85" w:type="dxa"/>
            </w:tcMar>
          </w:tcPr>
          <w:p>
            <w:pPr>
              <w:spacing w:after="80"/>
            </w:pPr>
            <w:r>
              <w:rPr>
                <w:b w:val="0"/>
                <w:color w:val="000000"/>
                <w:sz w:val="18"/>
              </w:rPr>
              <w:t>AI discovery and execution events, collector/version, redacted arguments, evidence, status, timestamps, and execution run ID. Also records explanation attempts.</w:t>
            </w:r>
          </w:p>
        </w:tc>
      </w:tr>
      <w:tr>
        <w:tc>
          <w:tcPr>
            <w:tcW w:type="dxa" w:w="2952"/>
            <w:vAlign w:val="center"/>
            <w:shd w:fill="FFFFFF"/>
            <w:tcMar>
              <w:top w:w="85" w:type="dxa"/>
              <w:left w:w="85" w:type="dxa"/>
              <w:bottom w:w="85" w:type="dxa"/>
              <w:right w:w="85" w:type="dxa"/>
            </w:tcMar>
          </w:tcPr>
          <w:p>
            <w:pPr>
              <w:spacing w:after="80"/>
            </w:pPr>
            <w:r>
              <w:rPr>
                <w:b w:val="0"/>
                <w:color w:val="000000"/>
                <w:sz w:val="18"/>
              </w:rPr>
              <w:t>collector_runs</w:t>
            </w:r>
          </w:p>
        </w:tc>
        <w:tc>
          <w:tcPr>
            <w:tcW w:type="dxa" w:w="6192"/>
            <w:vAlign w:val="center"/>
            <w:shd w:fill="FFFFFF"/>
            <w:tcMar>
              <w:top w:w="85" w:type="dxa"/>
              <w:left w:w="85" w:type="dxa"/>
              <w:bottom w:w="85" w:type="dxa"/>
              <w:right w:w="85" w:type="dxa"/>
            </w:tcMar>
          </w:tcPr>
          <w:p>
            <w:pPr>
              <w:spacing w:after="80"/>
            </w:pPr>
            <w:r>
              <w:rPr>
                <w:b w:val="0"/>
                <w:color w:val="000000"/>
                <w:sz w:val="18"/>
              </w:rPr>
              <w:t>Built-in collector execution metadata: user ID, collector/version, argument names, status, timestamps, short result summary, and error type. Does not store full collector evidence.</w:t>
            </w:r>
          </w:p>
        </w:tc>
      </w:tr>
      <w:tr>
        <w:tc>
          <w:tcPr>
            <w:tcW w:type="dxa" w:w="2952"/>
            <w:vAlign w:val="center"/>
            <w:shd w:fill="F5F7F9"/>
            <w:tcMar>
              <w:top w:w="85" w:type="dxa"/>
              <w:left w:w="85" w:type="dxa"/>
              <w:bottom w:w="85" w:type="dxa"/>
              <w:right w:w="85" w:type="dxa"/>
            </w:tcMar>
          </w:tcPr>
          <w:p>
            <w:pPr>
              <w:spacing w:after="80"/>
            </w:pPr>
            <w:r>
              <w:rPr>
                <w:b w:val="0"/>
                <w:color w:val="000000"/>
                <w:sz w:val="18"/>
              </w:rPr>
              <w:t>task_runs</w:t>
            </w:r>
          </w:p>
        </w:tc>
        <w:tc>
          <w:tcPr>
            <w:tcW w:type="dxa" w:w="6192"/>
            <w:vAlign w:val="center"/>
            <w:shd w:fill="F5F7F9"/>
            <w:tcMar>
              <w:top w:w="85" w:type="dxa"/>
              <w:left w:w="85" w:type="dxa"/>
              <w:bottom w:w="85" w:type="dxa"/>
              <w:right w:w="85" w:type="dxa"/>
            </w:tcMar>
          </w:tcPr>
          <w:p>
            <w:pPr>
              <w:spacing w:after="80"/>
            </w:pPr>
            <w:r>
              <w:rPr>
                <w:b w:val="0"/>
                <w:color w:val="000000"/>
                <w:sz w:val="18"/>
              </w:rPr>
              <w:t>Custom Task/Collector execution metadata, user ID, artifact version reference, status, exit code, stdout, stderr, timestamps, and error type</w:t>
            </w:r>
          </w:p>
        </w:tc>
      </w:tr>
    </w:tbl>
    <w:p>
      <w:pPr>
        <w:pStyle w:val="Heading3"/>
      </w:pPr>
      <w:r>
        <w:t>Saved collector evidence</w:t>
      </w:r>
    </w:p>
    <w:p>
      <w:r>
        <w:t>For Web UI RCA Chat and signed-in Hawk Console AI collector calls, LogHawk saves the full returned, redacted collector evidence in llm_tool_calls.result_text before model compaction.</w:t>
      </w:r>
    </w:p>
    <w:p>
      <w:r>
        <w:t>The LLM receives a smaller, compacted representation. This does not replace the saved evidence.</w:t>
      </w:r>
    </w:p>
    <w:p>
      <w:r>
        <w:t>“Full returned” means the output received from the collector or runner:</w:t>
      </w:r>
    </w:p>
    <w:p>
      <w:pPr>
        <w:pStyle w:val="ListBullet"/>
      </w:pPr>
      <w:r>
        <w:t>Source collectors may limit returned records.</w:t>
      </w:r>
    </w:p>
    <w:p>
      <w:pPr>
        <w:pStyle w:val="ListBullet"/>
      </w:pPr>
      <w:r>
        <w:t>Custom script stdout and stderr are each capped at 100,000 characters, followed by a truncation marker when applicable.</w:t>
      </w:r>
    </w:p>
    <w:p>
      <w:pPr>
        <w:pStyle w:val="ListBullet"/>
      </w:pPr>
      <w:r>
        <w:t>Sensitive values are masked in the AI evidence record.</w:t>
      </w:r>
    </w:p>
    <w:p>
      <w:pPr>
        <w:pStyle w:val="ListBullet"/>
      </w:pPr>
      <w:r>
        <w:t>The separate task_runs stdout/stderr fields are stored directly from the runner and do not receive the AI evidence redaction step.</w:t>
      </w:r>
    </w:p>
    <w:p>
      <w:pPr>
        <w:pStyle w:val="Heading3"/>
      </w:pPr>
      <w:r>
        <w:t>Which execution paths create these records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Execution path</w:t>
            </w:r>
          </w:p>
        </w:tc>
        <w:tc>
          <w:tcPr>
            <w:tcW w:type="dxa" w:w="6192"/>
            <w:vAlign w:val="center"/>
            <w:shd w:fill="E8EEF4"/>
            <w:tcMar>
              <w:top w:w="85" w:type="dxa"/>
              <w:left w:w="85" w:type="dxa"/>
              <w:bottom w:w="85" w:type="dxa"/>
              <w:right w:w="85" w:type="dxa"/>
            </w:tcMar>
          </w:tcPr>
          <w:p>
            <w:pPr>
              <w:spacing w:after="80"/>
            </w:pPr>
            <w:r>
              <w:rPr>
                <w:b/>
                <w:color w:val="000000"/>
                <w:sz w:val="18"/>
              </w:rPr>
              <w:t>Records</w:t>
            </w:r>
          </w:p>
        </w:tc>
      </w:tr>
      <w:tr>
        <w:tc>
          <w:tcPr>
            <w:tcW w:type="dxa" w:w="2952"/>
            <w:vAlign w:val="center"/>
            <w:shd w:fill="FFFFFF"/>
            <w:tcMar>
              <w:top w:w="85" w:type="dxa"/>
              <w:left w:w="85" w:type="dxa"/>
              <w:bottom w:w="85" w:type="dxa"/>
              <w:right w:w="85" w:type="dxa"/>
            </w:tcMar>
          </w:tcPr>
          <w:p>
            <w:pPr>
              <w:spacing w:after="80"/>
            </w:pPr>
            <w:r>
              <w:rPr>
                <w:b w:val="0"/>
                <w:color w:val="000000"/>
                <w:sz w:val="18"/>
              </w:rPr>
              <w:t>AI invokes a built-in collector</w:t>
            </w:r>
          </w:p>
        </w:tc>
        <w:tc>
          <w:tcPr>
            <w:tcW w:type="dxa" w:w="6192"/>
            <w:vAlign w:val="center"/>
            <w:shd w:fill="FFFFFF"/>
            <w:tcMar>
              <w:top w:w="85" w:type="dxa"/>
              <w:left w:w="85" w:type="dxa"/>
              <w:bottom w:w="85" w:type="dxa"/>
              <w:right w:w="85" w:type="dxa"/>
            </w:tcMar>
          </w:tcPr>
          <w:p>
            <w:pPr>
              <w:spacing w:after="80"/>
            </w:pPr>
            <w:r>
              <w:rPr>
                <w:b w:val="0"/>
                <w:color w:val="000000"/>
                <w:sz w:val="18"/>
              </w:rPr>
              <w:t>AI audit records plus collector_runs</w:t>
            </w:r>
          </w:p>
        </w:tc>
      </w:tr>
      <w:tr>
        <w:tc>
          <w:tcPr>
            <w:tcW w:type="dxa" w:w="2952"/>
            <w:vAlign w:val="center"/>
            <w:shd w:fill="F5F7F9"/>
            <w:tcMar>
              <w:top w:w="85" w:type="dxa"/>
              <w:left w:w="85" w:type="dxa"/>
              <w:bottom w:w="85" w:type="dxa"/>
              <w:right w:w="85" w:type="dxa"/>
            </w:tcMar>
          </w:tcPr>
          <w:p>
            <w:pPr>
              <w:spacing w:after="80"/>
            </w:pPr>
            <w:r>
              <w:rPr>
                <w:b w:val="0"/>
                <w:color w:val="000000"/>
                <w:sz w:val="18"/>
              </w:rPr>
              <w:t>AI invokes a custom Collector Task</w:t>
            </w:r>
          </w:p>
        </w:tc>
        <w:tc>
          <w:tcPr>
            <w:tcW w:type="dxa" w:w="6192"/>
            <w:vAlign w:val="center"/>
            <w:shd w:fill="F5F7F9"/>
            <w:tcMar>
              <w:top w:w="85" w:type="dxa"/>
              <w:left w:w="85" w:type="dxa"/>
              <w:bottom w:w="85" w:type="dxa"/>
              <w:right w:w="85" w:type="dxa"/>
            </w:tcMar>
          </w:tcPr>
          <w:p>
            <w:pPr>
              <w:spacing w:after="80"/>
            </w:pPr>
            <w:r>
              <w:rPr>
                <w:b w:val="0"/>
                <w:color w:val="000000"/>
                <w:sz w:val="18"/>
              </w:rPr>
              <w:t>AI audit records plus task_runs</w:t>
            </w:r>
          </w:p>
        </w:tc>
      </w:tr>
      <w:tr>
        <w:tc>
          <w:tcPr>
            <w:tcW w:type="dxa" w:w="2952"/>
            <w:vAlign w:val="center"/>
            <w:shd w:fill="FFFFFF"/>
            <w:tcMar>
              <w:top w:w="85" w:type="dxa"/>
              <w:left w:w="85" w:type="dxa"/>
              <w:bottom w:w="85" w:type="dxa"/>
              <w:right w:w="85" w:type="dxa"/>
            </w:tcMar>
          </w:tcPr>
          <w:p>
            <w:pPr>
              <w:spacing w:after="80"/>
            </w:pPr>
            <w:r>
              <w:rPr>
                <w:b w:val="0"/>
                <w:color w:val="000000"/>
                <w:sz w:val="18"/>
              </w:rPr>
              <w:t>Human invokes /collect through the API</w:t>
            </w:r>
          </w:p>
        </w:tc>
        <w:tc>
          <w:tcPr>
            <w:tcW w:type="dxa" w:w="6192"/>
            <w:vAlign w:val="center"/>
            <w:shd w:fill="FFFFFF"/>
            <w:tcMar>
              <w:top w:w="85" w:type="dxa"/>
              <w:left w:w="85" w:type="dxa"/>
              <w:bottom w:w="85" w:type="dxa"/>
              <w:right w:w="85" w:type="dxa"/>
            </w:tcMar>
          </w:tcPr>
          <w:p>
            <w:pPr>
              <w:spacing w:after="80"/>
            </w:pPr>
            <w:r>
              <w:rPr>
                <w:b w:val="0"/>
                <w:color w:val="000000"/>
                <w:sz w:val="18"/>
              </w:rPr>
              <w:t>collector_runs for built-ins; task_runs for custom collectors. No AI evidence record.</w:t>
            </w:r>
          </w:p>
        </w:tc>
      </w:tr>
      <w:tr>
        <w:tc>
          <w:tcPr>
            <w:tcW w:type="dxa" w:w="2952"/>
            <w:vAlign w:val="center"/>
            <w:shd w:fill="F5F7F9"/>
            <w:tcMar>
              <w:top w:w="85" w:type="dxa"/>
              <w:left w:w="85" w:type="dxa"/>
              <w:bottom w:w="85" w:type="dxa"/>
              <w:right w:w="85" w:type="dxa"/>
            </w:tcMar>
          </w:tcPr>
          <w:p>
            <w:pPr>
              <w:spacing w:after="80"/>
            </w:pPr>
            <w:r>
              <w:rPr>
                <w:b w:val="0"/>
                <w:color w:val="000000"/>
                <w:sz w:val="18"/>
              </w:rPr>
              <w:t>Human invokes /task through the API</w:t>
            </w:r>
          </w:p>
        </w:tc>
        <w:tc>
          <w:tcPr>
            <w:tcW w:type="dxa" w:w="6192"/>
            <w:vAlign w:val="center"/>
            <w:shd w:fill="F5F7F9"/>
            <w:tcMar>
              <w:top w:w="85" w:type="dxa"/>
              <w:left w:w="85" w:type="dxa"/>
              <w:bottom w:w="85" w:type="dxa"/>
              <w:right w:w="85" w:type="dxa"/>
            </w:tcMar>
          </w:tcPr>
          <w:p>
            <w:pPr>
              <w:spacing w:after="80"/>
            </w:pPr>
            <w:r>
              <w:rPr>
                <w:b w:val="0"/>
                <w:color w:val="000000"/>
                <w:sz w:val="18"/>
              </w:rPr>
              <w:t>task_runs. No AI evidence record.</w:t>
            </w:r>
          </w:p>
        </w:tc>
      </w:tr>
      <w:tr>
        <w:tc>
          <w:tcPr>
            <w:tcW w:type="dxa" w:w="2952"/>
            <w:vAlign w:val="center"/>
            <w:shd w:fill="FFFFFF"/>
            <w:tcMar>
              <w:top w:w="85" w:type="dxa"/>
              <w:left w:w="85" w:type="dxa"/>
              <w:bottom w:w="85" w:type="dxa"/>
              <w:right w:w="85" w:type="dxa"/>
            </w:tcMar>
          </w:tcPr>
          <w:p>
            <w:pPr>
              <w:spacing w:after="80"/>
            </w:pPr>
            <w:r>
              <w:rPr>
                <w:b w:val="0"/>
                <w:color w:val="000000"/>
                <w:sz w:val="18"/>
              </w:rPr>
              <w:t>Local /taskrun or /collectrun</w:t>
            </w:r>
          </w:p>
        </w:tc>
        <w:tc>
          <w:tcPr>
            <w:tcW w:type="dxa" w:w="6192"/>
            <w:vAlign w:val="center"/>
            <w:shd w:fill="FFFFFF"/>
            <w:tcMar>
              <w:top w:w="85" w:type="dxa"/>
              <w:left w:w="85" w:type="dxa"/>
              <w:bottom w:w="85" w:type="dxa"/>
              <w:right w:w="85" w:type="dxa"/>
            </w:tcMar>
          </w:tcPr>
          <w:p>
            <w:pPr>
              <w:spacing w:after="80"/>
            </w:pPr>
            <w:r>
              <w:rPr>
                <w:b w:val="0"/>
                <w:color w:val="000000"/>
                <w:sz w:val="18"/>
              </w:rPr>
              <w:t>Output appears in the Console. These paths do not create the server execution/audit records above. Command history is separate.</w:t>
            </w:r>
          </w:p>
        </w:tc>
      </w:tr>
    </w:tbl>
    <w:p>
      <w:pPr>
        <w:pStyle w:val="Heading3"/>
      </w:pPr>
      <w:r>
        <w:t>Inspecting results</w:t>
      </w:r>
    </w:p>
    <w:p>
      <w:r>
        <w:t>In Web UI, expand Collector evidence. In Hawk Console, select Show RCA Output.</w:t>
      </w:r>
    </w:p>
    <w:p>
      <w:r>
        <w:t>Use the AI request ID to find its audit events. Where an execution run ID is recorded, it links to the corresponding collector_runs or task_runs record. A rejected request may have no execution run ID.</w:t>
      </w:r>
    </w:p>
    <w:p>
      <w:r>
        <w:t>Retry AI Explanation reads saved evidence and records another explanation attempt. It does not rerun the collector.</w:t>
      </w:r>
    </w:p>
    <w:p>
      <w:pPr>
        <w:pStyle w:val="Heading3"/>
      </w:pPr>
      <w:r>
        <w:t>Application log files</w:t>
      </w:r>
    </w:p>
    <w:p>
      <w:r>
        <w:t>API and worker console/file logs contain diagnostic messages and exceptions. They are separate from database audit and execution records and should not be treated as the complete evidence archive.</w:t>
      </w:r>
    </w:p>
    <w:p>
      <w:pPr>
        <w:pStyle w:val="Heading2"/>
      </w:pPr>
      <w:r>
        <w:t>Review signed in investigations in Web UI RCA History</w:t>
      </w:r>
    </w:p>
    <w:p>
      <w:pPr>
        <w:spacing w:after="120"/>
      </w:pPr>
      <w:r>
        <w:t>For signed-in Console investigations, open Web UI &gt; AI-Assisted RCA &gt; RCA History and locate the request ID shown in Console RCA Output. The origin identifies console. Administrators and Power Users can view all users’ history; Users see their own. Local-only investigations are not included in server history.</w:t>
      </w:r>
    </w:p>
    <w:p>
      <w:pPr>
        <w:spacing w:after="120"/>
      </w:pPr>
      <w:r>
        <w:t>Overview shows the request and outcome; Evidence &amp; Inputs shows arguments, run IDs, saved evidence and truncation; AI Explanations retains explanation attempts; Timeline orders events; LLM Usage shows each model call, captured settings, tokens and prepared inputs. Several discovery_tool_selection cards are several LLM calls, not necessarily several executions. The same discovery result can be included in multiple calls.</w:t>
      </w:r>
    </w:p>
    <w:p>
      <w:pPr>
        <w:spacing w:after="120"/>
      </w:pPr>
      <w:r>
        <w:t>COMPLETED on a model invocation is distinct from COMPLETED on a collector run. Check run IDs to confirm collection. initial_explanation and explanation_retry use saved evidence without collector tools. A narration-correction retry is confirmed through API logs, not inferred solely from duplicate inputs. See the Web UI guide’s RCA History troubleshooting section for the worked timeline example and timeout diagnosis.</w:t>
      </w:r>
    </w:p>
    <w:p>
      <w:pPr>
        <w:pStyle w:val="Heading2"/>
      </w:pPr>
      <w:r>
        <w:rPr>
          <w:color w:val="000000"/>
        </w:rPr>
        <w:t>Configure the model and time budgets</w:t>
      </w:r>
    </w:p>
    <w:p>
      <w:r>
        <w:t>Set these values in the API server .env file. This is an example configuration, not a requirement that every machine use the same model or context size. A reasoning model can take longer to produce an answer; choose a model and context size that fit the available hardware.</w:t>
      </w:r>
    </w:p>
    <w:p>
      <w:pPr>
        <w:pStyle w:val="GuideCode"/>
        <w:keepNext w:val="0"/>
      </w:pPr>
      <w:r>
        <w:rPr>
          <w:sz w:val="18"/>
        </w:rPr>
        <w:t>LH_LLM_TOOL_CALLING_ENABLED=true</w:t>
      </w:r>
    </w:p>
    <w:p>
      <w:pPr>
        <w:pStyle w:val="GuideCode"/>
        <w:keepNext w:val="0"/>
      </w:pPr>
      <w:r>
        <w:rPr>
          <w:sz w:val="18"/>
        </w:rPr>
        <w:t>LH_LLM_TOOL_MODEL=qwen3:4b-instruct</w:t>
      </w:r>
    </w:p>
    <w:p>
      <w:pPr>
        <w:pStyle w:val="GuideCode"/>
        <w:keepNext w:val="0"/>
      </w:pPr>
      <w:r>
        <w:rPr>
          <w:sz w:val="18"/>
        </w:rPr>
        <w:t>LH_LLM_TOOL_CONTEXT_LENGTH=8192</w:t>
      </w:r>
    </w:p>
    <w:p>
      <w:pPr>
        <w:pStyle w:val="GuideCode"/>
        <w:keepNext w:val="0"/>
      </w:pPr>
      <w:r>
        <w:rPr>
          <w:sz w:val="18"/>
        </w:rPr>
        <w:t>LH_LLM_TOOL_MAX_TOKENS=1024</w:t>
      </w:r>
    </w:p>
    <w:p>
      <w:pPr>
        <w:pStyle w:val="GuideCode"/>
        <w:keepNext w:val="0"/>
      </w:pPr>
      <w:r>
        <w:rPr>
          <w:sz w:val="18"/>
        </w:rPr>
        <w:t>LH_LLM_TOOL_MAX_CALLS=3</w:t>
      </w:r>
    </w:p>
    <w:p>
      <w:pPr>
        <w:pStyle w:val="GuideCode"/>
        <w:keepNext w:val="0"/>
      </w:pPr>
      <w:r>
        <w:rPr>
          <w:sz w:val="18"/>
        </w:rPr>
        <w:t>LH_LLM_TOOL_TIMEOUT_SECONDS=300</w:t>
      </w:r>
    </w:p>
    <w:p>
      <w:pPr>
        <w:pStyle w:val="GuideCode"/>
        <w:keepNext w:val="0"/>
      </w:pPr>
      <w:r>
        <w:rPr>
          <w:sz w:val="18"/>
        </w:rPr>
        <w:t>LH_LLM_TOOL_EXPLANATION_TIMEOUT_SECONDS=180</w:t>
      </w:r>
    </w:p>
    <w:p>
      <w:pPr>
        <w:pStyle w:val="GuideCode"/>
        <w:keepNext w:val="0"/>
      </w:pPr>
      <w:r>
        <w:rPr>
          <w:sz w:val="18"/>
        </w:rPr>
        <w:t>LH_LLM_TOOL_MAX_RESULT_CHARS=6000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520"/>
            <w:vAlign w:val="center"/>
            <w:shd w:fill="E8EEF4"/>
            <w:tcMar>
              <w:top w:w="85" w:type="dxa"/>
              <w:left w:w="85" w:type="dxa"/>
              <w:bottom w:w="85" w:type="dxa"/>
              <w:right w:w="85" w:type="dxa"/>
            </w:tcMar>
          </w:tcPr>
          <w:p>
            <w:pPr>
              <w:spacing w:after="80"/>
            </w:pPr>
            <w:r>
              <w:rPr>
                <w:b/>
                <w:color w:val="000000"/>
                <w:sz w:val="18"/>
              </w:rPr>
              <w:t>Setting</w:t>
            </w:r>
          </w:p>
        </w:tc>
        <w:tc>
          <w:tcPr>
            <w:tcW w:type="dxa" w:w="6624"/>
            <w:vAlign w:val="center"/>
            <w:shd w:fill="E8EEF4"/>
            <w:tcMar>
              <w:top w:w="85" w:type="dxa"/>
              <w:left w:w="85" w:type="dxa"/>
              <w:bottom w:w="85" w:type="dxa"/>
              <w:right w:w="85" w:type="dxa"/>
            </w:tcMar>
          </w:tcPr>
          <w:p>
            <w:pPr>
              <w:spacing w:after="80"/>
            </w:pPr>
            <w:r>
              <w:rPr>
                <w:b/>
                <w:color w:val="000000"/>
                <w:sz w:val="18"/>
              </w:rPr>
              <w:t>Meaning</w:t>
            </w:r>
          </w:p>
        </w:tc>
      </w:tr>
      <w:tr>
        <w:tc>
          <w:tcPr>
            <w:tcW w:type="dxa" w:w="2520"/>
            <w:vAlign w:val="center"/>
            <w:shd w:fill="FFFFFF"/>
            <w:tcMar>
              <w:top w:w="85" w:type="dxa"/>
              <w:left w:w="85" w:type="dxa"/>
              <w:bottom w:w="85" w:type="dxa"/>
              <w:right w:w="85" w:type="dxa"/>
            </w:tcMar>
          </w:tcPr>
          <w:p>
            <w:pPr>
              <w:spacing w:after="80"/>
            </w:pPr>
            <w:r>
              <w:rPr>
                <w:color w:val="000000"/>
                <w:sz w:val="18"/>
              </w:rPr>
              <w:t>Tool model</w:t>
            </w:r>
          </w:p>
        </w:tc>
        <w:tc>
          <w:tcPr>
            <w:tcW w:type="dxa" w:w="6624"/>
            <w:vAlign w:val="center"/>
            <w:shd w:fill="FFFFFF"/>
            <w:tcMar>
              <w:top w:w="85" w:type="dxa"/>
              <w:left w:w="85" w:type="dxa"/>
              <w:bottom w:w="85" w:type="dxa"/>
              <w:right w:w="85" w:type="dxa"/>
            </w:tcMar>
          </w:tcPr>
          <w:p>
            <w:pPr>
              <w:spacing w:after="80"/>
            </w:pPr>
            <w:r>
              <w:rPr>
                <w:color w:val="000000"/>
                <w:sz w:val="18"/>
              </w:rPr>
              <w:t>Uses the configured LiteLLM provider and base URL. Task drafting can use LH_LLM_CODEASSIST_MODEL separately.</w:t>
            </w:r>
          </w:p>
        </w:tc>
      </w:tr>
      <w:tr>
        <w:tc>
          <w:tcPr>
            <w:tcW w:type="dxa" w:w="2520"/>
            <w:vAlign w:val="center"/>
            <w:shd w:fill="F5F7F9"/>
            <w:tcMar>
              <w:top w:w="85" w:type="dxa"/>
              <w:left w:w="85" w:type="dxa"/>
              <w:bottom w:w="85" w:type="dxa"/>
              <w:right w:w="85" w:type="dxa"/>
            </w:tcMar>
          </w:tcPr>
          <w:p>
            <w:pPr>
              <w:spacing w:after="80"/>
            </w:pPr>
            <w:r>
              <w:rPr>
                <w:color w:val="000000"/>
                <w:sz w:val="18"/>
              </w:rPr>
              <w:t>Context length and maximum tokens</w:t>
            </w:r>
          </w:p>
        </w:tc>
        <w:tc>
          <w:tcPr>
            <w:tcW w:type="dxa" w:w="6624"/>
            <w:vAlign w:val="center"/>
            <w:shd w:fill="F5F7F9"/>
            <w:tcMar>
              <w:top w:w="85" w:type="dxa"/>
              <w:left w:w="85" w:type="dxa"/>
              <w:bottom w:w="85" w:type="dxa"/>
              <w:right w:w="85" w:type="dxa"/>
            </w:tcMar>
          </w:tcPr>
          <w:p>
            <w:pPr>
              <w:spacing w:after="80"/>
            </w:pPr>
            <w:r>
              <w:rPr>
                <w:color w:val="000000"/>
                <w:sz w:val="18"/>
              </w:rPr>
              <w:t>Bound model input/output and generation length. Larger budgets can increase memory use and latency.</w:t>
            </w:r>
          </w:p>
        </w:tc>
      </w:tr>
      <w:tr>
        <w:tc>
          <w:tcPr>
            <w:tcW w:type="dxa" w:w="2520"/>
            <w:vAlign w:val="center"/>
            <w:shd w:fill="FFFFFF"/>
            <w:tcMar>
              <w:top w:w="85" w:type="dxa"/>
              <w:left w:w="85" w:type="dxa"/>
              <w:bottom w:w="85" w:type="dxa"/>
              <w:right w:w="85" w:type="dxa"/>
            </w:tcMar>
          </w:tcPr>
          <w:p>
            <w:pPr>
              <w:spacing w:after="80"/>
            </w:pPr>
            <w:r>
              <w:rPr>
                <w:color w:val="000000"/>
                <w:sz w:val="18"/>
              </w:rPr>
              <w:t>Maximum calls</w:t>
            </w:r>
          </w:p>
        </w:tc>
        <w:tc>
          <w:tcPr>
            <w:tcW w:type="dxa" w:w="6624"/>
            <w:vAlign w:val="center"/>
            <w:shd w:fill="FFFFFF"/>
            <w:tcMar>
              <w:top w:w="85" w:type="dxa"/>
              <w:left w:w="85" w:type="dxa"/>
              <w:bottom w:w="85" w:type="dxa"/>
              <w:right w:w="85" w:type="dxa"/>
            </w:tcMar>
          </w:tcPr>
          <w:p>
            <w:pPr>
              <w:spacing w:after="80"/>
            </w:pPr>
            <w:r>
              <w:rPr>
                <w:color w:val="000000"/>
                <w:sz w:val="18"/>
              </w:rPr>
              <w:t>Includes collector discovery as well as execution tool calls.</w:t>
            </w:r>
          </w:p>
        </w:tc>
      </w:tr>
      <w:tr>
        <w:tc>
          <w:tcPr>
            <w:tcW w:type="dxa" w:w="2520"/>
            <w:vAlign w:val="center"/>
            <w:shd w:fill="F5F7F9"/>
            <w:tcMar>
              <w:top w:w="85" w:type="dxa"/>
              <w:left w:w="85" w:type="dxa"/>
              <w:bottom w:w="85" w:type="dxa"/>
              <w:right w:w="85" w:type="dxa"/>
            </w:tcMar>
          </w:tcPr>
          <w:p>
            <w:pPr>
              <w:spacing w:after="80"/>
            </w:pPr>
            <w:r>
              <w:rPr>
                <w:color w:val="000000"/>
                <w:sz w:val="18"/>
              </w:rPr>
              <w:t>Tool timeout</w:t>
            </w:r>
          </w:p>
        </w:tc>
        <w:tc>
          <w:tcPr>
            <w:tcW w:type="dxa" w:w="6624"/>
            <w:vAlign w:val="center"/>
            <w:shd w:fill="F5F7F9"/>
            <w:tcMar>
              <w:top w:w="85" w:type="dxa"/>
              <w:left w:w="85" w:type="dxa"/>
              <w:bottom w:w="85" w:type="dxa"/>
              <w:right w:w="85" w:type="dxa"/>
            </w:tcMar>
          </w:tcPr>
          <w:p>
            <w:pPr>
              <w:spacing w:after="80"/>
            </w:pPr>
            <w:r>
              <w:rPr>
                <w:color w:val="000000"/>
                <w:sz w:val="18"/>
              </w:rPr>
              <w:t>Shared discovery/execution processing budget; human confirmation wait is excluded. Code default: 120 seconds.</w:t>
            </w:r>
          </w:p>
        </w:tc>
      </w:tr>
      <w:tr>
        <w:tc>
          <w:tcPr>
            <w:tcW w:type="dxa" w:w="2520"/>
            <w:vAlign w:val="center"/>
            <w:shd w:fill="FFFFFF"/>
            <w:tcMar>
              <w:top w:w="85" w:type="dxa"/>
              <w:left w:w="85" w:type="dxa"/>
              <w:bottom w:w="85" w:type="dxa"/>
              <w:right w:w="85" w:type="dxa"/>
            </w:tcMar>
          </w:tcPr>
          <w:p>
            <w:pPr>
              <w:spacing w:after="80"/>
            </w:pPr>
            <w:r>
              <w:rPr>
                <w:color w:val="000000"/>
                <w:sz w:val="18"/>
              </w:rPr>
              <w:t>Explanation timeout</w:t>
            </w:r>
          </w:p>
        </w:tc>
        <w:tc>
          <w:tcPr>
            <w:tcW w:type="dxa" w:w="6624"/>
            <w:vAlign w:val="center"/>
            <w:shd w:fill="FFFFFF"/>
            <w:tcMar>
              <w:top w:w="85" w:type="dxa"/>
              <w:left w:w="85" w:type="dxa"/>
              <w:bottom w:w="85" w:type="dxa"/>
              <w:right w:w="85" w:type="dxa"/>
            </w:tcMar>
          </w:tcPr>
          <w:p>
            <w:pPr>
              <w:spacing w:after="80"/>
            </w:pPr>
            <w:r>
              <w:rPr>
                <w:color w:val="000000"/>
                <w:sz w:val="18"/>
              </w:rPr>
              <w:t>Additional, independent budget for final explanation and each retry. Code default: 180 seconds.</w:t>
            </w:r>
          </w:p>
        </w:tc>
      </w:tr>
      <w:tr>
        <w:tc>
          <w:tcPr>
            <w:tcW w:type="dxa" w:w="2520"/>
            <w:vAlign w:val="center"/>
            <w:shd w:fill="F5F7F9"/>
            <w:tcMar>
              <w:top w:w="85" w:type="dxa"/>
              <w:left w:w="85" w:type="dxa"/>
              <w:bottom w:w="85" w:type="dxa"/>
              <w:right w:w="85" w:type="dxa"/>
            </w:tcMar>
          </w:tcPr>
          <w:p>
            <w:pPr>
              <w:spacing w:after="80"/>
            </w:pPr>
            <w:r>
              <w:rPr>
                <w:color w:val="000000"/>
                <w:sz w:val="18"/>
              </w:rPr>
              <w:t>Maximum result characters</w:t>
            </w:r>
          </w:p>
        </w:tc>
        <w:tc>
          <w:tcPr>
            <w:tcW w:type="dxa" w:w="6624"/>
            <w:vAlign w:val="center"/>
            <w:shd w:fill="F5F7F9"/>
            <w:tcMar>
              <w:top w:w="85" w:type="dxa"/>
              <w:left w:w="85" w:type="dxa"/>
              <w:bottom w:w="85" w:type="dxa"/>
              <w:right w:w="85" w:type="dxa"/>
            </w:tcMar>
          </w:tcPr>
          <w:p>
            <w:pPr>
              <w:spacing w:after="80"/>
            </w:pPr>
            <w:r>
              <w:rPr>
                <w:color w:val="000000"/>
                <w:sz w:val="18"/>
              </w:rPr>
              <w:t>Bounds model-facing result and discovery text; it is not a guarantee of unlimited source evidence.</w:t>
            </w:r>
          </w:p>
        </w:tc>
      </w:tr>
    </w:tbl>
    <w:p>
      <w:r>
        <w:t>Restart the API after changing its .env settings. Restart Hawk Console after changing its local configuration so its HTTP timeout accounts for both budgets. Final explanation uses a separate model call without execution tools. Transport retries are disabled for this flow; bounded correction of narration into a tool call is not a collector execution retry.</w:t>
      </w:r>
    </w:p>
    <w:p>
      <w:pPr>
        <w:pStyle w:val="Heading1"/>
      </w:pPr>
      <w:r>
        <w:rPr>
          <w:color w:val="000000"/>
        </w:rPr>
        <w:t>Command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3240"/>
            <w:vAlign w:val="center"/>
            <w:shd w:fill="E8EEF4"/>
            <w:tcMar>
              <w:top w:w="85" w:type="dxa"/>
              <w:left w:w="85" w:type="dxa"/>
              <w:bottom w:w="85" w:type="dxa"/>
              <w:right w:w="85" w:type="dxa"/>
            </w:tcMar>
          </w:tcPr>
          <w:p>
            <w:pPr>
              <w:spacing w:after="80"/>
            </w:pPr>
            <w:r>
              <w:rPr>
                <w:b/>
                <w:color w:val="000000"/>
                <w:sz w:val="18"/>
              </w:rPr>
              <w:t>Command</w:t>
            </w:r>
          </w:p>
        </w:tc>
        <w:tc>
          <w:tcPr>
            <w:tcW w:type="dxa" w:w="1800"/>
            <w:vAlign w:val="center"/>
            <w:shd w:fill="E8EEF4"/>
            <w:tcMar>
              <w:top w:w="85" w:type="dxa"/>
              <w:left w:w="85" w:type="dxa"/>
              <w:bottom w:w="85" w:type="dxa"/>
              <w:right w:w="85" w:type="dxa"/>
            </w:tcMar>
          </w:tcPr>
          <w:p>
            <w:pPr>
              <w:spacing w:after="80"/>
            </w:pPr>
            <w:r>
              <w:rPr>
                <w:b/>
                <w:color w:val="000000"/>
                <w:sz w:val="18"/>
              </w:rPr>
              <w:t>Where</w:t>
            </w:r>
          </w:p>
        </w:tc>
        <w:tc>
          <w:tcPr>
            <w:tcW w:type="dxa" w:w="4104"/>
            <w:vAlign w:val="center"/>
            <w:shd w:fill="E8EEF4"/>
            <w:tcMar>
              <w:top w:w="85" w:type="dxa"/>
              <w:left w:w="85" w:type="dxa"/>
              <w:bottom w:w="85" w:type="dxa"/>
              <w:right w:w="85" w:type="dxa"/>
            </w:tcMar>
          </w:tcPr>
          <w:p>
            <w:pPr>
              <w:spacing w:after="80"/>
            </w:pPr>
            <w:r>
              <w:rPr>
                <w:b/>
                <w:color w:val="000000"/>
                <w:sz w:val="18"/>
              </w:rPr>
              <w:t>Purpose</w:t>
            </w:r>
          </w:p>
        </w:tc>
      </w:tr>
      <w:tr>
        <w:tc>
          <w:tcPr>
            <w:tcW w:type="dxa" w:w="3240"/>
            <w:vAlign w:val="center"/>
            <w:shd w:fill="FFFFFF"/>
            <w:tcMar>
              <w:top w:w="85" w:type="dxa"/>
              <w:left w:w="85" w:type="dxa"/>
              <w:bottom w:w="85" w:type="dxa"/>
              <w:right w:w="85" w:type="dxa"/>
            </w:tcMar>
          </w:tcPr>
          <w:p>
            <w:pPr>
              <w:spacing w:after="80"/>
            </w:pPr>
            <w:r>
              <w:rPr>
                <w:color w:val="000000"/>
                <w:sz w:val="18"/>
              </w:rPr>
              <w:t>/help</w:t>
            </w:r>
          </w:p>
        </w:tc>
        <w:tc>
          <w:tcPr>
            <w:tcW w:type="dxa" w:w="1800"/>
            <w:vAlign w:val="center"/>
            <w:shd w:fill="FFFFFF"/>
            <w:tcMar>
              <w:top w:w="85" w:type="dxa"/>
              <w:left w:w="85" w:type="dxa"/>
              <w:bottom w:w="85" w:type="dxa"/>
              <w:right w:w="85" w:type="dxa"/>
            </w:tcMar>
          </w:tcPr>
          <w:p>
            <w:pPr>
              <w:spacing w:after="80"/>
            </w:pPr>
            <w:r>
              <w:rPr>
                <w:color w:val="000000"/>
                <w:sz w:val="18"/>
              </w:rPr>
              <w:t>Any terminal</w:t>
            </w:r>
          </w:p>
        </w:tc>
        <w:tc>
          <w:tcPr>
            <w:tcW w:type="dxa" w:w="4104"/>
            <w:vAlign w:val="center"/>
            <w:shd w:fill="FFFFFF"/>
            <w:tcMar>
              <w:top w:w="85" w:type="dxa"/>
              <w:left w:w="85" w:type="dxa"/>
              <w:bottom w:w="85" w:type="dxa"/>
              <w:right w:w="85" w:type="dxa"/>
            </w:tcMar>
          </w:tcPr>
          <w:p>
            <w:pPr>
              <w:spacing w:after="80"/>
            </w:pPr>
            <w:r>
              <w:rPr>
                <w:color w:val="000000"/>
                <w:sz w:val="18"/>
              </w:rPr>
              <w:t>Show command reference in Editor</w:t>
            </w:r>
          </w:p>
        </w:tc>
      </w:tr>
      <w:tr>
        <w:tc>
          <w:tcPr>
            <w:tcW w:type="dxa" w:w="3240"/>
            <w:vAlign w:val="center"/>
            <w:shd w:fill="F5F7F9"/>
            <w:tcMar>
              <w:top w:w="85" w:type="dxa"/>
              <w:left w:w="85" w:type="dxa"/>
              <w:bottom w:w="85" w:type="dxa"/>
              <w:right w:w="85" w:type="dxa"/>
            </w:tcMar>
          </w:tcPr>
          <w:p>
            <w:pPr>
              <w:spacing w:after="80"/>
            </w:pPr>
            <w:r>
              <w:rPr>
                <w:color w:val="000000"/>
                <w:sz w:val="18"/>
              </w:rPr>
              <w:t>/rag question</w:t>
            </w:r>
          </w:p>
        </w:tc>
        <w:tc>
          <w:tcPr>
            <w:tcW w:type="dxa" w:w="1800"/>
            <w:vAlign w:val="center"/>
            <w:shd w:fill="F5F7F9"/>
            <w:tcMar>
              <w:top w:w="85" w:type="dxa"/>
              <w:left w:w="85" w:type="dxa"/>
              <w:bottom w:w="85" w:type="dxa"/>
              <w:right w:w="85" w:type="dxa"/>
            </w:tcMar>
          </w:tcPr>
          <w:p>
            <w:pPr>
              <w:spacing w:after="80"/>
            </w:pPr>
            <w:r>
              <w:rPr>
                <w:color w:val="000000"/>
                <w:sz w:val="18"/>
              </w:rPr>
              <w:t>AI/LLM</w:t>
            </w:r>
          </w:p>
        </w:tc>
        <w:tc>
          <w:tcPr>
            <w:tcW w:type="dxa" w:w="4104"/>
            <w:vAlign w:val="center"/>
            <w:shd w:fill="F5F7F9"/>
            <w:tcMar>
              <w:top w:w="85" w:type="dxa"/>
              <w:left w:w="85" w:type="dxa"/>
              <w:bottom w:w="85" w:type="dxa"/>
              <w:right w:w="85" w:type="dxa"/>
            </w:tcMar>
          </w:tcPr>
          <w:p>
            <w:pPr>
              <w:spacing w:after="80"/>
            </w:pPr>
            <w:r>
              <w:rPr>
                <w:color w:val="000000"/>
                <w:sz w:val="18"/>
              </w:rPr>
              <w:t>Search indexed documents</w:t>
            </w:r>
          </w:p>
        </w:tc>
      </w:tr>
      <w:tr>
        <w:tc>
          <w:tcPr>
            <w:tcW w:type="dxa" w:w="3240"/>
            <w:vAlign w:val="center"/>
            <w:shd w:fill="FFFFFF"/>
            <w:tcMar>
              <w:top w:w="85" w:type="dxa"/>
              <w:left w:w="85" w:type="dxa"/>
              <w:bottom w:w="85" w:type="dxa"/>
              <w:right w:w="85" w:type="dxa"/>
            </w:tcMar>
          </w:tcPr>
          <w:p>
            <w:pPr>
              <w:spacing w:after="80"/>
            </w:pPr>
            <w:r>
              <w:rPr>
                <w:color w:val="000000"/>
                <w:sz w:val="18"/>
              </w:rPr>
              <w:t>/command request</w:t>
            </w:r>
          </w:p>
        </w:tc>
        <w:tc>
          <w:tcPr>
            <w:tcW w:type="dxa" w:w="1800"/>
            <w:vAlign w:val="center"/>
            <w:shd w:fill="FFFFFF"/>
            <w:tcMar>
              <w:top w:w="85" w:type="dxa"/>
              <w:left w:w="85" w:type="dxa"/>
              <w:bottom w:w="85" w:type="dxa"/>
              <w:right w:w="85" w:type="dxa"/>
            </w:tcMar>
          </w:tcPr>
          <w:p>
            <w:pPr>
              <w:spacing w:after="80"/>
            </w:pPr>
            <w:r>
              <w:rPr>
                <w:color w:val="000000"/>
                <w:sz w:val="18"/>
              </w:rPr>
              <w:t>AI/LLM</w:t>
            </w:r>
          </w:p>
        </w:tc>
        <w:tc>
          <w:tcPr>
            <w:tcW w:type="dxa" w:w="4104"/>
            <w:vAlign w:val="center"/>
            <w:shd w:fill="FFFFFF"/>
            <w:tcMar>
              <w:top w:w="85" w:type="dxa"/>
              <w:left w:w="85" w:type="dxa"/>
              <w:bottom w:w="85" w:type="dxa"/>
              <w:right w:w="85" w:type="dxa"/>
            </w:tcMar>
          </w:tcPr>
          <w:p>
            <w:pPr>
              <w:spacing w:after="80"/>
            </w:pPr>
            <w:r>
              <w:rPr>
                <w:color w:val="000000"/>
                <w:sz w:val="18"/>
              </w:rPr>
              <w:t>Draft commands for review and optional Quick Save</w:t>
            </w:r>
          </w:p>
        </w:tc>
      </w:tr>
      <w:tr>
        <w:tc>
          <w:tcPr>
            <w:tcW w:type="dxa" w:w="3240"/>
            <w:vAlign w:val="center"/>
            <w:shd w:fill="F5F7F9"/>
            <w:tcMar>
              <w:top w:w="85" w:type="dxa"/>
              <w:left w:w="85" w:type="dxa"/>
              <w:bottom w:w="85" w:type="dxa"/>
              <w:right w:w="85" w:type="dxa"/>
            </w:tcMar>
          </w:tcPr>
          <w:p>
            <w:pPr>
              <w:spacing w:after="80"/>
            </w:pPr>
            <w:r>
              <w:rPr>
                <w:color w:val="000000"/>
                <w:sz w:val="18"/>
              </w:rPr>
              <w:t>/tasknew</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Create a Task; choose any task kind</w:t>
            </w:r>
          </w:p>
        </w:tc>
      </w:tr>
      <w:tr>
        <w:tc>
          <w:tcPr>
            <w:tcW w:type="dxa" w:w="3240"/>
            <w:vAlign w:val="center"/>
            <w:shd w:fill="FFFFFF"/>
            <w:tcMar>
              <w:top w:w="85" w:type="dxa"/>
              <w:left w:w="85" w:type="dxa"/>
              <w:bottom w:w="85" w:type="dxa"/>
              <w:right w:w="85" w:type="dxa"/>
            </w:tcMar>
          </w:tcPr>
          <w:p>
            <w:pPr>
              <w:spacing w:after="80"/>
            </w:pPr>
            <w:r>
              <w:rPr>
                <w:color w:val="000000"/>
                <w:sz w:val="18"/>
              </w:rPr>
              <w:t>/tasklist</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List Tasks with type category and user ID</w:t>
            </w:r>
          </w:p>
        </w:tc>
      </w:tr>
      <w:tr>
        <w:tc>
          <w:tcPr>
            <w:tcW w:type="dxa" w:w="3240"/>
            <w:vAlign w:val="center"/>
            <w:shd w:fill="F5F7F9"/>
            <w:tcMar>
              <w:top w:w="85" w:type="dxa"/>
              <w:left w:w="85" w:type="dxa"/>
              <w:bottom w:w="85" w:type="dxa"/>
              <w:right w:w="85" w:type="dxa"/>
            </w:tcMar>
          </w:tcPr>
          <w:p>
            <w:pPr>
              <w:spacing w:after="80"/>
            </w:pPr>
            <w:r>
              <w:rPr>
                <w:color w:val="000000"/>
                <w:sz w:val="18"/>
              </w:rPr>
              <w:t>/taskedit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Load editable Task and version controls</w:t>
            </w:r>
          </w:p>
        </w:tc>
      </w:tr>
      <w:tr>
        <w:tc>
          <w:tcPr>
            <w:tcW w:type="dxa" w:w="3240"/>
            <w:vAlign w:val="center"/>
            <w:shd w:fill="FFFFFF"/>
            <w:tcMar>
              <w:top w:w="85" w:type="dxa"/>
              <w:left w:w="85" w:type="dxa"/>
              <w:bottom w:w="85" w:type="dxa"/>
              <w:right w:w="85" w:type="dxa"/>
            </w:tcMar>
          </w:tcPr>
          <w:p>
            <w:pPr>
              <w:spacing w:after="80"/>
            </w:pPr>
            <w:r>
              <w:rPr>
                <w:color w:val="000000"/>
                <w:sz w:val="18"/>
              </w:rPr>
              <w:t>/taskview name</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Alias for /taskedit</w:t>
            </w:r>
          </w:p>
        </w:tc>
      </w:tr>
      <w:tr>
        <w:tc>
          <w:tcPr>
            <w:tcW w:type="dxa" w:w="3240"/>
            <w:vAlign w:val="center"/>
            <w:shd w:fill="F5F7F9"/>
            <w:tcMar>
              <w:top w:w="85" w:type="dxa"/>
              <w:left w:w="85" w:type="dxa"/>
              <w:bottom w:w="85" w:type="dxa"/>
              <w:right w:w="85" w:type="dxa"/>
            </w:tcMar>
          </w:tcPr>
          <w:p>
            <w:pPr>
              <w:spacing w:after="80"/>
            </w:pPr>
            <w:r>
              <w:rPr>
                <w:color w:val="000000"/>
                <w:sz w:val="18"/>
              </w:rPr>
              <w:t>/taskdelete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Delete a Task after confirmation if permitted</w:t>
            </w:r>
          </w:p>
        </w:tc>
      </w:tr>
      <w:tr>
        <w:tc>
          <w:tcPr>
            <w:tcW w:type="dxa" w:w="3240"/>
            <w:vAlign w:val="center"/>
            <w:shd w:fill="FFFFFF"/>
            <w:tcMar>
              <w:top w:w="85" w:type="dxa"/>
              <w:left w:w="85" w:type="dxa"/>
              <w:bottom w:w="85" w:type="dxa"/>
              <w:right w:w="85" w:type="dxa"/>
            </w:tcMar>
          </w:tcPr>
          <w:p>
            <w:pPr>
              <w:spacing w:after="80"/>
            </w:pPr>
            <w:r>
              <w:rPr>
                <w:color w:val="000000"/>
                <w:sz w:val="18"/>
              </w:rPr>
              <w:t>/task name {JSON}</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Signed-in approved enabled API run</w:t>
            </w:r>
          </w:p>
        </w:tc>
      </w:tr>
      <w:tr>
        <w:tc>
          <w:tcPr>
            <w:tcW w:type="dxa" w:w="3240"/>
            <w:vAlign w:val="center"/>
            <w:shd w:fill="F5F7F9"/>
            <w:tcMar>
              <w:top w:w="85" w:type="dxa"/>
              <w:left w:w="85" w:type="dxa"/>
              <w:bottom w:w="85" w:type="dxa"/>
              <w:right w:w="85" w:type="dxa"/>
            </w:tcMar>
          </w:tcPr>
          <w:p>
            <w:pPr>
              <w:spacing w:after="80"/>
            </w:pPr>
            <w:r>
              <w:rPr>
                <w:color w:val="000000"/>
                <w:sz w:val="18"/>
              </w:rPr>
              <w:t>/taskrun name {JSON}</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Local development run after Y/N</w:t>
            </w:r>
          </w:p>
        </w:tc>
      </w:tr>
      <w:tr>
        <w:tc>
          <w:tcPr>
            <w:tcW w:type="dxa" w:w="3240"/>
            <w:vAlign w:val="center"/>
            <w:shd w:fill="FFFFFF"/>
            <w:tcMar>
              <w:top w:w="85" w:type="dxa"/>
              <w:left w:w="85" w:type="dxa"/>
              <w:bottom w:w="85" w:type="dxa"/>
              <w:right w:w="85" w:type="dxa"/>
            </w:tcMar>
          </w:tcPr>
          <w:p>
            <w:pPr>
              <w:spacing w:after="80"/>
            </w:pPr>
            <w:r>
              <w:rPr>
                <w:color w:val="000000"/>
                <w:sz w:val="18"/>
              </w:rPr>
              <w:t>/collectlist</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List available collectors</w:t>
            </w:r>
          </w:p>
        </w:tc>
      </w:tr>
      <w:tr>
        <w:tc>
          <w:tcPr>
            <w:tcW w:type="dxa" w:w="3240"/>
            <w:vAlign w:val="center"/>
            <w:shd w:fill="F5F7F9"/>
            <w:tcMar>
              <w:top w:w="85" w:type="dxa"/>
              <w:left w:w="85" w:type="dxa"/>
              <w:bottom w:w="85" w:type="dxa"/>
              <w:right w:w="85" w:type="dxa"/>
            </w:tcMar>
          </w:tcPr>
          <w:p>
            <w:pPr>
              <w:spacing w:after="80"/>
            </w:pPr>
            <w:r>
              <w:rPr>
                <w:color w:val="000000"/>
                <w:sz w:val="18"/>
              </w:rPr>
              <w:t>/collectview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Inspect builtin or open custom collector editor</w:t>
            </w:r>
          </w:p>
        </w:tc>
      </w:tr>
      <w:tr>
        <w:tc>
          <w:tcPr>
            <w:tcW w:type="dxa" w:w="3240"/>
            <w:vAlign w:val="center"/>
            <w:shd w:fill="FFFFFF"/>
            <w:tcMar>
              <w:top w:w="85" w:type="dxa"/>
              <w:left w:w="85" w:type="dxa"/>
              <w:bottom w:w="85" w:type="dxa"/>
              <w:right w:w="85" w:type="dxa"/>
            </w:tcMar>
          </w:tcPr>
          <w:p>
            <w:pPr>
              <w:spacing w:after="80"/>
            </w:pPr>
            <w:r>
              <w:rPr>
                <w:color w:val="000000"/>
                <w:sz w:val="18"/>
              </w:rPr>
              <w:t>/collect name {JSON}</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Signed-in approved enabled API collector run</w:t>
            </w:r>
          </w:p>
        </w:tc>
      </w:tr>
      <w:tr>
        <w:tc>
          <w:tcPr>
            <w:tcW w:type="dxa" w:w="3240"/>
            <w:vAlign w:val="center"/>
            <w:shd w:fill="F5F7F9"/>
            <w:tcMar>
              <w:top w:w="85" w:type="dxa"/>
              <w:left w:w="85" w:type="dxa"/>
              <w:bottom w:w="85" w:type="dxa"/>
              <w:right w:w="85" w:type="dxa"/>
            </w:tcMar>
          </w:tcPr>
          <w:p>
            <w:pPr>
              <w:spacing w:after="80"/>
            </w:pPr>
            <w:r>
              <w:rPr>
                <w:color w:val="000000"/>
                <w:sz w:val="18"/>
              </w:rPr>
              <w:t>/collectrun name {JSON}</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Local collector development run after Y/N</w:t>
            </w:r>
          </w:p>
        </w:tc>
      </w:tr>
      <w:tr>
        <w:tc>
          <w:tcPr>
            <w:tcW w:type="dxa" w:w="3240"/>
            <w:vAlign w:val="center"/>
            <w:shd w:fill="FFFFFF"/>
            <w:tcMar>
              <w:top w:w="85" w:type="dxa"/>
              <w:left w:w="85" w:type="dxa"/>
              <w:bottom w:w="85" w:type="dxa"/>
              <w:right w:w="85" w:type="dxa"/>
            </w:tcMar>
          </w:tcPr>
          <w:p>
            <w:pPr>
              <w:spacing w:after="80"/>
            </w:pPr>
            <w:r>
              <w:rPr>
                <w:color w:val="000000"/>
                <w:sz w:val="18"/>
              </w:rPr>
              <w:t>/collectenable name</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Enable collector if permitted</w:t>
            </w:r>
          </w:p>
        </w:tc>
      </w:tr>
      <w:tr>
        <w:tc>
          <w:tcPr>
            <w:tcW w:type="dxa" w:w="3240"/>
            <w:vAlign w:val="center"/>
            <w:shd w:fill="F5F7F9"/>
            <w:tcMar>
              <w:top w:w="85" w:type="dxa"/>
              <w:left w:w="85" w:type="dxa"/>
              <w:bottom w:w="85" w:type="dxa"/>
              <w:right w:w="85" w:type="dxa"/>
            </w:tcMar>
          </w:tcPr>
          <w:p>
            <w:pPr>
              <w:spacing w:after="80"/>
            </w:pPr>
            <w:r>
              <w:rPr>
                <w:color w:val="000000"/>
                <w:sz w:val="18"/>
              </w:rPr>
              <w:t>/collectdisable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Disable collector if permitted</w:t>
            </w:r>
          </w:p>
        </w:tc>
      </w:tr>
      <w:tr>
        <w:tc>
          <w:tcPr>
            <w:tcW w:type="dxa" w:w="3240"/>
            <w:vAlign w:val="center"/>
            <w:shd w:fill="FFFFFF"/>
            <w:tcMar>
              <w:top w:w="85" w:type="dxa"/>
              <w:left w:w="85" w:type="dxa"/>
              <w:bottom w:w="85" w:type="dxa"/>
              <w:right w:w="85" w:type="dxa"/>
            </w:tcMar>
          </w:tcPr>
          <w:p>
            <w:pPr>
              <w:spacing w:after="80"/>
            </w:pPr>
            <w:r>
              <w:rPr>
                <w:color w:val="000000"/>
                <w:sz w:val="18"/>
              </w:rPr>
              <w:t>/collectpolicy name policy</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Set permitted execution policy</w:t>
            </w:r>
          </w:p>
        </w:tc>
      </w:tr>
      <w:tr>
        <w:tc>
          <w:tcPr>
            <w:tcW w:type="dxa" w:w="3240"/>
            <w:vAlign w:val="center"/>
            <w:shd w:fill="F5F7F9"/>
            <w:tcMar>
              <w:top w:w="85" w:type="dxa"/>
              <w:left w:w="85" w:type="dxa"/>
              <w:bottom w:w="85" w:type="dxa"/>
              <w:right w:w="85" w:type="dxa"/>
            </w:tcMar>
          </w:tcPr>
          <w:p>
            <w:pPr>
              <w:spacing w:after="80"/>
            </w:pPr>
            <w:r>
              <w:rPr>
                <w:color w:val="000000"/>
                <w:sz w:val="18"/>
              </w:rPr>
              <w:t>/ragupload path</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Index file or folder</w:t>
            </w:r>
          </w:p>
        </w:tc>
      </w:tr>
      <w:tr>
        <w:tc>
          <w:tcPr>
            <w:tcW w:type="dxa" w:w="3240"/>
            <w:vAlign w:val="center"/>
            <w:shd w:fill="FFFFFF"/>
            <w:tcMar>
              <w:top w:w="85" w:type="dxa"/>
              <w:left w:w="85" w:type="dxa"/>
              <w:bottom w:w="85" w:type="dxa"/>
              <w:right w:w="85" w:type="dxa"/>
            </w:tcMar>
          </w:tcPr>
          <w:p>
            <w:pPr>
              <w:spacing w:after="80"/>
            </w:pPr>
            <w:r>
              <w:rPr>
                <w:color w:val="000000"/>
                <w:sz w:val="18"/>
              </w:rPr>
              <w:t>/ragscrape URL</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Crawl and index website content</w:t>
            </w:r>
          </w:p>
        </w:tc>
      </w:tr>
    </w:tbl>
    <w:p>
      <w:r>
        <w:t>Use /tasknew with Task kind Collector to create a custom collector. /collectview opens its task editor; /collectrun uses the same local execution path as /taskrun. Quote names and paths containing spaces. Pass JSON arguments matching the saved schema.</w:t>
      </w:r>
    </w:p>
    <w:p>
      <w:pPr>
        <w:pStyle w:val="GuideCode"/>
        <w:keepNext w:val="0"/>
      </w:pPr>
      <w:r>
        <w:rPr>
          <w:sz w:val="18"/>
        </w:rPr>
        <w:t>/collect prometheus-query {"query":"up"}</w:t>
      </w:r>
    </w:p>
    <w:p>
      <w:pPr>
        <w:pStyle w:val="GuideCode"/>
        <w:keepNext w:val="0"/>
      </w:pPr>
      <w:r>
        <w:rPr>
          <w:sz w:val="18"/>
        </w:rPr>
        <w:t>/collectrun kubernetes-pods {"namespace":"monitoring","limit":20}</w:t>
      </w:r>
    </w:p>
    <w:p>
      <w:pPr>
        <w:pStyle w:val="GuideCode"/>
        <w:keepNext w:val="0"/>
      </w:pPr>
      <w:r>
        <w:rPr>
          <w:sz w:val="18"/>
        </w:rPr>
        <w:t>/taskrun "My Task" {}</w:t>
      </w:r>
    </w:p>
    <w:p>
      <w:pPr>
        <w:pStyle w:val="Heading2"/>
      </w:pPr>
      <w:r>
        <w:rPr>
          <w:color w:val="000000"/>
        </w:rPr>
        <w:t>Execution host and tools environment</w:t>
      </w:r>
    </w:p>
    <w:p>
      <w:r>
        <w:t>/task and /collect execute on the API server host. /taskrun and /collectrun execute on the computer running Hawk Console. Python uses venv_tools; Bash, PowerShell, and Windows CMD need their corresponding interpreters. Windows CMD requires Windows. Scripts receive arguments through LH_RUNNER_ARGUMENTS_JSON. n8n JSON is not run by these commands.</w:t>
      </w:r>
    </w:p>
    <w:p>
      <w:r>
        <w:t>Configure .env_tools on the execution host. For missing Python dependencies, update requirements_tools.txt and rerun setup_tools.bat or setup_tools.sh on that host. A localhost address refers to the execution host, so a service reachable from your laptop may not be reachable from a remote API server.</w:t>
      </w:r>
    </w:p>
    <w:p>
      <w:pPr>
        <w:pStyle w:val="Heading2"/>
      </w:pPr>
      <w:r>
        <w:rPr>
          <w:color w:val="000000"/>
        </w:rPr>
        <w:t>Know which data store you are using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2016"/>
            <w:vAlign w:val="center"/>
            <w:shd w:fill="E8EEF4"/>
            <w:tcMar>
              <w:top w:w="85" w:type="dxa"/>
              <w:left w:w="85" w:type="dxa"/>
              <w:bottom w:w="85" w:type="dxa"/>
              <w:right w:w="85" w:type="dxa"/>
            </w:tcMar>
          </w:tcPr>
          <w:p>
            <w:pPr>
              <w:spacing w:after="80"/>
            </w:pPr>
            <w:r>
              <w:rPr>
                <w:b/>
                <w:color w:val="000000"/>
                <w:sz w:val="18"/>
              </w:rPr>
              <w:t>Operation</w:t>
            </w:r>
          </w:p>
        </w:tc>
        <w:tc>
          <w:tcPr>
            <w:tcW w:type="dxa" w:w="3564"/>
            <w:vAlign w:val="center"/>
            <w:shd w:fill="E8EEF4"/>
            <w:tcMar>
              <w:top w:w="85" w:type="dxa"/>
              <w:left w:w="85" w:type="dxa"/>
              <w:bottom w:w="85" w:type="dxa"/>
              <w:right w:w="85" w:type="dxa"/>
            </w:tcMar>
          </w:tcPr>
          <w:p>
            <w:pPr>
              <w:spacing w:after="80"/>
            </w:pPr>
            <w:r>
              <w:rPr>
                <w:b/>
                <w:color w:val="000000"/>
                <w:sz w:val="18"/>
              </w:rPr>
              <w:t>Signed-in mode</w:t>
            </w:r>
          </w:p>
        </w:tc>
        <w:tc>
          <w:tcPr>
            <w:tcW w:type="dxa" w:w="3564"/>
            <w:vAlign w:val="center"/>
            <w:shd w:fill="E8EEF4"/>
            <w:tcMar>
              <w:top w:w="85" w:type="dxa"/>
              <w:left w:w="85" w:type="dxa"/>
              <w:bottom w:w="85" w:type="dxa"/>
              <w:right w:w="85" w:type="dxa"/>
            </w:tcMar>
          </w:tcPr>
          <w:p>
            <w:pPr>
              <w:spacing w:after="80"/>
            </w:pPr>
            <w:r>
              <w:rPr>
                <w:b/>
                <w:color w:val="000000"/>
                <w:sz w:val="18"/>
              </w:rPr>
              <w:t>Local mode</w:t>
            </w:r>
          </w:p>
        </w:tc>
      </w:tr>
      <w:tr>
        <w:tc>
          <w:tcPr>
            <w:tcW w:type="dxa" w:w="2016"/>
            <w:vAlign w:val="center"/>
            <w:shd w:fill="FFFFFF"/>
            <w:tcMar>
              <w:top w:w="85" w:type="dxa"/>
              <w:left w:w="85" w:type="dxa"/>
              <w:bottom w:w="85" w:type="dxa"/>
              <w:right w:w="85" w:type="dxa"/>
            </w:tcMar>
          </w:tcPr>
          <w:p>
            <w:pPr>
              <w:spacing w:after="80"/>
            </w:pPr>
            <w:r>
              <w:rPr>
                <w:color w:val="000000"/>
                <w:sz w:val="18"/>
              </w:rPr>
              <w:t>Startup</w:t>
            </w:r>
          </w:p>
        </w:tc>
        <w:tc>
          <w:tcPr>
            <w:tcW w:type="dxa" w:w="3564"/>
            <w:vAlign w:val="center"/>
            <w:shd w:fill="FFFFFF"/>
            <w:tcMar>
              <w:top w:w="85" w:type="dxa"/>
              <w:left w:w="85" w:type="dxa"/>
              <w:bottom w:w="85" w:type="dxa"/>
              <w:right w:w="85" w:type="dxa"/>
            </w:tcMar>
          </w:tcPr>
          <w:p>
            <w:pPr>
              <w:spacing w:after="80"/>
            </w:pPr>
            <w:r>
              <w:rPr>
                <w:color w:val="000000"/>
                <w:sz w:val="18"/>
              </w:rPr>
              <w:t>hawk and sign in</w:t>
            </w:r>
          </w:p>
        </w:tc>
        <w:tc>
          <w:tcPr>
            <w:tcW w:type="dxa" w:w="3564"/>
            <w:vAlign w:val="center"/>
            <w:shd w:fill="FFFFFF"/>
            <w:tcMar>
              <w:top w:w="85" w:type="dxa"/>
              <w:left w:w="85" w:type="dxa"/>
              <w:bottom w:w="85" w:type="dxa"/>
              <w:right w:w="85" w:type="dxa"/>
            </w:tcMar>
          </w:tcPr>
          <w:p>
            <w:pPr>
              <w:spacing w:after="80"/>
            </w:pPr>
            <w:r>
              <w:rPr>
                <w:color w:val="000000"/>
                <w:sz w:val="18"/>
              </w:rPr>
              <w:t>hawk --local</w:t>
            </w:r>
          </w:p>
        </w:tc>
      </w:tr>
      <w:tr>
        <w:tc>
          <w:tcPr>
            <w:tcW w:type="dxa" w:w="2016"/>
            <w:vAlign w:val="center"/>
            <w:shd w:fill="F5F7F9"/>
            <w:tcMar>
              <w:top w:w="85" w:type="dxa"/>
              <w:left w:w="85" w:type="dxa"/>
              <w:bottom w:w="85" w:type="dxa"/>
              <w:right w:w="85" w:type="dxa"/>
            </w:tcMar>
          </w:tcPr>
          <w:p>
            <w:pPr>
              <w:spacing w:after="80"/>
            </w:pPr>
            <w:r>
              <w:rPr>
                <w:color w:val="000000"/>
                <w:sz w:val="18"/>
              </w:rPr>
              <w:t>Task and history database</w:t>
            </w:r>
          </w:p>
        </w:tc>
        <w:tc>
          <w:tcPr>
            <w:tcW w:type="dxa" w:w="3564"/>
            <w:vAlign w:val="center"/>
            <w:shd w:fill="F5F7F9"/>
            <w:tcMar>
              <w:top w:w="85" w:type="dxa"/>
              <w:left w:w="85" w:type="dxa"/>
              <w:bottom w:w="85" w:type="dxa"/>
              <w:right w:w="85" w:type="dxa"/>
            </w:tcMar>
          </w:tcPr>
          <w:p>
            <w:pPr>
              <w:spacing w:after="80"/>
            </w:pPr>
            <w:r>
              <w:rPr>
                <w:color w:val="000000"/>
                <w:sz w:val="18"/>
              </w:rPr>
              <w:t>LH_SERVER_DATABASE_URL</w:t>
            </w:r>
          </w:p>
        </w:tc>
        <w:tc>
          <w:tcPr>
            <w:tcW w:type="dxa" w:w="3564"/>
            <w:vAlign w:val="center"/>
            <w:shd w:fill="F5F7F9"/>
            <w:tcMar>
              <w:top w:w="85" w:type="dxa"/>
              <w:left w:w="85" w:type="dxa"/>
              <w:bottom w:w="85" w:type="dxa"/>
              <w:right w:w="85" w:type="dxa"/>
            </w:tcMar>
          </w:tcPr>
          <w:p>
            <w:pPr>
              <w:spacing w:after="80"/>
            </w:pPr>
            <w:r>
              <w:rPr>
                <w:color w:val="000000"/>
                <w:sz w:val="18"/>
              </w:rPr>
              <w:t>LH_CONSOLE_DATABASE_URL</w:t>
            </w:r>
          </w:p>
        </w:tc>
      </w:tr>
      <w:tr>
        <w:tc>
          <w:tcPr>
            <w:tcW w:type="dxa" w:w="2016"/>
            <w:vAlign w:val="center"/>
            <w:shd w:fill="FFFFFF"/>
            <w:tcMar>
              <w:top w:w="85" w:type="dxa"/>
              <w:left w:w="85" w:type="dxa"/>
              <w:bottom w:w="85" w:type="dxa"/>
              <w:right w:w="85" w:type="dxa"/>
            </w:tcMar>
          </w:tcPr>
          <w:p>
            <w:pPr>
              <w:spacing w:after="80"/>
            </w:pPr>
            <w:r>
              <w:rPr>
                <w:color w:val="000000"/>
                <w:sz w:val="18"/>
              </w:rPr>
              <w:t>RAG path</w:t>
            </w:r>
          </w:p>
        </w:tc>
        <w:tc>
          <w:tcPr>
            <w:tcW w:type="dxa" w:w="3564"/>
            <w:vAlign w:val="center"/>
            <w:shd w:fill="FFFFFF"/>
            <w:tcMar>
              <w:top w:w="85" w:type="dxa"/>
              <w:left w:w="85" w:type="dxa"/>
              <w:bottom w:w="85" w:type="dxa"/>
              <w:right w:w="85" w:type="dxa"/>
            </w:tcMar>
          </w:tcPr>
          <w:p>
            <w:pPr>
              <w:spacing w:after="80"/>
            </w:pPr>
            <w:r>
              <w:rPr>
                <w:color w:val="000000"/>
                <w:sz w:val="18"/>
              </w:rPr>
              <w:t>LH_SERVER_LANCEDB_FILE_PATH</w:t>
            </w:r>
          </w:p>
        </w:tc>
        <w:tc>
          <w:tcPr>
            <w:tcW w:type="dxa" w:w="3564"/>
            <w:vAlign w:val="center"/>
            <w:shd w:fill="FFFFFF"/>
            <w:tcMar>
              <w:top w:w="85" w:type="dxa"/>
              <w:left w:w="85" w:type="dxa"/>
              <w:bottom w:w="85" w:type="dxa"/>
              <w:right w:w="85" w:type="dxa"/>
            </w:tcMar>
          </w:tcPr>
          <w:p>
            <w:pPr>
              <w:spacing w:after="80"/>
            </w:pPr>
            <w:r>
              <w:rPr>
                <w:color w:val="000000"/>
                <w:sz w:val="18"/>
              </w:rPr>
              <w:t>LH_CONSOLE_LANCEDB_FILE_PATH</w:t>
            </w:r>
          </w:p>
        </w:tc>
      </w:tr>
      <w:tr>
        <w:tc>
          <w:tcPr>
            <w:tcW w:type="dxa" w:w="2016"/>
            <w:vAlign w:val="center"/>
            <w:shd w:fill="F5F7F9"/>
            <w:tcMar>
              <w:top w:w="85" w:type="dxa"/>
              <w:left w:w="85" w:type="dxa"/>
              <w:bottom w:w="85" w:type="dxa"/>
              <w:right w:w="85" w:type="dxa"/>
            </w:tcMar>
          </w:tcPr>
          <w:p>
            <w:pPr>
              <w:spacing w:after="80"/>
            </w:pPr>
            <w:r>
              <w:rPr>
                <w:color w:val="000000"/>
                <w:sz w:val="18"/>
              </w:rPr>
              <w:t>RAG table</w:t>
            </w:r>
          </w:p>
        </w:tc>
        <w:tc>
          <w:tcPr>
            <w:tcW w:type="dxa" w:w="3564"/>
            <w:vAlign w:val="center"/>
            <w:shd w:fill="F5F7F9"/>
            <w:tcMar>
              <w:top w:w="85" w:type="dxa"/>
              <w:left w:w="85" w:type="dxa"/>
              <w:bottom w:w="85" w:type="dxa"/>
              <w:right w:w="85" w:type="dxa"/>
            </w:tcMar>
          </w:tcPr>
          <w:p>
            <w:pPr>
              <w:spacing w:after="80"/>
            </w:pPr>
            <w:r>
              <w:rPr>
                <w:color w:val="000000"/>
                <w:sz w:val="18"/>
              </w:rPr>
              <w:t>LH_SERVER_LANCEDB_TABLE_NAME</w:t>
            </w:r>
          </w:p>
        </w:tc>
        <w:tc>
          <w:tcPr>
            <w:tcW w:type="dxa" w:w="3564"/>
            <w:vAlign w:val="center"/>
            <w:shd w:fill="F5F7F9"/>
            <w:tcMar>
              <w:top w:w="85" w:type="dxa"/>
              <w:left w:w="85" w:type="dxa"/>
              <w:bottom w:w="85" w:type="dxa"/>
              <w:right w:w="85" w:type="dxa"/>
            </w:tcMar>
          </w:tcPr>
          <w:p>
            <w:pPr>
              <w:spacing w:after="80"/>
            </w:pPr>
            <w:r>
              <w:rPr>
                <w:color w:val="000000"/>
                <w:sz w:val="18"/>
              </w:rPr>
              <w:t>LH_CONSOLE_LANCEDB_TABLE_NAME</w:t>
            </w:r>
          </w:p>
        </w:tc>
      </w:tr>
      <w:tr>
        <w:tc>
          <w:tcPr>
            <w:tcW w:type="dxa" w:w="2016"/>
            <w:vAlign w:val="center"/>
            <w:shd w:fill="FFFFFF"/>
            <w:tcMar>
              <w:top w:w="85" w:type="dxa"/>
              <w:left w:w="85" w:type="dxa"/>
              <w:bottom w:w="85" w:type="dxa"/>
              <w:right w:w="85" w:type="dxa"/>
            </w:tcMar>
          </w:tcPr>
          <w:p>
            <w:pPr>
              <w:spacing w:after="80"/>
            </w:pPr>
            <w:r>
              <w:rPr>
                <w:color w:val="000000"/>
                <w:sz w:val="18"/>
              </w:rPr>
              <w:t>Chat and Task operations</w:t>
            </w:r>
          </w:p>
        </w:tc>
        <w:tc>
          <w:tcPr>
            <w:tcW w:type="dxa" w:w="3564"/>
            <w:vAlign w:val="center"/>
            <w:shd w:fill="FFFFFF"/>
            <w:tcMar>
              <w:top w:w="85" w:type="dxa"/>
              <w:left w:w="85" w:type="dxa"/>
              <w:bottom w:w="85" w:type="dxa"/>
              <w:right w:w="85" w:type="dxa"/>
            </w:tcMar>
          </w:tcPr>
          <w:p>
            <w:pPr>
              <w:spacing w:after="80"/>
            </w:pPr>
            <w:r>
              <w:rPr>
                <w:color w:val="000000"/>
                <w:sz w:val="18"/>
              </w:rPr>
              <w:t>Authenticated API</w:t>
            </w:r>
          </w:p>
        </w:tc>
        <w:tc>
          <w:tcPr>
            <w:tcW w:type="dxa" w:w="3564"/>
            <w:vAlign w:val="center"/>
            <w:shd w:fill="FFFFFF"/>
            <w:tcMar>
              <w:top w:w="85" w:type="dxa"/>
              <w:left w:w="85" w:type="dxa"/>
              <w:bottom w:w="85" w:type="dxa"/>
              <w:right w:w="85" w:type="dxa"/>
            </w:tcMar>
          </w:tcPr>
          <w:p>
            <w:pPr>
              <w:spacing w:after="80"/>
            </w:pPr>
            <w:r>
              <w:rPr>
                <w:color w:val="000000"/>
                <w:sz w:val="18"/>
              </w:rPr>
              <w:t>Local services and configured LLM</w:t>
            </w:r>
          </w:p>
        </w:tc>
      </w:tr>
    </w:tbl>
    <w:p>
      <w:r>
        <w:t>Set LH_API_SERVER_URL in .env to the API address reachable by this Console. LH_API_SERVER_BIND_URL controls where the API listens and may differ from the client URL. In signed-in mode, chat, RAG, Tasks, and history use authenticated API calls. Local task execution remains local in either mode.</w:t>
      </w:r>
    </w:p>
    <w:p>
      <w:pPr>
        <w:pStyle w:val="Heading1"/>
      </w:pPr>
      <w:r>
        <w:rPr>
          <w:color w:val="000000"/>
        </w:rPr>
        <w:t>Step 7 Help and safe working habits</w:t>
      </w:r>
    </w:p>
    <w:p>
      <w:pPr>
        <w:pStyle w:val="GuideCode"/>
        <w:keepNext w:val="0"/>
        <w:keepLines/>
        <w:shd w:fill="F2F5F7"/>
      </w:pPr>
      <w:r>
        <w:rPr>
          <w:sz w:val="18"/>
        </w:rPr>
        <w:t>/help</w:t>
      </w:r>
    </w:p>
    <w:p>
      <w:pPr>
        <w:pStyle w:val="ListBullet"/>
      </w:pPr>
      <w:r>
        <w:t>Enter /help in any of the three terminals. The Editor displays command names, parameters, allowed terminals, and descriptions, including RAG duplicate handling. Select Close to clear the help pane.</w:t>
      </w:r>
    </w:p>
    <w:p>
      <w:pPr>
        <w:pStyle w:val="ListBullet"/>
      </w:pPr>
      <w:r>
        <w:t>Check whether you are signed in or using --local; the two modes use different data stores.</w:t>
      </w:r>
    </w:p>
    <w:p>
      <w:pPr>
        <w:pStyle w:val="ListBullet"/>
      </w:pPr>
      <w:r>
        <w:t>Treat AI-generated commands and scripts as untrusted until you review them.</w:t>
      </w:r>
    </w:p>
    <w:p>
      <w:pPr>
        <w:pStyle w:val="ListBullet"/>
      </w:pPr>
      <w:r>
        <w:t>Use /taskrun and /collectrun for local development. Use signed-in API commands for approved operational execution.</w:t>
      </w:r>
    </w:p>
    <w:p>
      <w:pPr>
        <w:pStyle w:val="ListBullet"/>
      </w:pPr>
      <w:r>
        <w:t>For tasks that change systems, document scope, preconditions, expected results, and rollback steps.</w:t>
      </w:r>
    </w:p>
    <w:p>
      <w:r>
        <w:t>Configure and schedule Pipelines through the LogHawk Web UI and the CronJob launcher. You can use the same Config Set for Train-only and Detect-only pipelines, with separate training and detection inputs and the same RustFS/Internal S3 output bucket and batch folder. See the LogHawk Web UI Beginner Guide for the steps.</w:t>
      </w:r>
    </w:p>
    <w:p>
      <w:pPr>
        <w:pStyle w:val="Heading1"/>
      </w:pPr>
      <w:r>
        <w:rPr>
          <w:color w:val="000000"/>
        </w:rPr>
        <w:t>Step 8 Troubleshooting</w:t>
      </w:r>
    </w:p>
    <w:p>
      <w:r>
        <w:rPr>
          <w:b/>
        </w:rPr>
        <w:t xml:space="preserve">Sign-in cannot reach the API. </w:t>
      </w:r>
      <w:r>
        <w:t>Start the API service, check LH_API_SERVER_URL in .env, and confirm it is reachable from Hawk Console.</w:t>
      </w:r>
    </w:p>
    <w:p>
      <w:r>
        <w:rPr>
          <w:b/>
        </w:rPr>
        <w:t xml:space="preserve">The task list is empty. </w:t>
      </w:r>
      <w:r>
        <w:t>Check the mode. Signed-in mode reads server-backed tasks; --local reads Console-local tasks.</w:t>
      </w:r>
    </w:p>
    <w:p>
      <w:r>
        <w:rPr>
          <w:b/>
        </w:rPr>
        <w:t xml:space="preserve">An API run is rejected. </w:t>
      </w:r>
      <w:r>
        <w:t>Confirm you are signed in and that a custom version is approved and enabled. Check that required arguments are valid JSON.</w:t>
      </w:r>
    </w:p>
    <w:p>
      <w:r>
        <w:rPr>
          <w:b/>
        </w:rPr>
        <w:t xml:space="preserve">A local Python run reports a missing import. </w:t>
      </w:r>
      <w:r>
        <w:t>Run Hawk Console setup again so the tools environment is installed. Add script dependencies to requirements_tools.txt where appropriate.</w:t>
      </w:r>
    </w:p>
    <w:p>
      <w:r>
        <w:rPr>
          <w:b/>
        </w:rPr>
        <w:t xml:space="preserve">RAG cannot find a document. </w:t>
      </w:r>
      <w:r>
        <w:t>Confirm indexing completed in the same mode you are querying. Ask a focused question and quote filenames with spaces.</w:t>
      </w:r>
    </w:p>
    <w:p>
      <w:r>
        <w:rPr>
          <w:b/>
        </w:rPr>
        <w:t xml:space="preserve">A shell command behaves unexpectedly. </w:t>
      </w:r>
      <w:r>
        <w:t>Check the OS and shell used by the Command Terminal. Bash, PowerShell, and Windows CMD syntax differs.</w:t>
      </w:r>
    </w:p>
    <w:sectPr w:rsidR="00FC693F" w:rsidRPr="0006063C" w:rsidSect="00034616">
      <w:headerReference w:type="default" r:id="rId9"/>
      <w:footerReference w:type="default" r:id="rId10"/>
      <w:pgSz w:w="12240" w:h="15840"/>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LogHawk  |  October 2026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26344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40" w:after="40"/>
      <w:ind w:left="173" w:right="115"/>
    </w:pPr>
    <w:rPr>
      <w:rFonts w:ascii="Consolas" w:hAnsi="Consolas"/>
      <w:color w:val="1526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Hawk Console</dc:title>
  <dc:subject>Beginner’s guide to the four-pane terminal, RAG, commands, tasks, and collectors</dc:subject>
  <dc:creator>LogHawk</dc:creator>
  <cp:keywords/>
  <dc:description>generated by python-docx</dc:description>
  <cp:lastModifiedBy/>
  <cp:revision>1</cp:revision>
  <dcterms:created xsi:type="dcterms:W3CDTF">2013-12-23T23:15:00Z</dcterms:created>
  <dcterms:modified xsi:type="dcterms:W3CDTF">2026-10-27T00:00:00Z</dcterms:modified>
  <cp:category/>
</cp:coreProperties>
</file>